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charts/chart9.xml" ContentType="application/vnd.openxmlformats-officedocument.drawingml.chart+xml"/>
  <Override PartName="/word/charts/chart19.xml" ContentType="application/vnd.openxmlformats-officedocument.drawingml.chart+xml"/>
  <Override PartName="/word/charts/chart28.xml" ContentType="application/vnd.openxmlformats-officedocument.drawingml.chart+xml"/>
  <Override PartName="/word/charts/chart39.xml" ContentType="application/vnd.openxmlformats-officedocument.drawingml.chart+xml"/>
  <Override PartName="/word/drawings/drawing4.xml" ContentType="application/vnd.openxmlformats-officedocument.drawingml.chartshap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drawings/drawing1.xml" ContentType="application/vnd.openxmlformats-officedocument.drawingml.chartshapes+xml"/>
  <Override PartName="/word/charts/chart36.xml" ContentType="application/vnd.openxmlformats-officedocument.drawingml.chart+xml"/>
  <Override PartName="/word/drawings/drawing2.xml" ContentType="application/vnd.openxmlformats-officedocument.drawingml.chartshapes+xml"/>
  <Override PartName="/word/charts/chart37.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footer2.xml" ContentType="application/vnd.openxmlformats-officedocument.wordprocessingml.footer+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30.xml" ContentType="application/vnd.openxmlformats-officedocument.drawingml.chart+xml"/>
  <Override PartName="/word/charts/chart40.xml" ContentType="application/vnd.openxmlformats-officedocument.drawingml.chart+xml"/>
  <Override PartName="/docProps/core.xml" ContentType="application/vnd.openxmlformats-package.core-properties+xml"/>
  <Default Extension="png" ContentType="image/png"/>
  <Default Extension="jpeg" ContentType="image/jpeg"/>
  <Default Extension="emf" ContentType="image/x-emf"/>
  <Override PartName="/word/numbering.xml" ContentType="application/vnd.openxmlformats-officedocument.wordprocessingml.numbering+xml"/>
  <Override PartName="/word/endnotes.xml" ContentType="application/vnd.openxmlformats-officedocument.wordprocessingml.endnotes+xml"/>
  <Override PartName="/word/charts/chart8.xml" ContentType="application/vnd.openxmlformats-officedocument.drawingml.chart+xml"/>
  <Override PartName="/word/charts/chart29.xml" ContentType="application/vnd.openxmlformats-officedocument.drawingml.chart+xml"/>
  <Override PartName="/word/charts/chart38.xml" ContentType="application/vnd.openxmlformats-officedocument.drawingml.chart+xml"/>
  <Override PartName="/word/drawings/drawing3.xml" ContentType="application/vnd.openxmlformats-officedocument.drawingml.chartshap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72F" w:rsidRPr="00F920F6" w:rsidRDefault="007511FA" w:rsidP="004B472F">
      <w:pPr>
        <w:tabs>
          <w:tab w:val="left" w:pos="4320"/>
          <w:tab w:val="left" w:pos="4410"/>
        </w:tabs>
        <w:spacing w:before="0" w:after="0" w:line="360" w:lineRule="auto"/>
        <w:ind w:firstLine="0"/>
        <w:contextualSpacing/>
      </w:pPr>
      <w:r w:rsidRPr="00376E39">
        <w:rPr>
          <w:rFonts w:cstheme="minorHAnsi"/>
          <w:lang w:val="en-CA"/>
        </w:rPr>
        <w:fldChar w:fldCharType="begin"/>
      </w:r>
      <w:r w:rsidR="004B472F" w:rsidRPr="00376E39">
        <w:rPr>
          <w:rFonts w:cstheme="minorHAnsi"/>
          <w:lang w:val="en-CA"/>
        </w:rPr>
        <w:instrText xml:space="preserve"> SEQ CHAPTER \h \r 1</w:instrText>
      </w:r>
      <w:r w:rsidRPr="00376E39">
        <w:rPr>
          <w:rFonts w:cstheme="minorHAnsi"/>
          <w:lang w:val="en-CA"/>
        </w:rPr>
        <w:fldChar w:fldCharType="end"/>
      </w:r>
      <w:r w:rsidRPr="00F920F6">
        <w:rPr>
          <w:lang w:val="en-CA"/>
        </w:rPr>
        <w:fldChar w:fldCharType="begin"/>
      </w:r>
      <w:r w:rsidR="004B472F" w:rsidRPr="00F920F6">
        <w:rPr>
          <w:lang w:val="en-CA"/>
        </w:rPr>
        <w:instrText xml:space="preserve"> SEQ CHAPTER \h \r 1</w:instrText>
      </w:r>
      <w:r w:rsidRPr="00F920F6">
        <w:rPr>
          <w:lang w:val="en-CA"/>
        </w:rPr>
        <w:fldChar w:fldCharType="end"/>
      </w:r>
      <w:r w:rsidR="004B472F" w:rsidRPr="00F920F6">
        <w:t>To the Graduate Council:</w:t>
      </w:r>
    </w:p>
    <w:p w:rsidR="004B472F" w:rsidRPr="00F920F6" w:rsidRDefault="004B472F" w:rsidP="004B472F">
      <w:pPr>
        <w:spacing w:before="0" w:after="0" w:line="360" w:lineRule="auto"/>
      </w:pPr>
    </w:p>
    <w:p w:rsidR="004B472F" w:rsidRPr="00F920F6" w:rsidRDefault="004B472F" w:rsidP="004B472F">
      <w:pPr>
        <w:spacing w:before="0" w:after="0" w:line="360" w:lineRule="auto"/>
      </w:pPr>
      <w:r w:rsidRPr="00F920F6">
        <w:t xml:space="preserve">I am submitting herewith a </w:t>
      </w:r>
      <w:r>
        <w:t xml:space="preserve">dissertation </w:t>
      </w:r>
      <w:r w:rsidRPr="00F920F6">
        <w:t xml:space="preserve">written by </w:t>
      </w:r>
      <w:r>
        <w:t>David Chandler</w:t>
      </w:r>
      <w:r w:rsidRPr="00F920F6">
        <w:t xml:space="preserve"> entitled </w:t>
      </w:r>
      <w:r>
        <w:t xml:space="preserve">“Spatially-Dependent </w:t>
      </w:r>
      <w:r w:rsidR="00D87191">
        <w:t>Reactor</w:t>
      </w:r>
      <w:r>
        <w:t xml:space="preserve"> Kinetics and Supporting Physics Validation Studies at the High Flux Isotope Reactor.”</w:t>
      </w:r>
      <w:r w:rsidRPr="00F920F6">
        <w:t xml:space="preserve"> </w:t>
      </w:r>
      <w:r>
        <w:t xml:space="preserve"> </w:t>
      </w:r>
      <w:r w:rsidRPr="00F920F6">
        <w:t xml:space="preserve">I have examined the final electronic copy of this </w:t>
      </w:r>
      <w:r>
        <w:t xml:space="preserve">dissertation </w:t>
      </w:r>
      <w:r w:rsidRPr="00F920F6">
        <w:t xml:space="preserve">for form and content and recommend that it be accepted in partial fulfillment of the requirements for the degree </w:t>
      </w:r>
      <w:r>
        <w:t>of Doctor of Philosophy</w:t>
      </w:r>
      <w:r w:rsidRPr="00F920F6">
        <w:t xml:space="preserve">, with a major in </w:t>
      </w:r>
      <w:r>
        <w:t>Nuclear Engineering</w:t>
      </w:r>
      <w:r w:rsidRPr="00F920F6">
        <w:t>.</w:t>
      </w:r>
    </w:p>
    <w:p w:rsidR="004B472F" w:rsidRDefault="004B472F" w:rsidP="004B472F">
      <w:pPr>
        <w:spacing w:before="0" w:after="60" w:line="240" w:lineRule="auto"/>
        <w:ind w:firstLine="0"/>
      </w:pPr>
    </w:p>
    <w:p w:rsidR="004B472F" w:rsidRDefault="004B472F" w:rsidP="004B472F">
      <w:pPr>
        <w:spacing w:before="0" w:after="60" w:line="240" w:lineRule="auto"/>
        <w:ind w:left="4320" w:firstLine="720"/>
      </w:pPr>
      <w:r>
        <w:t>_________________________________</w:t>
      </w:r>
    </w:p>
    <w:p w:rsidR="004B472F" w:rsidRPr="00F9110B" w:rsidRDefault="004B472F" w:rsidP="004B472F">
      <w:pPr>
        <w:spacing w:before="0" w:after="0" w:line="360" w:lineRule="auto"/>
        <w:ind w:firstLine="0"/>
        <w:outlineLvl w:val="0"/>
      </w:pPr>
      <w:r>
        <w:tab/>
      </w:r>
      <w:r>
        <w:tab/>
      </w:r>
      <w:r>
        <w:tab/>
      </w:r>
      <w:r>
        <w:tab/>
      </w:r>
      <w:r>
        <w:tab/>
      </w:r>
      <w:r>
        <w:tab/>
      </w:r>
      <w:r>
        <w:tab/>
      </w:r>
      <w:bookmarkStart w:id="0" w:name="_Toc285548059"/>
      <w:bookmarkStart w:id="1" w:name="_Toc290891966"/>
      <w:bookmarkStart w:id="2" w:name="_Toc290892207"/>
      <w:bookmarkStart w:id="3" w:name="_Toc295818077"/>
      <w:r w:rsidRPr="00F9110B">
        <w:t>G. Ivan Maldonado, Major Professor</w:t>
      </w:r>
      <w:bookmarkEnd w:id="0"/>
      <w:bookmarkEnd w:id="1"/>
      <w:bookmarkEnd w:id="2"/>
      <w:bookmarkEnd w:id="3"/>
    </w:p>
    <w:p w:rsidR="004B472F" w:rsidRPr="00F920F6" w:rsidRDefault="004B472F" w:rsidP="004B472F">
      <w:pPr>
        <w:tabs>
          <w:tab w:val="left" w:pos="3690"/>
          <w:tab w:val="left" w:pos="4320"/>
        </w:tabs>
        <w:spacing w:before="0" w:after="0" w:line="360" w:lineRule="auto"/>
        <w:ind w:firstLine="0"/>
      </w:pPr>
    </w:p>
    <w:p w:rsidR="004B472F" w:rsidRDefault="004B472F" w:rsidP="004B472F">
      <w:pPr>
        <w:spacing w:before="0" w:after="0" w:line="360" w:lineRule="auto"/>
        <w:ind w:firstLine="0"/>
        <w:outlineLvl w:val="0"/>
      </w:pPr>
      <w:bookmarkStart w:id="4" w:name="_Toc285548060"/>
      <w:bookmarkStart w:id="5" w:name="_Toc290891967"/>
      <w:bookmarkStart w:id="6" w:name="_Toc290892208"/>
      <w:bookmarkStart w:id="7" w:name="_Toc295818078"/>
      <w:r w:rsidRPr="00F920F6">
        <w:t xml:space="preserve">We have read this </w:t>
      </w:r>
      <w:r>
        <w:t>dissertation</w:t>
      </w:r>
      <w:bookmarkEnd w:id="4"/>
      <w:bookmarkEnd w:id="5"/>
      <w:bookmarkEnd w:id="6"/>
      <w:bookmarkEnd w:id="7"/>
    </w:p>
    <w:p w:rsidR="004B472F" w:rsidRPr="00F920F6" w:rsidRDefault="004B472F" w:rsidP="004B472F">
      <w:pPr>
        <w:spacing w:before="0" w:line="360" w:lineRule="auto"/>
        <w:ind w:firstLine="0"/>
      </w:pPr>
      <w:proofErr w:type="gramStart"/>
      <w:r>
        <w:t>and</w:t>
      </w:r>
      <w:proofErr w:type="gramEnd"/>
      <w:r>
        <w:t xml:space="preserve"> recommend its acceptance:</w:t>
      </w:r>
    </w:p>
    <w:p w:rsidR="004B472F" w:rsidRDefault="004B472F" w:rsidP="004B472F">
      <w:pPr>
        <w:spacing w:after="60" w:line="240" w:lineRule="auto"/>
        <w:ind w:firstLine="0"/>
      </w:pPr>
      <w:r>
        <w:t>_________________________________</w:t>
      </w:r>
    </w:p>
    <w:p w:rsidR="004B472F" w:rsidRPr="00F9110B" w:rsidRDefault="004B472F" w:rsidP="004B472F">
      <w:pPr>
        <w:spacing w:before="0" w:after="240" w:line="240" w:lineRule="auto"/>
        <w:ind w:firstLine="0"/>
      </w:pPr>
      <w:r w:rsidRPr="00F9110B">
        <w:t>Dr. David H. Cook</w:t>
      </w:r>
    </w:p>
    <w:p w:rsidR="004B472F" w:rsidRDefault="004B472F" w:rsidP="004B472F">
      <w:pPr>
        <w:spacing w:before="0" w:after="60" w:line="240" w:lineRule="auto"/>
        <w:ind w:firstLine="0"/>
      </w:pPr>
      <w:r>
        <w:t>_________________________________</w:t>
      </w:r>
    </w:p>
    <w:p w:rsidR="004B472F" w:rsidRPr="00F9110B" w:rsidRDefault="004B472F" w:rsidP="004B472F">
      <w:pPr>
        <w:spacing w:before="0" w:after="240" w:line="240" w:lineRule="auto"/>
        <w:ind w:firstLine="0"/>
      </w:pPr>
      <w:r w:rsidRPr="00F9110B">
        <w:t>Dr. Arthur E. Ruggles</w:t>
      </w:r>
    </w:p>
    <w:p w:rsidR="004B472F" w:rsidRDefault="004B472F" w:rsidP="004B472F">
      <w:pPr>
        <w:spacing w:before="0" w:after="60" w:line="240" w:lineRule="auto"/>
        <w:ind w:firstLine="0"/>
      </w:pPr>
      <w:r>
        <w:t>_________________________________</w:t>
      </w:r>
    </w:p>
    <w:p w:rsidR="004B472F" w:rsidRPr="00F9110B" w:rsidRDefault="004B472F" w:rsidP="004B472F">
      <w:pPr>
        <w:spacing w:before="0" w:after="240" w:line="240" w:lineRule="auto"/>
        <w:ind w:firstLine="0"/>
      </w:pPr>
      <w:r w:rsidRPr="00F9110B">
        <w:t>Dr. Rao V. Arimilli</w:t>
      </w:r>
    </w:p>
    <w:p w:rsidR="004B472F" w:rsidRDefault="004B472F" w:rsidP="004B472F">
      <w:pPr>
        <w:spacing w:before="0" w:after="60" w:line="240" w:lineRule="auto"/>
        <w:ind w:firstLine="0"/>
      </w:pPr>
      <w:r>
        <w:t>_________________________________</w:t>
      </w:r>
    </w:p>
    <w:p w:rsidR="004B472F" w:rsidRPr="00F9110B" w:rsidRDefault="004B472F" w:rsidP="004B472F">
      <w:pPr>
        <w:spacing w:before="0" w:after="240" w:line="240" w:lineRule="auto"/>
        <w:ind w:firstLine="0"/>
      </w:pPr>
      <w:r w:rsidRPr="00F9110B">
        <w:t>Dr. James D. Freels</w:t>
      </w:r>
    </w:p>
    <w:p w:rsidR="004B472F" w:rsidRDefault="004B472F" w:rsidP="004B472F">
      <w:pPr>
        <w:spacing w:before="0" w:after="60" w:line="240" w:lineRule="auto"/>
        <w:ind w:firstLine="0"/>
      </w:pPr>
      <w:r>
        <w:t>_________________________________</w:t>
      </w:r>
    </w:p>
    <w:p w:rsidR="004B472F" w:rsidRPr="00F9110B" w:rsidRDefault="004B472F" w:rsidP="004B472F">
      <w:pPr>
        <w:spacing w:line="360" w:lineRule="auto"/>
        <w:ind w:firstLine="0"/>
      </w:pPr>
      <w:r w:rsidRPr="00F9110B">
        <w:t>Mr. R. Trent Primm, III</w:t>
      </w:r>
    </w:p>
    <w:p w:rsidR="004B472F" w:rsidRDefault="004B472F" w:rsidP="004B472F">
      <w:pPr>
        <w:tabs>
          <w:tab w:val="left" w:pos="3690"/>
        </w:tabs>
        <w:spacing w:line="360" w:lineRule="auto"/>
        <w:ind w:firstLine="0"/>
        <w:outlineLvl w:val="0"/>
      </w:pPr>
      <w:r>
        <w:tab/>
      </w:r>
      <w:r>
        <w:tab/>
      </w:r>
      <w:r>
        <w:tab/>
      </w:r>
      <w:bookmarkStart w:id="8" w:name="_Toc285548061"/>
      <w:bookmarkStart w:id="9" w:name="_Toc290891968"/>
      <w:bookmarkStart w:id="10" w:name="_Toc290892209"/>
      <w:bookmarkStart w:id="11" w:name="_Toc295818079"/>
      <w:r>
        <w:t>Accepted for the Council</w:t>
      </w:r>
      <w:bookmarkEnd w:id="8"/>
      <w:bookmarkEnd w:id="9"/>
      <w:bookmarkEnd w:id="10"/>
      <w:bookmarkEnd w:id="11"/>
    </w:p>
    <w:p w:rsidR="004B472F" w:rsidRDefault="004B472F" w:rsidP="004B472F">
      <w:pPr>
        <w:spacing w:before="0" w:after="60" w:line="240" w:lineRule="auto"/>
        <w:ind w:left="4320" w:firstLine="720"/>
      </w:pPr>
      <w:r>
        <w:t>_________________________________</w:t>
      </w:r>
    </w:p>
    <w:p w:rsidR="004B472F" w:rsidRPr="007E2379" w:rsidRDefault="004B472F" w:rsidP="004B472F">
      <w:pPr>
        <w:tabs>
          <w:tab w:val="left" w:pos="3690"/>
        </w:tabs>
        <w:spacing w:line="240" w:lineRule="auto"/>
        <w:ind w:firstLine="0"/>
      </w:pPr>
      <w:r>
        <w:tab/>
      </w:r>
      <w:r>
        <w:tab/>
      </w:r>
      <w:r>
        <w:tab/>
      </w:r>
      <w:r w:rsidRPr="007E2379">
        <w:t>Carolyn R. Hodges Vice Provost</w:t>
      </w:r>
    </w:p>
    <w:p w:rsidR="004B472F" w:rsidRPr="00F9110B" w:rsidRDefault="004B472F" w:rsidP="004B472F">
      <w:pPr>
        <w:tabs>
          <w:tab w:val="left" w:pos="3690"/>
        </w:tabs>
        <w:spacing w:line="240" w:lineRule="auto"/>
        <w:ind w:firstLine="0"/>
      </w:pPr>
      <w:r w:rsidRPr="007E2379">
        <w:tab/>
      </w:r>
      <w:r>
        <w:tab/>
      </w:r>
      <w:r>
        <w:tab/>
      </w:r>
      <w:proofErr w:type="gramStart"/>
      <w:r w:rsidRPr="00F9110B">
        <w:t>and</w:t>
      </w:r>
      <w:proofErr w:type="gramEnd"/>
      <w:r w:rsidRPr="00F9110B">
        <w:t xml:space="preserve"> Dean of the Graduate School</w:t>
      </w:r>
    </w:p>
    <w:p w:rsidR="004B472F" w:rsidRDefault="004B472F" w:rsidP="004B472F">
      <w:pPr>
        <w:spacing w:line="360" w:lineRule="auto"/>
        <w:ind w:firstLine="0"/>
        <w:rPr>
          <w:rFonts w:cstheme="minorHAnsi"/>
        </w:rPr>
      </w:pPr>
    </w:p>
    <w:p w:rsidR="004B472F" w:rsidRPr="00376E39" w:rsidRDefault="004B472F" w:rsidP="004B472F">
      <w:pPr>
        <w:spacing w:line="360" w:lineRule="auto"/>
        <w:ind w:firstLine="0"/>
        <w:rPr>
          <w:rFonts w:cstheme="minorHAnsi"/>
        </w:rPr>
      </w:pPr>
    </w:p>
    <w:p w:rsidR="004B472F" w:rsidRDefault="004B472F" w:rsidP="004B472F">
      <w:pPr>
        <w:spacing w:before="0" w:after="200" w:line="276" w:lineRule="auto"/>
        <w:ind w:firstLine="0"/>
        <w:jc w:val="left"/>
        <w:rPr>
          <w:b/>
          <w:sz w:val="36"/>
          <w:szCs w:val="36"/>
        </w:rPr>
      </w:pPr>
      <w:r w:rsidRPr="00376E39">
        <w:rPr>
          <w:rFonts w:cstheme="minorHAnsi"/>
        </w:rPr>
        <w:t>(Original signatures are on file with official student records.)</w:t>
      </w:r>
      <w:r>
        <w:rPr>
          <w:b/>
          <w:sz w:val="36"/>
          <w:szCs w:val="36"/>
        </w:rPr>
        <w:br w:type="page"/>
      </w:r>
    </w:p>
    <w:p w:rsidR="00DE01C8" w:rsidRPr="00317375" w:rsidRDefault="003F1F77" w:rsidP="00515095">
      <w:pPr>
        <w:spacing w:line="360" w:lineRule="auto"/>
        <w:ind w:firstLine="0"/>
        <w:jc w:val="center"/>
        <w:rPr>
          <w:b/>
          <w:sz w:val="48"/>
          <w:szCs w:val="48"/>
        </w:rPr>
      </w:pPr>
      <w:r w:rsidRPr="00317375">
        <w:rPr>
          <w:b/>
          <w:sz w:val="48"/>
          <w:szCs w:val="48"/>
        </w:rPr>
        <w:lastRenderedPageBreak/>
        <w:t xml:space="preserve">Spatially-Dependent </w:t>
      </w:r>
      <w:r w:rsidR="00786E38" w:rsidRPr="00317375">
        <w:rPr>
          <w:b/>
          <w:sz w:val="48"/>
          <w:szCs w:val="48"/>
        </w:rPr>
        <w:t>Reactor</w:t>
      </w:r>
      <w:r w:rsidRPr="00317375">
        <w:rPr>
          <w:b/>
          <w:sz w:val="48"/>
          <w:szCs w:val="48"/>
        </w:rPr>
        <w:t xml:space="preserve"> Kinetics and </w:t>
      </w:r>
      <w:r w:rsidR="005737CA" w:rsidRPr="00317375">
        <w:rPr>
          <w:b/>
          <w:sz w:val="48"/>
          <w:szCs w:val="48"/>
        </w:rPr>
        <w:t xml:space="preserve">Supporting </w:t>
      </w:r>
      <w:r w:rsidRPr="00317375">
        <w:rPr>
          <w:b/>
          <w:sz w:val="48"/>
          <w:szCs w:val="48"/>
        </w:rPr>
        <w:t>Physics</w:t>
      </w:r>
      <w:r w:rsidR="00201F99" w:rsidRPr="00317375">
        <w:rPr>
          <w:b/>
          <w:sz w:val="48"/>
          <w:szCs w:val="48"/>
        </w:rPr>
        <w:t xml:space="preserve"> </w:t>
      </w:r>
      <w:r w:rsidRPr="00317375">
        <w:rPr>
          <w:b/>
          <w:sz w:val="48"/>
          <w:szCs w:val="48"/>
        </w:rPr>
        <w:t xml:space="preserve">Validation </w:t>
      </w:r>
      <w:r w:rsidR="0009381C" w:rsidRPr="00317375">
        <w:rPr>
          <w:b/>
          <w:sz w:val="48"/>
          <w:szCs w:val="48"/>
        </w:rPr>
        <w:t xml:space="preserve">Studies </w:t>
      </w:r>
      <w:r w:rsidR="00201F99" w:rsidRPr="00317375">
        <w:rPr>
          <w:b/>
          <w:sz w:val="48"/>
          <w:szCs w:val="48"/>
        </w:rPr>
        <w:t>at the High Flux Isotope Reactor</w:t>
      </w:r>
    </w:p>
    <w:p w:rsidR="00201F99" w:rsidRDefault="00201F99" w:rsidP="00E37054">
      <w:pPr>
        <w:spacing w:line="276" w:lineRule="auto"/>
        <w:ind w:firstLine="0"/>
        <w:jc w:val="center"/>
        <w:rPr>
          <w:sz w:val="24"/>
          <w:szCs w:val="24"/>
        </w:rPr>
      </w:pPr>
    </w:p>
    <w:p w:rsidR="00515095" w:rsidRDefault="00515095" w:rsidP="00E37054">
      <w:pPr>
        <w:spacing w:line="276" w:lineRule="auto"/>
        <w:ind w:firstLine="0"/>
        <w:jc w:val="center"/>
        <w:rPr>
          <w:sz w:val="24"/>
          <w:szCs w:val="24"/>
        </w:rPr>
      </w:pPr>
    </w:p>
    <w:p w:rsidR="00515095" w:rsidRDefault="00515095" w:rsidP="00E37054">
      <w:pPr>
        <w:spacing w:line="276" w:lineRule="auto"/>
        <w:ind w:firstLine="0"/>
        <w:jc w:val="center"/>
        <w:rPr>
          <w:sz w:val="24"/>
          <w:szCs w:val="24"/>
        </w:rPr>
      </w:pPr>
    </w:p>
    <w:p w:rsidR="00515095" w:rsidRDefault="00515095" w:rsidP="00E37054">
      <w:pPr>
        <w:spacing w:line="276" w:lineRule="auto"/>
        <w:ind w:firstLine="0"/>
        <w:jc w:val="center"/>
        <w:rPr>
          <w:sz w:val="24"/>
          <w:szCs w:val="24"/>
        </w:rPr>
      </w:pPr>
    </w:p>
    <w:p w:rsidR="00515095" w:rsidRDefault="00515095" w:rsidP="00E37054">
      <w:pPr>
        <w:spacing w:line="276" w:lineRule="auto"/>
        <w:ind w:firstLine="0"/>
        <w:jc w:val="center"/>
        <w:rPr>
          <w:sz w:val="24"/>
          <w:szCs w:val="24"/>
        </w:rPr>
      </w:pPr>
    </w:p>
    <w:p w:rsidR="00515095" w:rsidRPr="007511BD" w:rsidRDefault="00515095" w:rsidP="00E37054">
      <w:pPr>
        <w:spacing w:line="276" w:lineRule="auto"/>
        <w:ind w:firstLine="0"/>
        <w:jc w:val="center"/>
        <w:rPr>
          <w:sz w:val="24"/>
          <w:szCs w:val="24"/>
        </w:rPr>
      </w:pPr>
    </w:p>
    <w:p w:rsidR="007511BD" w:rsidRPr="007511BD" w:rsidRDefault="007511BD" w:rsidP="00E37054">
      <w:pPr>
        <w:spacing w:line="276" w:lineRule="auto"/>
        <w:ind w:firstLine="0"/>
        <w:jc w:val="center"/>
        <w:rPr>
          <w:sz w:val="24"/>
          <w:szCs w:val="24"/>
        </w:rPr>
      </w:pPr>
    </w:p>
    <w:p w:rsidR="004B472F" w:rsidRPr="00317375" w:rsidRDefault="00515095" w:rsidP="004B472F">
      <w:pPr>
        <w:spacing w:line="276" w:lineRule="auto"/>
        <w:ind w:firstLine="0"/>
        <w:jc w:val="center"/>
        <w:outlineLvl w:val="0"/>
        <w:rPr>
          <w:sz w:val="36"/>
          <w:szCs w:val="36"/>
        </w:rPr>
      </w:pPr>
      <w:bookmarkStart w:id="12" w:name="_Toc290891969"/>
      <w:bookmarkStart w:id="13" w:name="_Toc290892210"/>
      <w:bookmarkStart w:id="14" w:name="_Toc295818080"/>
      <w:bookmarkStart w:id="15" w:name="_Toc285548062"/>
      <w:r w:rsidRPr="00317375">
        <w:rPr>
          <w:sz w:val="36"/>
          <w:szCs w:val="36"/>
        </w:rPr>
        <w:t>A D</w:t>
      </w:r>
      <w:r w:rsidR="004B472F" w:rsidRPr="00317375">
        <w:rPr>
          <w:sz w:val="36"/>
          <w:szCs w:val="36"/>
        </w:rPr>
        <w:t xml:space="preserve">issertation </w:t>
      </w:r>
      <w:r w:rsidRPr="00317375">
        <w:rPr>
          <w:sz w:val="36"/>
          <w:szCs w:val="36"/>
        </w:rPr>
        <w:t>Presented</w:t>
      </w:r>
      <w:r w:rsidR="004B472F" w:rsidRPr="00317375">
        <w:rPr>
          <w:sz w:val="36"/>
          <w:szCs w:val="36"/>
        </w:rPr>
        <w:t xml:space="preserve"> for</w:t>
      </w:r>
      <w:bookmarkEnd w:id="12"/>
      <w:bookmarkEnd w:id="13"/>
      <w:bookmarkEnd w:id="14"/>
      <w:r w:rsidRPr="00317375">
        <w:rPr>
          <w:sz w:val="36"/>
          <w:szCs w:val="36"/>
        </w:rPr>
        <w:t xml:space="preserve"> the</w:t>
      </w:r>
    </w:p>
    <w:p w:rsidR="00515095" w:rsidRPr="00317375" w:rsidRDefault="00317375" w:rsidP="00DE2231">
      <w:pPr>
        <w:spacing w:line="276" w:lineRule="auto"/>
        <w:ind w:firstLine="0"/>
        <w:jc w:val="center"/>
        <w:rPr>
          <w:sz w:val="36"/>
          <w:szCs w:val="36"/>
        </w:rPr>
      </w:pPr>
      <w:r>
        <w:rPr>
          <w:sz w:val="36"/>
          <w:szCs w:val="36"/>
        </w:rPr>
        <w:t>Doctor of Philosophy</w:t>
      </w:r>
    </w:p>
    <w:p w:rsidR="004B472F" w:rsidRPr="00317375" w:rsidRDefault="00515095" w:rsidP="00DE2231">
      <w:pPr>
        <w:spacing w:line="276" w:lineRule="auto"/>
        <w:ind w:firstLine="0"/>
        <w:jc w:val="center"/>
        <w:rPr>
          <w:sz w:val="36"/>
          <w:szCs w:val="36"/>
        </w:rPr>
      </w:pPr>
      <w:r w:rsidRPr="00317375">
        <w:rPr>
          <w:sz w:val="36"/>
          <w:szCs w:val="36"/>
        </w:rPr>
        <w:t>Degree</w:t>
      </w:r>
    </w:p>
    <w:p w:rsidR="004B472F" w:rsidRPr="00317375" w:rsidRDefault="004B472F" w:rsidP="00DE2231">
      <w:pPr>
        <w:spacing w:line="276" w:lineRule="auto"/>
        <w:ind w:firstLine="0"/>
        <w:jc w:val="center"/>
        <w:rPr>
          <w:sz w:val="36"/>
          <w:szCs w:val="36"/>
        </w:rPr>
      </w:pPr>
      <w:r w:rsidRPr="00317375">
        <w:rPr>
          <w:sz w:val="36"/>
          <w:szCs w:val="36"/>
        </w:rPr>
        <w:t>The University of Tennessee, Knoxville</w:t>
      </w:r>
    </w:p>
    <w:p w:rsidR="004B472F" w:rsidRDefault="004B472F" w:rsidP="004B472F">
      <w:pPr>
        <w:spacing w:line="276" w:lineRule="auto"/>
        <w:ind w:firstLine="0"/>
        <w:jc w:val="center"/>
        <w:rPr>
          <w:sz w:val="24"/>
          <w:szCs w:val="24"/>
        </w:rPr>
      </w:pPr>
    </w:p>
    <w:p w:rsidR="00515095" w:rsidRDefault="00515095" w:rsidP="004B472F">
      <w:pPr>
        <w:spacing w:line="276" w:lineRule="auto"/>
        <w:ind w:firstLine="0"/>
        <w:jc w:val="center"/>
        <w:rPr>
          <w:sz w:val="24"/>
          <w:szCs w:val="24"/>
        </w:rPr>
      </w:pPr>
    </w:p>
    <w:p w:rsidR="00515095" w:rsidRDefault="00515095" w:rsidP="004B472F">
      <w:pPr>
        <w:spacing w:line="276" w:lineRule="auto"/>
        <w:ind w:firstLine="0"/>
        <w:jc w:val="center"/>
        <w:rPr>
          <w:sz w:val="24"/>
          <w:szCs w:val="24"/>
        </w:rPr>
      </w:pPr>
    </w:p>
    <w:p w:rsidR="00515095" w:rsidRDefault="00515095" w:rsidP="004B472F">
      <w:pPr>
        <w:spacing w:line="276" w:lineRule="auto"/>
        <w:ind w:firstLine="0"/>
        <w:jc w:val="center"/>
        <w:rPr>
          <w:sz w:val="24"/>
          <w:szCs w:val="24"/>
        </w:rPr>
      </w:pPr>
    </w:p>
    <w:p w:rsidR="00556F68" w:rsidRDefault="00556F68" w:rsidP="004B472F">
      <w:pPr>
        <w:spacing w:line="276" w:lineRule="auto"/>
        <w:ind w:firstLine="0"/>
        <w:jc w:val="center"/>
        <w:rPr>
          <w:sz w:val="24"/>
          <w:szCs w:val="24"/>
        </w:rPr>
      </w:pPr>
    </w:p>
    <w:bookmarkEnd w:id="15"/>
    <w:p w:rsidR="00515095" w:rsidRDefault="00515095" w:rsidP="00E37054">
      <w:pPr>
        <w:spacing w:line="276" w:lineRule="auto"/>
        <w:ind w:firstLine="0"/>
        <w:jc w:val="center"/>
        <w:rPr>
          <w:sz w:val="24"/>
          <w:szCs w:val="24"/>
        </w:rPr>
      </w:pPr>
    </w:p>
    <w:p w:rsidR="00786E38" w:rsidRPr="00317375" w:rsidRDefault="00786E38" w:rsidP="00E37054">
      <w:pPr>
        <w:spacing w:line="276" w:lineRule="auto"/>
        <w:ind w:firstLine="0"/>
        <w:jc w:val="center"/>
        <w:rPr>
          <w:sz w:val="24"/>
          <w:szCs w:val="24"/>
        </w:rPr>
      </w:pPr>
    </w:p>
    <w:p w:rsidR="00201F99" w:rsidRPr="00317375" w:rsidRDefault="00201F99" w:rsidP="00AA149C">
      <w:pPr>
        <w:spacing w:line="276" w:lineRule="auto"/>
        <w:ind w:firstLine="0"/>
        <w:jc w:val="center"/>
        <w:outlineLvl w:val="0"/>
        <w:rPr>
          <w:sz w:val="36"/>
          <w:szCs w:val="36"/>
        </w:rPr>
      </w:pPr>
      <w:bookmarkStart w:id="16" w:name="_Toc285548064"/>
      <w:bookmarkStart w:id="17" w:name="_Toc286239049"/>
      <w:bookmarkStart w:id="18" w:name="_Toc286847181"/>
      <w:bookmarkStart w:id="19" w:name="_Toc287004233"/>
      <w:bookmarkStart w:id="20" w:name="_Toc290891971"/>
      <w:bookmarkStart w:id="21" w:name="_Toc290892212"/>
      <w:bookmarkStart w:id="22" w:name="_Toc295818082"/>
      <w:r w:rsidRPr="00317375">
        <w:rPr>
          <w:sz w:val="36"/>
          <w:szCs w:val="36"/>
        </w:rPr>
        <w:t>David Chandler</w:t>
      </w:r>
      <w:bookmarkEnd w:id="16"/>
      <w:bookmarkEnd w:id="17"/>
      <w:bookmarkEnd w:id="18"/>
      <w:bookmarkEnd w:id="19"/>
      <w:bookmarkEnd w:id="20"/>
      <w:bookmarkEnd w:id="21"/>
      <w:bookmarkEnd w:id="22"/>
    </w:p>
    <w:p w:rsidR="00515095" w:rsidRPr="00317375" w:rsidRDefault="00515095" w:rsidP="00515095">
      <w:pPr>
        <w:spacing w:line="276" w:lineRule="auto"/>
        <w:ind w:firstLine="0"/>
        <w:jc w:val="center"/>
        <w:outlineLvl w:val="0"/>
        <w:rPr>
          <w:sz w:val="36"/>
          <w:szCs w:val="36"/>
        </w:rPr>
      </w:pPr>
      <w:bookmarkStart w:id="23" w:name="_Toc290891970"/>
      <w:bookmarkStart w:id="24" w:name="_Toc290892211"/>
      <w:bookmarkStart w:id="25" w:name="_Toc295818081"/>
      <w:r w:rsidRPr="00317375">
        <w:rPr>
          <w:sz w:val="36"/>
          <w:szCs w:val="36"/>
        </w:rPr>
        <w:t>August 2011</w:t>
      </w:r>
      <w:bookmarkEnd w:id="23"/>
      <w:bookmarkEnd w:id="24"/>
      <w:bookmarkEnd w:id="25"/>
    </w:p>
    <w:p w:rsidR="00515095" w:rsidRDefault="00515095">
      <w:pPr>
        <w:spacing w:before="0" w:after="200" w:line="276" w:lineRule="auto"/>
        <w:ind w:firstLine="0"/>
        <w:jc w:val="left"/>
        <w:rPr>
          <w:sz w:val="24"/>
          <w:szCs w:val="24"/>
        </w:rPr>
        <w:sectPr w:rsidR="00515095" w:rsidSect="00515095">
          <w:pgSz w:w="12240" w:h="15840"/>
          <w:pgMar w:top="1440" w:right="1440" w:bottom="1440" w:left="1440" w:header="1440" w:footer="1440" w:gutter="0"/>
          <w:pgNumType w:fmt="lowerRoman" w:start="2"/>
          <w:cols w:space="720"/>
          <w:docGrid w:linePitch="360"/>
        </w:sectPr>
      </w:pPr>
    </w:p>
    <w:p w:rsidR="00515095" w:rsidRDefault="00515095">
      <w:pPr>
        <w:spacing w:before="0" w:after="200" w:line="276" w:lineRule="auto"/>
        <w:ind w:firstLine="0"/>
        <w:jc w:val="left"/>
        <w:rPr>
          <w:sz w:val="24"/>
          <w:szCs w:val="24"/>
        </w:rPr>
      </w:pPr>
    </w:p>
    <w:p w:rsidR="00786E38" w:rsidRPr="004B1A84" w:rsidRDefault="00786E38" w:rsidP="00515095">
      <w:pPr>
        <w:spacing w:line="276" w:lineRule="auto"/>
        <w:ind w:firstLine="0"/>
        <w:rPr>
          <w:sz w:val="24"/>
          <w:szCs w:val="24"/>
        </w:rPr>
      </w:pPr>
    </w:p>
    <w:p w:rsidR="004B472F" w:rsidRPr="003E0851" w:rsidRDefault="004B472F" w:rsidP="004B472F">
      <w:pPr>
        <w:ind w:firstLine="0"/>
        <w:rPr>
          <w:sz w:val="24"/>
          <w:szCs w:val="24"/>
        </w:rPr>
      </w:pPr>
    </w:p>
    <w:p w:rsidR="004B472F" w:rsidRPr="003E0851" w:rsidRDefault="004B472F" w:rsidP="004B472F">
      <w:pPr>
        <w:ind w:firstLine="0"/>
        <w:rPr>
          <w:sz w:val="24"/>
          <w:szCs w:val="24"/>
        </w:rPr>
      </w:pPr>
    </w:p>
    <w:p w:rsidR="004B472F" w:rsidRPr="003E0851" w:rsidRDefault="004B472F" w:rsidP="004B472F">
      <w:pPr>
        <w:ind w:firstLine="0"/>
        <w:rPr>
          <w:sz w:val="24"/>
          <w:szCs w:val="24"/>
        </w:rPr>
      </w:pPr>
    </w:p>
    <w:p w:rsidR="004B472F" w:rsidRPr="003E0851" w:rsidRDefault="004B472F" w:rsidP="004B472F">
      <w:pPr>
        <w:ind w:firstLine="0"/>
        <w:rPr>
          <w:sz w:val="24"/>
          <w:szCs w:val="24"/>
        </w:rPr>
      </w:pPr>
    </w:p>
    <w:p w:rsidR="004B472F" w:rsidRPr="003E0851" w:rsidRDefault="004B472F" w:rsidP="004B472F">
      <w:pPr>
        <w:ind w:firstLine="0"/>
        <w:rPr>
          <w:sz w:val="24"/>
          <w:szCs w:val="24"/>
        </w:rPr>
      </w:pPr>
    </w:p>
    <w:p w:rsidR="004B472F" w:rsidRPr="003E0851" w:rsidRDefault="004B472F" w:rsidP="004B472F">
      <w:pPr>
        <w:ind w:firstLine="0"/>
        <w:rPr>
          <w:sz w:val="24"/>
          <w:szCs w:val="24"/>
        </w:rPr>
      </w:pPr>
    </w:p>
    <w:p w:rsidR="004B472F" w:rsidRPr="003E0851" w:rsidRDefault="004B472F" w:rsidP="004B472F">
      <w:pPr>
        <w:ind w:firstLine="0"/>
        <w:rPr>
          <w:sz w:val="24"/>
          <w:szCs w:val="24"/>
        </w:rPr>
      </w:pPr>
    </w:p>
    <w:p w:rsidR="004B472F" w:rsidRDefault="004B472F" w:rsidP="004B472F">
      <w:pPr>
        <w:spacing w:after="0" w:line="276" w:lineRule="auto"/>
        <w:ind w:firstLine="0"/>
        <w:jc w:val="center"/>
        <w:outlineLvl w:val="0"/>
        <w:rPr>
          <w:sz w:val="24"/>
          <w:szCs w:val="24"/>
        </w:rPr>
      </w:pPr>
      <w:bookmarkStart w:id="26" w:name="_Toc285548067"/>
      <w:bookmarkStart w:id="27" w:name="_Toc290891974"/>
      <w:bookmarkStart w:id="28" w:name="_Toc290892215"/>
      <w:bookmarkStart w:id="29" w:name="_Toc295818085"/>
      <w:r>
        <w:rPr>
          <w:sz w:val="24"/>
          <w:szCs w:val="24"/>
        </w:rPr>
        <w:t>Copyright © 2011 by David Chandler</w:t>
      </w:r>
      <w:bookmarkEnd w:id="26"/>
      <w:bookmarkEnd w:id="27"/>
      <w:bookmarkEnd w:id="28"/>
      <w:bookmarkEnd w:id="29"/>
    </w:p>
    <w:p w:rsidR="004B472F" w:rsidRPr="003E0851" w:rsidRDefault="004B472F" w:rsidP="004B472F">
      <w:pPr>
        <w:spacing w:after="0" w:line="276" w:lineRule="auto"/>
        <w:ind w:firstLine="0"/>
        <w:jc w:val="center"/>
        <w:rPr>
          <w:sz w:val="24"/>
          <w:szCs w:val="24"/>
        </w:rPr>
      </w:pPr>
      <w:r>
        <w:rPr>
          <w:sz w:val="24"/>
          <w:szCs w:val="24"/>
        </w:rPr>
        <w:t>All rights reserved</w:t>
      </w:r>
    </w:p>
    <w:p w:rsidR="004B472F" w:rsidRDefault="004B472F" w:rsidP="004B472F">
      <w:pPr>
        <w:spacing w:before="0" w:after="200" w:line="276" w:lineRule="auto"/>
        <w:rPr>
          <w:sz w:val="24"/>
          <w:szCs w:val="24"/>
        </w:rPr>
      </w:pPr>
      <w:r>
        <w:rPr>
          <w:sz w:val="24"/>
          <w:szCs w:val="24"/>
        </w:rPr>
        <w:br w:type="page"/>
      </w:r>
    </w:p>
    <w:p w:rsidR="004B472F" w:rsidRPr="003F1F77" w:rsidRDefault="004B472F" w:rsidP="004B472F">
      <w:pPr>
        <w:pStyle w:val="Title"/>
        <w:outlineLvl w:val="0"/>
      </w:pPr>
      <w:bookmarkStart w:id="30" w:name="_Toc285548068"/>
      <w:bookmarkStart w:id="31" w:name="_Toc290891975"/>
      <w:bookmarkStart w:id="32" w:name="_Toc290892216"/>
      <w:bookmarkStart w:id="33" w:name="_Toc295818086"/>
      <w:r>
        <w:lastRenderedPageBreak/>
        <w:t>Dedication</w:t>
      </w:r>
      <w:bookmarkEnd w:id="30"/>
      <w:bookmarkEnd w:id="31"/>
      <w:bookmarkEnd w:id="32"/>
      <w:bookmarkEnd w:id="33"/>
    </w:p>
    <w:p w:rsidR="004B472F" w:rsidRDefault="004B472F" w:rsidP="004B472F">
      <w:r>
        <w:t>I would like to dedicate this dissertation to my amazing family who has always provided me love, support, and encouragement.  I would like to thank my mother, Sheila Chandler, and my sister, Louise Pence, who have always believed in me and had the right words to say during the stressful times.  I would like to thank my girlfriend, Lindsay Sondles, who packed up and moved with me to Tennessee and has been patient and supportive through my years of research.  Finally,</w:t>
      </w:r>
      <w:r w:rsidR="00D87191">
        <w:t xml:space="preserve"> and most importantly,</w:t>
      </w:r>
      <w:r>
        <w:t xml:space="preserve"> I would like </w:t>
      </w:r>
      <w:r w:rsidR="00D87191">
        <w:t>to dedicate this work to my</w:t>
      </w:r>
      <w:r>
        <w:t xml:space="preserve"> father, Len</w:t>
      </w:r>
      <w:r w:rsidR="00D87191">
        <w:t xml:space="preserve"> Chandler</w:t>
      </w:r>
      <w:r>
        <w:t>, who always believed</w:t>
      </w:r>
      <w:r w:rsidR="00D87191">
        <w:t xml:space="preserve"> in me, encouraged </w:t>
      </w:r>
      <w:r>
        <w:t>me</w:t>
      </w:r>
      <w:r w:rsidR="00D87191">
        <w:t>, and taught me to work hard.</w:t>
      </w:r>
    </w:p>
    <w:p w:rsidR="004B472F" w:rsidRDefault="004B472F">
      <w:pPr>
        <w:spacing w:before="0" w:after="200" w:line="276" w:lineRule="auto"/>
        <w:ind w:firstLine="0"/>
        <w:jc w:val="left"/>
        <w:rPr>
          <w:sz w:val="24"/>
          <w:szCs w:val="24"/>
        </w:rPr>
      </w:pPr>
      <w:r>
        <w:rPr>
          <w:sz w:val="24"/>
          <w:szCs w:val="24"/>
        </w:rPr>
        <w:br w:type="page"/>
      </w:r>
    </w:p>
    <w:p w:rsidR="004B472F" w:rsidRPr="003F1F77" w:rsidRDefault="004B472F" w:rsidP="004B472F">
      <w:pPr>
        <w:pStyle w:val="Title"/>
        <w:outlineLvl w:val="0"/>
      </w:pPr>
      <w:bookmarkStart w:id="34" w:name="_Toc285548069"/>
      <w:bookmarkStart w:id="35" w:name="_Toc290891976"/>
      <w:bookmarkStart w:id="36" w:name="_Toc290892217"/>
      <w:bookmarkStart w:id="37" w:name="_Toc295818087"/>
      <w:r>
        <w:lastRenderedPageBreak/>
        <w:t>Acknowledgements</w:t>
      </w:r>
      <w:bookmarkEnd w:id="34"/>
      <w:bookmarkEnd w:id="35"/>
      <w:bookmarkEnd w:id="36"/>
      <w:bookmarkEnd w:id="37"/>
    </w:p>
    <w:p w:rsidR="004B472F" w:rsidRDefault="004B472F" w:rsidP="004B472F">
      <w:r>
        <w:t xml:space="preserve">This dissertation was made possible by a research contract between the University </w:t>
      </w:r>
      <w:proofErr w:type="gramStart"/>
      <w:r>
        <w:t>of</w:t>
      </w:r>
      <w:proofErr w:type="gramEnd"/>
      <w:r>
        <w:t xml:space="preserve"> Tennessee Nuclear Engineering Department and the Research Reactors Division of the Oak Ridge National Laboratory, which is managed by UT-Battelle for the Unite</w:t>
      </w:r>
      <w:r w:rsidR="00DE2231">
        <w:t>d States Department of Energy.</w:t>
      </w:r>
    </w:p>
    <w:p w:rsidR="004B472F" w:rsidRDefault="004B472F" w:rsidP="004B472F">
      <w:r>
        <w:t>First and foremost, I would like to express my sincere appreciation to Dr. G. Ivan Maldonado, my advising professor, and Mr. Trent Primm</w:t>
      </w:r>
      <w:r w:rsidR="0006585F">
        <w:t>, III</w:t>
      </w:r>
      <w:r>
        <w:t>, my technical mentor, for their time, contributions, and guidance in my studies over the past couple</w:t>
      </w:r>
      <w:r w:rsidR="0006585F">
        <w:t xml:space="preserve"> of</w:t>
      </w:r>
      <w:r>
        <w:t xml:space="preserve"> years.  I would like to thank Dr. Maldonado for pursuing and encouraging me to enroll in graduate school and then continuing to support and advise me till the end.  I would like to thank </w:t>
      </w:r>
      <w:r w:rsidR="0006585F">
        <w:t>Mr. Primm</w:t>
      </w:r>
      <w:r>
        <w:t xml:space="preserve"> for providing me with excellent opportunities at one of the top research facilities in the world and always making ti</w:t>
      </w:r>
      <w:r w:rsidR="0006585F">
        <w:t>me to assist me in my studies.</w:t>
      </w:r>
    </w:p>
    <w:p w:rsidR="004B472F" w:rsidRDefault="004B472F" w:rsidP="004B472F">
      <w:r>
        <w:t xml:space="preserve">I would like to thank the members of my dissertation committee, </w:t>
      </w:r>
      <w:r w:rsidR="00D87191">
        <w:t xml:space="preserve">Dr. Jim Freels, </w:t>
      </w:r>
      <w:r>
        <w:t xml:space="preserve">Dr. David </w:t>
      </w:r>
      <w:r w:rsidR="0006585F">
        <w:t xml:space="preserve">Cook, Dr. Arthur Ruggles, </w:t>
      </w:r>
      <w:r w:rsidR="00D87191">
        <w:t xml:space="preserve">and </w:t>
      </w:r>
      <w:r w:rsidR="0006585F">
        <w:t>Dr. Rao</w:t>
      </w:r>
      <w:r>
        <w:t xml:space="preserve"> Arimilli, for their support and assistance during my research and dissertation work</w:t>
      </w:r>
      <w:r w:rsidR="0006585F">
        <w:t xml:space="preserve">.  </w:t>
      </w:r>
      <w:r>
        <w:t>I also want to express my sincere gratitude to Dr. Germina Ilas</w:t>
      </w:r>
      <w:r w:rsidR="0006585F">
        <w:t>,</w:t>
      </w:r>
      <w:r>
        <w:t xml:space="preserve"> Dr. Wim </w:t>
      </w:r>
      <w:proofErr w:type="spellStart"/>
      <w:r>
        <w:t>Haeck</w:t>
      </w:r>
      <w:proofErr w:type="spellEnd"/>
      <w:r w:rsidR="0006585F">
        <w:t>, and the COMSOL technical support staff</w:t>
      </w:r>
      <w:r>
        <w:t xml:space="preserve"> </w:t>
      </w:r>
      <w:r w:rsidR="0006585F">
        <w:t>who</w:t>
      </w:r>
      <w:r>
        <w:t xml:space="preserve"> </w:t>
      </w:r>
      <w:r w:rsidR="0006585F">
        <w:t xml:space="preserve">have </w:t>
      </w:r>
      <w:r>
        <w:t>helped provide me with the computation tools and knowledge needed to perform much of my research.</w:t>
      </w:r>
      <w:r w:rsidR="0006585F">
        <w:t xml:space="preserve">  I would also like to thank </w:t>
      </w:r>
      <w:r w:rsidR="00D87191">
        <w:t xml:space="preserve">Randy Hobbs, </w:t>
      </w:r>
      <w:r w:rsidR="0006585F">
        <w:t>Ron Crone, Kevin Smith, and the rest of t</w:t>
      </w:r>
      <w:r w:rsidR="00D87191">
        <w:t xml:space="preserve">he Research Reactor Division </w:t>
      </w:r>
      <w:r w:rsidR="0006585F">
        <w:t>for their support and encouragement</w:t>
      </w:r>
      <w:r w:rsidR="00D87191">
        <w:t>.</w:t>
      </w:r>
    </w:p>
    <w:p w:rsidR="004B472F" w:rsidRDefault="0006585F" w:rsidP="004B472F">
      <w:r>
        <w:t>Most importantly</w:t>
      </w:r>
      <w:r w:rsidR="004B472F">
        <w:t xml:space="preserve"> I would like to thank my family who has always encouraged me and been there for me.  The most influential people in my life are my parents, Len and Sheila Chandler, who have believed in me and supported me in all of my life decisions.  I would like to thank my sister, Louise Pence, for always believing in me and being there as both a friend and sister. I would al</w:t>
      </w:r>
      <w:r w:rsidR="00D87191">
        <w:t>so like to send a special thank you</w:t>
      </w:r>
      <w:r w:rsidR="004B472F">
        <w:t xml:space="preserve"> to my girlfriend, Lindsay Sondles, who started this journey with me and has supported and believed in me over the years.</w:t>
      </w:r>
      <w:r w:rsidR="004B472F">
        <w:br w:type="page"/>
      </w:r>
    </w:p>
    <w:p w:rsidR="004B472F" w:rsidRDefault="004B472F" w:rsidP="004B472F">
      <w:pPr>
        <w:pStyle w:val="Title"/>
        <w:outlineLvl w:val="0"/>
      </w:pPr>
      <w:bookmarkStart w:id="38" w:name="_Toc285548070"/>
      <w:bookmarkStart w:id="39" w:name="_Toc290891977"/>
      <w:bookmarkStart w:id="40" w:name="_Toc290892218"/>
      <w:bookmarkStart w:id="41" w:name="_Toc295818088"/>
      <w:r>
        <w:lastRenderedPageBreak/>
        <w:t>Abstract</w:t>
      </w:r>
      <w:bookmarkEnd w:id="38"/>
      <w:bookmarkEnd w:id="39"/>
      <w:bookmarkEnd w:id="40"/>
      <w:bookmarkEnd w:id="41"/>
    </w:p>
    <w:p w:rsidR="004B472F" w:rsidRDefault="00B91C24" w:rsidP="004B472F">
      <w:pPr>
        <w:rPr>
          <w:rFonts w:eastAsiaTheme="minorEastAsia"/>
        </w:rPr>
      </w:pPr>
      <w:r>
        <w:t>T</w:t>
      </w:r>
      <w:r w:rsidR="004B472F">
        <w:t xml:space="preserve">ime- and space-dependent, three-group, neutron kinetics models of </w:t>
      </w:r>
      <w:r w:rsidR="00C02388">
        <w:t>the</w:t>
      </w:r>
      <w:r w:rsidR="009C401F">
        <w:t xml:space="preserve"> Oak Ridge National Laboratory’s (ORNL) </w:t>
      </w:r>
      <w:r w:rsidR="00C02388">
        <w:t>High Flux Isotope Reactor (HFIR) were</w:t>
      </w:r>
      <w:r w:rsidR="004B472F">
        <w:t xml:space="preserve"> developed in COMSOL</w:t>
      </w:r>
      <w:r>
        <w:t xml:space="preserve"> </w:t>
      </w:r>
      <w:r w:rsidR="004B472F">
        <w:t>for the purpose of studying the spatial dependence of transient-induced behavior in the reactor core.  The COMSOL par</w:t>
      </w:r>
      <w:r w:rsidR="009C401F">
        <w:t>tial differential equation</w:t>
      </w:r>
      <w:r w:rsidR="004B472F">
        <w:t xml:space="preserve"> coefficient application mode </w:t>
      </w:r>
      <w:r>
        <w:t>was</w:t>
      </w:r>
      <w:r w:rsidR="004B472F">
        <w:t xml:space="preserve"> utilized to input </w:t>
      </w:r>
      <w:r>
        <w:t>the multi-group diffusion equations</w:t>
      </w:r>
      <w:r w:rsidR="004B472F">
        <w:rPr>
          <w:rFonts w:eastAsiaTheme="minorEastAsia"/>
        </w:rPr>
        <w:t xml:space="preserve">.  </w:t>
      </w:r>
      <w:r w:rsidR="00E879D2">
        <w:rPr>
          <w:rFonts w:eastAsiaTheme="minorEastAsia"/>
        </w:rPr>
        <w:t>A c</w:t>
      </w:r>
      <w:r w:rsidR="004B472F">
        <w:rPr>
          <w:rFonts w:eastAsiaTheme="minorEastAsia"/>
        </w:rPr>
        <w:t>ontrol cylinder ejection accident and hydraulic tube rabbit ejection experiments</w:t>
      </w:r>
      <w:r w:rsidR="00C02388">
        <w:rPr>
          <w:rFonts w:eastAsiaTheme="minorEastAsia"/>
        </w:rPr>
        <w:t xml:space="preserve"> were studied</w:t>
      </w:r>
      <w:r w:rsidR="004B472F">
        <w:rPr>
          <w:rFonts w:eastAsiaTheme="minorEastAsia"/>
        </w:rPr>
        <w:t xml:space="preserve">.  The nuclear data required to solve the </w:t>
      </w:r>
      <w:r w:rsidR="00C02388">
        <w:rPr>
          <w:rFonts w:eastAsiaTheme="minorEastAsia"/>
        </w:rPr>
        <w:t>diffusion equations were</w:t>
      </w:r>
      <w:r w:rsidR="004B472F">
        <w:rPr>
          <w:rFonts w:eastAsiaTheme="minorEastAsia"/>
        </w:rPr>
        <w:t xml:space="preserve"> generated by the NEWT code </w:t>
      </w:r>
      <w:r w:rsidR="00C02388">
        <w:rPr>
          <w:rFonts w:eastAsiaTheme="minorEastAsia"/>
        </w:rPr>
        <w:t>within the SCALE</w:t>
      </w:r>
      <w:r w:rsidR="00E879D2">
        <w:rPr>
          <w:rFonts w:eastAsiaTheme="minorEastAsia"/>
        </w:rPr>
        <w:t xml:space="preserve"> 6</w:t>
      </w:r>
      <w:r w:rsidR="009C401F">
        <w:rPr>
          <w:rFonts w:eastAsiaTheme="minorEastAsia"/>
        </w:rPr>
        <w:t xml:space="preserve"> </w:t>
      </w:r>
      <w:r w:rsidR="00C02388">
        <w:rPr>
          <w:rFonts w:eastAsiaTheme="minorEastAsia"/>
        </w:rPr>
        <w:t>package.</w:t>
      </w:r>
    </w:p>
    <w:p w:rsidR="004B472F" w:rsidRDefault="004B472F" w:rsidP="004B472F">
      <w:pPr>
        <w:rPr>
          <w:rFonts w:eastAsiaTheme="minorEastAsia"/>
        </w:rPr>
      </w:pPr>
      <w:r>
        <w:rPr>
          <w:rFonts w:eastAsiaTheme="minorEastAsia"/>
        </w:rPr>
        <w:t xml:space="preserve">The models developed in this research only consider the neutronics aspect of </w:t>
      </w:r>
      <w:r w:rsidR="00E879D2">
        <w:rPr>
          <w:rFonts w:eastAsiaTheme="minorEastAsia"/>
        </w:rPr>
        <w:t>reactor kinetics and therefore d</w:t>
      </w:r>
      <w:r>
        <w:rPr>
          <w:rFonts w:eastAsiaTheme="minorEastAsia"/>
        </w:rPr>
        <w:t>on’t include fluid flow and heat transfer</w:t>
      </w:r>
      <w:r w:rsidR="00C02388">
        <w:rPr>
          <w:rFonts w:eastAsiaTheme="minorEastAsia"/>
        </w:rPr>
        <w:t xml:space="preserve"> physics</w:t>
      </w:r>
      <w:r>
        <w:rPr>
          <w:rFonts w:eastAsiaTheme="minorEastAsia"/>
        </w:rPr>
        <w:t xml:space="preserve">.  </w:t>
      </w:r>
      <w:r w:rsidR="009C401F">
        <w:rPr>
          <w:rFonts w:eastAsiaTheme="minorEastAsia"/>
        </w:rPr>
        <w:t>The purpose of this research is</w:t>
      </w:r>
      <w:r>
        <w:rPr>
          <w:rFonts w:eastAsiaTheme="minorEastAsia"/>
        </w:rPr>
        <w:t xml:space="preserve"> to study the spatial dependency of the reactor power during transients induced by reactivity additions that are not distributed uniformly throughout the reactor core.  The space-dependent results </w:t>
      </w:r>
      <w:r w:rsidR="00C02388">
        <w:rPr>
          <w:rFonts w:eastAsiaTheme="minorEastAsia"/>
        </w:rPr>
        <w:t>were</w:t>
      </w:r>
      <w:r>
        <w:rPr>
          <w:rFonts w:eastAsiaTheme="minorEastAsia"/>
        </w:rPr>
        <w:t xml:space="preserve"> compared to point-kinetics solutions, which </w:t>
      </w:r>
      <w:r w:rsidR="00C02388">
        <w:rPr>
          <w:rFonts w:eastAsiaTheme="minorEastAsia"/>
        </w:rPr>
        <w:t>were</w:t>
      </w:r>
      <w:r w:rsidR="00E879D2">
        <w:rPr>
          <w:rFonts w:eastAsiaTheme="minorEastAsia"/>
        </w:rPr>
        <w:t xml:space="preserve"> solved by the PARET code</w:t>
      </w:r>
      <w:r>
        <w:rPr>
          <w:rFonts w:eastAsiaTheme="minorEastAsia"/>
        </w:rPr>
        <w:t xml:space="preserve">. </w:t>
      </w:r>
      <w:r w:rsidR="00E879D2">
        <w:rPr>
          <w:rFonts w:eastAsiaTheme="minorEastAsia"/>
        </w:rPr>
        <w:t xml:space="preserve"> </w:t>
      </w:r>
      <w:r>
        <w:rPr>
          <w:rFonts w:eastAsiaTheme="minorEastAsia"/>
        </w:rPr>
        <w:t>Thermal hydraulic and structural models are currently being developed in COMSOL</w:t>
      </w:r>
      <w:r w:rsidR="009C401F">
        <w:rPr>
          <w:rFonts w:eastAsiaTheme="minorEastAsia"/>
        </w:rPr>
        <w:t xml:space="preserve"> and t</w:t>
      </w:r>
      <w:r>
        <w:rPr>
          <w:rFonts w:eastAsiaTheme="minorEastAsia"/>
        </w:rPr>
        <w:t xml:space="preserve">he three models are expected to eventually be merged together to form a comprehensive </w:t>
      </w:r>
      <w:proofErr w:type="spellStart"/>
      <w:r>
        <w:rPr>
          <w:rFonts w:eastAsiaTheme="minorEastAsia"/>
        </w:rPr>
        <w:t>multiphysics</w:t>
      </w:r>
      <w:proofErr w:type="spellEnd"/>
      <w:r>
        <w:rPr>
          <w:rFonts w:eastAsiaTheme="minorEastAsia"/>
        </w:rPr>
        <w:t xml:space="preserve"> model for the purpose of studying transient-induced behavior.</w:t>
      </w:r>
    </w:p>
    <w:p w:rsidR="00B62DDA" w:rsidRPr="00B62DDA" w:rsidRDefault="00E879D2" w:rsidP="00B62DDA">
      <w:pPr>
        <w:rPr>
          <w:rFonts w:ascii="Times New Roman" w:hAnsi="Times New Roman" w:cs="Times New Roman"/>
        </w:rPr>
      </w:pPr>
      <w:r>
        <w:rPr>
          <w:rFonts w:eastAsiaTheme="minorEastAsia"/>
        </w:rPr>
        <w:t>En route of developing the kinetics models, validation studies and methodology updates have been performed to verify the exercise of major neutronic tools at the HFIR.</w:t>
      </w:r>
      <w:r w:rsidR="00B62DDA">
        <w:rPr>
          <w:rFonts w:eastAsiaTheme="minorEastAsia"/>
        </w:rPr>
        <w:t xml:space="preserve">  </w:t>
      </w:r>
      <w:r w:rsidR="00B62DDA">
        <w:rPr>
          <w:rFonts w:ascii="Times New Roman" w:hAnsi="Times New Roman" w:cs="Times New Roman"/>
        </w:rPr>
        <w:t>A</w:t>
      </w:r>
      <w:r w:rsidR="009C401F">
        <w:rPr>
          <w:rFonts w:ascii="Times New Roman" w:hAnsi="Times New Roman" w:cs="Times New Roman"/>
        </w:rPr>
        <w:t xml:space="preserve"> complex</w:t>
      </w:r>
      <w:r w:rsidR="00B62DDA" w:rsidRPr="00433FDA">
        <w:rPr>
          <w:rFonts w:ascii="Times New Roman" w:hAnsi="Times New Roman" w:cs="Times New Roman"/>
        </w:rPr>
        <w:t xml:space="preserve"> MCNP</w:t>
      </w:r>
      <w:r w:rsidR="00B62DDA">
        <w:rPr>
          <w:rFonts w:ascii="Times New Roman" w:hAnsi="Times New Roman" w:cs="Times New Roman"/>
        </w:rPr>
        <w:t>5</w:t>
      </w:r>
      <w:r w:rsidR="00B62DDA" w:rsidRPr="00433FDA">
        <w:rPr>
          <w:rFonts w:ascii="Times New Roman" w:hAnsi="Times New Roman" w:cs="Times New Roman"/>
        </w:rPr>
        <w:t xml:space="preserve"> model</w:t>
      </w:r>
      <w:r w:rsidR="009C401F">
        <w:rPr>
          <w:rFonts w:ascii="Times New Roman" w:hAnsi="Times New Roman" w:cs="Times New Roman"/>
        </w:rPr>
        <w:t xml:space="preserve"> of HFIR</w:t>
      </w:r>
      <w:r w:rsidR="00B62DDA" w:rsidRPr="00433FDA">
        <w:rPr>
          <w:rFonts w:ascii="Times New Roman" w:hAnsi="Times New Roman" w:cs="Times New Roman"/>
        </w:rPr>
        <w:t xml:space="preserve"> </w:t>
      </w:r>
      <w:r w:rsidR="00B62DDA">
        <w:rPr>
          <w:rFonts w:ascii="Times New Roman" w:hAnsi="Times New Roman" w:cs="Times New Roman"/>
        </w:rPr>
        <w:t xml:space="preserve">was validated against </w:t>
      </w:r>
      <w:r w:rsidR="00B62DDA" w:rsidRPr="00433FDA">
        <w:rPr>
          <w:rFonts w:ascii="Times New Roman" w:hAnsi="Times New Roman" w:cs="Times New Roman"/>
        </w:rPr>
        <w:t xml:space="preserve">critical experiment power distribution and effective multiplication factor data.  </w:t>
      </w:r>
      <w:r w:rsidR="00B62DDA">
        <w:rPr>
          <w:rFonts w:ascii="Times New Roman" w:hAnsi="Times New Roman" w:cs="Times New Roman"/>
        </w:rPr>
        <w:t>The ALEPH and VESTA depletion tools were v</w:t>
      </w:r>
      <w:r w:rsidR="00B62DDA" w:rsidRPr="00433FDA">
        <w:rPr>
          <w:rFonts w:ascii="Times New Roman" w:hAnsi="Times New Roman" w:cs="Times New Roman"/>
        </w:rPr>
        <w:t>alidated against post-irradiation uranium isotopic mass spectrographic data for three unique full power cycles.</w:t>
      </w:r>
      <w:r w:rsidR="00B62DDA">
        <w:rPr>
          <w:rFonts w:ascii="Times New Roman" w:hAnsi="Times New Roman" w:cs="Times New Roman"/>
        </w:rPr>
        <w:t xml:space="preserve">   A </w:t>
      </w:r>
      <w:r w:rsidR="009C401F">
        <w:rPr>
          <w:rFonts w:ascii="Times New Roman" w:hAnsi="Times New Roman" w:cs="Times New Roman"/>
        </w:rPr>
        <w:t>TRITON/KENO</w:t>
      </w:r>
      <w:r w:rsidR="00B62DDA" w:rsidRPr="00B62DDA">
        <w:rPr>
          <w:rFonts w:ascii="Times New Roman" w:hAnsi="Times New Roman" w:cs="Times New Roman"/>
        </w:rPr>
        <w:t xml:space="preserve"> model </w:t>
      </w:r>
      <w:r w:rsidR="00B62DDA">
        <w:rPr>
          <w:rFonts w:ascii="Times New Roman" w:hAnsi="Times New Roman" w:cs="Times New Roman"/>
        </w:rPr>
        <w:t xml:space="preserve">was developed and used </w:t>
      </w:r>
      <w:r w:rsidR="00B62DDA" w:rsidRPr="00B62DDA">
        <w:rPr>
          <w:rFonts w:ascii="Times New Roman" w:hAnsi="Times New Roman" w:cs="Times New Roman"/>
        </w:rPr>
        <w:t>to calculate the buildup and reactivity worth of helium-3 the beryllium reflector, determine whether discharged beryllium reflector</w:t>
      </w:r>
      <w:r w:rsidR="00A425FF">
        <w:rPr>
          <w:rFonts w:ascii="Times New Roman" w:hAnsi="Times New Roman" w:cs="Times New Roman"/>
        </w:rPr>
        <w:t>s</w:t>
      </w:r>
      <w:r w:rsidR="00B62DDA" w:rsidRPr="00B62DDA">
        <w:rPr>
          <w:rFonts w:ascii="Times New Roman" w:hAnsi="Times New Roman" w:cs="Times New Roman"/>
        </w:rPr>
        <w:t xml:space="preserve"> are at transuranic waste limits for disposal purposes, determine whether the discharged beryllium reflector</w:t>
      </w:r>
      <w:r w:rsidR="00A425FF">
        <w:rPr>
          <w:rFonts w:ascii="Times New Roman" w:hAnsi="Times New Roman" w:cs="Times New Roman"/>
        </w:rPr>
        <w:t>s</w:t>
      </w:r>
      <w:r w:rsidR="00B62DDA" w:rsidRPr="00B62DDA">
        <w:rPr>
          <w:rFonts w:ascii="Times New Roman" w:hAnsi="Times New Roman" w:cs="Times New Roman"/>
        </w:rPr>
        <w:t xml:space="preserve"> can be reclassified from hazard category 1 waste to category 2 or 3 for </w:t>
      </w:r>
      <w:r w:rsidR="00B62DDA" w:rsidRPr="00B62DDA">
        <w:rPr>
          <w:rFonts w:ascii="Times New Roman" w:hAnsi="Times New Roman" w:cs="Times New Roman"/>
        </w:rPr>
        <w:lastRenderedPageBreak/>
        <w:t>transportation and storage purposes, and to calculate the curium target rod nuclide inventory following irradiation in the flux trap.</w:t>
      </w:r>
    </w:p>
    <w:p w:rsidR="00B62DDA" w:rsidRPr="004B472F" w:rsidRDefault="00B62DDA" w:rsidP="004B472F">
      <w:pPr>
        <w:rPr>
          <w:b/>
          <w:sz w:val="24"/>
          <w:szCs w:val="24"/>
        </w:rPr>
      </w:pPr>
    </w:p>
    <w:p w:rsidR="004B472F" w:rsidRDefault="004B472F" w:rsidP="004B472F">
      <w:r>
        <w:br w:type="page"/>
      </w:r>
    </w:p>
    <w:p w:rsidR="00F27DA8" w:rsidRDefault="003E0851" w:rsidP="00F27DA8">
      <w:pPr>
        <w:pStyle w:val="Title"/>
        <w:spacing w:line="276" w:lineRule="auto"/>
        <w:rPr>
          <w:rFonts w:eastAsiaTheme="minorEastAsia" w:cstheme="minorBidi"/>
          <w:b/>
          <w:bCs/>
          <w:caps w:val="0"/>
          <w:noProof/>
          <w:sz w:val="22"/>
          <w:szCs w:val="22"/>
        </w:rPr>
      </w:pPr>
      <w:r>
        <w:lastRenderedPageBreak/>
        <w:t xml:space="preserve">Table </w:t>
      </w:r>
      <w:r w:rsidRPr="003E0851">
        <w:rPr>
          <w:caps w:val="0"/>
        </w:rPr>
        <w:t>of</w:t>
      </w:r>
      <w:r>
        <w:t xml:space="preserve"> </w:t>
      </w:r>
      <w:r w:rsidRPr="00F2569B">
        <w:t>contents</w:t>
      </w:r>
      <w:r w:rsidR="007511FA" w:rsidRPr="007511FA">
        <w:fldChar w:fldCharType="begin"/>
      </w:r>
      <w:r w:rsidR="00F95AD4">
        <w:instrText xml:space="preserve"> TOC \o "1-3" \h \z \u </w:instrText>
      </w:r>
      <w:r w:rsidR="007511FA" w:rsidRPr="007511FA">
        <w:fldChar w:fldCharType="separate"/>
      </w:r>
    </w:p>
    <w:p w:rsidR="00F27DA8" w:rsidRDefault="007511FA" w:rsidP="00F27DA8">
      <w:pPr>
        <w:pStyle w:val="TOC1"/>
        <w:tabs>
          <w:tab w:val="left" w:pos="440"/>
        </w:tabs>
        <w:spacing w:line="276" w:lineRule="auto"/>
        <w:rPr>
          <w:rFonts w:eastAsiaTheme="minorEastAsia" w:cstheme="minorBidi"/>
          <w:b w:val="0"/>
          <w:bCs w:val="0"/>
          <w:caps w:val="0"/>
          <w:noProof/>
          <w:sz w:val="22"/>
          <w:szCs w:val="22"/>
        </w:rPr>
      </w:pPr>
      <w:hyperlink w:anchor="_Toc295818091" w:history="1">
        <w:r w:rsidR="00F27DA8" w:rsidRPr="001C0E08">
          <w:rPr>
            <w:rStyle w:val="Hyperlink"/>
            <w:noProof/>
          </w:rPr>
          <w:t>1</w:t>
        </w:r>
        <w:r w:rsidR="00F27DA8">
          <w:rPr>
            <w:rFonts w:eastAsiaTheme="minorEastAsia" w:cstheme="minorBidi"/>
            <w:b w:val="0"/>
            <w:bCs w:val="0"/>
            <w:caps w:val="0"/>
            <w:noProof/>
            <w:sz w:val="22"/>
            <w:szCs w:val="22"/>
          </w:rPr>
          <w:tab/>
        </w:r>
        <w:r w:rsidR="00F27DA8" w:rsidRPr="001C0E08">
          <w:rPr>
            <w:rStyle w:val="Hyperlink"/>
            <w:noProof/>
          </w:rPr>
          <w:t>Introduction</w:t>
        </w:r>
        <w:r w:rsidR="00F27DA8">
          <w:rPr>
            <w:noProof/>
            <w:webHidden/>
          </w:rPr>
          <w:tab/>
        </w:r>
        <w:r>
          <w:rPr>
            <w:noProof/>
            <w:webHidden/>
          </w:rPr>
          <w:fldChar w:fldCharType="begin"/>
        </w:r>
        <w:r w:rsidR="00F27DA8">
          <w:rPr>
            <w:noProof/>
            <w:webHidden/>
          </w:rPr>
          <w:instrText xml:space="preserve"> PAGEREF _Toc295818091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2"/>
        <w:tabs>
          <w:tab w:val="left" w:pos="1100"/>
          <w:tab w:val="right" w:leader="dot" w:pos="9350"/>
        </w:tabs>
        <w:spacing w:line="276" w:lineRule="auto"/>
        <w:rPr>
          <w:rFonts w:eastAsiaTheme="minorEastAsia" w:cstheme="minorBidi"/>
          <w:smallCaps w:val="0"/>
          <w:noProof/>
          <w:sz w:val="22"/>
          <w:szCs w:val="22"/>
        </w:rPr>
      </w:pPr>
      <w:hyperlink w:anchor="_Toc295818092" w:history="1">
        <w:r w:rsidR="00F27DA8" w:rsidRPr="001C0E08">
          <w:rPr>
            <w:rStyle w:val="Hyperlink"/>
            <w:noProof/>
          </w:rPr>
          <w:t>1.1</w:t>
        </w:r>
        <w:r w:rsidR="00F27DA8">
          <w:rPr>
            <w:rFonts w:eastAsiaTheme="minorEastAsia" w:cstheme="minorBidi"/>
            <w:smallCaps w:val="0"/>
            <w:noProof/>
            <w:sz w:val="22"/>
            <w:szCs w:val="22"/>
          </w:rPr>
          <w:tab/>
        </w:r>
        <w:r w:rsidR="00F27DA8" w:rsidRPr="001C0E08">
          <w:rPr>
            <w:rStyle w:val="Hyperlink"/>
            <w:noProof/>
          </w:rPr>
          <w:t>Organization of Dissertation</w:t>
        </w:r>
        <w:r w:rsidR="00F27DA8">
          <w:rPr>
            <w:noProof/>
            <w:webHidden/>
          </w:rPr>
          <w:tab/>
        </w:r>
        <w:r>
          <w:rPr>
            <w:noProof/>
            <w:webHidden/>
          </w:rPr>
          <w:fldChar w:fldCharType="begin"/>
        </w:r>
        <w:r w:rsidR="00F27DA8">
          <w:rPr>
            <w:noProof/>
            <w:webHidden/>
          </w:rPr>
          <w:instrText xml:space="preserve"> PAGEREF _Toc295818092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2"/>
        <w:tabs>
          <w:tab w:val="left" w:pos="1100"/>
          <w:tab w:val="right" w:leader="dot" w:pos="9350"/>
        </w:tabs>
        <w:spacing w:line="276" w:lineRule="auto"/>
        <w:rPr>
          <w:rFonts w:eastAsiaTheme="minorEastAsia" w:cstheme="minorBidi"/>
          <w:smallCaps w:val="0"/>
          <w:noProof/>
          <w:sz w:val="22"/>
          <w:szCs w:val="22"/>
        </w:rPr>
      </w:pPr>
      <w:hyperlink w:anchor="_Toc295818093" w:history="1">
        <w:r w:rsidR="00F27DA8" w:rsidRPr="001C0E08">
          <w:rPr>
            <w:rStyle w:val="Hyperlink"/>
            <w:noProof/>
          </w:rPr>
          <w:t>1.2</w:t>
        </w:r>
        <w:r w:rsidR="00F27DA8">
          <w:rPr>
            <w:rFonts w:eastAsiaTheme="minorEastAsia" w:cstheme="minorBidi"/>
            <w:smallCaps w:val="0"/>
            <w:noProof/>
            <w:sz w:val="22"/>
            <w:szCs w:val="22"/>
          </w:rPr>
          <w:tab/>
        </w:r>
        <w:r w:rsidR="00F27DA8" w:rsidRPr="001C0E08">
          <w:rPr>
            <w:rStyle w:val="Hyperlink"/>
            <w:noProof/>
          </w:rPr>
          <w:t>Motivation and Goal</w:t>
        </w:r>
        <w:r w:rsidR="00F27DA8">
          <w:rPr>
            <w:noProof/>
            <w:webHidden/>
          </w:rPr>
          <w:tab/>
        </w:r>
        <w:r>
          <w:rPr>
            <w:noProof/>
            <w:webHidden/>
          </w:rPr>
          <w:fldChar w:fldCharType="begin"/>
        </w:r>
        <w:r w:rsidR="00F27DA8">
          <w:rPr>
            <w:noProof/>
            <w:webHidden/>
          </w:rPr>
          <w:instrText xml:space="preserve"> PAGEREF _Toc295818093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2"/>
        <w:tabs>
          <w:tab w:val="left" w:pos="1100"/>
          <w:tab w:val="right" w:leader="dot" w:pos="9350"/>
        </w:tabs>
        <w:spacing w:line="276" w:lineRule="auto"/>
        <w:rPr>
          <w:rFonts w:eastAsiaTheme="minorEastAsia" w:cstheme="minorBidi"/>
          <w:smallCaps w:val="0"/>
          <w:noProof/>
          <w:sz w:val="22"/>
          <w:szCs w:val="22"/>
        </w:rPr>
      </w:pPr>
      <w:hyperlink w:anchor="_Toc295818094" w:history="1">
        <w:r w:rsidR="00F27DA8" w:rsidRPr="001C0E08">
          <w:rPr>
            <w:rStyle w:val="Hyperlink"/>
            <w:noProof/>
          </w:rPr>
          <w:t>1.3</w:t>
        </w:r>
        <w:r w:rsidR="00F27DA8">
          <w:rPr>
            <w:rFonts w:eastAsiaTheme="minorEastAsia" w:cstheme="minorBidi"/>
            <w:smallCaps w:val="0"/>
            <w:noProof/>
            <w:sz w:val="22"/>
            <w:szCs w:val="22"/>
          </w:rPr>
          <w:tab/>
        </w:r>
        <w:r w:rsidR="00F27DA8" w:rsidRPr="001C0E08">
          <w:rPr>
            <w:rStyle w:val="Hyperlink"/>
            <w:noProof/>
          </w:rPr>
          <w:t>Literature Review</w:t>
        </w:r>
        <w:r w:rsidR="00F27DA8">
          <w:rPr>
            <w:noProof/>
            <w:webHidden/>
          </w:rPr>
          <w:tab/>
        </w:r>
        <w:r>
          <w:rPr>
            <w:noProof/>
            <w:webHidden/>
          </w:rPr>
          <w:fldChar w:fldCharType="begin"/>
        </w:r>
        <w:r w:rsidR="00F27DA8">
          <w:rPr>
            <w:noProof/>
            <w:webHidden/>
          </w:rPr>
          <w:instrText xml:space="preserve"> PAGEREF _Toc295818094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3"/>
        <w:tabs>
          <w:tab w:val="left" w:pos="1540"/>
          <w:tab w:val="right" w:leader="dot" w:pos="9350"/>
        </w:tabs>
        <w:spacing w:line="276" w:lineRule="auto"/>
        <w:rPr>
          <w:rFonts w:eastAsiaTheme="minorEastAsia" w:cstheme="minorBidi"/>
          <w:i w:val="0"/>
          <w:iCs w:val="0"/>
          <w:noProof/>
          <w:sz w:val="22"/>
          <w:szCs w:val="22"/>
        </w:rPr>
      </w:pPr>
      <w:hyperlink w:anchor="_Toc295818095" w:history="1">
        <w:r w:rsidR="00F27DA8" w:rsidRPr="001C0E08">
          <w:rPr>
            <w:rStyle w:val="Hyperlink"/>
            <w:noProof/>
          </w:rPr>
          <w:t>1.3.1</w:t>
        </w:r>
        <w:r w:rsidR="00F27DA8">
          <w:rPr>
            <w:rFonts w:eastAsiaTheme="minorEastAsia" w:cstheme="minorBidi"/>
            <w:i w:val="0"/>
            <w:iCs w:val="0"/>
            <w:noProof/>
            <w:sz w:val="22"/>
            <w:szCs w:val="22"/>
          </w:rPr>
          <w:tab/>
        </w:r>
        <w:r w:rsidR="00F27DA8" w:rsidRPr="001C0E08">
          <w:rPr>
            <w:rStyle w:val="Hyperlink"/>
            <w:noProof/>
          </w:rPr>
          <w:t>HFIR Physics Calculations</w:t>
        </w:r>
        <w:r w:rsidR="00F27DA8">
          <w:rPr>
            <w:noProof/>
            <w:webHidden/>
          </w:rPr>
          <w:tab/>
        </w:r>
        <w:r>
          <w:rPr>
            <w:noProof/>
            <w:webHidden/>
          </w:rPr>
          <w:fldChar w:fldCharType="begin"/>
        </w:r>
        <w:r w:rsidR="00F27DA8">
          <w:rPr>
            <w:noProof/>
            <w:webHidden/>
          </w:rPr>
          <w:instrText xml:space="preserve"> PAGEREF _Toc295818095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3"/>
        <w:tabs>
          <w:tab w:val="left" w:pos="1540"/>
          <w:tab w:val="right" w:leader="dot" w:pos="9350"/>
        </w:tabs>
        <w:spacing w:line="276" w:lineRule="auto"/>
        <w:rPr>
          <w:rFonts w:eastAsiaTheme="minorEastAsia" w:cstheme="minorBidi"/>
          <w:i w:val="0"/>
          <w:iCs w:val="0"/>
          <w:noProof/>
          <w:sz w:val="22"/>
          <w:szCs w:val="22"/>
        </w:rPr>
      </w:pPr>
      <w:hyperlink w:anchor="_Toc295818096" w:history="1">
        <w:r w:rsidR="00F27DA8" w:rsidRPr="001C0E08">
          <w:rPr>
            <w:rStyle w:val="Hyperlink"/>
            <w:noProof/>
          </w:rPr>
          <w:t>1.3.2</w:t>
        </w:r>
        <w:r w:rsidR="00F27DA8">
          <w:rPr>
            <w:rFonts w:eastAsiaTheme="minorEastAsia" w:cstheme="minorBidi"/>
            <w:i w:val="0"/>
            <w:iCs w:val="0"/>
            <w:noProof/>
            <w:sz w:val="22"/>
            <w:szCs w:val="22"/>
          </w:rPr>
          <w:tab/>
        </w:r>
        <w:r w:rsidR="00F27DA8" w:rsidRPr="001C0E08">
          <w:rPr>
            <w:rStyle w:val="Hyperlink"/>
            <w:noProof/>
          </w:rPr>
          <w:t>Current HFIR SAR Methods</w:t>
        </w:r>
        <w:r w:rsidR="00F27DA8">
          <w:rPr>
            <w:noProof/>
            <w:webHidden/>
          </w:rPr>
          <w:tab/>
        </w:r>
        <w:r>
          <w:rPr>
            <w:noProof/>
            <w:webHidden/>
          </w:rPr>
          <w:fldChar w:fldCharType="begin"/>
        </w:r>
        <w:r w:rsidR="00F27DA8">
          <w:rPr>
            <w:noProof/>
            <w:webHidden/>
          </w:rPr>
          <w:instrText xml:space="preserve"> PAGEREF _Toc295818096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3"/>
        <w:tabs>
          <w:tab w:val="left" w:pos="1540"/>
          <w:tab w:val="right" w:leader="dot" w:pos="9350"/>
        </w:tabs>
        <w:spacing w:line="276" w:lineRule="auto"/>
        <w:rPr>
          <w:rFonts w:eastAsiaTheme="minorEastAsia" w:cstheme="minorBidi"/>
          <w:i w:val="0"/>
          <w:iCs w:val="0"/>
          <w:noProof/>
          <w:sz w:val="22"/>
          <w:szCs w:val="22"/>
        </w:rPr>
      </w:pPr>
      <w:hyperlink w:anchor="_Toc295818097" w:history="1">
        <w:r w:rsidR="00F27DA8" w:rsidRPr="001C0E08">
          <w:rPr>
            <w:rStyle w:val="Hyperlink"/>
            <w:noProof/>
          </w:rPr>
          <w:t>1.3.3</w:t>
        </w:r>
        <w:r w:rsidR="00F27DA8">
          <w:rPr>
            <w:rFonts w:eastAsiaTheme="minorEastAsia" w:cstheme="minorBidi"/>
            <w:i w:val="0"/>
            <w:iCs w:val="0"/>
            <w:noProof/>
            <w:sz w:val="22"/>
            <w:szCs w:val="22"/>
          </w:rPr>
          <w:tab/>
        </w:r>
        <w:r w:rsidR="00F27DA8" w:rsidRPr="001C0E08">
          <w:rPr>
            <w:rStyle w:val="Hyperlink"/>
            <w:noProof/>
          </w:rPr>
          <w:t>Point-Kinetics Studies at HFIR</w:t>
        </w:r>
        <w:r w:rsidR="00F27DA8">
          <w:rPr>
            <w:noProof/>
            <w:webHidden/>
          </w:rPr>
          <w:tab/>
        </w:r>
        <w:r>
          <w:rPr>
            <w:noProof/>
            <w:webHidden/>
          </w:rPr>
          <w:fldChar w:fldCharType="begin"/>
        </w:r>
        <w:r w:rsidR="00F27DA8">
          <w:rPr>
            <w:noProof/>
            <w:webHidden/>
          </w:rPr>
          <w:instrText xml:space="preserve"> PAGEREF _Toc295818097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3"/>
        <w:tabs>
          <w:tab w:val="left" w:pos="1540"/>
          <w:tab w:val="right" w:leader="dot" w:pos="9350"/>
        </w:tabs>
        <w:spacing w:line="276" w:lineRule="auto"/>
        <w:rPr>
          <w:rFonts w:eastAsiaTheme="minorEastAsia" w:cstheme="minorBidi"/>
          <w:i w:val="0"/>
          <w:iCs w:val="0"/>
          <w:noProof/>
          <w:sz w:val="22"/>
          <w:szCs w:val="22"/>
        </w:rPr>
      </w:pPr>
      <w:hyperlink w:anchor="_Toc295818098" w:history="1">
        <w:r w:rsidR="00F27DA8" w:rsidRPr="001C0E08">
          <w:rPr>
            <w:rStyle w:val="Hyperlink"/>
            <w:noProof/>
          </w:rPr>
          <w:t>1.3.4</w:t>
        </w:r>
        <w:r w:rsidR="00F27DA8">
          <w:rPr>
            <w:rFonts w:eastAsiaTheme="minorEastAsia" w:cstheme="minorBidi"/>
            <w:i w:val="0"/>
            <w:iCs w:val="0"/>
            <w:noProof/>
            <w:sz w:val="22"/>
            <w:szCs w:val="22"/>
          </w:rPr>
          <w:tab/>
        </w:r>
        <w:r w:rsidR="00F27DA8" w:rsidRPr="001C0E08">
          <w:rPr>
            <w:rStyle w:val="Hyperlink"/>
            <w:noProof/>
          </w:rPr>
          <w:t>Codes for Reactor Transient Analysis</w:t>
        </w:r>
        <w:r w:rsidR="00F27DA8">
          <w:rPr>
            <w:noProof/>
            <w:webHidden/>
          </w:rPr>
          <w:tab/>
        </w:r>
        <w:r>
          <w:rPr>
            <w:noProof/>
            <w:webHidden/>
          </w:rPr>
          <w:fldChar w:fldCharType="begin"/>
        </w:r>
        <w:r w:rsidR="00F27DA8">
          <w:rPr>
            <w:noProof/>
            <w:webHidden/>
          </w:rPr>
          <w:instrText xml:space="preserve"> PAGEREF _Toc295818098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3"/>
        <w:tabs>
          <w:tab w:val="left" w:pos="1540"/>
          <w:tab w:val="right" w:leader="dot" w:pos="9350"/>
        </w:tabs>
        <w:spacing w:line="276" w:lineRule="auto"/>
        <w:rPr>
          <w:rFonts w:eastAsiaTheme="minorEastAsia" w:cstheme="minorBidi"/>
          <w:i w:val="0"/>
          <w:iCs w:val="0"/>
          <w:noProof/>
          <w:sz w:val="22"/>
          <w:szCs w:val="22"/>
        </w:rPr>
      </w:pPr>
      <w:hyperlink w:anchor="_Toc295818099" w:history="1">
        <w:r w:rsidR="00F27DA8" w:rsidRPr="001C0E08">
          <w:rPr>
            <w:rStyle w:val="Hyperlink"/>
            <w:noProof/>
          </w:rPr>
          <w:t>1.3.5</w:t>
        </w:r>
        <w:r w:rsidR="00F27DA8">
          <w:rPr>
            <w:rFonts w:eastAsiaTheme="minorEastAsia" w:cstheme="minorBidi"/>
            <w:i w:val="0"/>
            <w:iCs w:val="0"/>
            <w:noProof/>
            <w:sz w:val="22"/>
            <w:szCs w:val="22"/>
          </w:rPr>
          <w:tab/>
        </w:r>
        <w:r w:rsidR="00F27DA8" w:rsidRPr="001C0E08">
          <w:rPr>
            <w:rStyle w:val="Hyperlink"/>
            <w:noProof/>
          </w:rPr>
          <w:t>COMSOL Neutronics Modeling</w:t>
        </w:r>
        <w:r w:rsidR="00F27DA8">
          <w:rPr>
            <w:noProof/>
            <w:webHidden/>
          </w:rPr>
          <w:tab/>
        </w:r>
        <w:r>
          <w:rPr>
            <w:noProof/>
            <w:webHidden/>
          </w:rPr>
          <w:fldChar w:fldCharType="begin"/>
        </w:r>
        <w:r w:rsidR="00F27DA8">
          <w:rPr>
            <w:noProof/>
            <w:webHidden/>
          </w:rPr>
          <w:instrText xml:space="preserve"> PAGEREF _Toc295818099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2"/>
        <w:tabs>
          <w:tab w:val="left" w:pos="1100"/>
          <w:tab w:val="right" w:leader="dot" w:pos="9350"/>
        </w:tabs>
        <w:spacing w:line="276" w:lineRule="auto"/>
        <w:rPr>
          <w:rFonts w:eastAsiaTheme="minorEastAsia" w:cstheme="minorBidi"/>
          <w:smallCaps w:val="0"/>
          <w:noProof/>
          <w:sz w:val="22"/>
          <w:szCs w:val="22"/>
        </w:rPr>
      </w:pPr>
      <w:hyperlink w:anchor="_Toc295818100" w:history="1">
        <w:r w:rsidR="00F27DA8" w:rsidRPr="001C0E08">
          <w:rPr>
            <w:rStyle w:val="Hyperlink"/>
            <w:noProof/>
          </w:rPr>
          <w:t>1.4</w:t>
        </w:r>
        <w:r w:rsidR="00F27DA8">
          <w:rPr>
            <w:rFonts w:eastAsiaTheme="minorEastAsia" w:cstheme="minorBidi"/>
            <w:smallCaps w:val="0"/>
            <w:noProof/>
            <w:sz w:val="22"/>
            <w:szCs w:val="22"/>
          </w:rPr>
          <w:tab/>
        </w:r>
        <w:r w:rsidR="00F27DA8" w:rsidRPr="001C0E08">
          <w:rPr>
            <w:rStyle w:val="Hyperlink"/>
            <w:noProof/>
          </w:rPr>
          <w:t>Brief Nuclear Background</w:t>
        </w:r>
        <w:r w:rsidR="00F27DA8">
          <w:rPr>
            <w:noProof/>
            <w:webHidden/>
          </w:rPr>
          <w:tab/>
        </w:r>
        <w:r>
          <w:rPr>
            <w:noProof/>
            <w:webHidden/>
          </w:rPr>
          <w:fldChar w:fldCharType="begin"/>
        </w:r>
        <w:r w:rsidR="00F27DA8">
          <w:rPr>
            <w:noProof/>
            <w:webHidden/>
          </w:rPr>
          <w:instrText xml:space="preserve"> PAGEREF _Toc295818100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3"/>
        <w:tabs>
          <w:tab w:val="left" w:pos="1540"/>
          <w:tab w:val="right" w:leader="dot" w:pos="9350"/>
        </w:tabs>
        <w:spacing w:line="276" w:lineRule="auto"/>
        <w:rPr>
          <w:rFonts w:eastAsiaTheme="minorEastAsia" w:cstheme="minorBidi"/>
          <w:i w:val="0"/>
          <w:iCs w:val="0"/>
          <w:noProof/>
          <w:sz w:val="22"/>
          <w:szCs w:val="22"/>
        </w:rPr>
      </w:pPr>
      <w:hyperlink w:anchor="_Toc295818101" w:history="1">
        <w:r w:rsidR="00F27DA8" w:rsidRPr="001C0E08">
          <w:rPr>
            <w:rStyle w:val="Hyperlink"/>
            <w:noProof/>
          </w:rPr>
          <w:t>1.4.1</w:t>
        </w:r>
        <w:r w:rsidR="00F27DA8">
          <w:rPr>
            <w:rFonts w:eastAsiaTheme="minorEastAsia" w:cstheme="minorBidi"/>
            <w:i w:val="0"/>
            <w:iCs w:val="0"/>
            <w:noProof/>
            <w:sz w:val="22"/>
            <w:szCs w:val="22"/>
          </w:rPr>
          <w:tab/>
        </w:r>
        <w:r w:rsidR="00F27DA8" w:rsidRPr="001C0E08">
          <w:rPr>
            <w:rStyle w:val="Hyperlink"/>
            <w:noProof/>
          </w:rPr>
          <w:t>Reactor Physics</w:t>
        </w:r>
        <w:r w:rsidR="00F27DA8">
          <w:rPr>
            <w:noProof/>
            <w:webHidden/>
          </w:rPr>
          <w:tab/>
        </w:r>
        <w:r>
          <w:rPr>
            <w:noProof/>
            <w:webHidden/>
          </w:rPr>
          <w:fldChar w:fldCharType="begin"/>
        </w:r>
        <w:r w:rsidR="00F27DA8">
          <w:rPr>
            <w:noProof/>
            <w:webHidden/>
          </w:rPr>
          <w:instrText xml:space="preserve"> PAGEREF _Toc295818101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3"/>
        <w:tabs>
          <w:tab w:val="left" w:pos="1540"/>
          <w:tab w:val="right" w:leader="dot" w:pos="9350"/>
        </w:tabs>
        <w:spacing w:line="276" w:lineRule="auto"/>
        <w:rPr>
          <w:rFonts w:eastAsiaTheme="minorEastAsia" w:cstheme="minorBidi"/>
          <w:i w:val="0"/>
          <w:iCs w:val="0"/>
          <w:noProof/>
          <w:sz w:val="22"/>
          <w:szCs w:val="22"/>
        </w:rPr>
      </w:pPr>
      <w:hyperlink w:anchor="_Toc295818102" w:history="1">
        <w:r w:rsidR="00F27DA8" w:rsidRPr="001C0E08">
          <w:rPr>
            <w:rStyle w:val="Hyperlink"/>
            <w:noProof/>
          </w:rPr>
          <w:t>1.4.2</w:t>
        </w:r>
        <w:r w:rsidR="00F27DA8">
          <w:rPr>
            <w:rFonts w:eastAsiaTheme="minorEastAsia" w:cstheme="minorBidi"/>
            <w:i w:val="0"/>
            <w:iCs w:val="0"/>
            <w:noProof/>
            <w:sz w:val="22"/>
            <w:szCs w:val="22"/>
          </w:rPr>
          <w:tab/>
        </w:r>
        <w:r w:rsidR="00F27DA8" w:rsidRPr="001C0E08">
          <w:rPr>
            <w:rStyle w:val="Hyperlink"/>
            <w:noProof/>
          </w:rPr>
          <w:t>Nuclear Reactors</w:t>
        </w:r>
        <w:r w:rsidR="00F27DA8">
          <w:rPr>
            <w:noProof/>
            <w:webHidden/>
          </w:rPr>
          <w:tab/>
        </w:r>
        <w:r>
          <w:rPr>
            <w:noProof/>
            <w:webHidden/>
          </w:rPr>
          <w:fldChar w:fldCharType="begin"/>
        </w:r>
        <w:r w:rsidR="00F27DA8">
          <w:rPr>
            <w:noProof/>
            <w:webHidden/>
          </w:rPr>
          <w:instrText xml:space="preserve"> PAGEREF _Toc295818102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1"/>
        <w:tabs>
          <w:tab w:val="left" w:pos="440"/>
        </w:tabs>
        <w:spacing w:line="276" w:lineRule="auto"/>
        <w:rPr>
          <w:rFonts w:eastAsiaTheme="minorEastAsia" w:cstheme="minorBidi"/>
          <w:b w:val="0"/>
          <w:bCs w:val="0"/>
          <w:caps w:val="0"/>
          <w:noProof/>
          <w:sz w:val="22"/>
          <w:szCs w:val="22"/>
        </w:rPr>
      </w:pPr>
      <w:hyperlink w:anchor="_Toc295818103" w:history="1">
        <w:r w:rsidR="00F27DA8" w:rsidRPr="001C0E08">
          <w:rPr>
            <w:rStyle w:val="Hyperlink"/>
            <w:noProof/>
          </w:rPr>
          <w:t>2</w:t>
        </w:r>
        <w:r w:rsidR="00F27DA8">
          <w:rPr>
            <w:rFonts w:eastAsiaTheme="minorEastAsia" w:cstheme="minorBidi"/>
            <w:b w:val="0"/>
            <w:bCs w:val="0"/>
            <w:caps w:val="0"/>
            <w:noProof/>
            <w:sz w:val="22"/>
            <w:szCs w:val="22"/>
          </w:rPr>
          <w:tab/>
        </w:r>
        <w:r w:rsidR="00F27DA8" w:rsidRPr="001C0E08">
          <w:rPr>
            <w:rStyle w:val="Hyperlink"/>
            <w:noProof/>
          </w:rPr>
          <w:t>Description of the High Flux Isotope Reactor</w:t>
        </w:r>
        <w:r w:rsidR="00F27DA8">
          <w:rPr>
            <w:noProof/>
            <w:webHidden/>
          </w:rPr>
          <w:tab/>
        </w:r>
        <w:r>
          <w:rPr>
            <w:noProof/>
            <w:webHidden/>
          </w:rPr>
          <w:fldChar w:fldCharType="begin"/>
        </w:r>
        <w:r w:rsidR="00F27DA8">
          <w:rPr>
            <w:noProof/>
            <w:webHidden/>
          </w:rPr>
          <w:instrText xml:space="preserve"> PAGEREF _Toc295818103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1"/>
        <w:tabs>
          <w:tab w:val="left" w:pos="440"/>
        </w:tabs>
        <w:spacing w:line="276" w:lineRule="auto"/>
        <w:rPr>
          <w:rFonts w:eastAsiaTheme="minorEastAsia" w:cstheme="minorBidi"/>
          <w:b w:val="0"/>
          <w:bCs w:val="0"/>
          <w:caps w:val="0"/>
          <w:noProof/>
          <w:sz w:val="22"/>
          <w:szCs w:val="22"/>
        </w:rPr>
      </w:pPr>
      <w:hyperlink w:anchor="_Toc295818104" w:history="1">
        <w:r w:rsidR="00F27DA8" w:rsidRPr="001C0E08">
          <w:rPr>
            <w:rStyle w:val="Hyperlink"/>
            <w:noProof/>
          </w:rPr>
          <w:t>3</w:t>
        </w:r>
        <w:r w:rsidR="00F27DA8">
          <w:rPr>
            <w:rFonts w:eastAsiaTheme="minorEastAsia" w:cstheme="minorBidi"/>
            <w:b w:val="0"/>
            <w:bCs w:val="0"/>
            <w:caps w:val="0"/>
            <w:noProof/>
            <w:sz w:val="22"/>
            <w:szCs w:val="22"/>
          </w:rPr>
          <w:tab/>
        </w:r>
        <w:r w:rsidR="00F27DA8" w:rsidRPr="001C0E08">
          <w:rPr>
            <w:rStyle w:val="Hyperlink"/>
            <w:noProof/>
          </w:rPr>
          <w:t>Description of Computer Codes</w:t>
        </w:r>
        <w:r w:rsidR="00F27DA8">
          <w:rPr>
            <w:noProof/>
            <w:webHidden/>
          </w:rPr>
          <w:tab/>
        </w:r>
        <w:r>
          <w:rPr>
            <w:noProof/>
            <w:webHidden/>
          </w:rPr>
          <w:fldChar w:fldCharType="begin"/>
        </w:r>
        <w:r w:rsidR="00F27DA8">
          <w:rPr>
            <w:noProof/>
            <w:webHidden/>
          </w:rPr>
          <w:instrText xml:space="preserve"> PAGEREF _Toc295818104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2"/>
        <w:tabs>
          <w:tab w:val="left" w:pos="1100"/>
          <w:tab w:val="right" w:leader="dot" w:pos="9350"/>
        </w:tabs>
        <w:spacing w:line="276" w:lineRule="auto"/>
        <w:rPr>
          <w:rFonts w:eastAsiaTheme="minorEastAsia" w:cstheme="minorBidi"/>
          <w:smallCaps w:val="0"/>
          <w:noProof/>
          <w:sz w:val="22"/>
          <w:szCs w:val="22"/>
        </w:rPr>
      </w:pPr>
      <w:hyperlink w:anchor="_Toc295818105" w:history="1">
        <w:r w:rsidR="00F27DA8" w:rsidRPr="001C0E08">
          <w:rPr>
            <w:rStyle w:val="Hyperlink"/>
            <w:noProof/>
          </w:rPr>
          <w:t>3.1</w:t>
        </w:r>
        <w:r w:rsidR="00F27DA8">
          <w:rPr>
            <w:rFonts w:eastAsiaTheme="minorEastAsia" w:cstheme="minorBidi"/>
            <w:smallCaps w:val="0"/>
            <w:noProof/>
            <w:sz w:val="22"/>
            <w:szCs w:val="22"/>
          </w:rPr>
          <w:tab/>
        </w:r>
        <w:r w:rsidR="00F27DA8" w:rsidRPr="001C0E08">
          <w:rPr>
            <w:rStyle w:val="Hyperlink"/>
            <w:noProof/>
          </w:rPr>
          <w:t>MCNP5</w:t>
        </w:r>
        <w:r w:rsidR="00F27DA8">
          <w:rPr>
            <w:noProof/>
            <w:webHidden/>
          </w:rPr>
          <w:tab/>
        </w:r>
        <w:r>
          <w:rPr>
            <w:noProof/>
            <w:webHidden/>
          </w:rPr>
          <w:fldChar w:fldCharType="begin"/>
        </w:r>
        <w:r w:rsidR="00F27DA8">
          <w:rPr>
            <w:noProof/>
            <w:webHidden/>
          </w:rPr>
          <w:instrText xml:space="preserve"> PAGEREF _Toc295818105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2"/>
        <w:tabs>
          <w:tab w:val="left" w:pos="1100"/>
          <w:tab w:val="right" w:leader="dot" w:pos="9350"/>
        </w:tabs>
        <w:spacing w:line="276" w:lineRule="auto"/>
        <w:rPr>
          <w:rFonts w:eastAsiaTheme="minorEastAsia" w:cstheme="minorBidi"/>
          <w:smallCaps w:val="0"/>
          <w:noProof/>
          <w:sz w:val="22"/>
          <w:szCs w:val="22"/>
        </w:rPr>
      </w:pPr>
      <w:hyperlink w:anchor="_Toc295818106" w:history="1">
        <w:r w:rsidR="00F27DA8" w:rsidRPr="001C0E08">
          <w:rPr>
            <w:rStyle w:val="Hyperlink"/>
            <w:noProof/>
          </w:rPr>
          <w:t>3.2</w:t>
        </w:r>
        <w:r w:rsidR="00F27DA8">
          <w:rPr>
            <w:rFonts w:eastAsiaTheme="minorEastAsia" w:cstheme="minorBidi"/>
            <w:smallCaps w:val="0"/>
            <w:noProof/>
            <w:sz w:val="22"/>
            <w:szCs w:val="22"/>
          </w:rPr>
          <w:tab/>
        </w:r>
        <w:r w:rsidR="00F27DA8" w:rsidRPr="001C0E08">
          <w:rPr>
            <w:rStyle w:val="Hyperlink"/>
            <w:noProof/>
          </w:rPr>
          <w:t>ORIGEN</w:t>
        </w:r>
        <w:r w:rsidR="00F27DA8">
          <w:rPr>
            <w:noProof/>
            <w:webHidden/>
          </w:rPr>
          <w:tab/>
        </w:r>
        <w:r>
          <w:rPr>
            <w:noProof/>
            <w:webHidden/>
          </w:rPr>
          <w:fldChar w:fldCharType="begin"/>
        </w:r>
        <w:r w:rsidR="00F27DA8">
          <w:rPr>
            <w:noProof/>
            <w:webHidden/>
          </w:rPr>
          <w:instrText xml:space="preserve"> PAGEREF _Toc295818106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2"/>
        <w:tabs>
          <w:tab w:val="left" w:pos="1100"/>
          <w:tab w:val="right" w:leader="dot" w:pos="9350"/>
        </w:tabs>
        <w:spacing w:line="276" w:lineRule="auto"/>
        <w:rPr>
          <w:rFonts w:eastAsiaTheme="minorEastAsia" w:cstheme="minorBidi"/>
          <w:smallCaps w:val="0"/>
          <w:noProof/>
          <w:sz w:val="22"/>
          <w:szCs w:val="22"/>
        </w:rPr>
      </w:pPr>
      <w:hyperlink w:anchor="_Toc295818107" w:history="1">
        <w:r w:rsidR="00F27DA8" w:rsidRPr="001C0E08">
          <w:rPr>
            <w:rStyle w:val="Hyperlink"/>
            <w:noProof/>
          </w:rPr>
          <w:t>3.3</w:t>
        </w:r>
        <w:r w:rsidR="00F27DA8">
          <w:rPr>
            <w:rFonts w:eastAsiaTheme="minorEastAsia" w:cstheme="minorBidi"/>
            <w:smallCaps w:val="0"/>
            <w:noProof/>
            <w:sz w:val="22"/>
            <w:szCs w:val="22"/>
          </w:rPr>
          <w:tab/>
        </w:r>
        <w:r w:rsidR="00F27DA8" w:rsidRPr="001C0E08">
          <w:rPr>
            <w:rStyle w:val="Hyperlink"/>
            <w:noProof/>
          </w:rPr>
          <w:t>ALEPH</w:t>
        </w:r>
        <w:r w:rsidR="00F27DA8">
          <w:rPr>
            <w:noProof/>
            <w:webHidden/>
          </w:rPr>
          <w:tab/>
        </w:r>
        <w:r>
          <w:rPr>
            <w:noProof/>
            <w:webHidden/>
          </w:rPr>
          <w:fldChar w:fldCharType="begin"/>
        </w:r>
        <w:r w:rsidR="00F27DA8">
          <w:rPr>
            <w:noProof/>
            <w:webHidden/>
          </w:rPr>
          <w:instrText xml:space="preserve"> PAGEREF _Toc295818107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2"/>
        <w:tabs>
          <w:tab w:val="left" w:pos="1100"/>
          <w:tab w:val="right" w:leader="dot" w:pos="9350"/>
        </w:tabs>
        <w:spacing w:line="276" w:lineRule="auto"/>
        <w:rPr>
          <w:rFonts w:eastAsiaTheme="minorEastAsia" w:cstheme="minorBidi"/>
          <w:smallCaps w:val="0"/>
          <w:noProof/>
          <w:sz w:val="22"/>
          <w:szCs w:val="22"/>
        </w:rPr>
      </w:pPr>
      <w:hyperlink w:anchor="_Toc295818108" w:history="1">
        <w:r w:rsidR="00F27DA8" w:rsidRPr="001C0E08">
          <w:rPr>
            <w:rStyle w:val="Hyperlink"/>
            <w:noProof/>
          </w:rPr>
          <w:t>3.4</w:t>
        </w:r>
        <w:r w:rsidR="00F27DA8">
          <w:rPr>
            <w:rFonts w:eastAsiaTheme="minorEastAsia" w:cstheme="minorBidi"/>
            <w:smallCaps w:val="0"/>
            <w:noProof/>
            <w:sz w:val="22"/>
            <w:szCs w:val="22"/>
          </w:rPr>
          <w:tab/>
        </w:r>
        <w:r w:rsidR="00F27DA8" w:rsidRPr="001C0E08">
          <w:rPr>
            <w:rStyle w:val="Hyperlink"/>
            <w:noProof/>
          </w:rPr>
          <w:t>VESTA</w:t>
        </w:r>
        <w:r w:rsidR="00F27DA8">
          <w:rPr>
            <w:noProof/>
            <w:webHidden/>
          </w:rPr>
          <w:tab/>
        </w:r>
        <w:r>
          <w:rPr>
            <w:noProof/>
            <w:webHidden/>
          </w:rPr>
          <w:fldChar w:fldCharType="begin"/>
        </w:r>
        <w:r w:rsidR="00F27DA8">
          <w:rPr>
            <w:noProof/>
            <w:webHidden/>
          </w:rPr>
          <w:instrText xml:space="preserve"> PAGEREF _Toc295818108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2"/>
        <w:tabs>
          <w:tab w:val="left" w:pos="1100"/>
          <w:tab w:val="right" w:leader="dot" w:pos="9350"/>
        </w:tabs>
        <w:spacing w:line="276" w:lineRule="auto"/>
        <w:rPr>
          <w:rFonts w:eastAsiaTheme="minorEastAsia" w:cstheme="minorBidi"/>
          <w:smallCaps w:val="0"/>
          <w:noProof/>
          <w:sz w:val="22"/>
          <w:szCs w:val="22"/>
        </w:rPr>
      </w:pPr>
      <w:hyperlink w:anchor="_Toc295818109" w:history="1">
        <w:r w:rsidR="00F27DA8" w:rsidRPr="001C0E08">
          <w:rPr>
            <w:rStyle w:val="Hyperlink"/>
            <w:noProof/>
          </w:rPr>
          <w:t>3.5</w:t>
        </w:r>
        <w:r w:rsidR="00F27DA8">
          <w:rPr>
            <w:rFonts w:eastAsiaTheme="minorEastAsia" w:cstheme="minorBidi"/>
            <w:smallCaps w:val="0"/>
            <w:noProof/>
            <w:sz w:val="22"/>
            <w:szCs w:val="22"/>
          </w:rPr>
          <w:tab/>
        </w:r>
        <w:r w:rsidR="00F27DA8" w:rsidRPr="001C0E08">
          <w:rPr>
            <w:rStyle w:val="Hyperlink"/>
            <w:noProof/>
          </w:rPr>
          <w:t>SCALE</w:t>
        </w:r>
        <w:r w:rsidR="00F27DA8">
          <w:rPr>
            <w:noProof/>
            <w:webHidden/>
          </w:rPr>
          <w:tab/>
        </w:r>
        <w:r>
          <w:rPr>
            <w:noProof/>
            <w:webHidden/>
          </w:rPr>
          <w:fldChar w:fldCharType="begin"/>
        </w:r>
        <w:r w:rsidR="00F27DA8">
          <w:rPr>
            <w:noProof/>
            <w:webHidden/>
          </w:rPr>
          <w:instrText xml:space="preserve"> PAGEREF _Toc295818109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3"/>
        <w:tabs>
          <w:tab w:val="left" w:pos="1540"/>
          <w:tab w:val="right" w:leader="dot" w:pos="9350"/>
        </w:tabs>
        <w:spacing w:line="276" w:lineRule="auto"/>
        <w:rPr>
          <w:rFonts w:eastAsiaTheme="minorEastAsia" w:cstheme="minorBidi"/>
          <w:i w:val="0"/>
          <w:iCs w:val="0"/>
          <w:noProof/>
          <w:sz w:val="22"/>
          <w:szCs w:val="22"/>
        </w:rPr>
      </w:pPr>
      <w:hyperlink w:anchor="_Toc295818110" w:history="1">
        <w:r w:rsidR="00F27DA8" w:rsidRPr="001C0E08">
          <w:rPr>
            <w:rStyle w:val="Hyperlink"/>
            <w:noProof/>
          </w:rPr>
          <w:t>3.5.1</w:t>
        </w:r>
        <w:r w:rsidR="00F27DA8">
          <w:rPr>
            <w:rFonts w:eastAsiaTheme="minorEastAsia" w:cstheme="minorBidi"/>
            <w:i w:val="0"/>
            <w:iCs w:val="0"/>
            <w:noProof/>
            <w:sz w:val="22"/>
            <w:szCs w:val="22"/>
          </w:rPr>
          <w:tab/>
        </w:r>
        <w:r w:rsidR="00F27DA8" w:rsidRPr="001C0E08">
          <w:rPr>
            <w:rStyle w:val="Hyperlink"/>
            <w:noProof/>
          </w:rPr>
          <w:t>CSAS</w:t>
        </w:r>
        <w:r w:rsidR="00F27DA8">
          <w:rPr>
            <w:noProof/>
            <w:webHidden/>
          </w:rPr>
          <w:tab/>
        </w:r>
        <w:r>
          <w:rPr>
            <w:noProof/>
            <w:webHidden/>
          </w:rPr>
          <w:fldChar w:fldCharType="begin"/>
        </w:r>
        <w:r w:rsidR="00F27DA8">
          <w:rPr>
            <w:noProof/>
            <w:webHidden/>
          </w:rPr>
          <w:instrText xml:space="preserve"> PAGEREF _Toc295818110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3"/>
        <w:tabs>
          <w:tab w:val="left" w:pos="1540"/>
          <w:tab w:val="right" w:leader="dot" w:pos="9350"/>
        </w:tabs>
        <w:spacing w:line="276" w:lineRule="auto"/>
        <w:rPr>
          <w:rFonts w:eastAsiaTheme="minorEastAsia" w:cstheme="minorBidi"/>
          <w:i w:val="0"/>
          <w:iCs w:val="0"/>
          <w:noProof/>
          <w:sz w:val="22"/>
          <w:szCs w:val="22"/>
        </w:rPr>
      </w:pPr>
      <w:hyperlink w:anchor="_Toc295818111" w:history="1">
        <w:r w:rsidR="00F27DA8" w:rsidRPr="001C0E08">
          <w:rPr>
            <w:rStyle w:val="Hyperlink"/>
            <w:noProof/>
          </w:rPr>
          <w:t>3.5.2</w:t>
        </w:r>
        <w:r w:rsidR="00F27DA8">
          <w:rPr>
            <w:rFonts w:eastAsiaTheme="minorEastAsia" w:cstheme="minorBidi"/>
            <w:i w:val="0"/>
            <w:iCs w:val="0"/>
            <w:noProof/>
            <w:sz w:val="22"/>
            <w:szCs w:val="22"/>
          </w:rPr>
          <w:tab/>
        </w:r>
        <w:r w:rsidR="00F27DA8" w:rsidRPr="001C0E08">
          <w:rPr>
            <w:rStyle w:val="Hyperlink"/>
            <w:noProof/>
          </w:rPr>
          <w:t>KENO</w:t>
        </w:r>
        <w:r w:rsidR="00F27DA8">
          <w:rPr>
            <w:noProof/>
            <w:webHidden/>
          </w:rPr>
          <w:tab/>
        </w:r>
        <w:r>
          <w:rPr>
            <w:noProof/>
            <w:webHidden/>
          </w:rPr>
          <w:fldChar w:fldCharType="begin"/>
        </w:r>
        <w:r w:rsidR="00F27DA8">
          <w:rPr>
            <w:noProof/>
            <w:webHidden/>
          </w:rPr>
          <w:instrText xml:space="preserve"> PAGEREF _Toc295818111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3"/>
        <w:tabs>
          <w:tab w:val="left" w:pos="1540"/>
          <w:tab w:val="right" w:leader="dot" w:pos="9350"/>
        </w:tabs>
        <w:spacing w:line="276" w:lineRule="auto"/>
        <w:rPr>
          <w:rFonts w:eastAsiaTheme="minorEastAsia" w:cstheme="minorBidi"/>
          <w:i w:val="0"/>
          <w:iCs w:val="0"/>
          <w:noProof/>
          <w:sz w:val="22"/>
          <w:szCs w:val="22"/>
        </w:rPr>
      </w:pPr>
      <w:hyperlink w:anchor="_Toc295818112" w:history="1">
        <w:r w:rsidR="00F27DA8" w:rsidRPr="001C0E08">
          <w:rPr>
            <w:rStyle w:val="Hyperlink"/>
            <w:noProof/>
          </w:rPr>
          <w:t>3.5.3</w:t>
        </w:r>
        <w:r w:rsidR="00F27DA8">
          <w:rPr>
            <w:rFonts w:eastAsiaTheme="minorEastAsia" w:cstheme="minorBidi"/>
            <w:i w:val="0"/>
            <w:iCs w:val="0"/>
            <w:noProof/>
            <w:sz w:val="22"/>
            <w:szCs w:val="22"/>
          </w:rPr>
          <w:tab/>
        </w:r>
        <w:r w:rsidR="00F27DA8" w:rsidRPr="001C0E08">
          <w:rPr>
            <w:rStyle w:val="Hyperlink"/>
            <w:noProof/>
          </w:rPr>
          <w:t>ORIGEN-S</w:t>
        </w:r>
        <w:r w:rsidR="00F27DA8">
          <w:rPr>
            <w:noProof/>
            <w:webHidden/>
          </w:rPr>
          <w:tab/>
        </w:r>
        <w:r>
          <w:rPr>
            <w:noProof/>
            <w:webHidden/>
          </w:rPr>
          <w:fldChar w:fldCharType="begin"/>
        </w:r>
        <w:r w:rsidR="00F27DA8">
          <w:rPr>
            <w:noProof/>
            <w:webHidden/>
          </w:rPr>
          <w:instrText xml:space="preserve"> PAGEREF _Toc295818112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3"/>
        <w:tabs>
          <w:tab w:val="left" w:pos="1540"/>
          <w:tab w:val="right" w:leader="dot" w:pos="9350"/>
        </w:tabs>
        <w:spacing w:line="276" w:lineRule="auto"/>
        <w:rPr>
          <w:rFonts w:eastAsiaTheme="minorEastAsia" w:cstheme="minorBidi"/>
          <w:i w:val="0"/>
          <w:iCs w:val="0"/>
          <w:noProof/>
          <w:sz w:val="22"/>
          <w:szCs w:val="22"/>
        </w:rPr>
      </w:pPr>
      <w:hyperlink w:anchor="_Toc295818113" w:history="1">
        <w:r w:rsidR="00F27DA8" w:rsidRPr="001C0E08">
          <w:rPr>
            <w:rStyle w:val="Hyperlink"/>
            <w:noProof/>
          </w:rPr>
          <w:t>3.5.4</w:t>
        </w:r>
        <w:r w:rsidR="00F27DA8">
          <w:rPr>
            <w:rFonts w:eastAsiaTheme="minorEastAsia" w:cstheme="minorBidi"/>
            <w:i w:val="0"/>
            <w:iCs w:val="0"/>
            <w:noProof/>
            <w:sz w:val="22"/>
            <w:szCs w:val="22"/>
          </w:rPr>
          <w:tab/>
        </w:r>
        <w:r w:rsidR="00F27DA8" w:rsidRPr="001C0E08">
          <w:rPr>
            <w:rStyle w:val="Hyperlink"/>
            <w:noProof/>
          </w:rPr>
          <w:t>TRITON</w:t>
        </w:r>
        <w:r w:rsidR="00F27DA8">
          <w:rPr>
            <w:noProof/>
            <w:webHidden/>
          </w:rPr>
          <w:tab/>
        </w:r>
        <w:r>
          <w:rPr>
            <w:noProof/>
            <w:webHidden/>
          </w:rPr>
          <w:fldChar w:fldCharType="begin"/>
        </w:r>
        <w:r w:rsidR="00F27DA8">
          <w:rPr>
            <w:noProof/>
            <w:webHidden/>
          </w:rPr>
          <w:instrText xml:space="preserve"> PAGEREF _Toc295818113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3"/>
        <w:tabs>
          <w:tab w:val="left" w:pos="1540"/>
          <w:tab w:val="right" w:leader="dot" w:pos="9350"/>
        </w:tabs>
        <w:spacing w:line="276" w:lineRule="auto"/>
        <w:rPr>
          <w:rFonts w:eastAsiaTheme="minorEastAsia" w:cstheme="minorBidi"/>
          <w:i w:val="0"/>
          <w:iCs w:val="0"/>
          <w:noProof/>
          <w:sz w:val="22"/>
          <w:szCs w:val="22"/>
        </w:rPr>
      </w:pPr>
      <w:hyperlink w:anchor="_Toc295818114" w:history="1">
        <w:r w:rsidR="00F27DA8" w:rsidRPr="001C0E08">
          <w:rPr>
            <w:rStyle w:val="Hyperlink"/>
            <w:noProof/>
          </w:rPr>
          <w:t>3.5.5</w:t>
        </w:r>
        <w:r w:rsidR="00F27DA8">
          <w:rPr>
            <w:rFonts w:eastAsiaTheme="minorEastAsia" w:cstheme="minorBidi"/>
            <w:i w:val="0"/>
            <w:iCs w:val="0"/>
            <w:noProof/>
            <w:sz w:val="22"/>
            <w:szCs w:val="22"/>
          </w:rPr>
          <w:tab/>
        </w:r>
        <w:r w:rsidR="00F27DA8" w:rsidRPr="001C0E08">
          <w:rPr>
            <w:rStyle w:val="Hyperlink"/>
            <w:noProof/>
          </w:rPr>
          <w:t>NEWT</w:t>
        </w:r>
        <w:r w:rsidR="00F27DA8">
          <w:rPr>
            <w:noProof/>
            <w:webHidden/>
          </w:rPr>
          <w:tab/>
        </w:r>
        <w:r>
          <w:rPr>
            <w:noProof/>
            <w:webHidden/>
          </w:rPr>
          <w:fldChar w:fldCharType="begin"/>
        </w:r>
        <w:r w:rsidR="00F27DA8">
          <w:rPr>
            <w:noProof/>
            <w:webHidden/>
          </w:rPr>
          <w:instrText xml:space="preserve"> PAGEREF _Toc295818114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2"/>
        <w:tabs>
          <w:tab w:val="left" w:pos="1100"/>
          <w:tab w:val="right" w:leader="dot" w:pos="9350"/>
        </w:tabs>
        <w:spacing w:line="276" w:lineRule="auto"/>
        <w:rPr>
          <w:rFonts w:eastAsiaTheme="minorEastAsia" w:cstheme="minorBidi"/>
          <w:smallCaps w:val="0"/>
          <w:noProof/>
          <w:sz w:val="22"/>
          <w:szCs w:val="22"/>
        </w:rPr>
      </w:pPr>
      <w:hyperlink w:anchor="_Toc295818115" w:history="1">
        <w:r w:rsidR="00F27DA8" w:rsidRPr="001C0E08">
          <w:rPr>
            <w:rStyle w:val="Hyperlink"/>
            <w:noProof/>
          </w:rPr>
          <w:t>3.6</w:t>
        </w:r>
        <w:r w:rsidR="00F27DA8">
          <w:rPr>
            <w:rFonts w:eastAsiaTheme="minorEastAsia" w:cstheme="minorBidi"/>
            <w:smallCaps w:val="0"/>
            <w:noProof/>
            <w:sz w:val="22"/>
            <w:szCs w:val="22"/>
          </w:rPr>
          <w:tab/>
        </w:r>
        <w:r w:rsidR="00F27DA8" w:rsidRPr="001C0E08">
          <w:rPr>
            <w:rStyle w:val="Hyperlink"/>
            <w:noProof/>
          </w:rPr>
          <w:t>PARET</w:t>
        </w:r>
        <w:r w:rsidR="00F27DA8">
          <w:rPr>
            <w:noProof/>
            <w:webHidden/>
          </w:rPr>
          <w:tab/>
        </w:r>
        <w:r>
          <w:rPr>
            <w:noProof/>
            <w:webHidden/>
          </w:rPr>
          <w:fldChar w:fldCharType="begin"/>
        </w:r>
        <w:r w:rsidR="00F27DA8">
          <w:rPr>
            <w:noProof/>
            <w:webHidden/>
          </w:rPr>
          <w:instrText xml:space="preserve"> PAGEREF _Toc295818115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2"/>
        <w:tabs>
          <w:tab w:val="left" w:pos="1100"/>
          <w:tab w:val="right" w:leader="dot" w:pos="9350"/>
        </w:tabs>
        <w:spacing w:line="276" w:lineRule="auto"/>
        <w:rPr>
          <w:rFonts w:eastAsiaTheme="minorEastAsia" w:cstheme="minorBidi"/>
          <w:smallCaps w:val="0"/>
          <w:noProof/>
          <w:sz w:val="22"/>
          <w:szCs w:val="22"/>
        </w:rPr>
      </w:pPr>
      <w:hyperlink w:anchor="_Toc295818116" w:history="1">
        <w:r w:rsidR="00F27DA8" w:rsidRPr="001C0E08">
          <w:rPr>
            <w:rStyle w:val="Hyperlink"/>
            <w:noProof/>
          </w:rPr>
          <w:t>3.7</w:t>
        </w:r>
        <w:r w:rsidR="00F27DA8">
          <w:rPr>
            <w:rFonts w:eastAsiaTheme="minorEastAsia" w:cstheme="minorBidi"/>
            <w:smallCaps w:val="0"/>
            <w:noProof/>
            <w:sz w:val="22"/>
            <w:szCs w:val="22"/>
          </w:rPr>
          <w:tab/>
        </w:r>
        <w:r w:rsidR="00F27DA8" w:rsidRPr="001C0E08">
          <w:rPr>
            <w:rStyle w:val="Hyperlink"/>
            <w:noProof/>
          </w:rPr>
          <w:t>COMSOL</w:t>
        </w:r>
        <w:r w:rsidR="00F27DA8">
          <w:rPr>
            <w:noProof/>
            <w:webHidden/>
          </w:rPr>
          <w:tab/>
        </w:r>
        <w:r>
          <w:rPr>
            <w:noProof/>
            <w:webHidden/>
          </w:rPr>
          <w:fldChar w:fldCharType="begin"/>
        </w:r>
        <w:r w:rsidR="00F27DA8">
          <w:rPr>
            <w:noProof/>
            <w:webHidden/>
          </w:rPr>
          <w:instrText xml:space="preserve"> PAGEREF _Toc295818116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1"/>
        <w:tabs>
          <w:tab w:val="left" w:pos="440"/>
        </w:tabs>
        <w:spacing w:line="276" w:lineRule="auto"/>
        <w:rPr>
          <w:rFonts w:eastAsiaTheme="minorEastAsia" w:cstheme="minorBidi"/>
          <w:b w:val="0"/>
          <w:bCs w:val="0"/>
          <w:caps w:val="0"/>
          <w:noProof/>
          <w:sz w:val="22"/>
          <w:szCs w:val="22"/>
        </w:rPr>
      </w:pPr>
      <w:hyperlink w:anchor="_Toc295818117" w:history="1">
        <w:r w:rsidR="00F27DA8" w:rsidRPr="001C0E08">
          <w:rPr>
            <w:rStyle w:val="Hyperlink"/>
            <w:noProof/>
          </w:rPr>
          <w:t>4</w:t>
        </w:r>
        <w:r w:rsidR="00F27DA8">
          <w:rPr>
            <w:rFonts w:eastAsiaTheme="minorEastAsia" w:cstheme="minorBidi"/>
            <w:b w:val="0"/>
            <w:bCs w:val="0"/>
            <w:caps w:val="0"/>
            <w:noProof/>
            <w:sz w:val="22"/>
            <w:szCs w:val="22"/>
          </w:rPr>
          <w:tab/>
        </w:r>
        <w:r w:rsidR="00F27DA8" w:rsidRPr="001C0E08">
          <w:rPr>
            <w:rStyle w:val="Hyperlink"/>
            <w:noProof/>
          </w:rPr>
          <w:t>Power Distributions and Critical Experiments</w:t>
        </w:r>
        <w:r w:rsidR="00F27DA8">
          <w:rPr>
            <w:noProof/>
            <w:webHidden/>
          </w:rPr>
          <w:tab/>
        </w:r>
        <w:r>
          <w:rPr>
            <w:noProof/>
            <w:webHidden/>
          </w:rPr>
          <w:fldChar w:fldCharType="begin"/>
        </w:r>
        <w:r w:rsidR="00F27DA8">
          <w:rPr>
            <w:noProof/>
            <w:webHidden/>
          </w:rPr>
          <w:instrText xml:space="preserve"> PAGEREF _Toc295818117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2"/>
        <w:tabs>
          <w:tab w:val="left" w:pos="1100"/>
          <w:tab w:val="right" w:leader="dot" w:pos="9350"/>
        </w:tabs>
        <w:spacing w:line="276" w:lineRule="auto"/>
        <w:rPr>
          <w:rFonts w:eastAsiaTheme="minorEastAsia" w:cstheme="minorBidi"/>
          <w:smallCaps w:val="0"/>
          <w:noProof/>
          <w:sz w:val="22"/>
          <w:szCs w:val="22"/>
        </w:rPr>
      </w:pPr>
      <w:hyperlink w:anchor="_Toc295818118" w:history="1">
        <w:r w:rsidR="00F27DA8" w:rsidRPr="001C0E08">
          <w:rPr>
            <w:rStyle w:val="Hyperlink"/>
            <w:noProof/>
          </w:rPr>
          <w:t>4.1</w:t>
        </w:r>
        <w:r w:rsidR="00F27DA8">
          <w:rPr>
            <w:rFonts w:eastAsiaTheme="minorEastAsia" w:cstheme="minorBidi"/>
            <w:smallCaps w:val="0"/>
            <w:noProof/>
            <w:sz w:val="22"/>
            <w:szCs w:val="22"/>
          </w:rPr>
          <w:tab/>
        </w:r>
        <w:r w:rsidR="00F27DA8" w:rsidRPr="001C0E08">
          <w:rPr>
            <w:rStyle w:val="Hyperlink"/>
            <w:noProof/>
          </w:rPr>
          <w:t>Background of Critical Experiments</w:t>
        </w:r>
        <w:r w:rsidR="00F27DA8">
          <w:rPr>
            <w:noProof/>
            <w:webHidden/>
          </w:rPr>
          <w:tab/>
        </w:r>
        <w:r>
          <w:rPr>
            <w:noProof/>
            <w:webHidden/>
          </w:rPr>
          <w:fldChar w:fldCharType="begin"/>
        </w:r>
        <w:r w:rsidR="00F27DA8">
          <w:rPr>
            <w:noProof/>
            <w:webHidden/>
          </w:rPr>
          <w:instrText xml:space="preserve"> PAGEREF _Toc295818118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2"/>
        <w:tabs>
          <w:tab w:val="left" w:pos="1100"/>
          <w:tab w:val="right" w:leader="dot" w:pos="9350"/>
        </w:tabs>
        <w:spacing w:line="276" w:lineRule="auto"/>
        <w:rPr>
          <w:rFonts w:eastAsiaTheme="minorEastAsia" w:cstheme="minorBidi"/>
          <w:smallCaps w:val="0"/>
          <w:noProof/>
          <w:sz w:val="22"/>
          <w:szCs w:val="22"/>
        </w:rPr>
      </w:pPr>
      <w:hyperlink w:anchor="_Toc295818119" w:history="1">
        <w:r w:rsidR="00F27DA8" w:rsidRPr="001C0E08">
          <w:rPr>
            <w:rStyle w:val="Hyperlink"/>
            <w:noProof/>
          </w:rPr>
          <w:t>4.2</w:t>
        </w:r>
        <w:r w:rsidR="00F27DA8">
          <w:rPr>
            <w:rFonts w:eastAsiaTheme="minorEastAsia" w:cstheme="minorBidi"/>
            <w:smallCaps w:val="0"/>
            <w:noProof/>
            <w:sz w:val="22"/>
            <w:szCs w:val="22"/>
          </w:rPr>
          <w:tab/>
        </w:r>
        <w:r w:rsidR="00F27DA8" w:rsidRPr="001C0E08">
          <w:rPr>
            <w:rStyle w:val="Hyperlink"/>
            <w:noProof/>
          </w:rPr>
          <w:t>Methodology</w:t>
        </w:r>
        <w:r w:rsidR="00F27DA8">
          <w:rPr>
            <w:noProof/>
            <w:webHidden/>
          </w:rPr>
          <w:tab/>
        </w:r>
        <w:r>
          <w:rPr>
            <w:noProof/>
            <w:webHidden/>
          </w:rPr>
          <w:fldChar w:fldCharType="begin"/>
        </w:r>
        <w:r w:rsidR="00F27DA8">
          <w:rPr>
            <w:noProof/>
            <w:webHidden/>
          </w:rPr>
          <w:instrText xml:space="preserve"> PAGEREF _Toc295818119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3"/>
        <w:tabs>
          <w:tab w:val="left" w:pos="1540"/>
          <w:tab w:val="right" w:leader="dot" w:pos="9350"/>
        </w:tabs>
        <w:spacing w:line="276" w:lineRule="auto"/>
        <w:rPr>
          <w:rFonts w:eastAsiaTheme="minorEastAsia" w:cstheme="minorBidi"/>
          <w:i w:val="0"/>
          <w:iCs w:val="0"/>
          <w:noProof/>
          <w:sz w:val="22"/>
          <w:szCs w:val="22"/>
        </w:rPr>
      </w:pPr>
      <w:hyperlink w:anchor="_Toc295818120" w:history="1">
        <w:r w:rsidR="00F27DA8" w:rsidRPr="001C0E08">
          <w:rPr>
            <w:rStyle w:val="Hyperlink"/>
            <w:noProof/>
          </w:rPr>
          <w:t>4.2.1</w:t>
        </w:r>
        <w:r w:rsidR="00F27DA8">
          <w:rPr>
            <w:rFonts w:eastAsiaTheme="minorEastAsia" w:cstheme="minorBidi"/>
            <w:i w:val="0"/>
            <w:iCs w:val="0"/>
            <w:noProof/>
            <w:sz w:val="22"/>
            <w:szCs w:val="22"/>
          </w:rPr>
          <w:tab/>
        </w:r>
        <w:r w:rsidR="00F27DA8" w:rsidRPr="001C0E08">
          <w:rPr>
            <w:rStyle w:val="Hyperlink"/>
            <w:noProof/>
          </w:rPr>
          <w:t>HFIRCE-3 HFIR MCNP Model</w:t>
        </w:r>
        <w:r w:rsidR="00F27DA8">
          <w:rPr>
            <w:noProof/>
            <w:webHidden/>
          </w:rPr>
          <w:tab/>
        </w:r>
        <w:r>
          <w:rPr>
            <w:noProof/>
            <w:webHidden/>
          </w:rPr>
          <w:fldChar w:fldCharType="begin"/>
        </w:r>
        <w:r w:rsidR="00F27DA8">
          <w:rPr>
            <w:noProof/>
            <w:webHidden/>
          </w:rPr>
          <w:instrText xml:space="preserve"> PAGEREF _Toc295818120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3"/>
        <w:tabs>
          <w:tab w:val="left" w:pos="1540"/>
          <w:tab w:val="right" w:leader="dot" w:pos="9350"/>
        </w:tabs>
        <w:spacing w:line="276" w:lineRule="auto"/>
        <w:rPr>
          <w:rFonts w:eastAsiaTheme="minorEastAsia" w:cstheme="minorBidi"/>
          <w:i w:val="0"/>
          <w:iCs w:val="0"/>
          <w:noProof/>
          <w:sz w:val="22"/>
          <w:szCs w:val="22"/>
        </w:rPr>
      </w:pPr>
      <w:hyperlink w:anchor="_Toc295818121" w:history="1">
        <w:r w:rsidR="00F27DA8" w:rsidRPr="001C0E08">
          <w:rPr>
            <w:rStyle w:val="Hyperlink"/>
            <w:noProof/>
          </w:rPr>
          <w:t>4.2.2</w:t>
        </w:r>
        <w:r w:rsidR="00F27DA8">
          <w:rPr>
            <w:rFonts w:eastAsiaTheme="minorEastAsia" w:cstheme="minorBidi"/>
            <w:i w:val="0"/>
            <w:iCs w:val="0"/>
            <w:noProof/>
            <w:sz w:val="22"/>
            <w:szCs w:val="22"/>
          </w:rPr>
          <w:tab/>
        </w:r>
        <w:r w:rsidR="00F27DA8" w:rsidRPr="001C0E08">
          <w:rPr>
            <w:rStyle w:val="Hyperlink"/>
            <w:noProof/>
          </w:rPr>
          <w:t>HFIRCE-3 MCNP Calculations</w:t>
        </w:r>
        <w:r w:rsidR="00F27DA8">
          <w:rPr>
            <w:noProof/>
            <w:webHidden/>
          </w:rPr>
          <w:tab/>
        </w:r>
        <w:r>
          <w:rPr>
            <w:noProof/>
            <w:webHidden/>
          </w:rPr>
          <w:fldChar w:fldCharType="begin"/>
        </w:r>
        <w:r w:rsidR="00F27DA8">
          <w:rPr>
            <w:noProof/>
            <w:webHidden/>
          </w:rPr>
          <w:instrText xml:space="preserve"> PAGEREF _Toc295818121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2"/>
        <w:tabs>
          <w:tab w:val="left" w:pos="1100"/>
          <w:tab w:val="right" w:leader="dot" w:pos="9350"/>
        </w:tabs>
        <w:spacing w:line="276" w:lineRule="auto"/>
        <w:rPr>
          <w:rFonts w:eastAsiaTheme="minorEastAsia" w:cstheme="minorBidi"/>
          <w:smallCaps w:val="0"/>
          <w:noProof/>
          <w:sz w:val="22"/>
          <w:szCs w:val="22"/>
        </w:rPr>
      </w:pPr>
      <w:hyperlink w:anchor="_Toc295818122" w:history="1">
        <w:r w:rsidR="00F27DA8" w:rsidRPr="001C0E08">
          <w:rPr>
            <w:rStyle w:val="Hyperlink"/>
            <w:noProof/>
          </w:rPr>
          <w:t>4.3</w:t>
        </w:r>
        <w:r w:rsidR="00F27DA8">
          <w:rPr>
            <w:rFonts w:eastAsiaTheme="minorEastAsia" w:cstheme="minorBidi"/>
            <w:smallCaps w:val="0"/>
            <w:noProof/>
            <w:sz w:val="22"/>
            <w:szCs w:val="22"/>
          </w:rPr>
          <w:tab/>
        </w:r>
        <w:r w:rsidR="00F27DA8" w:rsidRPr="001C0E08">
          <w:rPr>
            <w:rStyle w:val="Hyperlink"/>
            <w:noProof/>
          </w:rPr>
          <w:t>HFIRCE-3 Results</w:t>
        </w:r>
        <w:r w:rsidR="00F27DA8">
          <w:rPr>
            <w:noProof/>
            <w:webHidden/>
          </w:rPr>
          <w:tab/>
        </w:r>
        <w:r>
          <w:rPr>
            <w:noProof/>
            <w:webHidden/>
          </w:rPr>
          <w:fldChar w:fldCharType="begin"/>
        </w:r>
        <w:r w:rsidR="00F27DA8">
          <w:rPr>
            <w:noProof/>
            <w:webHidden/>
          </w:rPr>
          <w:instrText xml:space="preserve"> PAGEREF _Toc295818122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3"/>
        <w:tabs>
          <w:tab w:val="left" w:pos="1540"/>
          <w:tab w:val="right" w:leader="dot" w:pos="9350"/>
        </w:tabs>
        <w:spacing w:line="276" w:lineRule="auto"/>
        <w:rPr>
          <w:rFonts w:eastAsiaTheme="minorEastAsia" w:cstheme="minorBidi"/>
          <w:i w:val="0"/>
          <w:iCs w:val="0"/>
          <w:noProof/>
          <w:sz w:val="22"/>
          <w:szCs w:val="22"/>
        </w:rPr>
      </w:pPr>
      <w:hyperlink w:anchor="_Toc295818123" w:history="1">
        <w:r w:rsidR="00F27DA8" w:rsidRPr="001C0E08">
          <w:rPr>
            <w:rStyle w:val="Hyperlink"/>
            <w:noProof/>
          </w:rPr>
          <w:t>4.3.1</w:t>
        </w:r>
        <w:r w:rsidR="00F27DA8">
          <w:rPr>
            <w:rFonts w:eastAsiaTheme="minorEastAsia" w:cstheme="minorBidi"/>
            <w:i w:val="0"/>
            <w:iCs w:val="0"/>
            <w:noProof/>
            <w:sz w:val="22"/>
            <w:szCs w:val="22"/>
          </w:rPr>
          <w:tab/>
        </w:r>
        <w:r w:rsidR="00F27DA8" w:rsidRPr="001C0E08">
          <w:rPr>
            <w:rStyle w:val="Hyperlink"/>
            <w:noProof/>
          </w:rPr>
          <w:t>Clean Core Results</w:t>
        </w:r>
        <w:r w:rsidR="00F27DA8">
          <w:rPr>
            <w:noProof/>
            <w:webHidden/>
          </w:rPr>
          <w:tab/>
        </w:r>
        <w:r>
          <w:rPr>
            <w:noProof/>
            <w:webHidden/>
          </w:rPr>
          <w:fldChar w:fldCharType="begin"/>
        </w:r>
        <w:r w:rsidR="00F27DA8">
          <w:rPr>
            <w:noProof/>
            <w:webHidden/>
          </w:rPr>
          <w:instrText xml:space="preserve"> PAGEREF _Toc295818123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3"/>
        <w:tabs>
          <w:tab w:val="left" w:pos="1540"/>
          <w:tab w:val="right" w:leader="dot" w:pos="9350"/>
        </w:tabs>
        <w:spacing w:line="276" w:lineRule="auto"/>
        <w:rPr>
          <w:rFonts w:eastAsiaTheme="minorEastAsia" w:cstheme="minorBidi"/>
          <w:i w:val="0"/>
          <w:iCs w:val="0"/>
          <w:noProof/>
          <w:sz w:val="22"/>
          <w:szCs w:val="22"/>
        </w:rPr>
      </w:pPr>
      <w:hyperlink w:anchor="_Toc295818124" w:history="1">
        <w:r w:rsidR="00F27DA8" w:rsidRPr="001C0E08">
          <w:rPr>
            <w:rStyle w:val="Hyperlink"/>
            <w:noProof/>
          </w:rPr>
          <w:t>4.3.2</w:t>
        </w:r>
        <w:r w:rsidR="00F27DA8">
          <w:rPr>
            <w:rFonts w:eastAsiaTheme="minorEastAsia" w:cstheme="minorBidi"/>
            <w:i w:val="0"/>
            <w:iCs w:val="0"/>
            <w:noProof/>
            <w:sz w:val="22"/>
            <w:szCs w:val="22"/>
          </w:rPr>
          <w:tab/>
        </w:r>
        <w:r w:rsidR="00F27DA8" w:rsidRPr="001C0E08">
          <w:rPr>
            <w:rStyle w:val="Hyperlink"/>
            <w:noProof/>
          </w:rPr>
          <w:t>Fully Poisoned Results</w:t>
        </w:r>
        <w:r w:rsidR="00F27DA8">
          <w:rPr>
            <w:noProof/>
            <w:webHidden/>
          </w:rPr>
          <w:tab/>
        </w:r>
        <w:r>
          <w:rPr>
            <w:noProof/>
            <w:webHidden/>
          </w:rPr>
          <w:fldChar w:fldCharType="begin"/>
        </w:r>
        <w:r w:rsidR="00F27DA8">
          <w:rPr>
            <w:noProof/>
            <w:webHidden/>
          </w:rPr>
          <w:instrText xml:space="preserve"> PAGEREF _Toc295818124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2"/>
        <w:tabs>
          <w:tab w:val="left" w:pos="1100"/>
          <w:tab w:val="right" w:leader="dot" w:pos="9350"/>
        </w:tabs>
        <w:spacing w:line="276" w:lineRule="auto"/>
        <w:rPr>
          <w:rFonts w:eastAsiaTheme="minorEastAsia" w:cstheme="minorBidi"/>
          <w:smallCaps w:val="0"/>
          <w:noProof/>
          <w:sz w:val="22"/>
          <w:szCs w:val="22"/>
        </w:rPr>
      </w:pPr>
      <w:hyperlink w:anchor="_Toc295818125" w:history="1">
        <w:r w:rsidR="00F27DA8" w:rsidRPr="001C0E08">
          <w:rPr>
            <w:rStyle w:val="Hyperlink"/>
            <w:noProof/>
          </w:rPr>
          <w:t>4.4</w:t>
        </w:r>
        <w:r w:rsidR="00F27DA8">
          <w:rPr>
            <w:rFonts w:eastAsiaTheme="minorEastAsia" w:cstheme="minorBidi"/>
            <w:smallCaps w:val="0"/>
            <w:noProof/>
            <w:sz w:val="22"/>
            <w:szCs w:val="22"/>
          </w:rPr>
          <w:tab/>
        </w:r>
        <w:r w:rsidR="00F27DA8" w:rsidRPr="001C0E08">
          <w:rPr>
            <w:rStyle w:val="Hyperlink"/>
            <w:noProof/>
          </w:rPr>
          <w:t>HFIRCE-3 Summary</w:t>
        </w:r>
        <w:r w:rsidR="00F27DA8">
          <w:rPr>
            <w:noProof/>
            <w:webHidden/>
          </w:rPr>
          <w:tab/>
        </w:r>
        <w:r>
          <w:rPr>
            <w:noProof/>
            <w:webHidden/>
          </w:rPr>
          <w:fldChar w:fldCharType="begin"/>
        </w:r>
        <w:r w:rsidR="00F27DA8">
          <w:rPr>
            <w:noProof/>
            <w:webHidden/>
          </w:rPr>
          <w:instrText xml:space="preserve"> PAGEREF _Toc295818125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1"/>
        <w:tabs>
          <w:tab w:val="left" w:pos="440"/>
        </w:tabs>
        <w:spacing w:line="276" w:lineRule="auto"/>
        <w:rPr>
          <w:rFonts w:eastAsiaTheme="minorEastAsia" w:cstheme="minorBidi"/>
          <w:b w:val="0"/>
          <w:bCs w:val="0"/>
          <w:caps w:val="0"/>
          <w:noProof/>
          <w:sz w:val="22"/>
          <w:szCs w:val="22"/>
        </w:rPr>
      </w:pPr>
      <w:hyperlink w:anchor="_Toc295818126" w:history="1">
        <w:r w:rsidR="00F27DA8" w:rsidRPr="001C0E08">
          <w:rPr>
            <w:rStyle w:val="Hyperlink"/>
            <w:noProof/>
          </w:rPr>
          <w:t>5</w:t>
        </w:r>
        <w:r w:rsidR="00F27DA8">
          <w:rPr>
            <w:rFonts w:eastAsiaTheme="minorEastAsia" w:cstheme="minorBidi"/>
            <w:b w:val="0"/>
            <w:bCs w:val="0"/>
            <w:caps w:val="0"/>
            <w:noProof/>
            <w:sz w:val="22"/>
            <w:szCs w:val="22"/>
          </w:rPr>
          <w:tab/>
        </w:r>
        <w:r w:rsidR="00F27DA8" w:rsidRPr="001C0E08">
          <w:rPr>
            <w:rStyle w:val="Hyperlink"/>
            <w:noProof/>
          </w:rPr>
          <w:t>Exposure-Dependent Nuclide Inventory</w:t>
        </w:r>
        <w:r w:rsidR="00F27DA8">
          <w:rPr>
            <w:noProof/>
            <w:webHidden/>
          </w:rPr>
          <w:tab/>
        </w:r>
        <w:r>
          <w:rPr>
            <w:noProof/>
            <w:webHidden/>
          </w:rPr>
          <w:fldChar w:fldCharType="begin"/>
        </w:r>
        <w:r w:rsidR="00F27DA8">
          <w:rPr>
            <w:noProof/>
            <w:webHidden/>
          </w:rPr>
          <w:instrText xml:space="preserve"> PAGEREF _Toc295818126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2"/>
        <w:tabs>
          <w:tab w:val="left" w:pos="1100"/>
          <w:tab w:val="right" w:leader="dot" w:pos="9350"/>
        </w:tabs>
        <w:spacing w:line="276" w:lineRule="auto"/>
        <w:rPr>
          <w:rFonts w:eastAsiaTheme="minorEastAsia" w:cstheme="minorBidi"/>
          <w:smallCaps w:val="0"/>
          <w:noProof/>
          <w:sz w:val="22"/>
          <w:szCs w:val="22"/>
        </w:rPr>
      </w:pPr>
      <w:hyperlink w:anchor="_Toc295818127" w:history="1">
        <w:r w:rsidR="00F27DA8" w:rsidRPr="001C0E08">
          <w:rPr>
            <w:rStyle w:val="Hyperlink"/>
            <w:noProof/>
          </w:rPr>
          <w:t>5.1</w:t>
        </w:r>
        <w:r w:rsidR="00F27DA8">
          <w:rPr>
            <w:rFonts w:eastAsiaTheme="minorEastAsia" w:cstheme="minorBidi"/>
            <w:smallCaps w:val="0"/>
            <w:noProof/>
            <w:sz w:val="22"/>
            <w:szCs w:val="22"/>
          </w:rPr>
          <w:tab/>
        </w:r>
        <w:r w:rsidR="00F27DA8" w:rsidRPr="001C0E08">
          <w:rPr>
            <w:rStyle w:val="Hyperlink"/>
            <w:noProof/>
          </w:rPr>
          <w:t>Post-Irradiation Data</w:t>
        </w:r>
        <w:r w:rsidR="00F27DA8">
          <w:rPr>
            <w:noProof/>
            <w:webHidden/>
          </w:rPr>
          <w:tab/>
        </w:r>
        <w:r>
          <w:rPr>
            <w:noProof/>
            <w:webHidden/>
          </w:rPr>
          <w:fldChar w:fldCharType="begin"/>
        </w:r>
        <w:r w:rsidR="00F27DA8">
          <w:rPr>
            <w:noProof/>
            <w:webHidden/>
          </w:rPr>
          <w:instrText xml:space="preserve"> PAGEREF _Toc295818127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2"/>
        <w:tabs>
          <w:tab w:val="left" w:pos="1100"/>
          <w:tab w:val="right" w:leader="dot" w:pos="9350"/>
        </w:tabs>
        <w:spacing w:line="276" w:lineRule="auto"/>
        <w:rPr>
          <w:rFonts w:eastAsiaTheme="minorEastAsia" w:cstheme="minorBidi"/>
          <w:smallCaps w:val="0"/>
          <w:noProof/>
          <w:sz w:val="22"/>
          <w:szCs w:val="22"/>
        </w:rPr>
      </w:pPr>
      <w:hyperlink w:anchor="_Toc295818128" w:history="1">
        <w:r w:rsidR="00F27DA8" w:rsidRPr="001C0E08">
          <w:rPr>
            <w:rStyle w:val="Hyperlink"/>
            <w:noProof/>
          </w:rPr>
          <w:t>5.2</w:t>
        </w:r>
        <w:r w:rsidR="00F27DA8">
          <w:rPr>
            <w:rFonts w:eastAsiaTheme="minorEastAsia" w:cstheme="minorBidi"/>
            <w:smallCaps w:val="0"/>
            <w:noProof/>
            <w:sz w:val="22"/>
            <w:szCs w:val="22"/>
          </w:rPr>
          <w:tab/>
        </w:r>
        <w:r w:rsidR="00F27DA8" w:rsidRPr="001C0E08">
          <w:rPr>
            <w:rStyle w:val="Hyperlink"/>
            <w:noProof/>
          </w:rPr>
          <w:t>Computational Model Development</w:t>
        </w:r>
        <w:r w:rsidR="00F27DA8">
          <w:rPr>
            <w:noProof/>
            <w:webHidden/>
          </w:rPr>
          <w:tab/>
        </w:r>
        <w:r>
          <w:rPr>
            <w:noProof/>
            <w:webHidden/>
          </w:rPr>
          <w:fldChar w:fldCharType="begin"/>
        </w:r>
        <w:r w:rsidR="00F27DA8">
          <w:rPr>
            <w:noProof/>
            <w:webHidden/>
          </w:rPr>
          <w:instrText xml:space="preserve"> PAGEREF _Toc295818128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3"/>
        <w:tabs>
          <w:tab w:val="left" w:pos="1540"/>
          <w:tab w:val="right" w:leader="dot" w:pos="9350"/>
        </w:tabs>
        <w:spacing w:line="276" w:lineRule="auto"/>
        <w:rPr>
          <w:rFonts w:eastAsiaTheme="minorEastAsia" w:cstheme="minorBidi"/>
          <w:i w:val="0"/>
          <w:iCs w:val="0"/>
          <w:noProof/>
          <w:sz w:val="22"/>
          <w:szCs w:val="22"/>
        </w:rPr>
      </w:pPr>
      <w:hyperlink w:anchor="_Toc295818129" w:history="1">
        <w:r w:rsidR="00F27DA8" w:rsidRPr="001C0E08">
          <w:rPr>
            <w:rStyle w:val="Hyperlink"/>
            <w:noProof/>
          </w:rPr>
          <w:t>5.2.1</w:t>
        </w:r>
        <w:r w:rsidR="00F27DA8">
          <w:rPr>
            <w:rFonts w:eastAsiaTheme="minorEastAsia" w:cstheme="minorBidi"/>
            <w:i w:val="0"/>
            <w:iCs w:val="0"/>
            <w:noProof/>
            <w:sz w:val="22"/>
            <w:szCs w:val="22"/>
          </w:rPr>
          <w:tab/>
        </w:r>
        <w:r w:rsidR="00F27DA8" w:rsidRPr="001C0E08">
          <w:rPr>
            <w:rStyle w:val="Hyperlink"/>
            <w:noProof/>
          </w:rPr>
          <w:t>HFIR MCNP Model Development</w:t>
        </w:r>
        <w:r w:rsidR="00F27DA8">
          <w:rPr>
            <w:noProof/>
            <w:webHidden/>
          </w:rPr>
          <w:tab/>
        </w:r>
        <w:r>
          <w:rPr>
            <w:noProof/>
            <w:webHidden/>
          </w:rPr>
          <w:fldChar w:fldCharType="begin"/>
        </w:r>
        <w:r w:rsidR="00F27DA8">
          <w:rPr>
            <w:noProof/>
            <w:webHidden/>
          </w:rPr>
          <w:instrText xml:space="preserve"> PAGEREF _Toc295818129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3"/>
        <w:tabs>
          <w:tab w:val="left" w:pos="1540"/>
          <w:tab w:val="right" w:leader="dot" w:pos="9350"/>
        </w:tabs>
        <w:spacing w:line="276" w:lineRule="auto"/>
        <w:rPr>
          <w:rFonts w:eastAsiaTheme="minorEastAsia" w:cstheme="minorBidi"/>
          <w:i w:val="0"/>
          <w:iCs w:val="0"/>
          <w:noProof/>
          <w:sz w:val="22"/>
          <w:szCs w:val="22"/>
        </w:rPr>
      </w:pPr>
      <w:hyperlink w:anchor="_Toc295818130" w:history="1">
        <w:r w:rsidR="00F27DA8" w:rsidRPr="001C0E08">
          <w:rPr>
            <w:rStyle w:val="Hyperlink"/>
            <w:noProof/>
          </w:rPr>
          <w:t>5.2.2</w:t>
        </w:r>
        <w:r w:rsidR="00F27DA8">
          <w:rPr>
            <w:rFonts w:eastAsiaTheme="minorEastAsia" w:cstheme="minorBidi"/>
            <w:i w:val="0"/>
            <w:iCs w:val="0"/>
            <w:noProof/>
            <w:sz w:val="22"/>
            <w:szCs w:val="22"/>
          </w:rPr>
          <w:tab/>
        </w:r>
        <w:r w:rsidR="00F27DA8" w:rsidRPr="001C0E08">
          <w:rPr>
            <w:rStyle w:val="Hyperlink"/>
            <w:noProof/>
          </w:rPr>
          <w:t>Computation Model Input Parameters</w:t>
        </w:r>
        <w:r w:rsidR="00F27DA8">
          <w:rPr>
            <w:noProof/>
            <w:webHidden/>
          </w:rPr>
          <w:tab/>
        </w:r>
        <w:r>
          <w:rPr>
            <w:noProof/>
            <w:webHidden/>
          </w:rPr>
          <w:fldChar w:fldCharType="begin"/>
        </w:r>
        <w:r w:rsidR="00F27DA8">
          <w:rPr>
            <w:noProof/>
            <w:webHidden/>
          </w:rPr>
          <w:instrText xml:space="preserve"> PAGEREF _Toc295818130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2"/>
        <w:tabs>
          <w:tab w:val="left" w:pos="1100"/>
          <w:tab w:val="right" w:leader="dot" w:pos="9350"/>
        </w:tabs>
        <w:spacing w:line="276" w:lineRule="auto"/>
        <w:rPr>
          <w:rFonts w:eastAsiaTheme="minorEastAsia" w:cstheme="minorBidi"/>
          <w:smallCaps w:val="0"/>
          <w:noProof/>
          <w:sz w:val="22"/>
          <w:szCs w:val="22"/>
        </w:rPr>
      </w:pPr>
      <w:hyperlink w:anchor="_Toc295818131" w:history="1">
        <w:r w:rsidR="00F27DA8" w:rsidRPr="001C0E08">
          <w:rPr>
            <w:rStyle w:val="Hyperlink"/>
            <w:noProof/>
          </w:rPr>
          <w:t>5.3</w:t>
        </w:r>
        <w:r w:rsidR="00F27DA8">
          <w:rPr>
            <w:rFonts w:eastAsiaTheme="minorEastAsia" w:cstheme="minorBidi"/>
            <w:smallCaps w:val="0"/>
            <w:noProof/>
            <w:sz w:val="22"/>
            <w:szCs w:val="22"/>
          </w:rPr>
          <w:tab/>
        </w:r>
        <w:r w:rsidR="00F27DA8" w:rsidRPr="001C0E08">
          <w:rPr>
            <w:rStyle w:val="Hyperlink"/>
            <w:noProof/>
          </w:rPr>
          <w:t>Post-Irradiation Inventory Results</w:t>
        </w:r>
        <w:r w:rsidR="00F27DA8">
          <w:rPr>
            <w:noProof/>
            <w:webHidden/>
          </w:rPr>
          <w:tab/>
        </w:r>
        <w:r>
          <w:rPr>
            <w:noProof/>
            <w:webHidden/>
          </w:rPr>
          <w:fldChar w:fldCharType="begin"/>
        </w:r>
        <w:r w:rsidR="00F27DA8">
          <w:rPr>
            <w:noProof/>
            <w:webHidden/>
          </w:rPr>
          <w:instrText xml:space="preserve"> PAGEREF _Toc295818131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3"/>
        <w:tabs>
          <w:tab w:val="left" w:pos="1540"/>
          <w:tab w:val="right" w:leader="dot" w:pos="9350"/>
        </w:tabs>
        <w:spacing w:line="276" w:lineRule="auto"/>
        <w:rPr>
          <w:rFonts w:eastAsiaTheme="minorEastAsia" w:cstheme="minorBidi"/>
          <w:i w:val="0"/>
          <w:iCs w:val="0"/>
          <w:noProof/>
          <w:sz w:val="22"/>
          <w:szCs w:val="22"/>
        </w:rPr>
      </w:pPr>
      <w:hyperlink w:anchor="_Toc295818132" w:history="1">
        <w:r w:rsidR="00F27DA8" w:rsidRPr="001C0E08">
          <w:rPr>
            <w:rStyle w:val="Hyperlink"/>
            <w:noProof/>
          </w:rPr>
          <w:t>5.3.1</w:t>
        </w:r>
        <w:r w:rsidR="00F27DA8">
          <w:rPr>
            <w:rFonts w:eastAsiaTheme="minorEastAsia" w:cstheme="minorBidi"/>
            <w:i w:val="0"/>
            <w:iCs w:val="0"/>
            <w:noProof/>
            <w:sz w:val="22"/>
            <w:szCs w:val="22"/>
          </w:rPr>
          <w:tab/>
        </w:r>
        <w:r w:rsidR="00F27DA8" w:rsidRPr="001C0E08">
          <w:rPr>
            <w:rStyle w:val="Hyperlink"/>
            <w:noProof/>
          </w:rPr>
          <w:t>Time-Dependent Eigenvalue Results</w:t>
        </w:r>
        <w:r w:rsidR="00F27DA8">
          <w:rPr>
            <w:noProof/>
            <w:webHidden/>
          </w:rPr>
          <w:tab/>
        </w:r>
        <w:r>
          <w:rPr>
            <w:noProof/>
            <w:webHidden/>
          </w:rPr>
          <w:fldChar w:fldCharType="begin"/>
        </w:r>
        <w:r w:rsidR="00F27DA8">
          <w:rPr>
            <w:noProof/>
            <w:webHidden/>
          </w:rPr>
          <w:instrText xml:space="preserve"> PAGEREF _Toc295818132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3"/>
        <w:tabs>
          <w:tab w:val="left" w:pos="1540"/>
          <w:tab w:val="right" w:leader="dot" w:pos="9350"/>
        </w:tabs>
        <w:spacing w:line="276" w:lineRule="auto"/>
        <w:rPr>
          <w:rFonts w:eastAsiaTheme="minorEastAsia" w:cstheme="minorBidi"/>
          <w:i w:val="0"/>
          <w:iCs w:val="0"/>
          <w:noProof/>
          <w:sz w:val="22"/>
          <w:szCs w:val="22"/>
        </w:rPr>
      </w:pPr>
      <w:hyperlink w:anchor="_Toc295818133" w:history="1">
        <w:r w:rsidR="00F27DA8" w:rsidRPr="001C0E08">
          <w:rPr>
            <w:rStyle w:val="Hyperlink"/>
            <w:noProof/>
          </w:rPr>
          <w:t>5.3.2</w:t>
        </w:r>
        <w:r w:rsidR="00F27DA8">
          <w:rPr>
            <w:rFonts w:eastAsiaTheme="minorEastAsia" w:cstheme="minorBidi"/>
            <w:i w:val="0"/>
            <w:iCs w:val="0"/>
            <w:noProof/>
            <w:sz w:val="22"/>
            <w:szCs w:val="22"/>
          </w:rPr>
          <w:tab/>
        </w:r>
        <w:r w:rsidR="00F27DA8" w:rsidRPr="001C0E08">
          <w:rPr>
            <w:rStyle w:val="Hyperlink"/>
            <w:noProof/>
          </w:rPr>
          <w:t>Post-Irradiation Uranium Isotopic Results</w:t>
        </w:r>
        <w:r w:rsidR="00F27DA8">
          <w:rPr>
            <w:noProof/>
            <w:webHidden/>
          </w:rPr>
          <w:tab/>
        </w:r>
        <w:r>
          <w:rPr>
            <w:noProof/>
            <w:webHidden/>
          </w:rPr>
          <w:fldChar w:fldCharType="begin"/>
        </w:r>
        <w:r w:rsidR="00F27DA8">
          <w:rPr>
            <w:noProof/>
            <w:webHidden/>
          </w:rPr>
          <w:instrText xml:space="preserve"> PAGEREF _Toc295818133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3"/>
        <w:tabs>
          <w:tab w:val="left" w:pos="1540"/>
          <w:tab w:val="right" w:leader="dot" w:pos="9350"/>
        </w:tabs>
        <w:spacing w:line="276" w:lineRule="auto"/>
        <w:rPr>
          <w:rFonts w:eastAsiaTheme="minorEastAsia" w:cstheme="minorBidi"/>
          <w:i w:val="0"/>
          <w:iCs w:val="0"/>
          <w:noProof/>
          <w:sz w:val="22"/>
          <w:szCs w:val="22"/>
        </w:rPr>
      </w:pPr>
      <w:hyperlink w:anchor="_Toc295818134" w:history="1">
        <w:r w:rsidR="00F27DA8" w:rsidRPr="001C0E08">
          <w:rPr>
            <w:rStyle w:val="Hyperlink"/>
            <w:noProof/>
          </w:rPr>
          <w:t>5.3.3</w:t>
        </w:r>
        <w:r w:rsidR="00F27DA8">
          <w:rPr>
            <w:rFonts w:eastAsiaTheme="minorEastAsia" w:cstheme="minorBidi"/>
            <w:i w:val="0"/>
            <w:iCs w:val="0"/>
            <w:noProof/>
            <w:sz w:val="22"/>
            <w:szCs w:val="22"/>
          </w:rPr>
          <w:tab/>
        </w:r>
        <w:r w:rsidR="00F27DA8" w:rsidRPr="001C0E08">
          <w:rPr>
            <w:rStyle w:val="Hyperlink"/>
            <w:noProof/>
          </w:rPr>
          <w:t>Fissile and Neutron Poison Nuclide Inventory</w:t>
        </w:r>
        <w:r w:rsidR="00F27DA8">
          <w:rPr>
            <w:noProof/>
            <w:webHidden/>
          </w:rPr>
          <w:tab/>
        </w:r>
        <w:r>
          <w:rPr>
            <w:noProof/>
            <w:webHidden/>
          </w:rPr>
          <w:fldChar w:fldCharType="begin"/>
        </w:r>
        <w:r w:rsidR="00F27DA8">
          <w:rPr>
            <w:noProof/>
            <w:webHidden/>
          </w:rPr>
          <w:instrText xml:space="preserve"> PAGEREF _Toc295818134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2"/>
        <w:tabs>
          <w:tab w:val="left" w:pos="1100"/>
          <w:tab w:val="right" w:leader="dot" w:pos="9350"/>
        </w:tabs>
        <w:spacing w:line="276" w:lineRule="auto"/>
        <w:rPr>
          <w:rFonts w:eastAsiaTheme="minorEastAsia" w:cstheme="minorBidi"/>
          <w:smallCaps w:val="0"/>
          <w:noProof/>
          <w:sz w:val="22"/>
          <w:szCs w:val="22"/>
        </w:rPr>
      </w:pPr>
      <w:hyperlink w:anchor="_Toc295818135" w:history="1">
        <w:r w:rsidR="00F27DA8" w:rsidRPr="001C0E08">
          <w:rPr>
            <w:rStyle w:val="Hyperlink"/>
            <w:noProof/>
          </w:rPr>
          <w:t>5.4</w:t>
        </w:r>
        <w:r w:rsidR="00F27DA8">
          <w:rPr>
            <w:rFonts w:eastAsiaTheme="minorEastAsia" w:cstheme="minorBidi"/>
            <w:smallCaps w:val="0"/>
            <w:noProof/>
            <w:sz w:val="22"/>
            <w:szCs w:val="22"/>
          </w:rPr>
          <w:tab/>
        </w:r>
        <w:r w:rsidR="00F27DA8" w:rsidRPr="001C0E08">
          <w:rPr>
            <w:rStyle w:val="Hyperlink"/>
            <w:noProof/>
          </w:rPr>
          <w:t>Post-Irradiation Inventory Summary</w:t>
        </w:r>
        <w:r w:rsidR="00F27DA8">
          <w:rPr>
            <w:noProof/>
            <w:webHidden/>
          </w:rPr>
          <w:tab/>
        </w:r>
        <w:r>
          <w:rPr>
            <w:noProof/>
            <w:webHidden/>
          </w:rPr>
          <w:fldChar w:fldCharType="begin"/>
        </w:r>
        <w:r w:rsidR="00F27DA8">
          <w:rPr>
            <w:noProof/>
            <w:webHidden/>
          </w:rPr>
          <w:instrText xml:space="preserve"> PAGEREF _Toc295818135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1"/>
        <w:tabs>
          <w:tab w:val="left" w:pos="440"/>
        </w:tabs>
        <w:spacing w:line="276" w:lineRule="auto"/>
        <w:rPr>
          <w:rFonts w:eastAsiaTheme="minorEastAsia" w:cstheme="minorBidi"/>
          <w:b w:val="0"/>
          <w:bCs w:val="0"/>
          <w:caps w:val="0"/>
          <w:noProof/>
          <w:sz w:val="22"/>
          <w:szCs w:val="22"/>
        </w:rPr>
      </w:pPr>
      <w:hyperlink w:anchor="_Toc295818136" w:history="1">
        <w:r w:rsidR="00F27DA8" w:rsidRPr="001C0E08">
          <w:rPr>
            <w:rStyle w:val="Hyperlink"/>
            <w:noProof/>
          </w:rPr>
          <w:t>6</w:t>
        </w:r>
        <w:r w:rsidR="00F27DA8">
          <w:rPr>
            <w:rFonts w:eastAsiaTheme="minorEastAsia" w:cstheme="minorBidi"/>
            <w:b w:val="0"/>
            <w:bCs w:val="0"/>
            <w:caps w:val="0"/>
            <w:noProof/>
            <w:sz w:val="22"/>
            <w:szCs w:val="22"/>
          </w:rPr>
          <w:tab/>
        </w:r>
        <w:r w:rsidR="00F27DA8" w:rsidRPr="001C0E08">
          <w:rPr>
            <w:rStyle w:val="Hyperlink"/>
            <w:noProof/>
          </w:rPr>
          <w:t>Beryllium Activation Impacts on Startup and Reflector Disposal</w:t>
        </w:r>
        <w:r w:rsidR="00F27DA8">
          <w:rPr>
            <w:noProof/>
            <w:webHidden/>
          </w:rPr>
          <w:tab/>
        </w:r>
        <w:r>
          <w:rPr>
            <w:noProof/>
            <w:webHidden/>
          </w:rPr>
          <w:fldChar w:fldCharType="begin"/>
        </w:r>
        <w:r w:rsidR="00F27DA8">
          <w:rPr>
            <w:noProof/>
            <w:webHidden/>
          </w:rPr>
          <w:instrText xml:space="preserve"> PAGEREF _Toc295818136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2"/>
        <w:tabs>
          <w:tab w:val="left" w:pos="1100"/>
          <w:tab w:val="right" w:leader="dot" w:pos="9350"/>
        </w:tabs>
        <w:spacing w:line="276" w:lineRule="auto"/>
        <w:rPr>
          <w:rFonts w:eastAsiaTheme="minorEastAsia" w:cstheme="minorBidi"/>
          <w:smallCaps w:val="0"/>
          <w:noProof/>
          <w:sz w:val="22"/>
          <w:szCs w:val="22"/>
        </w:rPr>
      </w:pPr>
      <w:hyperlink w:anchor="_Toc295818137" w:history="1">
        <w:r w:rsidR="00F27DA8" w:rsidRPr="001C0E08">
          <w:rPr>
            <w:rStyle w:val="Hyperlink"/>
            <w:noProof/>
          </w:rPr>
          <w:t>6.1</w:t>
        </w:r>
        <w:r w:rsidR="00F27DA8">
          <w:rPr>
            <w:rFonts w:eastAsiaTheme="minorEastAsia" w:cstheme="minorBidi"/>
            <w:smallCaps w:val="0"/>
            <w:noProof/>
            <w:sz w:val="22"/>
            <w:szCs w:val="22"/>
          </w:rPr>
          <w:tab/>
        </w:r>
        <w:r w:rsidR="00F27DA8" w:rsidRPr="001C0E08">
          <w:rPr>
            <w:rStyle w:val="Hyperlink"/>
            <w:noProof/>
          </w:rPr>
          <w:t>Beryllium Activation Affects</w:t>
        </w:r>
        <w:r w:rsidR="00F27DA8">
          <w:rPr>
            <w:noProof/>
            <w:webHidden/>
          </w:rPr>
          <w:tab/>
        </w:r>
        <w:r>
          <w:rPr>
            <w:noProof/>
            <w:webHidden/>
          </w:rPr>
          <w:fldChar w:fldCharType="begin"/>
        </w:r>
        <w:r w:rsidR="00F27DA8">
          <w:rPr>
            <w:noProof/>
            <w:webHidden/>
          </w:rPr>
          <w:instrText xml:space="preserve"> PAGEREF _Toc295818137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3"/>
        <w:tabs>
          <w:tab w:val="left" w:pos="1540"/>
          <w:tab w:val="right" w:leader="dot" w:pos="9350"/>
        </w:tabs>
        <w:spacing w:line="276" w:lineRule="auto"/>
        <w:rPr>
          <w:rFonts w:eastAsiaTheme="minorEastAsia" w:cstheme="minorBidi"/>
          <w:i w:val="0"/>
          <w:iCs w:val="0"/>
          <w:noProof/>
          <w:sz w:val="22"/>
          <w:szCs w:val="22"/>
        </w:rPr>
      </w:pPr>
      <w:hyperlink w:anchor="_Toc295818138" w:history="1">
        <w:r w:rsidR="00F27DA8" w:rsidRPr="001C0E08">
          <w:rPr>
            <w:rStyle w:val="Hyperlink"/>
            <w:noProof/>
          </w:rPr>
          <w:t>6.1.1</w:t>
        </w:r>
        <w:r w:rsidR="00F27DA8">
          <w:rPr>
            <w:rFonts w:eastAsiaTheme="minorEastAsia" w:cstheme="minorBidi"/>
            <w:i w:val="0"/>
            <w:iCs w:val="0"/>
            <w:noProof/>
            <w:sz w:val="22"/>
            <w:szCs w:val="22"/>
          </w:rPr>
          <w:tab/>
        </w:r>
        <w:r w:rsidR="00F27DA8" w:rsidRPr="001C0E08">
          <w:rPr>
            <w:rStyle w:val="Hyperlink"/>
            <w:noProof/>
          </w:rPr>
          <w:t>Nuclear Transmutations Cause by Neutron Activation</w:t>
        </w:r>
        <w:r w:rsidR="00F27DA8">
          <w:rPr>
            <w:noProof/>
            <w:webHidden/>
          </w:rPr>
          <w:tab/>
        </w:r>
        <w:r>
          <w:rPr>
            <w:noProof/>
            <w:webHidden/>
          </w:rPr>
          <w:fldChar w:fldCharType="begin"/>
        </w:r>
        <w:r w:rsidR="00F27DA8">
          <w:rPr>
            <w:noProof/>
            <w:webHidden/>
          </w:rPr>
          <w:instrText xml:space="preserve"> PAGEREF _Toc295818138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3"/>
        <w:tabs>
          <w:tab w:val="left" w:pos="1540"/>
          <w:tab w:val="right" w:leader="dot" w:pos="9350"/>
        </w:tabs>
        <w:spacing w:line="276" w:lineRule="auto"/>
        <w:rPr>
          <w:rFonts w:eastAsiaTheme="minorEastAsia" w:cstheme="minorBidi"/>
          <w:i w:val="0"/>
          <w:iCs w:val="0"/>
          <w:noProof/>
          <w:sz w:val="22"/>
          <w:szCs w:val="22"/>
        </w:rPr>
      </w:pPr>
      <w:hyperlink w:anchor="_Toc295818139" w:history="1">
        <w:r w:rsidR="00F27DA8" w:rsidRPr="001C0E08">
          <w:rPr>
            <w:rStyle w:val="Hyperlink"/>
            <w:noProof/>
          </w:rPr>
          <w:t>6.1.2</w:t>
        </w:r>
        <w:r w:rsidR="00F27DA8">
          <w:rPr>
            <w:rFonts w:eastAsiaTheme="minorEastAsia" w:cstheme="minorBidi"/>
            <w:i w:val="0"/>
            <w:iCs w:val="0"/>
            <w:noProof/>
            <w:sz w:val="22"/>
            <w:szCs w:val="22"/>
          </w:rPr>
          <w:tab/>
        </w:r>
        <w:r w:rsidR="00F27DA8" w:rsidRPr="001C0E08">
          <w:rPr>
            <w:rStyle w:val="Hyperlink"/>
            <w:noProof/>
          </w:rPr>
          <w:t>Startup Procedure</w:t>
        </w:r>
        <w:r w:rsidR="00F27DA8">
          <w:rPr>
            <w:noProof/>
            <w:webHidden/>
          </w:rPr>
          <w:tab/>
        </w:r>
        <w:r>
          <w:rPr>
            <w:noProof/>
            <w:webHidden/>
          </w:rPr>
          <w:fldChar w:fldCharType="begin"/>
        </w:r>
        <w:r w:rsidR="00F27DA8">
          <w:rPr>
            <w:noProof/>
            <w:webHidden/>
          </w:rPr>
          <w:instrText xml:space="preserve"> PAGEREF _Toc295818139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3"/>
        <w:tabs>
          <w:tab w:val="left" w:pos="1540"/>
          <w:tab w:val="right" w:leader="dot" w:pos="9350"/>
        </w:tabs>
        <w:spacing w:line="276" w:lineRule="auto"/>
        <w:rPr>
          <w:rFonts w:eastAsiaTheme="minorEastAsia" w:cstheme="minorBidi"/>
          <w:i w:val="0"/>
          <w:iCs w:val="0"/>
          <w:noProof/>
          <w:sz w:val="22"/>
          <w:szCs w:val="22"/>
        </w:rPr>
      </w:pPr>
      <w:hyperlink w:anchor="_Toc295818140" w:history="1">
        <w:r w:rsidR="00F27DA8" w:rsidRPr="001C0E08">
          <w:rPr>
            <w:rStyle w:val="Hyperlink"/>
            <w:noProof/>
          </w:rPr>
          <w:t>6.1.3</w:t>
        </w:r>
        <w:r w:rsidR="00F27DA8">
          <w:rPr>
            <w:rFonts w:eastAsiaTheme="minorEastAsia" w:cstheme="minorBidi"/>
            <w:i w:val="0"/>
            <w:iCs w:val="0"/>
            <w:noProof/>
            <w:sz w:val="22"/>
            <w:szCs w:val="22"/>
          </w:rPr>
          <w:tab/>
        </w:r>
        <w:r w:rsidR="00F27DA8" w:rsidRPr="001C0E08">
          <w:rPr>
            <w:rStyle w:val="Hyperlink"/>
            <w:noProof/>
          </w:rPr>
          <w:t>Beryllium Waste Concerns</w:t>
        </w:r>
        <w:r w:rsidR="00F27DA8">
          <w:rPr>
            <w:noProof/>
            <w:webHidden/>
          </w:rPr>
          <w:tab/>
        </w:r>
        <w:r>
          <w:rPr>
            <w:noProof/>
            <w:webHidden/>
          </w:rPr>
          <w:fldChar w:fldCharType="begin"/>
        </w:r>
        <w:r w:rsidR="00F27DA8">
          <w:rPr>
            <w:noProof/>
            <w:webHidden/>
          </w:rPr>
          <w:instrText xml:space="preserve"> PAGEREF _Toc295818140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2"/>
        <w:tabs>
          <w:tab w:val="left" w:pos="1100"/>
          <w:tab w:val="right" w:leader="dot" w:pos="9350"/>
        </w:tabs>
        <w:spacing w:line="276" w:lineRule="auto"/>
        <w:rPr>
          <w:rFonts w:eastAsiaTheme="minorEastAsia" w:cstheme="minorBidi"/>
          <w:smallCaps w:val="0"/>
          <w:noProof/>
          <w:sz w:val="22"/>
          <w:szCs w:val="22"/>
        </w:rPr>
      </w:pPr>
      <w:hyperlink w:anchor="_Toc295818141" w:history="1">
        <w:r w:rsidR="00F27DA8" w:rsidRPr="001C0E08">
          <w:rPr>
            <w:rStyle w:val="Hyperlink"/>
            <w:noProof/>
          </w:rPr>
          <w:t>6.2</w:t>
        </w:r>
        <w:r w:rsidR="00F27DA8">
          <w:rPr>
            <w:rFonts w:eastAsiaTheme="minorEastAsia" w:cstheme="minorBidi"/>
            <w:smallCaps w:val="0"/>
            <w:noProof/>
            <w:sz w:val="22"/>
            <w:szCs w:val="22"/>
          </w:rPr>
          <w:tab/>
        </w:r>
        <w:r w:rsidR="00F27DA8" w:rsidRPr="001C0E08">
          <w:rPr>
            <w:rStyle w:val="Hyperlink"/>
            <w:noProof/>
          </w:rPr>
          <w:t>Calculations Methods</w:t>
        </w:r>
        <w:r w:rsidR="00F27DA8">
          <w:rPr>
            <w:noProof/>
            <w:webHidden/>
          </w:rPr>
          <w:tab/>
        </w:r>
        <w:r>
          <w:rPr>
            <w:noProof/>
            <w:webHidden/>
          </w:rPr>
          <w:fldChar w:fldCharType="begin"/>
        </w:r>
        <w:r w:rsidR="00F27DA8">
          <w:rPr>
            <w:noProof/>
            <w:webHidden/>
          </w:rPr>
          <w:instrText xml:space="preserve"> PAGEREF _Toc295818141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3"/>
        <w:tabs>
          <w:tab w:val="left" w:pos="1540"/>
          <w:tab w:val="right" w:leader="dot" w:pos="9350"/>
        </w:tabs>
        <w:spacing w:line="276" w:lineRule="auto"/>
        <w:rPr>
          <w:rFonts w:eastAsiaTheme="minorEastAsia" w:cstheme="minorBidi"/>
          <w:i w:val="0"/>
          <w:iCs w:val="0"/>
          <w:noProof/>
          <w:sz w:val="22"/>
          <w:szCs w:val="22"/>
        </w:rPr>
      </w:pPr>
      <w:hyperlink w:anchor="_Toc295818142" w:history="1">
        <w:r w:rsidR="00F27DA8" w:rsidRPr="001C0E08">
          <w:rPr>
            <w:rStyle w:val="Hyperlink"/>
            <w:noProof/>
          </w:rPr>
          <w:t>6.2.1</w:t>
        </w:r>
        <w:r w:rsidR="00F27DA8">
          <w:rPr>
            <w:rFonts w:eastAsiaTheme="minorEastAsia" w:cstheme="minorBidi"/>
            <w:i w:val="0"/>
            <w:iCs w:val="0"/>
            <w:noProof/>
            <w:sz w:val="22"/>
            <w:szCs w:val="22"/>
          </w:rPr>
          <w:tab/>
        </w:r>
        <w:r w:rsidR="00F27DA8" w:rsidRPr="001C0E08">
          <w:rPr>
            <w:rStyle w:val="Hyperlink"/>
            <w:noProof/>
          </w:rPr>
          <w:t>Startup Reactivity Effects Methodology</w:t>
        </w:r>
        <w:r w:rsidR="00F27DA8">
          <w:rPr>
            <w:noProof/>
            <w:webHidden/>
          </w:rPr>
          <w:tab/>
        </w:r>
        <w:r>
          <w:rPr>
            <w:noProof/>
            <w:webHidden/>
          </w:rPr>
          <w:fldChar w:fldCharType="begin"/>
        </w:r>
        <w:r w:rsidR="00F27DA8">
          <w:rPr>
            <w:noProof/>
            <w:webHidden/>
          </w:rPr>
          <w:instrText xml:space="preserve"> PAGEREF _Toc295818142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3"/>
        <w:tabs>
          <w:tab w:val="left" w:pos="1540"/>
          <w:tab w:val="right" w:leader="dot" w:pos="9350"/>
        </w:tabs>
        <w:spacing w:line="276" w:lineRule="auto"/>
        <w:rPr>
          <w:rFonts w:eastAsiaTheme="minorEastAsia" w:cstheme="minorBidi"/>
          <w:i w:val="0"/>
          <w:iCs w:val="0"/>
          <w:noProof/>
          <w:sz w:val="22"/>
          <w:szCs w:val="22"/>
        </w:rPr>
      </w:pPr>
      <w:hyperlink w:anchor="_Toc295818143" w:history="1">
        <w:r w:rsidR="00F27DA8" w:rsidRPr="001C0E08">
          <w:rPr>
            <w:rStyle w:val="Hyperlink"/>
            <w:noProof/>
          </w:rPr>
          <w:t>6.2.2</w:t>
        </w:r>
        <w:r w:rsidR="00F27DA8">
          <w:rPr>
            <w:rFonts w:eastAsiaTheme="minorEastAsia" w:cstheme="minorBidi"/>
            <w:i w:val="0"/>
            <w:iCs w:val="0"/>
            <w:noProof/>
            <w:sz w:val="22"/>
            <w:szCs w:val="22"/>
          </w:rPr>
          <w:tab/>
        </w:r>
        <w:r w:rsidR="00F27DA8" w:rsidRPr="001C0E08">
          <w:rPr>
            <w:rStyle w:val="Hyperlink"/>
            <w:noProof/>
          </w:rPr>
          <w:t>Waste Classifications Methodology</w:t>
        </w:r>
        <w:r w:rsidR="00F27DA8">
          <w:rPr>
            <w:noProof/>
            <w:webHidden/>
          </w:rPr>
          <w:tab/>
        </w:r>
        <w:r>
          <w:rPr>
            <w:noProof/>
            <w:webHidden/>
          </w:rPr>
          <w:fldChar w:fldCharType="begin"/>
        </w:r>
        <w:r w:rsidR="00F27DA8">
          <w:rPr>
            <w:noProof/>
            <w:webHidden/>
          </w:rPr>
          <w:instrText xml:space="preserve"> PAGEREF _Toc295818143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2"/>
        <w:tabs>
          <w:tab w:val="left" w:pos="1100"/>
          <w:tab w:val="right" w:leader="dot" w:pos="9350"/>
        </w:tabs>
        <w:spacing w:line="276" w:lineRule="auto"/>
        <w:rPr>
          <w:rFonts w:eastAsiaTheme="minorEastAsia" w:cstheme="minorBidi"/>
          <w:smallCaps w:val="0"/>
          <w:noProof/>
          <w:sz w:val="22"/>
          <w:szCs w:val="22"/>
        </w:rPr>
      </w:pPr>
      <w:hyperlink w:anchor="_Toc295818144" w:history="1">
        <w:r w:rsidR="00F27DA8" w:rsidRPr="001C0E08">
          <w:rPr>
            <w:rStyle w:val="Hyperlink"/>
            <w:noProof/>
          </w:rPr>
          <w:t>6.3</w:t>
        </w:r>
        <w:r w:rsidR="00F27DA8">
          <w:rPr>
            <w:rFonts w:eastAsiaTheme="minorEastAsia" w:cstheme="minorBidi"/>
            <w:smallCaps w:val="0"/>
            <w:noProof/>
            <w:sz w:val="22"/>
            <w:szCs w:val="22"/>
          </w:rPr>
          <w:tab/>
        </w:r>
        <w:r w:rsidR="00F27DA8" w:rsidRPr="001C0E08">
          <w:rPr>
            <w:rStyle w:val="Hyperlink"/>
            <w:noProof/>
          </w:rPr>
          <w:t>Beryllium Activation Results</w:t>
        </w:r>
        <w:r w:rsidR="00F27DA8">
          <w:rPr>
            <w:noProof/>
            <w:webHidden/>
          </w:rPr>
          <w:tab/>
        </w:r>
        <w:r>
          <w:rPr>
            <w:noProof/>
            <w:webHidden/>
          </w:rPr>
          <w:fldChar w:fldCharType="begin"/>
        </w:r>
        <w:r w:rsidR="00F27DA8">
          <w:rPr>
            <w:noProof/>
            <w:webHidden/>
          </w:rPr>
          <w:instrText xml:space="preserve"> PAGEREF _Toc295818144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3"/>
        <w:tabs>
          <w:tab w:val="left" w:pos="1540"/>
          <w:tab w:val="right" w:leader="dot" w:pos="9350"/>
        </w:tabs>
        <w:spacing w:line="276" w:lineRule="auto"/>
        <w:rPr>
          <w:rFonts w:eastAsiaTheme="minorEastAsia" w:cstheme="minorBidi"/>
          <w:i w:val="0"/>
          <w:iCs w:val="0"/>
          <w:noProof/>
          <w:sz w:val="22"/>
          <w:szCs w:val="22"/>
        </w:rPr>
      </w:pPr>
      <w:hyperlink w:anchor="_Toc295818145" w:history="1">
        <w:r w:rsidR="00F27DA8" w:rsidRPr="001C0E08">
          <w:rPr>
            <w:rStyle w:val="Hyperlink"/>
            <w:noProof/>
          </w:rPr>
          <w:t>6.3.1</w:t>
        </w:r>
        <w:r w:rsidR="00F27DA8">
          <w:rPr>
            <w:rFonts w:eastAsiaTheme="minorEastAsia" w:cstheme="minorBidi"/>
            <w:i w:val="0"/>
            <w:iCs w:val="0"/>
            <w:noProof/>
            <w:sz w:val="22"/>
            <w:szCs w:val="22"/>
          </w:rPr>
          <w:tab/>
        </w:r>
        <w:r w:rsidR="00F27DA8" w:rsidRPr="001C0E08">
          <w:rPr>
            <w:rStyle w:val="Hyperlink"/>
            <w:noProof/>
          </w:rPr>
          <w:t>Startup Reactivity Effects Results</w:t>
        </w:r>
        <w:r w:rsidR="00F27DA8">
          <w:rPr>
            <w:noProof/>
            <w:webHidden/>
          </w:rPr>
          <w:tab/>
        </w:r>
        <w:r>
          <w:rPr>
            <w:noProof/>
            <w:webHidden/>
          </w:rPr>
          <w:fldChar w:fldCharType="begin"/>
        </w:r>
        <w:r w:rsidR="00F27DA8">
          <w:rPr>
            <w:noProof/>
            <w:webHidden/>
          </w:rPr>
          <w:instrText xml:space="preserve"> PAGEREF _Toc295818145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3"/>
        <w:tabs>
          <w:tab w:val="left" w:pos="1540"/>
          <w:tab w:val="right" w:leader="dot" w:pos="9350"/>
        </w:tabs>
        <w:spacing w:line="276" w:lineRule="auto"/>
        <w:rPr>
          <w:rFonts w:eastAsiaTheme="minorEastAsia" w:cstheme="minorBidi"/>
          <w:i w:val="0"/>
          <w:iCs w:val="0"/>
          <w:noProof/>
          <w:sz w:val="22"/>
          <w:szCs w:val="22"/>
        </w:rPr>
      </w:pPr>
      <w:hyperlink w:anchor="_Toc295818146" w:history="1">
        <w:r w:rsidR="00F27DA8" w:rsidRPr="001C0E08">
          <w:rPr>
            <w:rStyle w:val="Hyperlink"/>
            <w:noProof/>
          </w:rPr>
          <w:t>6.3.2</w:t>
        </w:r>
        <w:r w:rsidR="00F27DA8">
          <w:rPr>
            <w:rFonts w:eastAsiaTheme="minorEastAsia" w:cstheme="minorBidi"/>
            <w:i w:val="0"/>
            <w:iCs w:val="0"/>
            <w:noProof/>
            <w:sz w:val="22"/>
            <w:szCs w:val="22"/>
          </w:rPr>
          <w:tab/>
        </w:r>
        <w:r w:rsidR="00F27DA8" w:rsidRPr="001C0E08">
          <w:rPr>
            <w:rStyle w:val="Hyperlink"/>
            <w:noProof/>
          </w:rPr>
          <w:t>Nuclear Waste Classification Results</w:t>
        </w:r>
        <w:r w:rsidR="00F27DA8">
          <w:rPr>
            <w:noProof/>
            <w:webHidden/>
          </w:rPr>
          <w:tab/>
        </w:r>
        <w:r>
          <w:rPr>
            <w:noProof/>
            <w:webHidden/>
          </w:rPr>
          <w:fldChar w:fldCharType="begin"/>
        </w:r>
        <w:r w:rsidR="00F27DA8">
          <w:rPr>
            <w:noProof/>
            <w:webHidden/>
          </w:rPr>
          <w:instrText xml:space="preserve"> PAGEREF _Toc295818146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2"/>
        <w:tabs>
          <w:tab w:val="left" w:pos="1100"/>
          <w:tab w:val="right" w:leader="dot" w:pos="9350"/>
        </w:tabs>
        <w:spacing w:line="276" w:lineRule="auto"/>
        <w:rPr>
          <w:rFonts w:eastAsiaTheme="minorEastAsia" w:cstheme="minorBidi"/>
          <w:smallCaps w:val="0"/>
          <w:noProof/>
          <w:sz w:val="22"/>
          <w:szCs w:val="22"/>
        </w:rPr>
      </w:pPr>
      <w:hyperlink w:anchor="_Toc295818147" w:history="1">
        <w:r w:rsidR="00F27DA8" w:rsidRPr="001C0E08">
          <w:rPr>
            <w:rStyle w:val="Hyperlink"/>
            <w:noProof/>
          </w:rPr>
          <w:t>6.4</w:t>
        </w:r>
        <w:r w:rsidR="00F27DA8">
          <w:rPr>
            <w:rFonts w:eastAsiaTheme="minorEastAsia" w:cstheme="minorBidi"/>
            <w:smallCaps w:val="0"/>
            <w:noProof/>
            <w:sz w:val="22"/>
            <w:szCs w:val="22"/>
          </w:rPr>
          <w:tab/>
        </w:r>
        <w:r w:rsidR="00F27DA8" w:rsidRPr="001C0E08">
          <w:rPr>
            <w:rStyle w:val="Hyperlink"/>
            <w:noProof/>
          </w:rPr>
          <w:t>Beryllium Activation Summary</w:t>
        </w:r>
        <w:r w:rsidR="00F27DA8">
          <w:rPr>
            <w:noProof/>
            <w:webHidden/>
          </w:rPr>
          <w:tab/>
        </w:r>
        <w:r>
          <w:rPr>
            <w:noProof/>
            <w:webHidden/>
          </w:rPr>
          <w:fldChar w:fldCharType="begin"/>
        </w:r>
        <w:r w:rsidR="00F27DA8">
          <w:rPr>
            <w:noProof/>
            <w:webHidden/>
          </w:rPr>
          <w:instrText xml:space="preserve"> PAGEREF _Toc295818147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1"/>
        <w:tabs>
          <w:tab w:val="left" w:pos="440"/>
        </w:tabs>
        <w:spacing w:line="276" w:lineRule="auto"/>
        <w:rPr>
          <w:rFonts w:eastAsiaTheme="minorEastAsia" w:cstheme="minorBidi"/>
          <w:b w:val="0"/>
          <w:bCs w:val="0"/>
          <w:caps w:val="0"/>
          <w:noProof/>
          <w:sz w:val="22"/>
          <w:szCs w:val="22"/>
        </w:rPr>
      </w:pPr>
      <w:hyperlink w:anchor="_Toc295818148" w:history="1">
        <w:r w:rsidR="00F27DA8" w:rsidRPr="001C0E08">
          <w:rPr>
            <w:rStyle w:val="Hyperlink"/>
            <w:noProof/>
          </w:rPr>
          <w:t>7</w:t>
        </w:r>
        <w:r w:rsidR="00F27DA8">
          <w:rPr>
            <w:rFonts w:eastAsiaTheme="minorEastAsia" w:cstheme="minorBidi"/>
            <w:b w:val="0"/>
            <w:bCs w:val="0"/>
            <w:caps w:val="0"/>
            <w:noProof/>
            <w:sz w:val="22"/>
            <w:szCs w:val="22"/>
          </w:rPr>
          <w:tab/>
        </w:r>
        <w:r w:rsidR="00F27DA8" w:rsidRPr="001C0E08">
          <w:rPr>
            <w:rStyle w:val="Hyperlink"/>
            <w:noProof/>
          </w:rPr>
          <w:t>Post-Irradiation Curium Target Rod Inventory</w:t>
        </w:r>
        <w:r w:rsidR="00F27DA8">
          <w:rPr>
            <w:noProof/>
            <w:webHidden/>
          </w:rPr>
          <w:tab/>
        </w:r>
        <w:r>
          <w:rPr>
            <w:noProof/>
            <w:webHidden/>
          </w:rPr>
          <w:fldChar w:fldCharType="begin"/>
        </w:r>
        <w:r w:rsidR="00F27DA8">
          <w:rPr>
            <w:noProof/>
            <w:webHidden/>
          </w:rPr>
          <w:instrText xml:space="preserve"> PAGEREF _Toc295818148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2"/>
        <w:tabs>
          <w:tab w:val="left" w:pos="1100"/>
          <w:tab w:val="right" w:leader="dot" w:pos="9350"/>
        </w:tabs>
        <w:spacing w:line="276" w:lineRule="auto"/>
        <w:rPr>
          <w:rFonts w:eastAsiaTheme="minorEastAsia" w:cstheme="minorBidi"/>
          <w:smallCaps w:val="0"/>
          <w:noProof/>
          <w:sz w:val="22"/>
          <w:szCs w:val="22"/>
        </w:rPr>
      </w:pPr>
      <w:hyperlink w:anchor="_Toc295818149" w:history="1">
        <w:r w:rsidR="00F27DA8" w:rsidRPr="001C0E08">
          <w:rPr>
            <w:rStyle w:val="Hyperlink"/>
            <w:noProof/>
          </w:rPr>
          <w:t>7.1</w:t>
        </w:r>
        <w:r w:rsidR="00F27DA8">
          <w:rPr>
            <w:rFonts w:eastAsiaTheme="minorEastAsia" w:cstheme="minorBidi"/>
            <w:smallCaps w:val="0"/>
            <w:noProof/>
            <w:sz w:val="22"/>
            <w:szCs w:val="22"/>
          </w:rPr>
          <w:tab/>
        </w:r>
        <w:r w:rsidR="00F27DA8" w:rsidRPr="001C0E08">
          <w:rPr>
            <w:rStyle w:val="Hyperlink"/>
            <w:noProof/>
          </w:rPr>
          <w:t>Curium Target Information</w:t>
        </w:r>
        <w:r w:rsidR="00F27DA8">
          <w:rPr>
            <w:noProof/>
            <w:webHidden/>
          </w:rPr>
          <w:tab/>
        </w:r>
        <w:r>
          <w:rPr>
            <w:noProof/>
            <w:webHidden/>
          </w:rPr>
          <w:fldChar w:fldCharType="begin"/>
        </w:r>
        <w:r w:rsidR="00F27DA8">
          <w:rPr>
            <w:noProof/>
            <w:webHidden/>
          </w:rPr>
          <w:instrText xml:space="preserve"> PAGEREF _Toc295818149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2"/>
        <w:tabs>
          <w:tab w:val="left" w:pos="1100"/>
          <w:tab w:val="right" w:leader="dot" w:pos="9350"/>
        </w:tabs>
        <w:spacing w:line="276" w:lineRule="auto"/>
        <w:rPr>
          <w:rFonts w:eastAsiaTheme="minorEastAsia" w:cstheme="minorBidi"/>
          <w:smallCaps w:val="0"/>
          <w:noProof/>
          <w:sz w:val="22"/>
          <w:szCs w:val="22"/>
        </w:rPr>
      </w:pPr>
      <w:hyperlink w:anchor="_Toc295818150" w:history="1">
        <w:r w:rsidR="00F27DA8" w:rsidRPr="001C0E08">
          <w:rPr>
            <w:rStyle w:val="Hyperlink"/>
            <w:noProof/>
          </w:rPr>
          <w:t>7.2</w:t>
        </w:r>
        <w:r w:rsidR="00F27DA8">
          <w:rPr>
            <w:rFonts w:eastAsiaTheme="minorEastAsia" w:cstheme="minorBidi"/>
            <w:smallCaps w:val="0"/>
            <w:noProof/>
            <w:sz w:val="22"/>
            <w:szCs w:val="22"/>
          </w:rPr>
          <w:tab/>
        </w:r>
        <w:r w:rsidR="00F27DA8" w:rsidRPr="001C0E08">
          <w:rPr>
            <w:rStyle w:val="Hyperlink"/>
            <w:noProof/>
          </w:rPr>
          <w:t>Computational Methodology</w:t>
        </w:r>
        <w:r w:rsidR="00F27DA8">
          <w:rPr>
            <w:noProof/>
            <w:webHidden/>
          </w:rPr>
          <w:tab/>
        </w:r>
        <w:r>
          <w:rPr>
            <w:noProof/>
            <w:webHidden/>
          </w:rPr>
          <w:fldChar w:fldCharType="begin"/>
        </w:r>
        <w:r w:rsidR="00F27DA8">
          <w:rPr>
            <w:noProof/>
            <w:webHidden/>
          </w:rPr>
          <w:instrText xml:space="preserve"> PAGEREF _Toc295818150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2"/>
        <w:tabs>
          <w:tab w:val="left" w:pos="1100"/>
          <w:tab w:val="right" w:leader="dot" w:pos="9350"/>
        </w:tabs>
        <w:spacing w:line="276" w:lineRule="auto"/>
        <w:rPr>
          <w:rFonts w:eastAsiaTheme="minorEastAsia" w:cstheme="minorBidi"/>
          <w:smallCaps w:val="0"/>
          <w:noProof/>
          <w:sz w:val="22"/>
          <w:szCs w:val="22"/>
        </w:rPr>
      </w:pPr>
      <w:hyperlink w:anchor="_Toc295818151" w:history="1">
        <w:r w:rsidR="00F27DA8" w:rsidRPr="001C0E08">
          <w:rPr>
            <w:rStyle w:val="Hyperlink"/>
            <w:noProof/>
          </w:rPr>
          <w:t>7.3</w:t>
        </w:r>
        <w:r w:rsidR="00F27DA8">
          <w:rPr>
            <w:rFonts w:eastAsiaTheme="minorEastAsia" w:cstheme="minorBidi"/>
            <w:smallCaps w:val="0"/>
            <w:noProof/>
            <w:sz w:val="22"/>
            <w:szCs w:val="22"/>
          </w:rPr>
          <w:tab/>
        </w:r>
        <w:r w:rsidR="00F27DA8" w:rsidRPr="001C0E08">
          <w:rPr>
            <w:rStyle w:val="Hyperlink"/>
            <w:noProof/>
          </w:rPr>
          <w:t>Curium Target Results</w:t>
        </w:r>
        <w:r w:rsidR="00F27DA8">
          <w:rPr>
            <w:noProof/>
            <w:webHidden/>
          </w:rPr>
          <w:tab/>
        </w:r>
        <w:r>
          <w:rPr>
            <w:noProof/>
            <w:webHidden/>
          </w:rPr>
          <w:fldChar w:fldCharType="begin"/>
        </w:r>
        <w:r w:rsidR="00F27DA8">
          <w:rPr>
            <w:noProof/>
            <w:webHidden/>
          </w:rPr>
          <w:instrText xml:space="preserve"> PAGEREF _Toc295818151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2"/>
        <w:tabs>
          <w:tab w:val="left" w:pos="1100"/>
          <w:tab w:val="right" w:leader="dot" w:pos="9350"/>
        </w:tabs>
        <w:spacing w:line="276" w:lineRule="auto"/>
        <w:rPr>
          <w:rFonts w:eastAsiaTheme="minorEastAsia" w:cstheme="minorBidi"/>
          <w:smallCaps w:val="0"/>
          <w:noProof/>
          <w:sz w:val="22"/>
          <w:szCs w:val="22"/>
        </w:rPr>
      </w:pPr>
      <w:hyperlink w:anchor="_Toc295818152" w:history="1">
        <w:r w:rsidR="00F27DA8" w:rsidRPr="001C0E08">
          <w:rPr>
            <w:rStyle w:val="Hyperlink"/>
            <w:noProof/>
          </w:rPr>
          <w:t>7.4</w:t>
        </w:r>
        <w:r w:rsidR="00F27DA8">
          <w:rPr>
            <w:rFonts w:eastAsiaTheme="minorEastAsia" w:cstheme="minorBidi"/>
            <w:smallCaps w:val="0"/>
            <w:noProof/>
            <w:sz w:val="22"/>
            <w:szCs w:val="22"/>
          </w:rPr>
          <w:tab/>
        </w:r>
        <w:r w:rsidR="00F27DA8" w:rsidRPr="001C0E08">
          <w:rPr>
            <w:rStyle w:val="Hyperlink"/>
            <w:noProof/>
          </w:rPr>
          <w:t>Curium Target Summary</w:t>
        </w:r>
        <w:r w:rsidR="00F27DA8">
          <w:rPr>
            <w:noProof/>
            <w:webHidden/>
          </w:rPr>
          <w:tab/>
        </w:r>
        <w:r>
          <w:rPr>
            <w:noProof/>
            <w:webHidden/>
          </w:rPr>
          <w:fldChar w:fldCharType="begin"/>
        </w:r>
        <w:r w:rsidR="00F27DA8">
          <w:rPr>
            <w:noProof/>
            <w:webHidden/>
          </w:rPr>
          <w:instrText xml:space="preserve"> PAGEREF _Toc295818152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1"/>
        <w:tabs>
          <w:tab w:val="left" w:pos="440"/>
        </w:tabs>
        <w:spacing w:line="276" w:lineRule="auto"/>
        <w:rPr>
          <w:rFonts w:eastAsiaTheme="minorEastAsia" w:cstheme="minorBidi"/>
          <w:b w:val="0"/>
          <w:bCs w:val="0"/>
          <w:caps w:val="0"/>
          <w:noProof/>
          <w:sz w:val="22"/>
          <w:szCs w:val="22"/>
        </w:rPr>
      </w:pPr>
      <w:hyperlink w:anchor="_Toc295818153" w:history="1">
        <w:r w:rsidR="00F27DA8" w:rsidRPr="001C0E08">
          <w:rPr>
            <w:rStyle w:val="Hyperlink"/>
            <w:noProof/>
          </w:rPr>
          <w:t>8</w:t>
        </w:r>
        <w:r w:rsidR="00F27DA8">
          <w:rPr>
            <w:rFonts w:eastAsiaTheme="minorEastAsia" w:cstheme="minorBidi"/>
            <w:b w:val="0"/>
            <w:bCs w:val="0"/>
            <w:caps w:val="0"/>
            <w:noProof/>
            <w:sz w:val="22"/>
            <w:szCs w:val="22"/>
          </w:rPr>
          <w:tab/>
        </w:r>
        <w:r w:rsidR="00F27DA8" w:rsidRPr="001C0E08">
          <w:rPr>
            <w:rStyle w:val="Hyperlink"/>
            <w:noProof/>
          </w:rPr>
          <w:t>Hydraulic Tube Rabbit Ejections and Point-Kinetics</w:t>
        </w:r>
        <w:r w:rsidR="00F27DA8">
          <w:rPr>
            <w:noProof/>
            <w:webHidden/>
          </w:rPr>
          <w:tab/>
        </w:r>
        <w:r>
          <w:rPr>
            <w:noProof/>
            <w:webHidden/>
          </w:rPr>
          <w:fldChar w:fldCharType="begin"/>
        </w:r>
        <w:r w:rsidR="00F27DA8">
          <w:rPr>
            <w:noProof/>
            <w:webHidden/>
          </w:rPr>
          <w:instrText xml:space="preserve"> PAGEREF _Toc295818153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2"/>
        <w:tabs>
          <w:tab w:val="left" w:pos="1100"/>
          <w:tab w:val="right" w:leader="dot" w:pos="9350"/>
        </w:tabs>
        <w:spacing w:line="276" w:lineRule="auto"/>
        <w:rPr>
          <w:rFonts w:eastAsiaTheme="minorEastAsia" w:cstheme="minorBidi"/>
          <w:smallCaps w:val="0"/>
          <w:noProof/>
          <w:sz w:val="22"/>
          <w:szCs w:val="22"/>
        </w:rPr>
      </w:pPr>
      <w:hyperlink w:anchor="_Toc295818154" w:history="1">
        <w:r w:rsidR="00F27DA8" w:rsidRPr="001C0E08">
          <w:rPr>
            <w:rStyle w:val="Hyperlink"/>
            <w:noProof/>
          </w:rPr>
          <w:t>8.1</w:t>
        </w:r>
        <w:r w:rsidR="00F27DA8">
          <w:rPr>
            <w:rFonts w:eastAsiaTheme="minorEastAsia" w:cstheme="minorBidi"/>
            <w:smallCaps w:val="0"/>
            <w:noProof/>
            <w:sz w:val="22"/>
            <w:szCs w:val="22"/>
          </w:rPr>
          <w:tab/>
        </w:r>
        <w:r w:rsidR="00F27DA8" w:rsidRPr="001C0E08">
          <w:rPr>
            <w:rStyle w:val="Hyperlink"/>
            <w:noProof/>
          </w:rPr>
          <w:t>Rabbit Ejection Information</w:t>
        </w:r>
        <w:r w:rsidR="00F27DA8">
          <w:rPr>
            <w:noProof/>
            <w:webHidden/>
          </w:rPr>
          <w:tab/>
        </w:r>
        <w:r>
          <w:rPr>
            <w:noProof/>
            <w:webHidden/>
          </w:rPr>
          <w:fldChar w:fldCharType="begin"/>
        </w:r>
        <w:r w:rsidR="00F27DA8">
          <w:rPr>
            <w:noProof/>
            <w:webHidden/>
          </w:rPr>
          <w:instrText xml:space="preserve"> PAGEREF _Toc295818154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2"/>
        <w:tabs>
          <w:tab w:val="left" w:pos="1100"/>
          <w:tab w:val="right" w:leader="dot" w:pos="9350"/>
        </w:tabs>
        <w:spacing w:line="276" w:lineRule="auto"/>
        <w:rPr>
          <w:rFonts w:eastAsiaTheme="minorEastAsia" w:cstheme="minorBidi"/>
          <w:smallCaps w:val="0"/>
          <w:noProof/>
          <w:sz w:val="22"/>
          <w:szCs w:val="22"/>
        </w:rPr>
      </w:pPr>
      <w:hyperlink w:anchor="_Toc295818155" w:history="1">
        <w:r w:rsidR="00F27DA8" w:rsidRPr="001C0E08">
          <w:rPr>
            <w:rStyle w:val="Hyperlink"/>
            <w:noProof/>
          </w:rPr>
          <w:t>8.2</w:t>
        </w:r>
        <w:r w:rsidR="00F27DA8">
          <w:rPr>
            <w:rFonts w:eastAsiaTheme="minorEastAsia" w:cstheme="minorBidi"/>
            <w:smallCaps w:val="0"/>
            <w:noProof/>
            <w:sz w:val="22"/>
            <w:szCs w:val="22"/>
          </w:rPr>
          <w:tab/>
        </w:r>
        <w:r w:rsidR="00F27DA8" w:rsidRPr="001C0E08">
          <w:rPr>
            <w:rStyle w:val="Hyperlink"/>
            <w:noProof/>
          </w:rPr>
          <w:t>Development of ODEs</w:t>
        </w:r>
        <w:r w:rsidR="00F27DA8">
          <w:rPr>
            <w:noProof/>
            <w:webHidden/>
          </w:rPr>
          <w:tab/>
        </w:r>
        <w:r>
          <w:rPr>
            <w:noProof/>
            <w:webHidden/>
          </w:rPr>
          <w:fldChar w:fldCharType="begin"/>
        </w:r>
        <w:r w:rsidR="00F27DA8">
          <w:rPr>
            <w:noProof/>
            <w:webHidden/>
          </w:rPr>
          <w:instrText xml:space="preserve"> PAGEREF _Toc295818155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2"/>
        <w:tabs>
          <w:tab w:val="left" w:pos="1100"/>
          <w:tab w:val="right" w:leader="dot" w:pos="9350"/>
        </w:tabs>
        <w:spacing w:line="276" w:lineRule="auto"/>
        <w:rPr>
          <w:rFonts w:eastAsiaTheme="minorEastAsia" w:cstheme="minorBidi"/>
          <w:smallCaps w:val="0"/>
          <w:noProof/>
          <w:sz w:val="22"/>
          <w:szCs w:val="22"/>
        </w:rPr>
      </w:pPr>
      <w:hyperlink w:anchor="_Toc295818157" w:history="1">
        <w:r w:rsidR="00F27DA8" w:rsidRPr="001C0E08">
          <w:rPr>
            <w:rStyle w:val="Hyperlink"/>
            <w:noProof/>
          </w:rPr>
          <w:t>8.3</w:t>
        </w:r>
        <w:r w:rsidR="00F27DA8">
          <w:rPr>
            <w:rFonts w:eastAsiaTheme="minorEastAsia" w:cstheme="minorBidi"/>
            <w:smallCaps w:val="0"/>
            <w:noProof/>
            <w:sz w:val="22"/>
            <w:szCs w:val="22"/>
          </w:rPr>
          <w:tab/>
        </w:r>
        <w:r w:rsidR="00F27DA8" w:rsidRPr="001C0E08">
          <w:rPr>
            <w:rStyle w:val="Hyperlink"/>
            <w:noProof/>
          </w:rPr>
          <w:t>Point-Kinetics Methodology</w:t>
        </w:r>
        <w:r w:rsidR="00F27DA8">
          <w:rPr>
            <w:noProof/>
            <w:webHidden/>
          </w:rPr>
          <w:tab/>
        </w:r>
        <w:r>
          <w:rPr>
            <w:noProof/>
            <w:webHidden/>
          </w:rPr>
          <w:fldChar w:fldCharType="begin"/>
        </w:r>
        <w:r w:rsidR="00F27DA8">
          <w:rPr>
            <w:noProof/>
            <w:webHidden/>
          </w:rPr>
          <w:instrText xml:space="preserve"> PAGEREF _Toc295818157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2"/>
        <w:tabs>
          <w:tab w:val="left" w:pos="1100"/>
          <w:tab w:val="right" w:leader="dot" w:pos="9350"/>
        </w:tabs>
        <w:spacing w:line="276" w:lineRule="auto"/>
        <w:rPr>
          <w:rFonts w:eastAsiaTheme="minorEastAsia" w:cstheme="minorBidi"/>
          <w:smallCaps w:val="0"/>
          <w:noProof/>
          <w:sz w:val="22"/>
          <w:szCs w:val="22"/>
        </w:rPr>
      </w:pPr>
      <w:hyperlink w:anchor="_Toc295818158" w:history="1">
        <w:r w:rsidR="00F27DA8" w:rsidRPr="001C0E08">
          <w:rPr>
            <w:rStyle w:val="Hyperlink"/>
            <w:noProof/>
          </w:rPr>
          <w:t>8.4</w:t>
        </w:r>
        <w:r w:rsidR="00F27DA8">
          <w:rPr>
            <w:rFonts w:eastAsiaTheme="minorEastAsia" w:cstheme="minorBidi"/>
            <w:smallCaps w:val="0"/>
            <w:noProof/>
            <w:sz w:val="22"/>
            <w:szCs w:val="22"/>
          </w:rPr>
          <w:tab/>
        </w:r>
        <w:r w:rsidR="00F27DA8" w:rsidRPr="001C0E08">
          <w:rPr>
            <w:rStyle w:val="Hyperlink"/>
            <w:noProof/>
          </w:rPr>
          <w:t>Point-Kinetics Results</w:t>
        </w:r>
        <w:r w:rsidR="00F27DA8">
          <w:rPr>
            <w:noProof/>
            <w:webHidden/>
          </w:rPr>
          <w:tab/>
        </w:r>
        <w:r>
          <w:rPr>
            <w:noProof/>
            <w:webHidden/>
          </w:rPr>
          <w:fldChar w:fldCharType="begin"/>
        </w:r>
        <w:r w:rsidR="00F27DA8">
          <w:rPr>
            <w:noProof/>
            <w:webHidden/>
          </w:rPr>
          <w:instrText xml:space="preserve"> PAGEREF _Toc295818158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2"/>
        <w:tabs>
          <w:tab w:val="left" w:pos="1100"/>
          <w:tab w:val="right" w:leader="dot" w:pos="9350"/>
        </w:tabs>
        <w:spacing w:line="276" w:lineRule="auto"/>
        <w:rPr>
          <w:rFonts w:eastAsiaTheme="minorEastAsia" w:cstheme="minorBidi"/>
          <w:smallCaps w:val="0"/>
          <w:noProof/>
          <w:sz w:val="22"/>
          <w:szCs w:val="22"/>
        </w:rPr>
      </w:pPr>
      <w:hyperlink w:anchor="_Toc295818159" w:history="1">
        <w:r w:rsidR="00F27DA8" w:rsidRPr="001C0E08">
          <w:rPr>
            <w:rStyle w:val="Hyperlink"/>
            <w:noProof/>
          </w:rPr>
          <w:t>8.5</w:t>
        </w:r>
        <w:r w:rsidR="00F27DA8">
          <w:rPr>
            <w:rFonts w:eastAsiaTheme="minorEastAsia" w:cstheme="minorBidi"/>
            <w:smallCaps w:val="0"/>
            <w:noProof/>
            <w:sz w:val="22"/>
            <w:szCs w:val="22"/>
          </w:rPr>
          <w:tab/>
        </w:r>
        <w:r w:rsidR="00F27DA8" w:rsidRPr="001C0E08">
          <w:rPr>
            <w:rStyle w:val="Hyperlink"/>
            <w:noProof/>
          </w:rPr>
          <w:t>Point-Kinetics Summary</w:t>
        </w:r>
        <w:r w:rsidR="00F27DA8">
          <w:rPr>
            <w:noProof/>
            <w:webHidden/>
          </w:rPr>
          <w:tab/>
        </w:r>
        <w:r>
          <w:rPr>
            <w:noProof/>
            <w:webHidden/>
          </w:rPr>
          <w:fldChar w:fldCharType="begin"/>
        </w:r>
        <w:r w:rsidR="00F27DA8">
          <w:rPr>
            <w:noProof/>
            <w:webHidden/>
          </w:rPr>
          <w:instrText xml:space="preserve"> PAGEREF _Toc295818159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1"/>
        <w:tabs>
          <w:tab w:val="left" w:pos="440"/>
        </w:tabs>
        <w:spacing w:line="276" w:lineRule="auto"/>
        <w:rPr>
          <w:rFonts w:eastAsiaTheme="minorEastAsia" w:cstheme="minorBidi"/>
          <w:b w:val="0"/>
          <w:bCs w:val="0"/>
          <w:caps w:val="0"/>
          <w:noProof/>
          <w:sz w:val="22"/>
          <w:szCs w:val="22"/>
        </w:rPr>
      </w:pPr>
      <w:hyperlink w:anchor="_Toc295818160" w:history="1">
        <w:r w:rsidR="00F27DA8" w:rsidRPr="001C0E08">
          <w:rPr>
            <w:rStyle w:val="Hyperlink"/>
            <w:noProof/>
          </w:rPr>
          <w:t>9</w:t>
        </w:r>
        <w:r w:rsidR="00F27DA8">
          <w:rPr>
            <w:rFonts w:eastAsiaTheme="minorEastAsia" w:cstheme="minorBidi"/>
            <w:b w:val="0"/>
            <w:bCs w:val="0"/>
            <w:caps w:val="0"/>
            <w:noProof/>
            <w:sz w:val="22"/>
            <w:szCs w:val="22"/>
          </w:rPr>
          <w:tab/>
        </w:r>
        <w:r w:rsidR="00F27DA8" w:rsidRPr="001C0E08">
          <w:rPr>
            <w:rStyle w:val="Hyperlink"/>
            <w:noProof/>
          </w:rPr>
          <w:t>Two-Dimensional BOC Static Flux Distributions</w:t>
        </w:r>
        <w:r w:rsidR="00F27DA8">
          <w:rPr>
            <w:noProof/>
            <w:webHidden/>
          </w:rPr>
          <w:tab/>
        </w:r>
        <w:r>
          <w:rPr>
            <w:noProof/>
            <w:webHidden/>
          </w:rPr>
          <w:fldChar w:fldCharType="begin"/>
        </w:r>
        <w:r w:rsidR="00F27DA8">
          <w:rPr>
            <w:noProof/>
            <w:webHidden/>
          </w:rPr>
          <w:instrText xml:space="preserve"> PAGEREF _Toc295818160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2"/>
        <w:tabs>
          <w:tab w:val="left" w:pos="1100"/>
          <w:tab w:val="right" w:leader="dot" w:pos="9350"/>
        </w:tabs>
        <w:spacing w:line="276" w:lineRule="auto"/>
        <w:rPr>
          <w:rFonts w:eastAsiaTheme="minorEastAsia" w:cstheme="minorBidi"/>
          <w:smallCaps w:val="0"/>
          <w:noProof/>
          <w:sz w:val="22"/>
          <w:szCs w:val="22"/>
        </w:rPr>
      </w:pPr>
      <w:hyperlink w:anchor="_Toc295818161" w:history="1">
        <w:r w:rsidR="00F27DA8" w:rsidRPr="001C0E08">
          <w:rPr>
            <w:rStyle w:val="Hyperlink"/>
            <w:noProof/>
          </w:rPr>
          <w:t>9.1</w:t>
        </w:r>
        <w:r w:rsidR="00F27DA8">
          <w:rPr>
            <w:rFonts w:eastAsiaTheme="minorEastAsia" w:cstheme="minorBidi"/>
            <w:smallCaps w:val="0"/>
            <w:noProof/>
            <w:sz w:val="22"/>
            <w:szCs w:val="22"/>
          </w:rPr>
          <w:tab/>
        </w:r>
        <w:r w:rsidR="00F27DA8" w:rsidRPr="001C0E08">
          <w:rPr>
            <w:rStyle w:val="Hyperlink"/>
            <w:noProof/>
          </w:rPr>
          <w:t>NEWT Model Development</w:t>
        </w:r>
        <w:r w:rsidR="00F27DA8">
          <w:rPr>
            <w:noProof/>
            <w:webHidden/>
          </w:rPr>
          <w:tab/>
        </w:r>
        <w:r>
          <w:rPr>
            <w:noProof/>
            <w:webHidden/>
          </w:rPr>
          <w:fldChar w:fldCharType="begin"/>
        </w:r>
        <w:r w:rsidR="00F27DA8">
          <w:rPr>
            <w:noProof/>
            <w:webHidden/>
          </w:rPr>
          <w:instrText xml:space="preserve"> PAGEREF _Toc295818161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2"/>
        <w:tabs>
          <w:tab w:val="left" w:pos="1100"/>
          <w:tab w:val="right" w:leader="dot" w:pos="9350"/>
        </w:tabs>
        <w:spacing w:line="276" w:lineRule="auto"/>
        <w:rPr>
          <w:rFonts w:eastAsiaTheme="minorEastAsia" w:cstheme="minorBidi"/>
          <w:smallCaps w:val="0"/>
          <w:noProof/>
          <w:sz w:val="22"/>
          <w:szCs w:val="22"/>
        </w:rPr>
      </w:pPr>
      <w:hyperlink w:anchor="_Toc295818162" w:history="1">
        <w:r w:rsidR="00F27DA8" w:rsidRPr="001C0E08">
          <w:rPr>
            <w:rStyle w:val="Hyperlink"/>
            <w:noProof/>
          </w:rPr>
          <w:t>9.2</w:t>
        </w:r>
        <w:r w:rsidR="00F27DA8">
          <w:rPr>
            <w:rFonts w:eastAsiaTheme="minorEastAsia" w:cstheme="minorBidi"/>
            <w:smallCaps w:val="0"/>
            <w:noProof/>
            <w:sz w:val="22"/>
            <w:szCs w:val="22"/>
          </w:rPr>
          <w:tab/>
        </w:r>
        <w:r w:rsidR="00F27DA8" w:rsidRPr="001C0E08">
          <w:rPr>
            <w:rStyle w:val="Hyperlink"/>
            <w:noProof/>
          </w:rPr>
          <w:t>Derivation of Diffusion Theory</w:t>
        </w:r>
        <w:r w:rsidR="00F27DA8">
          <w:rPr>
            <w:noProof/>
            <w:webHidden/>
          </w:rPr>
          <w:tab/>
        </w:r>
        <w:r>
          <w:rPr>
            <w:noProof/>
            <w:webHidden/>
          </w:rPr>
          <w:fldChar w:fldCharType="begin"/>
        </w:r>
        <w:r w:rsidR="00F27DA8">
          <w:rPr>
            <w:noProof/>
            <w:webHidden/>
          </w:rPr>
          <w:instrText xml:space="preserve"> PAGEREF _Toc295818162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2"/>
        <w:tabs>
          <w:tab w:val="left" w:pos="1100"/>
          <w:tab w:val="right" w:leader="dot" w:pos="9350"/>
        </w:tabs>
        <w:spacing w:line="276" w:lineRule="auto"/>
        <w:rPr>
          <w:rFonts w:eastAsiaTheme="minorEastAsia" w:cstheme="minorBidi"/>
          <w:smallCaps w:val="0"/>
          <w:noProof/>
          <w:sz w:val="22"/>
          <w:szCs w:val="22"/>
        </w:rPr>
      </w:pPr>
      <w:hyperlink w:anchor="_Toc295818163" w:history="1">
        <w:r w:rsidR="00F27DA8" w:rsidRPr="001C0E08">
          <w:rPr>
            <w:rStyle w:val="Hyperlink"/>
            <w:noProof/>
          </w:rPr>
          <w:t>9.3</w:t>
        </w:r>
        <w:r w:rsidR="00F27DA8">
          <w:rPr>
            <w:rFonts w:eastAsiaTheme="minorEastAsia" w:cstheme="minorBidi"/>
            <w:smallCaps w:val="0"/>
            <w:noProof/>
            <w:sz w:val="22"/>
            <w:szCs w:val="22"/>
          </w:rPr>
          <w:tab/>
        </w:r>
        <w:r w:rsidR="00F27DA8" w:rsidRPr="001C0E08">
          <w:rPr>
            <w:rStyle w:val="Hyperlink"/>
            <w:noProof/>
          </w:rPr>
          <w:t>COMSOL Model Development</w:t>
        </w:r>
        <w:r w:rsidR="00F27DA8">
          <w:rPr>
            <w:noProof/>
            <w:webHidden/>
          </w:rPr>
          <w:tab/>
        </w:r>
        <w:r>
          <w:rPr>
            <w:noProof/>
            <w:webHidden/>
          </w:rPr>
          <w:fldChar w:fldCharType="begin"/>
        </w:r>
        <w:r w:rsidR="00F27DA8">
          <w:rPr>
            <w:noProof/>
            <w:webHidden/>
          </w:rPr>
          <w:instrText xml:space="preserve"> PAGEREF _Toc295818163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2"/>
        <w:tabs>
          <w:tab w:val="left" w:pos="1100"/>
          <w:tab w:val="right" w:leader="dot" w:pos="9350"/>
        </w:tabs>
        <w:spacing w:line="276" w:lineRule="auto"/>
        <w:rPr>
          <w:rFonts w:eastAsiaTheme="minorEastAsia" w:cstheme="minorBidi"/>
          <w:smallCaps w:val="0"/>
          <w:noProof/>
          <w:sz w:val="22"/>
          <w:szCs w:val="22"/>
        </w:rPr>
      </w:pPr>
      <w:hyperlink w:anchor="_Toc295818164" w:history="1">
        <w:r w:rsidR="00F27DA8" w:rsidRPr="001C0E08">
          <w:rPr>
            <w:rStyle w:val="Hyperlink"/>
            <w:noProof/>
          </w:rPr>
          <w:t>9.4</w:t>
        </w:r>
        <w:r w:rsidR="00F27DA8">
          <w:rPr>
            <w:rFonts w:eastAsiaTheme="minorEastAsia" w:cstheme="minorBidi"/>
            <w:smallCaps w:val="0"/>
            <w:noProof/>
            <w:sz w:val="22"/>
            <w:szCs w:val="22"/>
          </w:rPr>
          <w:tab/>
        </w:r>
        <w:r w:rsidR="00F27DA8" w:rsidRPr="001C0E08">
          <w:rPr>
            <w:rStyle w:val="Hyperlink"/>
            <w:noProof/>
          </w:rPr>
          <w:t>NEWT/COMSOL Two-Group Flux Results</w:t>
        </w:r>
        <w:r w:rsidR="00F27DA8">
          <w:rPr>
            <w:noProof/>
            <w:webHidden/>
          </w:rPr>
          <w:tab/>
        </w:r>
        <w:r>
          <w:rPr>
            <w:noProof/>
            <w:webHidden/>
          </w:rPr>
          <w:fldChar w:fldCharType="begin"/>
        </w:r>
        <w:r w:rsidR="00F27DA8">
          <w:rPr>
            <w:noProof/>
            <w:webHidden/>
          </w:rPr>
          <w:instrText xml:space="preserve"> PAGEREF _Toc295818164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1"/>
        <w:tabs>
          <w:tab w:val="left" w:pos="440"/>
        </w:tabs>
        <w:spacing w:line="276" w:lineRule="auto"/>
        <w:rPr>
          <w:rFonts w:eastAsiaTheme="minorEastAsia" w:cstheme="minorBidi"/>
          <w:b w:val="0"/>
          <w:bCs w:val="0"/>
          <w:caps w:val="0"/>
          <w:noProof/>
          <w:sz w:val="22"/>
          <w:szCs w:val="22"/>
        </w:rPr>
      </w:pPr>
      <w:hyperlink w:anchor="_Toc295818165" w:history="1">
        <w:r w:rsidR="00F27DA8" w:rsidRPr="001C0E08">
          <w:rPr>
            <w:rStyle w:val="Hyperlink"/>
            <w:noProof/>
          </w:rPr>
          <w:t>10</w:t>
        </w:r>
        <w:r w:rsidR="00F27DA8">
          <w:rPr>
            <w:rFonts w:eastAsiaTheme="minorEastAsia" w:cstheme="minorBidi"/>
            <w:b w:val="0"/>
            <w:bCs w:val="0"/>
            <w:caps w:val="0"/>
            <w:noProof/>
            <w:sz w:val="22"/>
            <w:szCs w:val="22"/>
          </w:rPr>
          <w:tab/>
        </w:r>
        <w:r w:rsidR="00F27DA8" w:rsidRPr="001C0E08">
          <w:rPr>
            <w:rStyle w:val="Hyperlink"/>
            <w:noProof/>
          </w:rPr>
          <w:t>Spatially-Dependent Reactor Kinetics</w:t>
        </w:r>
        <w:r w:rsidR="00F27DA8">
          <w:rPr>
            <w:noProof/>
            <w:webHidden/>
          </w:rPr>
          <w:tab/>
        </w:r>
        <w:r>
          <w:rPr>
            <w:noProof/>
            <w:webHidden/>
          </w:rPr>
          <w:fldChar w:fldCharType="begin"/>
        </w:r>
        <w:r w:rsidR="00F27DA8">
          <w:rPr>
            <w:noProof/>
            <w:webHidden/>
          </w:rPr>
          <w:instrText xml:space="preserve"> PAGEREF _Toc295818165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2"/>
        <w:tabs>
          <w:tab w:val="left" w:pos="1320"/>
          <w:tab w:val="right" w:leader="dot" w:pos="9350"/>
        </w:tabs>
        <w:spacing w:line="276" w:lineRule="auto"/>
        <w:rPr>
          <w:rFonts w:eastAsiaTheme="minorEastAsia" w:cstheme="minorBidi"/>
          <w:smallCaps w:val="0"/>
          <w:noProof/>
          <w:sz w:val="22"/>
          <w:szCs w:val="22"/>
        </w:rPr>
      </w:pPr>
      <w:hyperlink w:anchor="_Toc295818166" w:history="1">
        <w:r w:rsidR="00F27DA8" w:rsidRPr="001C0E08">
          <w:rPr>
            <w:rStyle w:val="Hyperlink"/>
            <w:noProof/>
          </w:rPr>
          <w:t>10.1</w:t>
        </w:r>
        <w:r w:rsidR="00F27DA8">
          <w:rPr>
            <w:rFonts w:eastAsiaTheme="minorEastAsia" w:cstheme="minorBidi"/>
            <w:smallCaps w:val="0"/>
            <w:noProof/>
            <w:sz w:val="22"/>
            <w:szCs w:val="22"/>
          </w:rPr>
          <w:tab/>
        </w:r>
        <w:r w:rsidR="00F27DA8" w:rsidRPr="001C0E08">
          <w:rPr>
            <w:rStyle w:val="Hyperlink"/>
            <w:noProof/>
          </w:rPr>
          <w:t>Computational Methodology</w:t>
        </w:r>
        <w:r w:rsidR="00F27DA8">
          <w:rPr>
            <w:noProof/>
            <w:webHidden/>
          </w:rPr>
          <w:tab/>
        </w:r>
        <w:r>
          <w:rPr>
            <w:noProof/>
            <w:webHidden/>
          </w:rPr>
          <w:fldChar w:fldCharType="begin"/>
        </w:r>
        <w:r w:rsidR="00F27DA8">
          <w:rPr>
            <w:noProof/>
            <w:webHidden/>
          </w:rPr>
          <w:instrText xml:space="preserve"> PAGEREF _Toc295818166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2"/>
        <w:tabs>
          <w:tab w:val="left" w:pos="1320"/>
          <w:tab w:val="right" w:leader="dot" w:pos="9350"/>
        </w:tabs>
        <w:spacing w:line="276" w:lineRule="auto"/>
        <w:rPr>
          <w:rFonts w:eastAsiaTheme="minorEastAsia" w:cstheme="minorBidi"/>
          <w:smallCaps w:val="0"/>
          <w:noProof/>
          <w:sz w:val="22"/>
          <w:szCs w:val="22"/>
        </w:rPr>
      </w:pPr>
      <w:hyperlink w:anchor="_Toc295818167" w:history="1">
        <w:r w:rsidR="00F27DA8" w:rsidRPr="001C0E08">
          <w:rPr>
            <w:rStyle w:val="Hyperlink"/>
            <w:noProof/>
          </w:rPr>
          <w:t>10.2</w:t>
        </w:r>
        <w:r w:rsidR="00F27DA8">
          <w:rPr>
            <w:rFonts w:eastAsiaTheme="minorEastAsia" w:cstheme="minorBidi"/>
            <w:smallCaps w:val="0"/>
            <w:noProof/>
            <w:sz w:val="22"/>
            <w:szCs w:val="22"/>
          </w:rPr>
          <w:tab/>
        </w:r>
        <w:r w:rsidR="00F27DA8" w:rsidRPr="001C0E08">
          <w:rPr>
            <w:rStyle w:val="Hyperlink"/>
            <w:noProof/>
          </w:rPr>
          <w:t>Control Cylinder Ejection Accident</w:t>
        </w:r>
        <w:r w:rsidR="00F27DA8">
          <w:rPr>
            <w:noProof/>
            <w:webHidden/>
          </w:rPr>
          <w:tab/>
        </w:r>
        <w:r>
          <w:rPr>
            <w:noProof/>
            <w:webHidden/>
          </w:rPr>
          <w:fldChar w:fldCharType="begin"/>
        </w:r>
        <w:r w:rsidR="00F27DA8">
          <w:rPr>
            <w:noProof/>
            <w:webHidden/>
          </w:rPr>
          <w:instrText xml:space="preserve"> PAGEREF _Toc295818167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3"/>
        <w:tabs>
          <w:tab w:val="left" w:pos="1540"/>
          <w:tab w:val="right" w:leader="dot" w:pos="9350"/>
        </w:tabs>
        <w:spacing w:line="276" w:lineRule="auto"/>
        <w:rPr>
          <w:rFonts w:eastAsiaTheme="minorEastAsia" w:cstheme="minorBidi"/>
          <w:i w:val="0"/>
          <w:iCs w:val="0"/>
          <w:noProof/>
          <w:sz w:val="22"/>
          <w:szCs w:val="22"/>
        </w:rPr>
      </w:pPr>
      <w:hyperlink w:anchor="_Toc295818168" w:history="1">
        <w:r w:rsidR="00F27DA8" w:rsidRPr="001C0E08">
          <w:rPr>
            <w:rStyle w:val="Hyperlink"/>
            <w:noProof/>
          </w:rPr>
          <w:t>10.2.1</w:t>
        </w:r>
        <w:r w:rsidR="00F27DA8">
          <w:rPr>
            <w:rFonts w:eastAsiaTheme="minorEastAsia" w:cstheme="minorBidi"/>
            <w:i w:val="0"/>
            <w:iCs w:val="0"/>
            <w:noProof/>
            <w:sz w:val="22"/>
            <w:szCs w:val="22"/>
          </w:rPr>
          <w:tab/>
        </w:r>
        <w:r w:rsidR="00F27DA8" w:rsidRPr="001C0E08">
          <w:rPr>
            <w:rStyle w:val="Hyperlink"/>
            <w:noProof/>
          </w:rPr>
          <w:t>Control Cylinder Ejection Methodology</w:t>
        </w:r>
        <w:r w:rsidR="00F27DA8">
          <w:rPr>
            <w:noProof/>
            <w:webHidden/>
          </w:rPr>
          <w:tab/>
        </w:r>
        <w:r>
          <w:rPr>
            <w:noProof/>
            <w:webHidden/>
          </w:rPr>
          <w:fldChar w:fldCharType="begin"/>
        </w:r>
        <w:r w:rsidR="00F27DA8">
          <w:rPr>
            <w:noProof/>
            <w:webHidden/>
          </w:rPr>
          <w:instrText xml:space="preserve"> PAGEREF _Toc295818168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3"/>
        <w:tabs>
          <w:tab w:val="left" w:pos="1540"/>
          <w:tab w:val="right" w:leader="dot" w:pos="9350"/>
        </w:tabs>
        <w:spacing w:line="276" w:lineRule="auto"/>
        <w:rPr>
          <w:rFonts w:eastAsiaTheme="minorEastAsia" w:cstheme="minorBidi"/>
          <w:i w:val="0"/>
          <w:iCs w:val="0"/>
          <w:noProof/>
          <w:sz w:val="22"/>
          <w:szCs w:val="22"/>
        </w:rPr>
      </w:pPr>
      <w:hyperlink w:anchor="_Toc295818169" w:history="1">
        <w:r w:rsidR="00F27DA8" w:rsidRPr="001C0E08">
          <w:rPr>
            <w:rStyle w:val="Hyperlink"/>
            <w:noProof/>
          </w:rPr>
          <w:t>10.2.2</w:t>
        </w:r>
        <w:r w:rsidR="00F27DA8">
          <w:rPr>
            <w:rFonts w:eastAsiaTheme="minorEastAsia" w:cstheme="minorBidi"/>
            <w:i w:val="0"/>
            <w:iCs w:val="0"/>
            <w:noProof/>
            <w:sz w:val="22"/>
            <w:szCs w:val="22"/>
          </w:rPr>
          <w:tab/>
        </w:r>
        <w:r w:rsidR="00F27DA8" w:rsidRPr="001C0E08">
          <w:rPr>
            <w:rStyle w:val="Hyperlink"/>
            <w:noProof/>
          </w:rPr>
          <w:t>Control Cylinder Ejection Results</w:t>
        </w:r>
        <w:r w:rsidR="00F27DA8">
          <w:rPr>
            <w:noProof/>
            <w:webHidden/>
          </w:rPr>
          <w:tab/>
        </w:r>
        <w:r>
          <w:rPr>
            <w:noProof/>
            <w:webHidden/>
          </w:rPr>
          <w:fldChar w:fldCharType="begin"/>
        </w:r>
        <w:r w:rsidR="00F27DA8">
          <w:rPr>
            <w:noProof/>
            <w:webHidden/>
          </w:rPr>
          <w:instrText xml:space="preserve"> PAGEREF _Toc295818169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2"/>
        <w:tabs>
          <w:tab w:val="left" w:pos="1320"/>
          <w:tab w:val="right" w:leader="dot" w:pos="9350"/>
        </w:tabs>
        <w:spacing w:line="276" w:lineRule="auto"/>
        <w:rPr>
          <w:rFonts w:eastAsiaTheme="minorEastAsia" w:cstheme="minorBidi"/>
          <w:smallCaps w:val="0"/>
          <w:noProof/>
          <w:sz w:val="22"/>
          <w:szCs w:val="22"/>
        </w:rPr>
      </w:pPr>
      <w:hyperlink w:anchor="_Toc295818170" w:history="1">
        <w:r w:rsidR="00F27DA8" w:rsidRPr="001C0E08">
          <w:rPr>
            <w:rStyle w:val="Hyperlink"/>
            <w:noProof/>
          </w:rPr>
          <w:t>10.3</w:t>
        </w:r>
        <w:r w:rsidR="00F27DA8">
          <w:rPr>
            <w:rFonts w:eastAsiaTheme="minorEastAsia" w:cstheme="minorBidi"/>
            <w:smallCaps w:val="0"/>
            <w:noProof/>
            <w:sz w:val="22"/>
            <w:szCs w:val="22"/>
          </w:rPr>
          <w:tab/>
        </w:r>
        <w:r w:rsidR="00F27DA8" w:rsidRPr="001C0E08">
          <w:rPr>
            <w:rStyle w:val="Hyperlink"/>
            <w:noProof/>
          </w:rPr>
          <w:t>Black Rabbit Ejection</w:t>
        </w:r>
        <w:r w:rsidR="00F27DA8">
          <w:rPr>
            <w:noProof/>
            <w:webHidden/>
          </w:rPr>
          <w:tab/>
        </w:r>
        <w:r>
          <w:rPr>
            <w:noProof/>
            <w:webHidden/>
          </w:rPr>
          <w:fldChar w:fldCharType="begin"/>
        </w:r>
        <w:r w:rsidR="00F27DA8">
          <w:rPr>
            <w:noProof/>
            <w:webHidden/>
          </w:rPr>
          <w:instrText xml:space="preserve"> PAGEREF _Toc295818170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3"/>
        <w:tabs>
          <w:tab w:val="left" w:pos="1540"/>
          <w:tab w:val="right" w:leader="dot" w:pos="9350"/>
        </w:tabs>
        <w:spacing w:line="276" w:lineRule="auto"/>
        <w:rPr>
          <w:rFonts w:eastAsiaTheme="minorEastAsia" w:cstheme="minorBidi"/>
          <w:i w:val="0"/>
          <w:iCs w:val="0"/>
          <w:noProof/>
          <w:sz w:val="22"/>
          <w:szCs w:val="22"/>
        </w:rPr>
      </w:pPr>
      <w:hyperlink w:anchor="_Toc295818171" w:history="1">
        <w:r w:rsidR="00F27DA8" w:rsidRPr="001C0E08">
          <w:rPr>
            <w:rStyle w:val="Hyperlink"/>
            <w:noProof/>
          </w:rPr>
          <w:t>10.3.1</w:t>
        </w:r>
        <w:r w:rsidR="00F27DA8">
          <w:rPr>
            <w:rFonts w:eastAsiaTheme="minorEastAsia" w:cstheme="minorBidi"/>
            <w:i w:val="0"/>
            <w:iCs w:val="0"/>
            <w:noProof/>
            <w:sz w:val="22"/>
            <w:szCs w:val="22"/>
          </w:rPr>
          <w:tab/>
        </w:r>
        <w:r w:rsidR="00F27DA8" w:rsidRPr="001C0E08">
          <w:rPr>
            <w:rStyle w:val="Hyperlink"/>
            <w:noProof/>
          </w:rPr>
          <w:t>Black Rabbit Ejection Methodology</w:t>
        </w:r>
        <w:r w:rsidR="00F27DA8">
          <w:rPr>
            <w:noProof/>
            <w:webHidden/>
          </w:rPr>
          <w:tab/>
        </w:r>
        <w:r>
          <w:rPr>
            <w:noProof/>
            <w:webHidden/>
          </w:rPr>
          <w:fldChar w:fldCharType="begin"/>
        </w:r>
        <w:r w:rsidR="00F27DA8">
          <w:rPr>
            <w:noProof/>
            <w:webHidden/>
          </w:rPr>
          <w:instrText xml:space="preserve"> PAGEREF _Toc295818171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3"/>
        <w:tabs>
          <w:tab w:val="left" w:pos="1540"/>
          <w:tab w:val="right" w:leader="dot" w:pos="9350"/>
        </w:tabs>
        <w:spacing w:line="276" w:lineRule="auto"/>
        <w:rPr>
          <w:rFonts w:eastAsiaTheme="minorEastAsia" w:cstheme="minorBidi"/>
          <w:i w:val="0"/>
          <w:iCs w:val="0"/>
          <w:noProof/>
          <w:sz w:val="22"/>
          <w:szCs w:val="22"/>
        </w:rPr>
      </w:pPr>
      <w:hyperlink w:anchor="_Toc295818172" w:history="1">
        <w:r w:rsidR="00F27DA8" w:rsidRPr="001C0E08">
          <w:rPr>
            <w:rStyle w:val="Hyperlink"/>
            <w:noProof/>
          </w:rPr>
          <w:t>10.3.2</w:t>
        </w:r>
        <w:r w:rsidR="00F27DA8">
          <w:rPr>
            <w:rFonts w:eastAsiaTheme="minorEastAsia" w:cstheme="minorBidi"/>
            <w:i w:val="0"/>
            <w:iCs w:val="0"/>
            <w:noProof/>
            <w:sz w:val="22"/>
            <w:szCs w:val="22"/>
          </w:rPr>
          <w:tab/>
        </w:r>
        <w:r w:rsidR="00F27DA8" w:rsidRPr="001C0E08">
          <w:rPr>
            <w:rStyle w:val="Hyperlink"/>
            <w:noProof/>
          </w:rPr>
          <w:t>Black Rabbit Ejection Results</w:t>
        </w:r>
        <w:r w:rsidR="00F27DA8">
          <w:rPr>
            <w:noProof/>
            <w:webHidden/>
          </w:rPr>
          <w:tab/>
        </w:r>
        <w:r>
          <w:rPr>
            <w:noProof/>
            <w:webHidden/>
          </w:rPr>
          <w:fldChar w:fldCharType="begin"/>
        </w:r>
        <w:r w:rsidR="00F27DA8">
          <w:rPr>
            <w:noProof/>
            <w:webHidden/>
          </w:rPr>
          <w:instrText xml:space="preserve"> PAGEREF _Toc295818172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2"/>
        <w:tabs>
          <w:tab w:val="left" w:pos="1320"/>
          <w:tab w:val="right" w:leader="dot" w:pos="9350"/>
        </w:tabs>
        <w:spacing w:line="276" w:lineRule="auto"/>
        <w:rPr>
          <w:rFonts w:eastAsiaTheme="minorEastAsia" w:cstheme="minorBidi"/>
          <w:smallCaps w:val="0"/>
          <w:noProof/>
          <w:sz w:val="22"/>
          <w:szCs w:val="22"/>
        </w:rPr>
      </w:pPr>
      <w:hyperlink w:anchor="_Toc295818173" w:history="1">
        <w:r w:rsidR="00F27DA8" w:rsidRPr="001C0E08">
          <w:rPr>
            <w:rStyle w:val="Hyperlink"/>
            <w:noProof/>
          </w:rPr>
          <w:t>10.4</w:t>
        </w:r>
        <w:r w:rsidR="00F27DA8">
          <w:rPr>
            <w:rFonts w:eastAsiaTheme="minorEastAsia" w:cstheme="minorBidi"/>
            <w:smallCaps w:val="0"/>
            <w:noProof/>
            <w:sz w:val="22"/>
            <w:szCs w:val="22"/>
          </w:rPr>
          <w:tab/>
        </w:r>
        <w:r w:rsidR="00F27DA8" w:rsidRPr="001C0E08">
          <w:rPr>
            <w:rStyle w:val="Hyperlink"/>
            <w:noProof/>
          </w:rPr>
          <w:t>Space-Time Kinetics Summary</w:t>
        </w:r>
        <w:r w:rsidR="00F27DA8">
          <w:rPr>
            <w:noProof/>
            <w:webHidden/>
          </w:rPr>
          <w:tab/>
        </w:r>
        <w:r>
          <w:rPr>
            <w:noProof/>
            <w:webHidden/>
          </w:rPr>
          <w:fldChar w:fldCharType="begin"/>
        </w:r>
        <w:r w:rsidR="00F27DA8">
          <w:rPr>
            <w:noProof/>
            <w:webHidden/>
          </w:rPr>
          <w:instrText xml:space="preserve"> PAGEREF _Toc295818173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1"/>
        <w:tabs>
          <w:tab w:val="left" w:pos="440"/>
        </w:tabs>
        <w:spacing w:line="276" w:lineRule="auto"/>
        <w:rPr>
          <w:rFonts w:eastAsiaTheme="minorEastAsia" w:cstheme="minorBidi"/>
          <w:b w:val="0"/>
          <w:bCs w:val="0"/>
          <w:caps w:val="0"/>
          <w:noProof/>
          <w:sz w:val="22"/>
          <w:szCs w:val="22"/>
        </w:rPr>
      </w:pPr>
      <w:hyperlink w:anchor="_Toc295818174" w:history="1">
        <w:r w:rsidR="00F27DA8" w:rsidRPr="001C0E08">
          <w:rPr>
            <w:rStyle w:val="Hyperlink"/>
            <w:noProof/>
          </w:rPr>
          <w:t>11</w:t>
        </w:r>
        <w:r w:rsidR="00F27DA8">
          <w:rPr>
            <w:rFonts w:eastAsiaTheme="minorEastAsia" w:cstheme="minorBidi"/>
            <w:b w:val="0"/>
            <w:bCs w:val="0"/>
            <w:caps w:val="0"/>
            <w:noProof/>
            <w:sz w:val="22"/>
            <w:szCs w:val="22"/>
          </w:rPr>
          <w:tab/>
        </w:r>
        <w:r w:rsidR="00F27DA8" w:rsidRPr="001C0E08">
          <w:rPr>
            <w:rStyle w:val="Hyperlink"/>
            <w:noProof/>
          </w:rPr>
          <w:t>Summary of Conclusions and Suggestions for Future Work</w:t>
        </w:r>
        <w:r w:rsidR="00F27DA8">
          <w:rPr>
            <w:noProof/>
            <w:webHidden/>
          </w:rPr>
          <w:tab/>
        </w:r>
        <w:r>
          <w:rPr>
            <w:noProof/>
            <w:webHidden/>
          </w:rPr>
          <w:fldChar w:fldCharType="begin"/>
        </w:r>
        <w:r w:rsidR="00F27DA8">
          <w:rPr>
            <w:noProof/>
            <w:webHidden/>
          </w:rPr>
          <w:instrText xml:space="preserve"> PAGEREF _Toc295818174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1"/>
        <w:spacing w:line="276" w:lineRule="auto"/>
        <w:rPr>
          <w:rFonts w:eastAsiaTheme="minorEastAsia" w:cstheme="minorBidi"/>
          <w:b w:val="0"/>
          <w:bCs w:val="0"/>
          <w:caps w:val="0"/>
          <w:noProof/>
          <w:sz w:val="22"/>
          <w:szCs w:val="22"/>
        </w:rPr>
      </w:pPr>
      <w:hyperlink w:anchor="_Toc295818175" w:history="1">
        <w:r w:rsidR="00F27DA8" w:rsidRPr="001C0E08">
          <w:rPr>
            <w:rStyle w:val="Hyperlink"/>
            <w:noProof/>
          </w:rPr>
          <w:t>References</w:t>
        </w:r>
        <w:r w:rsidR="00F27DA8">
          <w:rPr>
            <w:noProof/>
            <w:webHidden/>
          </w:rPr>
          <w:tab/>
        </w:r>
        <w:r>
          <w:rPr>
            <w:noProof/>
            <w:webHidden/>
          </w:rPr>
          <w:fldChar w:fldCharType="begin"/>
        </w:r>
        <w:r w:rsidR="00F27DA8">
          <w:rPr>
            <w:noProof/>
            <w:webHidden/>
          </w:rPr>
          <w:instrText xml:space="preserve"> PAGEREF _Toc295818175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1"/>
        <w:spacing w:line="276" w:lineRule="auto"/>
        <w:rPr>
          <w:rFonts w:eastAsiaTheme="minorEastAsia" w:cstheme="minorBidi"/>
          <w:b w:val="0"/>
          <w:bCs w:val="0"/>
          <w:caps w:val="0"/>
          <w:noProof/>
          <w:sz w:val="22"/>
          <w:szCs w:val="22"/>
        </w:rPr>
      </w:pPr>
      <w:hyperlink w:anchor="_Toc295818176" w:history="1">
        <w:r w:rsidR="00F27DA8" w:rsidRPr="001C0E08">
          <w:rPr>
            <w:rStyle w:val="Hyperlink"/>
            <w:noProof/>
          </w:rPr>
          <w:t>Appendix</w:t>
        </w:r>
        <w:r w:rsidR="00F27DA8">
          <w:rPr>
            <w:noProof/>
            <w:webHidden/>
          </w:rPr>
          <w:tab/>
        </w:r>
        <w:r>
          <w:rPr>
            <w:noProof/>
            <w:webHidden/>
          </w:rPr>
          <w:fldChar w:fldCharType="begin"/>
        </w:r>
        <w:r w:rsidR="00F27DA8">
          <w:rPr>
            <w:noProof/>
            <w:webHidden/>
          </w:rPr>
          <w:instrText xml:space="preserve"> PAGEREF _Toc295818176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1"/>
        <w:spacing w:line="276" w:lineRule="auto"/>
        <w:rPr>
          <w:rFonts w:eastAsiaTheme="minorEastAsia" w:cstheme="minorBidi"/>
          <w:b w:val="0"/>
          <w:bCs w:val="0"/>
          <w:caps w:val="0"/>
          <w:noProof/>
          <w:sz w:val="22"/>
          <w:szCs w:val="22"/>
        </w:rPr>
      </w:pPr>
      <w:hyperlink w:anchor="_Toc295818177" w:history="1">
        <w:r w:rsidR="00F27DA8" w:rsidRPr="001C0E08">
          <w:rPr>
            <w:rStyle w:val="Hyperlink"/>
            <w:noProof/>
          </w:rPr>
          <w:t>Appendix A - Plutonium-238 Production Feasibility Study</w:t>
        </w:r>
        <w:r w:rsidR="00F27DA8">
          <w:rPr>
            <w:noProof/>
            <w:webHidden/>
          </w:rPr>
          <w:tab/>
        </w:r>
        <w:r>
          <w:rPr>
            <w:noProof/>
            <w:webHidden/>
          </w:rPr>
          <w:fldChar w:fldCharType="begin"/>
        </w:r>
        <w:r w:rsidR="00F27DA8">
          <w:rPr>
            <w:noProof/>
            <w:webHidden/>
          </w:rPr>
          <w:instrText xml:space="preserve"> PAGEREF _Toc295818177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1"/>
        <w:spacing w:line="276" w:lineRule="auto"/>
        <w:rPr>
          <w:rFonts w:eastAsiaTheme="minorEastAsia" w:cstheme="minorBidi"/>
          <w:b w:val="0"/>
          <w:bCs w:val="0"/>
          <w:caps w:val="0"/>
          <w:noProof/>
          <w:sz w:val="22"/>
          <w:szCs w:val="22"/>
        </w:rPr>
      </w:pPr>
      <w:hyperlink w:anchor="_Toc295818178" w:history="1">
        <w:r w:rsidR="00F27DA8" w:rsidRPr="001C0E08">
          <w:rPr>
            <w:rStyle w:val="Hyperlink"/>
            <w:noProof/>
          </w:rPr>
          <w:t>Appendix B – COMSOL Description</w:t>
        </w:r>
        <w:r w:rsidR="00F27DA8">
          <w:rPr>
            <w:noProof/>
            <w:webHidden/>
          </w:rPr>
          <w:tab/>
        </w:r>
        <w:r>
          <w:rPr>
            <w:noProof/>
            <w:webHidden/>
          </w:rPr>
          <w:fldChar w:fldCharType="begin"/>
        </w:r>
        <w:r w:rsidR="00F27DA8">
          <w:rPr>
            <w:noProof/>
            <w:webHidden/>
          </w:rPr>
          <w:instrText xml:space="preserve"> PAGEREF _Toc295818178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1"/>
        <w:spacing w:line="276" w:lineRule="auto"/>
        <w:rPr>
          <w:rFonts w:eastAsiaTheme="minorEastAsia" w:cstheme="minorBidi"/>
          <w:b w:val="0"/>
          <w:bCs w:val="0"/>
          <w:caps w:val="0"/>
          <w:noProof/>
          <w:sz w:val="22"/>
          <w:szCs w:val="22"/>
        </w:rPr>
      </w:pPr>
      <w:hyperlink w:anchor="_Toc295818179" w:history="1">
        <w:r w:rsidR="00F27DA8" w:rsidRPr="001C0E08">
          <w:rPr>
            <w:rStyle w:val="Hyperlink"/>
            <w:noProof/>
          </w:rPr>
          <w:t>Appendix C – Additional Space-Time Figures</w:t>
        </w:r>
        <w:r w:rsidR="00F27DA8">
          <w:rPr>
            <w:noProof/>
            <w:webHidden/>
          </w:rPr>
          <w:tab/>
        </w:r>
        <w:r>
          <w:rPr>
            <w:noProof/>
            <w:webHidden/>
          </w:rPr>
          <w:fldChar w:fldCharType="begin"/>
        </w:r>
        <w:r w:rsidR="00F27DA8">
          <w:rPr>
            <w:noProof/>
            <w:webHidden/>
          </w:rPr>
          <w:instrText xml:space="preserve"> PAGEREF _Toc295818179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OC1"/>
        <w:spacing w:line="276" w:lineRule="auto"/>
        <w:rPr>
          <w:rFonts w:eastAsiaTheme="minorEastAsia" w:cstheme="minorBidi"/>
          <w:b w:val="0"/>
          <w:bCs w:val="0"/>
          <w:caps w:val="0"/>
          <w:noProof/>
          <w:sz w:val="22"/>
          <w:szCs w:val="22"/>
        </w:rPr>
      </w:pPr>
      <w:hyperlink w:anchor="_Toc295818180" w:history="1">
        <w:r w:rsidR="00F27DA8" w:rsidRPr="001C0E08">
          <w:rPr>
            <w:rStyle w:val="Hyperlink"/>
            <w:noProof/>
          </w:rPr>
          <w:t>Vita</w:t>
        </w:r>
        <w:r w:rsidR="00F27DA8">
          <w:rPr>
            <w:noProof/>
            <w:webHidden/>
          </w:rPr>
          <w:tab/>
        </w:r>
        <w:r>
          <w:rPr>
            <w:noProof/>
            <w:webHidden/>
          </w:rPr>
          <w:fldChar w:fldCharType="begin"/>
        </w:r>
        <w:r w:rsidR="00F27DA8">
          <w:rPr>
            <w:noProof/>
            <w:webHidden/>
          </w:rPr>
          <w:instrText xml:space="preserve"> PAGEREF _Toc295818180 \h </w:instrText>
        </w:r>
        <w:r>
          <w:rPr>
            <w:noProof/>
            <w:webHidden/>
          </w:rPr>
        </w:r>
        <w:r>
          <w:rPr>
            <w:noProof/>
            <w:webHidden/>
          </w:rPr>
          <w:fldChar w:fldCharType="separate"/>
        </w:r>
        <w:r w:rsidR="00D5167B">
          <w:rPr>
            <w:noProof/>
            <w:webHidden/>
          </w:rPr>
          <w:t>2</w:t>
        </w:r>
        <w:r>
          <w:rPr>
            <w:noProof/>
            <w:webHidden/>
          </w:rPr>
          <w:fldChar w:fldCharType="end"/>
        </w:r>
      </w:hyperlink>
    </w:p>
    <w:p w:rsidR="003E0851" w:rsidRDefault="007511FA" w:rsidP="00A35723">
      <w:r>
        <w:fldChar w:fldCharType="end"/>
      </w:r>
    </w:p>
    <w:p w:rsidR="003E0851" w:rsidRDefault="003E0851" w:rsidP="00A35723">
      <w:r>
        <w:br w:type="page"/>
      </w:r>
    </w:p>
    <w:p w:rsidR="003E0851" w:rsidRDefault="003E0851" w:rsidP="00AA149C">
      <w:pPr>
        <w:pStyle w:val="Title"/>
        <w:outlineLvl w:val="0"/>
      </w:pPr>
      <w:bookmarkStart w:id="42" w:name="_Toc285548072"/>
      <w:bookmarkStart w:id="43" w:name="_Toc286239053"/>
      <w:bookmarkStart w:id="44" w:name="_Toc286847186"/>
      <w:bookmarkStart w:id="45" w:name="_Toc287004238"/>
      <w:bookmarkStart w:id="46" w:name="_Toc290891978"/>
      <w:bookmarkStart w:id="47" w:name="_Toc290892219"/>
      <w:bookmarkStart w:id="48" w:name="_Toc295818089"/>
      <w:r>
        <w:lastRenderedPageBreak/>
        <w:t xml:space="preserve">List </w:t>
      </w:r>
      <w:r w:rsidRPr="003E0851">
        <w:rPr>
          <w:caps w:val="0"/>
        </w:rPr>
        <w:t>of</w:t>
      </w:r>
      <w:r>
        <w:t xml:space="preserve"> figures</w:t>
      </w:r>
      <w:bookmarkEnd w:id="42"/>
      <w:bookmarkEnd w:id="43"/>
      <w:bookmarkEnd w:id="44"/>
      <w:bookmarkEnd w:id="45"/>
      <w:bookmarkEnd w:id="46"/>
      <w:bookmarkEnd w:id="47"/>
      <w:bookmarkEnd w:id="48"/>
    </w:p>
    <w:p w:rsidR="00F27DA8" w:rsidRDefault="007511FA" w:rsidP="00F27DA8">
      <w:pPr>
        <w:pStyle w:val="TableofFigures"/>
        <w:tabs>
          <w:tab w:val="right" w:leader="dot" w:pos="9350"/>
        </w:tabs>
        <w:spacing w:line="276" w:lineRule="auto"/>
        <w:ind w:firstLine="0"/>
        <w:rPr>
          <w:rFonts w:eastAsiaTheme="minorEastAsia"/>
          <w:noProof/>
        </w:rPr>
      </w:pPr>
      <w:r>
        <w:fldChar w:fldCharType="begin"/>
      </w:r>
      <w:r w:rsidR="00F95AD4">
        <w:instrText xml:space="preserve"> TOC \h \z \c "Figure" </w:instrText>
      </w:r>
      <w:r>
        <w:fldChar w:fldCharType="separate"/>
      </w:r>
      <w:hyperlink w:anchor="_Toc295818181" w:history="1">
        <w:r w:rsidR="00F27DA8" w:rsidRPr="006A673E">
          <w:rPr>
            <w:rStyle w:val="Hyperlink"/>
            <w:noProof/>
          </w:rPr>
          <w:t>Figure 2.1. Cross section at the horizontal midplane.</w:t>
        </w:r>
        <w:r w:rsidR="00F27DA8">
          <w:rPr>
            <w:noProof/>
            <w:webHidden/>
          </w:rPr>
          <w:tab/>
        </w:r>
        <w:r>
          <w:rPr>
            <w:noProof/>
            <w:webHidden/>
          </w:rPr>
          <w:fldChar w:fldCharType="begin"/>
        </w:r>
        <w:r w:rsidR="00F27DA8">
          <w:rPr>
            <w:noProof/>
            <w:webHidden/>
          </w:rPr>
          <w:instrText xml:space="preserve"> PAGEREF _Toc295818181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182" w:history="1">
        <w:r w:rsidR="00F27DA8" w:rsidRPr="006A673E">
          <w:rPr>
            <w:rStyle w:val="Hyperlink"/>
            <w:noProof/>
          </w:rPr>
          <w:t>Figure 2.2.  HFIR reactor core assembly.</w:t>
        </w:r>
        <w:r w:rsidR="00F27DA8">
          <w:rPr>
            <w:noProof/>
            <w:webHidden/>
          </w:rPr>
          <w:tab/>
        </w:r>
        <w:r>
          <w:rPr>
            <w:noProof/>
            <w:webHidden/>
          </w:rPr>
          <w:fldChar w:fldCharType="begin"/>
        </w:r>
        <w:r w:rsidR="00F27DA8">
          <w:rPr>
            <w:noProof/>
            <w:webHidden/>
          </w:rPr>
          <w:instrText xml:space="preserve"> PAGEREF _Toc295818182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183" w:history="1">
        <w:r w:rsidR="00F27DA8" w:rsidRPr="006A673E">
          <w:rPr>
            <w:rStyle w:val="Hyperlink"/>
            <w:noProof/>
          </w:rPr>
          <w:t>Figure 2.3.  Flux trap and fuel element configuration.</w:t>
        </w:r>
        <w:r w:rsidR="00F27DA8">
          <w:rPr>
            <w:noProof/>
            <w:webHidden/>
          </w:rPr>
          <w:tab/>
        </w:r>
        <w:r>
          <w:rPr>
            <w:noProof/>
            <w:webHidden/>
          </w:rPr>
          <w:fldChar w:fldCharType="begin"/>
        </w:r>
        <w:r w:rsidR="00F27DA8">
          <w:rPr>
            <w:noProof/>
            <w:webHidden/>
          </w:rPr>
          <w:instrText xml:space="preserve"> PAGEREF _Toc295818183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184" w:history="1">
        <w:r w:rsidR="00F27DA8" w:rsidRPr="006A673E">
          <w:rPr>
            <w:rStyle w:val="Hyperlink"/>
            <w:noProof/>
          </w:rPr>
          <w:t>Figure 2.4.  IFE and OFE involute fuel plates.</w:t>
        </w:r>
        <w:r w:rsidR="00F27DA8">
          <w:rPr>
            <w:noProof/>
            <w:webHidden/>
          </w:rPr>
          <w:tab/>
        </w:r>
        <w:r>
          <w:rPr>
            <w:noProof/>
            <w:webHidden/>
          </w:rPr>
          <w:fldChar w:fldCharType="begin"/>
        </w:r>
        <w:r w:rsidR="00F27DA8">
          <w:rPr>
            <w:noProof/>
            <w:webHidden/>
          </w:rPr>
          <w:instrText xml:space="preserve"> PAGEREF _Toc295818184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185" w:history="1">
        <w:r w:rsidR="00F27DA8" w:rsidRPr="006A673E">
          <w:rPr>
            <w:rStyle w:val="Hyperlink"/>
            <w:noProof/>
          </w:rPr>
          <w:t>Figure 2.5.  Outer control plate and inner control cylinder.</w:t>
        </w:r>
        <w:r w:rsidR="00F27DA8">
          <w:rPr>
            <w:noProof/>
            <w:webHidden/>
          </w:rPr>
          <w:tab/>
        </w:r>
        <w:r>
          <w:rPr>
            <w:noProof/>
            <w:webHidden/>
          </w:rPr>
          <w:fldChar w:fldCharType="begin"/>
        </w:r>
        <w:r w:rsidR="00F27DA8">
          <w:rPr>
            <w:noProof/>
            <w:webHidden/>
          </w:rPr>
          <w:instrText xml:space="preserve"> PAGEREF _Toc295818185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186" w:history="1">
        <w:r w:rsidR="00F27DA8" w:rsidRPr="006A673E">
          <w:rPr>
            <w:rStyle w:val="Hyperlink"/>
            <w:noProof/>
          </w:rPr>
          <w:t>Figure 2.6.  Permanent beryllium reflector.</w:t>
        </w:r>
        <w:r w:rsidR="00F27DA8">
          <w:rPr>
            <w:noProof/>
            <w:webHidden/>
          </w:rPr>
          <w:tab/>
        </w:r>
        <w:r>
          <w:rPr>
            <w:noProof/>
            <w:webHidden/>
          </w:rPr>
          <w:fldChar w:fldCharType="begin"/>
        </w:r>
        <w:r w:rsidR="00F27DA8">
          <w:rPr>
            <w:noProof/>
            <w:webHidden/>
          </w:rPr>
          <w:instrText xml:space="preserve"> PAGEREF _Toc295818186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187" w:history="1">
        <w:r w:rsidR="00F27DA8" w:rsidRPr="006A673E">
          <w:rPr>
            <w:rStyle w:val="Hyperlink"/>
            <w:noProof/>
          </w:rPr>
          <w:t>Figure 4.1.  Location of foils punched out of removable plates (dimensions in cm).</w:t>
        </w:r>
        <w:r w:rsidR="00F27DA8">
          <w:rPr>
            <w:noProof/>
            <w:webHidden/>
          </w:rPr>
          <w:tab/>
        </w:r>
        <w:r>
          <w:rPr>
            <w:noProof/>
            <w:webHidden/>
          </w:rPr>
          <w:fldChar w:fldCharType="begin"/>
        </w:r>
        <w:r w:rsidR="00F27DA8">
          <w:rPr>
            <w:noProof/>
            <w:webHidden/>
          </w:rPr>
          <w:instrText xml:space="preserve"> PAGEREF _Toc295818187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188" w:history="1">
        <w:r w:rsidR="00F27DA8" w:rsidRPr="006A673E">
          <w:rPr>
            <w:rStyle w:val="Hyperlink"/>
            <w:noProof/>
          </w:rPr>
          <w:t>Figure 4.2.  Involute IFE plate.</w:t>
        </w:r>
        <w:r w:rsidR="00F27DA8">
          <w:rPr>
            <w:noProof/>
            <w:webHidden/>
          </w:rPr>
          <w:tab/>
        </w:r>
        <w:r>
          <w:rPr>
            <w:noProof/>
            <w:webHidden/>
          </w:rPr>
          <w:fldChar w:fldCharType="begin"/>
        </w:r>
        <w:r w:rsidR="00F27DA8">
          <w:rPr>
            <w:noProof/>
            <w:webHidden/>
          </w:rPr>
          <w:instrText xml:space="preserve"> PAGEREF _Toc295818188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189" w:history="1">
        <w:r w:rsidR="00F27DA8" w:rsidRPr="006A673E">
          <w:rPr>
            <w:rStyle w:val="Hyperlink"/>
            <w:noProof/>
          </w:rPr>
          <w:t>Figure 4.3.  Horizontal midplane of HFIRCE-3 as modeled in MCNP.</w:t>
        </w:r>
        <w:r w:rsidR="00F27DA8">
          <w:rPr>
            <w:noProof/>
            <w:webHidden/>
          </w:rPr>
          <w:tab/>
        </w:r>
        <w:r>
          <w:rPr>
            <w:noProof/>
            <w:webHidden/>
          </w:rPr>
          <w:fldChar w:fldCharType="begin"/>
        </w:r>
        <w:r w:rsidR="00F27DA8">
          <w:rPr>
            <w:noProof/>
            <w:webHidden/>
          </w:rPr>
          <w:instrText xml:space="preserve"> PAGEREF _Toc295818189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190" w:history="1">
        <w:r w:rsidR="00F27DA8" w:rsidRPr="006A673E">
          <w:rPr>
            <w:rStyle w:val="Hyperlink"/>
            <w:noProof/>
          </w:rPr>
          <w:t>Figure 4.4.  (PI + W) flux trap and fuel elements as modeled in MCNP.</w:t>
        </w:r>
        <w:r w:rsidR="00F27DA8">
          <w:rPr>
            <w:noProof/>
            <w:webHidden/>
          </w:rPr>
          <w:tab/>
        </w:r>
        <w:r>
          <w:rPr>
            <w:noProof/>
            <w:webHidden/>
          </w:rPr>
          <w:fldChar w:fldCharType="begin"/>
        </w:r>
        <w:r w:rsidR="00F27DA8">
          <w:rPr>
            <w:noProof/>
            <w:webHidden/>
          </w:rPr>
          <w:instrText xml:space="preserve"> PAGEREF _Toc295818190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191" w:history="1">
        <w:r w:rsidR="00F27DA8" w:rsidRPr="006A673E">
          <w:rPr>
            <w:rStyle w:val="Hyperlink"/>
            <w:noProof/>
          </w:rPr>
          <w:t xml:space="preserve">Figure 4.5.  Actual versus modeled </w:t>
        </w:r>
        <w:r w:rsidR="00F27DA8" w:rsidRPr="006A673E">
          <w:rPr>
            <w:rStyle w:val="Hyperlink"/>
            <w:noProof/>
            <w:vertAlign w:val="superscript"/>
          </w:rPr>
          <w:t>235</w:t>
        </w:r>
        <w:r w:rsidR="00F27DA8" w:rsidRPr="006A673E">
          <w:rPr>
            <w:rStyle w:val="Hyperlink"/>
            <w:noProof/>
          </w:rPr>
          <w:t>U concentration of foils in the IFE.</w:t>
        </w:r>
        <w:r w:rsidR="00F27DA8">
          <w:rPr>
            <w:noProof/>
            <w:webHidden/>
          </w:rPr>
          <w:tab/>
        </w:r>
        <w:r>
          <w:rPr>
            <w:noProof/>
            <w:webHidden/>
          </w:rPr>
          <w:fldChar w:fldCharType="begin"/>
        </w:r>
        <w:r w:rsidR="00F27DA8">
          <w:rPr>
            <w:noProof/>
            <w:webHidden/>
          </w:rPr>
          <w:instrText xml:space="preserve"> PAGEREF _Toc295818191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192" w:history="1">
        <w:r w:rsidR="00F27DA8" w:rsidRPr="006A673E">
          <w:rPr>
            <w:rStyle w:val="Hyperlink"/>
            <w:noProof/>
          </w:rPr>
          <w:t>Figure 4.6.  Radial relative power profile at horizontal midplane under clean core conditions.</w:t>
        </w:r>
        <w:r w:rsidR="00F27DA8">
          <w:rPr>
            <w:noProof/>
            <w:webHidden/>
          </w:rPr>
          <w:tab/>
        </w:r>
        <w:r>
          <w:rPr>
            <w:noProof/>
            <w:webHidden/>
          </w:rPr>
          <w:fldChar w:fldCharType="begin"/>
        </w:r>
        <w:r w:rsidR="00F27DA8">
          <w:rPr>
            <w:noProof/>
            <w:webHidden/>
          </w:rPr>
          <w:instrText xml:space="preserve"> PAGEREF _Toc295818192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193" w:history="1">
        <w:r w:rsidR="00F27DA8" w:rsidRPr="006A673E">
          <w:rPr>
            <w:rStyle w:val="Hyperlink"/>
            <w:noProof/>
          </w:rPr>
          <w:t>Figure 4.7.  Axial relative power profile of Foil 1 in IFE under clean core conditions.</w:t>
        </w:r>
        <w:r w:rsidR="00F27DA8">
          <w:rPr>
            <w:noProof/>
            <w:webHidden/>
          </w:rPr>
          <w:tab/>
        </w:r>
        <w:r>
          <w:rPr>
            <w:noProof/>
            <w:webHidden/>
          </w:rPr>
          <w:fldChar w:fldCharType="begin"/>
        </w:r>
        <w:r w:rsidR="00F27DA8">
          <w:rPr>
            <w:noProof/>
            <w:webHidden/>
          </w:rPr>
          <w:instrText xml:space="preserve"> PAGEREF _Toc295818193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194" w:history="1">
        <w:r w:rsidR="00F27DA8" w:rsidRPr="006A673E">
          <w:rPr>
            <w:rStyle w:val="Hyperlink"/>
            <w:noProof/>
          </w:rPr>
          <w:t>Figure 4.8.  Axial relative power profile of Foil 4 in IFE under clean core conditions.</w:t>
        </w:r>
        <w:r w:rsidR="00F27DA8">
          <w:rPr>
            <w:noProof/>
            <w:webHidden/>
          </w:rPr>
          <w:tab/>
        </w:r>
        <w:r>
          <w:rPr>
            <w:noProof/>
            <w:webHidden/>
          </w:rPr>
          <w:fldChar w:fldCharType="begin"/>
        </w:r>
        <w:r w:rsidR="00F27DA8">
          <w:rPr>
            <w:noProof/>
            <w:webHidden/>
          </w:rPr>
          <w:instrText xml:space="preserve"> PAGEREF _Toc295818194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195" w:history="1">
        <w:r w:rsidR="00F27DA8" w:rsidRPr="006A673E">
          <w:rPr>
            <w:rStyle w:val="Hyperlink"/>
            <w:noProof/>
          </w:rPr>
          <w:t>Figure 4.9.  Axial relative power profile of Foil 6 in IFE under clean core conditions.</w:t>
        </w:r>
        <w:r w:rsidR="00F27DA8">
          <w:rPr>
            <w:noProof/>
            <w:webHidden/>
          </w:rPr>
          <w:tab/>
        </w:r>
        <w:r>
          <w:rPr>
            <w:noProof/>
            <w:webHidden/>
          </w:rPr>
          <w:fldChar w:fldCharType="begin"/>
        </w:r>
        <w:r w:rsidR="00F27DA8">
          <w:rPr>
            <w:noProof/>
            <w:webHidden/>
          </w:rPr>
          <w:instrText xml:space="preserve"> PAGEREF _Toc295818195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196" w:history="1">
        <w:r w:rsidR="00F27DA8" w:rsidRPr="006A673E">
          <w:rPr>
            <w:rStyle w:val="Hyperlink"/>
            <w:noProof/>
          </w:rPr>
          <w:t>Figure 4.10.  Axial relative power profile of Foil 1 in OFE under clean core conditions.</w:t>
        </w:r>
        <w:r w:rsidR="00F27DA8">
          <w:rPr>
            <w:noProof/>
            <w:webHidden/>
          </w:rPr>
          <w:tab/>
        </w:r>
        <w:r>
          <w:rPr>
            <w:noProof/>
            <w:webHidden/>
          </w:rPr>
          <w:fldChar w:fldCharType="begin"/>
        </w:r>
        <w:r w:rsidR="00F27DA8">
          <w:rPr>
            <w:noProof/>
            <w:webHidden/>
          </w:rPr>
          <w:instrText xml:space="preserve"> PAGEREF _Toc295818196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197" w:history="1">
        <w:r w:rsidR="00F27DA8" w:rsidRPr="006A673E">
          <w:rPr>
            <w:rStyle w:val="Hyperlink"/>
            <w:noProof/>
          </w:rPr>
          <w:t>Figure 4.11.  Axial relative power profile of Foil 4 in OFE under clean core conditions.</w:t>
        </w:r>
        <w:r w:rsidR="00F27DA8">
          <w:rPr>
            <w:noProof/>
            <w:webHidden/>
          </w:rPr>
          <w:tab/>
        </w:r>
        <w:r>
          <w:rPr>
            <w:noProof/>
            <w:webHidden/>
          </w:rPr>
          <w:fldChar w:fldCharType="begin"/>
        </w:r>
        <w:r w:rsidR="00F27DA8">
          <w:rPr>
            <w:noProof/>
            <w:webHidden/>
          </w:rPr>
          <w:instrText xml:space="preserve"> PAGEREF _Toc295818197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198" w:history="1">
        <w:r w:rsidR="00F27DA8" w:rsidRPr="006A673E">
          <w:rPr>
            <w:rStyle w:val="Hyperlink"/>
            <w:noProof/>
          </w:rPr>
          <w:t>Figure 4.12.  Axial relative power profile of Foil 6 in OFE under clean core conditions.</w:t>
        </w:r>
        <w:r w:rsidR="00F27DA8">
          <w:rPr>
            <w:noProof/>
            <w:webHidden/>
          </w:rPr>
          <w:tab/>
        </w:r>
        <w:r>
          <w:rPr>
            <w:noProof/>
            <w:webHidden/>
          </w:rPr>
          <w:fldChar w:fldCharType="begin"/>
        </w:r>
        <w:r w:rsidR="00F27DA8">
          <w:rPr>
            <w:noProof/>
            <w:webHidden/>
          </w:rPr>
          <w:instrText xml:space="preserve"> PAGEREF _Toc295818198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199" w:history="1">
        <w:r w:rsidR="00F27DA8" w:rsidRPr="006A673E">
          <w:rPr>
            <w:rStyle w:val="Hyperlink"/>
            <w:noProof/>
          </w:rPr>
          <w:t>Figure 4.13.  Radial relative power profile at horizontal midplane under fully poisoned core conditions.</w:t>
        </w:r>
        <w:r w:rsidR="00F27DA8">
          <w:rPr>
            <w:noProof/>
            <w:webHidden/>
          </w:rPr>
          <w:tab/>
        </w:r>
        <w:r>
          <w:rPr>
            <w:noProof/>
            <w:webHidden/>
          </w:rPr>
          <w:fldChar w:fldCharType="begin"/>
        </w:r>
        <w:r w:rsidR="00F27DA8">
          <w:rPr>
            <w:noProof/>
            <w:webHidden/>
          </w:rPr>
          <w:instrText xml:space="preserve"> PAGEREF _Toc295818199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00" w:history="1">
        <w:r w:rsidR="00F27DA8" w:rsidRPr="006A673E">
          <w:rPr>
            <w:rStyle w:val="Hyperlink"/>
            <w:noProof/>
          </w:rPr>
          <w:t>Figure 4.14.  Axial relative power profile of Foil 1 in IFE under fully poisoned core conditions.</w:t>
        </w:r>
        <w:r w:rsidR="00F27DA8">
          <w:rPr>
            <w:noProof/>
            <w:webHidden/>
          </w:rPr>
          <w:tab/>
        </w:r>
        <w:r>
          <w:rPr>
            <w:noProof/>
            <w:webHidden/>
          </w:rPr>
          <w:fldChar w:fldCharType="begin"/>
        </w:r>
        <w:r w:rsidR="00F27DA8">
          <w:rPr>
            <w:noProof/>
            <w:webHidden/>
          </w:rPr>
          <w:instrText xml:space="preserve"> PAGEREF _Toc295818200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01" w:history="1">
        <w:r w:rsidR="00F27DA8" w:rsidRPr="006A673E">
          <w:rPr>
            <w:rStyle w:val="Hyperlink"/>
            <w:noProof/>
          </w:rPr>
          <w:t>Figure 4.15.  Axial relative power profile of Foil 4 in IFE under fully poisoned core conditions.</w:t>
        </w:r>
        <w:r w:rsidR="00F27DA8">
          <w:rPr>
            <w:noProof/>
            <w:webHidden/>
          </w:rPr>
          <w:tab/>
        </w:r>
        <w:r>
          <w:rPr>
            <w:noProof/>
            <w:webHidden/>
          </w:rPr>
          <w:fldChar w:fldCharType="begin"/>
        </w:r>
        <w:r w:rsidR="00F27DA8">
          <w:rPr>
            <w:noProof/>
            <w:webHidden/>
          </w:rPr>
          <w:instrText xml:space="preserve"> PAGEREF _Toc295818201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02" w:history="1">
        <w:r w:rsidR="00F27DA8" w:rsidRPr="006A673E">
          <w:rPr>
            <w:rStyle w:val="Hyperlink"/>
            <w:noProof/>
          </w:rPr>
          <w:t>Figure 4.16.  Axial relative power profile of Foil 6 in IFE under fully poisoned core conditions.</w:t>
        </w:r>
        <w:r w:rsidR="00F27DA8">
          <w:rPr>
            <w:noProof/>
            <w:webHidden/>
          </w:rPr>
          <w:tab/>
        </w:r>
        <w:r>
          <w:rPr>
            <w:noProof/>
            <w:webHidden/>
          </w:rPr>
          <w:fldChar w:fldCharType="begin"/>
        </w:r>
        <w:r w:rsidR="00F27DA8">
          <w:rPr>
            <w:noProof/>
            <w:webHidden/>
          </w:rPr>
          <w:instrText xml:space="preserve"> PAGEREF _Toc295818202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03" w:history="1">
        <w:r w:rsidR="00F27DA8" w:rsidRPr="006A673E">
          <w:rPr>
            <w:rStyle w:val="Hyperlink"/>
            <w:noProof/>
          </w:rPr>
          <w:t>Figure 4.17.  Axial relative power profile of Foil 1 in OFE under fully poisoned core conditions.</w:t>
        </w:r>
        <w:r w:rsidR="00F27DA8">
          <w:rPr>
            <w:noProof/>
            <w:webHidden/>
          </w:rPr>
          <w:tab/>
        </w:r>
        <w:r>
          <w:rPr>
            <w:noProof/>
            <w:webHidden/>
          </w:rPr>
          <w:fldChar w:fldCharType="begin"/>
        </w:r>
        <w:r w:rsidR="00F27DA8">
          <w:rPr>
            <w:noProof/>
            <w:webHidden/>
          </w:rPr>
          <w:instrText xml:space="preserve"> PAGEREF _Toc295818203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04" w:history="1">
        <w:r w:rsidR="00F27DA8" w:rsidRPr="006A673E">
          <w:rPr>
            <w:rStyle w:val="Hyperlink"/>
            <w:noProof/>
          </w:rPr>
          <w:t>Figure 4.18.  Axial Relative power profile of Foil 4 in OFE under fully poisoned core conditions.</w:t>
        </w:r>
        <w:r w:rsidR="00F27DA8">
          <w:rPr>
            <w:noProof/>
            <w:webHidden/>
          </w:rPr>
          <w:tab/>
        </w:r>
        <w:r>
          <w:rPr>
            <w:noProof/>
            <w:webHidden/>
          </w:rPr>
          <w:fldChar w:fldCharType="begin"/>
        </w:r>
        <w:r w:rsidR="00F27DA8">
          <w:rPr>
            <w:noProof/>
            <w:webHidden/>
          </w:rPr>
          <w:instrText xml:space="preserve"> PAGEREF _Toc295818204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05" w:history="1">
        <w:r w:rsidR="00F27DA8" w:rsidRPr="006A673E">
          <w:rPr>
            <w:rStyle w:val="Hyperlink"/>
            <w:noProof/>
          </w:rPr>
          <w:t>Figure 4.19.  Axial relative power profile of Foil 6 in OFE under fully poisoned core conditions.</w:t>
        </w:r>
        <w:r w:rsidR="00F27DA8">
          <w:rPr>
            <w:noProof/>
            <w:webHidden/>
          </w:rPr>
          <w:tab/>
        </w:r>
        <w:r>
          <w:rPr>
            <w:noProof/>
            <w:webHidden/>
          </w:rPr>
          <w:fldChar w:fldCharType="begin"/>
        </w:r>
        <w:r w:rsidR="00F27DA8">
          <w:rPr>
            <w:noProof/>
            <w:webHidden/>
          </w:rPr>
          <w:instrText xml:space="preserve"> PAGEREF _Toc295818205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06" w:history="1">
        <w:r w:rsidR="00F27DA8" w:rsidRPr="006A673E">
          <w:rPr>
            <w:rStyle w:val="Hyperlink"/>
            <w:noProof/>
          </w:rPr>
          <w:t>Figure 5.1.  Axial and radial locations of burnup specimens (cm).</w:t>
        </w:r>
        <w:r w:rsidR="00F27DA8">
          <w:rPr>
            <w:noProof/>
            <w:webHidden/>
          </w:rPr>
          <w:tab/>
        </w:r>
        <w:r>
          <w:rPr>
            <w:noProof/>
            <w:webHidden/>
          </w:rPr>
          <w:fldChar w:fldCharType="begin"/>
        </w:r>
        <w:r w:rsidR="00F27DA8">
          <w:rPr>
            <w:noProof/>
            <w:webHidden/>
          </w:rPr>
          <w:instrText xml:space="preserve"> PAGEREF _Toc295818206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07" w:history="1">
        <w:r w:rsidR="00F27DA8" w:rsidRPr="006A673E">
          <w:rPr>
            <w:rStyle w:val="Hyperlink"/>
            <w:noProof/>
          </w:rPr>
          <w:t>Figure 5.2.  MCNP as modeled locations of specimens in IFE (left) and OFE (right).</w:t>
        </w:r>
        <w:r w:rsidR="00F27DA8">
          <w:rPr>
            <w:noProof/>
            <w:webHidden/>
          </w:rPr>
          <w:tab/>
        </w:r>
        <w:r>
          <w:rPr>
            <w:noProof/>
            <w:webHidden/>
          </w:rPr>
          <w:fldChar w:fldCharType="begin"/>
        </w:r>
        <w:r w:rsidR="00F27DA8">
          <w:rPr>
            <w:noProof/>
            <w:webHidden/>
          </w:rPr>
          <w:instrText xml:space="preserve"> PAGEREF _Toc295818207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08" w:history="1">
        <w:r w:rsidR="00F27DA8" w:rsidRPr="006A673E">
          <w:rPr>
            <w:rStyle w:val="Hyperlink"/>
            <w:noProof/>
          </w:rPr>
          <w:t>Figure 5.3.  Cross section of HFIR MCNP model at the horizontal midplane.</w:t>
        </w:r>
        <w:r w:rsidR="00F27DA8">
          <w:rPr>
            <w:noProof/>
            <w:webHidden/>
          </w:rPr>
          <w:tab/>
        </w:r>
        <w:r>
          <w:rPr>
            <w:noProof/>
            <w:webHidden/>
          </w:rPr>
          <w:fldChar w:fldCharType="begin"/>
        </w:r>
        <w:r w:rsidR="00F27DA8">
          <w:rPr>
            <w:noProof/>
            <w:webHidden/>
          </w:rPr>
          <w:instrText xml:space="preserve"> PAGEREF _Toc295818208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09" w:history="1">
        <w:r w:rsidR="00F27DA8" w:rsidRPr="006A673E">
          <w:rPr>
            <w:rStyle w:val="Hyperlink"/>
            <w:noProof/>
          </w:rPr>
          <w:t>Figure 5.4.  X-Z cross section of HFIR MCNP model.</w:t>
        </w:r>
        <w:r w:rsidR="00F27DA8">
          <w:rPr>
            <w:noProof/>
            <w:webHidden/>
          </w:rPr>
          <w:tab/>
        </w:r>
        <w:r>
          <w:rPr>
            <w:noProof/>
            <w:webHidden/>
          </w:rPr>
          <w:fldChar w:fldCharType="begin"/>
        </w:r>
        <w:r w:rsidR="00F27DA8">
          <w:rPr>
            <w:noProof/>
            <w:webHidden/>
          </w:rPr>
          <w:instrText xml:space="preserve"> PAGEREF _Toc295818209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10" w:history="1">
        <w:r w:rsidR="00F27DA8" w:rsidRPr="006A673E">
          <w:rPr>
            <w:rStyle w:val="Hyperlink"/>
            <w:noProof/>
          </w:rPr>
          <w:t>Figure 5.5.  Control element and keff curve for cycle 4.</w:t>
        </w:r>
        <w:r w:rsidR="00F27DA8">
          <w:rPr>
            <w:noProof/>
            <w:webHidden/>
          </w:rPr>
          <w:tab/>
        </w:r>
        <w:r>
          <w:rPr>
            <w:noProof/>
            <w:webHidden/>
          </w:rPr>
          <w:fldChar w:fldCharType="begin"/>
        </w:r>
        <w:r w:rsidR="00F27DA8">
          <w:rPr>
            <w:noProof/>
            <w:webHidden/>
          </w:rPr>
          <w:instrText xml:space="preserve"> PAGEREF _Toc295818210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11" w:history="1">
        <w:r w:rsidR="00F27DA8" w:rsidRPr="006A673E">
          <w:rPr>
            <w:rStyle w:val="Hyperlink"/>
            <w:noProof/>
          </w:rPr>
          <w:t>Figure 5.6.  Control element and keff curve for cycle 16.</w:t>
        </w:r>
        <w:r w:rsidR="00F27DA8">
          <w:rPr>
            <w:noProof/>
            <w:webHidden/>
          </w:rPr>
          <w:tab/>
        </w:r>
        <w:r>
          <w:rPr>
            <w:noProof/>
            <w:webHidden/>
          </w:rPr>
          <w:fldChar w:fldCharType="begin"/>
        </w:r>
        <w:r w:rsidR="00F27DA8">
          <w:rPr>
            <w:noProof/>
            <w:webHidden/>
          </w:rPr>
          <w:instrText xml:space="preserve"> PAGEREF _Toc295818211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12" w:history="1">
        <w:r w:rsidR="00F27DA8" w:rsidRPr="006A673E">
          <w:rPr>
            <w:rStyle w:val="Hyperlink"/>
            <w:noProof/>
          </w:rPr>
          <w:t>Figure 5.7.  Control element and keff curve for cycle 35.</w:t>
        </w:r>
        <w:r w:rsidR="00F27DA8">
          <w:rPr>
            <w:noProof/>
            <w:webHidden/>
          </w:rPr>
          <w:tab/>
        </w:r>
        <w:r>
          <w:rPr>
            <w:noProof/>
            <w:webHidden/>
          </w:rPr>
          <w:fldChar w:fldCharType="begin"/>
        </w:r>
        <w:r w:rsidR="00F27DA8">
          <w:rPr>
            <w:noProof/>
            <w:webHidden/>
          </w:rPr>
          <w:instrText xml:space="preserve"> PAGEREF _Toc295818212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13" w:history="1">
        <w:r w:rsidR="00F27DA8" w:rsidRPr="006A673E">
          <w:rPr>
            <w:rStyle w:val="Hyperlink"/>
            <w:noProof/>
          </w:rPr>
          <w:t xml:space="preserve">Figure 5.8.  Cycle 4 OFE post-irradiation </w:t>
        </w:r>
        <w:r w:rsidR="00F27DA8" w:rsidRPr="006A673E">
          <w:rPr>
            <w:rStyle w:val="Hyperlink"/>
            <w:noProof/>
            <w:vertAlign w:val="superscript"/>
          </w:rPr>
          <w:t>234</w:t>
        </w:r>
        <w:r w:rsidR="00F27DA8" w:rsidRPr="006A673E">
          <w:rPr>
            <w:rStyle w:val="Hyperlink"/>
            <w:noProof/>
          </w:rPr>
          <w:t>U atomic percent.</w:t>
        </w:r>
        <w:r w:rsidR="00F27DA8">
          <w:rPr>
            <w:noProof/>
            <w:webHidden/>
          </w:rPr>
          <w:tab/>
        </w:r>
        <w:r>
          <w:rPr>
            <w:noProof/>
            <w:webHidden/>
          </w:rPr>
          <w:fldChar w:fldCharType="begin"/>
        </w:r>
        <w:r w:rsidR="00F27DA8">
          <w:rPr>
            <w:noProof/>
            <w:webHidden/>
          </w:rPr>
          <w:instrText xml:space="preserve"> PAGEREF _Toc295818213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14" w:history="1">
        <w:r w:rsidR="00F27DA8" w:rsidRPr="006A673E">
          <w:rPr>
            <w:rStyle w:val="Hyperlink"/>
            <w:noProof/>
          </w:rPr>
          <w:t xml:space="preserve">Figure 5.9.  Cycle 4 OFE post-irradiation </w:t>
        </w:r>
        <w:r w:rsidR="00F27DA8" w:rsidRPr="006A673E">
          <w:rPr>
            <w:rStyle w:val="Hyperlink"/>
            <w:noProof/>
            <w:vertAlign w:val="superscript"/>
          </w:rPr>
          <w:t>235</w:t>
        </w:r>
        <w:r w:rsidR="00F27DA8" w:rsidRPr="006A673E">
          <w:rPr>
            <w:rStyle w:val="Hyperlink"/>
            <w:noProof/>
          </w:rPr>
          <w:t>U atomic percent.</w:t>
        </w:r>
        <w:r w:rsidR="00F27DA8">
          <w:rPr>
            <w:noProof/>
            <w:webHidden/>
          </w:rPr>
          <w:tab/>
        </w:r>
        <w:r>
          <w:rPr>
            <w:noProof/>
            <w:webHidden/>
          </w:rPr>
          <w:fldChar w:fldCharType="begin"/>
        </w:r>
        <w:r w:rsidR="00F27DA8">
          <w:rPr>
            <w:noProof/>
            <w:webHidden/>
          </w:rPr>
          <w:instrText xml:space="preserve"> PAGEREF _Toc295818214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15" w:history="1">
        <w:r w:rsidR="00F27DA8" w:rsidRPr="006A673E">
          <w:rPr>
            <w:rStyle w:val="Hyperlink"/>
            <w:noProof/>
          </w:rPr>
          <w:t xml:space="preserve">Figure 5.10.  Cycle 4 OFE post-irradiation </w:t>
        </w:r>
        <w:r w:rsidR="00F27DA8" w:rsidRPr="006A673E">
          <w:rPr>
            <w:rStyle w:val="Hyperlink"/>
            <w:noProof/>
            <w:vertAlign w:val="superscript"/>
          </w:rPr>
          <w:t>236</w:t>
        </w:r>
        <w:r w:rsidR="00F27DA8" w:rsidRPr="006A673E">
          <w:rPr>
            <w:rStyle w:val="Hyperlink"/>
            <w:noProof/>
          </w:rPr>
          <w:t>U atomic percent.</w:t>
        </w:r>
        <w:r w:rsidR="00F27DA8">
          <w:rPr>
            <w:noProof/>
            <w:webHidden/>
          </w:rPr>
          <w:tab/>
        </w:r>
        <w:r>
          <w:rPr>
            <w:noProof/>
            <w:webHidden/>
          </w:rPr>
          <w:fldChar w:fldCharType="begin"/>
        </w:r>
        <w:r w:rsidR="00F27DA8">
          <w:rPr>
            <w:noProof/>
            <w:webHidden/>
          </w:rPr>
          <w:instrText xml:space="preserve"> PAGEREF _Toc295818215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16" w:history="1">
        <w:r w:rsidR="00F27DA8" w:rsidRPr="006A673E">
          <w:rPr>
            <w:rStyle w:val="Hyperlink"/>
            <w:noProof/>
          </w:rPr>
          <w:t>Figure 5.11.  Cycle 4 OFE post-irradiation 238U atomic percent.</w:t>
        </w:r>
        <w:r w:rsidR="00F27DA8">
          <w:rPr>
            <w:noProof/>
            <w:webHidden/>
          </w:rPr>
          <w:tab/>
        </w:r>
        <w:r>
          <w:rPr>
            <w:noProof/>
            <w:webHidden/>
          </w:rPr>
          <w:fldChar w:fldCharType="begin"/>
        </w:r>
        <w:r w:rsidR="00F27DA8">
          <w:rPr>
            <w:noProof/>
            <w:webHidden/>
          </w:rPr>
          <w:instrText xml:space="preserve"> PAGEREF _Toc295818216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17" w:history="1">
        <w:r w:rsidR="00F27DA8" w:rsidRPr="006A673E">
          <w:rPr>
            <w:rStyle w:val="Hyperlink"/>
            <w:noProof/>
          </w:rPr>
          <w:t xml:space="preserve">Figure 5.12.  Cycle 16 OFE post-irradiation </w:t>
        </w:r>
        <w:r w:rsidR="00F27DA8" w:rsidRPr="006A673E">
          <w:rPr>
            <w:rStyle w:val="Hyperlink"/>
            <w:noProof/>
            <w:vertAlign w:val="superscript"/>
          </w:rPr>
          <w:t>234</w:t>
        </w:r>
        <w:r w:rsidR="00F27DA8" w:rsidRPr="006A673E">
          <w:rPr>
            <w:rStyle w:val="Hyperlink"/>
            <w:noProof/>
          </w:rPr>
          <w:t>U atomic percent.</w:t>
        </w:r>
        <w:r w:rsidR="00F27DA8">
          <w:rPr>
            <w:noProof/>
            <w:webHidden/>
          </w:rPr>
          <w:tab/>
        </w:r>
        <w:r>
          <w:rPr>
            <w:noProof/>
            <w:webHidden/>
          </w:rPr>
          <w:fldChar w:fldCharType="begin"/>
        </w:r>
        <w:r w:rsidR="00F27DA8">
          <w:rPr>
            <w:noProof/>
            <w:webHidden/>
          </w:rPr>
          <w:instrText xml:space="preserve"> PAGEREF _Toc295818217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18" w:history="1">
        <w:r w:rsidR="00F27DA8" w:rsidRPr="006A673E">
          <w:rPr>
            <w:rStyle w:val="Hyperlink"/>
            <w:noProof/>
          </w:rPr>
          <w:t xml:space="preserve">Figure 5.13.  Cycle 16 OFE post-irradiation </w:t>
        </w:r>
        <w:r w:rsidR="00F27DA8" w:rsidRPr="006A673E">
          <w:rPr>
            <w:rStyle w:val="Hyperlink"/>
            <w:noProof/>
            <w:vertAlign w:val="superscript"/>
          </w:rPr>
          <w:t>235</w:t>
        </w:r>
        <w:r w:rsidR="00F27DA8" w:rsidRPr="006A673E">
          <w:rPr>
            <w:rStyle w:val="Hyperlink"/>
            <w:noProof/>
          </w:rPr>
          <w:t>U atomic percent.</w:t>
        </w:r>
        <w:r w:rsidR="00F27DA8">
          <w:rPr>
            <w:noProof/>
            <w:webHidden/>
          </w:rPr>
          <w:tab/>
        </w:r>
        <w:r>
          <w:rPr>
            <w:noProof/>
            <w:webHidden/>
          </w:rPr>
          <w:fldChar w:fldCharType="begin"/>
        </w:r>
        <w:r w:rsidR="00F27DA8">
          <w:rPr>
            <w:noProof/>
            <w:webHidden/>
          </w:rPr>
          <w:instrText xml:space="preserve"> PAGEREF _Toc295818218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19" w:history="1">
        <w:r w:rsidR="00F27DA8" w:rsidRPr="006A673E">
          <w:rPr>
            <w:rStyle w:val="Hyperlink"/>
            <w:noProof/>
          </w:rPr>
          <w:t xml:space="preserve">Figure 5.14.  Cycle 16 OFE post-irradiation </w:t>
        </w:r>
        <w:r w:rsidR="00F27DA8" w:rsidRPr="006A673E">
          <w:rPr>
            <w:rStyle w:val="Hyperlink"/>
            <w:noProof/>
            <w:vertAlign w:val="superscript"/>
          </w:rPr>
          <w:t>236</w:t>
        </w:r>
        <w:r w:rsidR="00F27DA8" w:rsidRPr="006A673E">
          <w:rPr>
            <w:rStyle w:val="Hyperlink"/>
            <w:noProof/>
          </w:rPr>
          <w:t>U atomic percent.</w:t>
        </w:r>
        <w:r w:rsidR="00F27DA8">
          <w:rPr>
            <w:noProof/>
            <w:webHidden/>
          </w:rPr>
          <w:tab/>
        </w:r>
        <w:r>
          <w:rPr>
            <w:noProof/>
            <w:webHidden/>
          </w:rPr>
          <w:fldChar w:fldCharType="begin"/>
        </w:r>
        <w:r w:rsidR="00F27DA8">
          <w:rPr>
            <w:noProof/>
            <w:webHidden/>
          </w:rPr>
          <w:instrText xml:space="preserve"> PAGEREF _Toc295818219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20" w:history="1">
        <w:r w:rsidR="00F27DA8" w:rsidRPr="006A673E">
          <w:rPr>
            <w:rStyle w:val="Hyperlink"/>
            <w:noProof/>
          </w:rPr>
          <w:t xml:space="preserve">Figure 5.15.  Cycle 16 OFE post-irradiation </w:t>
        </w:r>
        <w:r w:rsidR="00F27DA8" w:rsidRPr="006A673E">
          <w:rPr>
            <w:rStyle w:val="Hyperlink"/>
            <w:noProof/>
            <w:vertAlign w:val="superscript"/>
          </w:rPr>
          <w:t>238</w:t>
        </w:r>
        <w:r w:rsidR="00F27DA8" w:rsidRPr="006A673E">
          <w:rPr>
            <w:rStyle w:val="Hyperlink"/>
            <w:noProof/>
          </w:rPr>
          <w:t>U atomic percent.</w:t>
        </w:r>
        <w:r w:rsidR="00F27DA8">
          <w:rPr>
            <w:noProof/>
            <w:webHidden/>
          </w:rPr>
          <w:tab/>
        </w:r>
        <w:r>
          <w:rPr>
            <w:noProof/>
            <w:webHidden/>
          </w:rPr>
          <w:fldChar w:fldCharType="begin"/>
        </w:r>
        <w:r w:rsidR="00F27DA8">
          <w:rPr>
            <w:noProof/>
            <w:webHidden/>
          </w:rPr>
          <w:instrText xml:space="preserve"> PAGEREF _Toc295818220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21" w:history="1">
        <w:r w:rsidR="00F27DA8" w:rsidRPr="006A673E">
          <w:rPr>
            <w:rStyle w:val="Hyperlink"/>
            <w:noProof/>
          </w:rPr>
          <w:t xml:space="preserve">Figure 5.16.  Cycle 35 IFE post-irradiation </w:t>
        </w:r>
        <w:r w:rsidR="00F27DA8" w:rsidRPr="006A673E">
          <w:rPr>
            <w:rStyle w:val="Hyperlink"/>
            <w:noProof/>
            <w:vertAlign w:val="superscript"/>
          </w:rPr>
          <w:t>234</w:t>
        </w:r>
        <w:r w:rsidR="00F27DA8" w:rsidRPr="006A673E">
          <w:rPr>
            <w:rStyle w:val="Hyperlink"/>
            <w:noProof/>
          </w:rPr>
          <w:t>U atomic percent.</w:t>
        </w:r>
        <w:r w:rsidR="00F27DA8">
          <w:rPr>
            <w:noProof/>
            <w:webHidden/>
          </w:rPr>
          <w:tab/>
        </w:r>
        <w:r>
          <w:rPr>
            <w:noProof/>
            <w:webHidden/>
          </w:rPr>
          <w:fldChar w:fldCharType="begin"/>
        </w:r>
        <w:r w:rsidR="00F27DA8">
          <w:rPr>
            <w:noProof/>
            <w:webHidden/>
          </w:rPr>
          <w:instrText xml:space="preserve"> PAGEREF _Toc295818221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22" w:history="1">
        <w:r w:rsidR="00F27DA8" w:rsidRPr="006A673E">
          <w:rPr>
            <w:rStyle w:val="Hyperlink"/>
            <w:noProof/>
          </w:rPr>
          <w:t xml:space="preserve">Figure 5.17.  Cycle 35 IFE post-irradiation </w:t>
        </w:r>
        <w:r w:rsidR="00F27DA8" w:rsidRPr="006A673E">
          <w:rPr>
            <w:rStyle w:val="Hyperlink"/>
            <w:noProof/>
            <w:vertAlign w:val="superscript"/>
          </w:rPr>
          <w:t>235</w:t>
        </w:r>
        <w:r w:rsidR="00F27DA8" w:rsidRPr="006A673E">
          <w:rPr>
            <w:rStyle w:val="Hyperlink"/>
            <w:noProof/>
          </w:rPr>
          <w:t>U atomic percent.</w:t>
        </w:r>
        <w:r w:rsidR="00F27DA8">
          <w:rPr>
            <w:noProof/>
            <w:webHidden/>
          </w:rPr>
          <w:tab/>
        </w:r>
        <w:r>
          <w:rPr>
            <w:noProof/>
            <w:webHidden/>
          </w:rPr>
          <w:fldChar w:fldCharType="begin"/>
        </w:r>
        <w:r w:rsidR="00F27DA8">
          <w:rPr>
            <w:noProof/>
            <w:webHidden/>
          </w:rPr>
          <w:instrText xml:space="preserve"> PAGEREF _Toc295818222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23" w:history="1">
        <w:r w:rsidR="00F27DA8" w:rsidRPr="006A673E">
          <w:rPr>
            <w:rStyle w:val="Hyperlink"/>
            <w:noProof/>
          </w:rPr>
          <w:t xml:space="preserve">Figure 5.18.  Cycle 35 IFE post-irradiation </w:t>
        </w:r>
        <w:r w:rsidR="00F27DA8" w:rsidRPr="006A673E">
          <w:rPr>
            <w:rStyle w:val="Hyperlink"/>
            <w:noProof/>
            <w:vertAlign w:val="superscript"/>
          </w:rPr>
          <w:t>236</w:t>
        </w:r>
        <w:r w:rsidR="00F27DA8" w:rsidRPr="006A673E">
          <w:rPr>
            <w:rStyle w:val="Hyperlink"/>
            <w:noProof/>
          </w:rPr>
          <w:t>U atomic percent.</w:t>
        </w:r>
        <w:r w:rsidR="00F27DA8">
          <w:rPr>
            <w:noProof/>
            <w:webHidden/>
          </w:rPr>
          <w:tab/>
        </w:r>
        <w:r>
          <w:rPr>
            <w:noProof/>
            <w:webHidden/>
          </w:rPr>
          <w:fldChar w:fldCharType="begin"/>
        </w:r>
        <w:r w:rsidR="00F27DA8">
          <w:rPr>
            <w:noProof/>
            <w:webHidden/>
          </w:rPr>
          <w:instrText xml:space="preserve"> PAGEREF _Toc295818223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24" w:history="1">
        <w:r w:rsidR="00F27DA8" w:rsidRPr="006A673E">
          <w:rPr>
            <w:rStyle w:val="Hyperlink"/>
            <w:noProof/>
          </w:rPr>
          <w:t xml:space="preserve">Figure 5.19.  Cycle 35 IFE post-irradiation </w:t>
        </w:r>
        <w:r w:rsidR="00F27DA8" w:rsidRPr="006A673E">
          <w:rPr>
            <w:rStyle w:val="Hyperlink"/>
            <w:noProof/>
            <w:vertAlign w:val="superscript"/>
          </w:rPr>
          <w:t>238</w:t>
        </w:r>
        <w:r w:rsidR="00F27DA8" w:rsidRPr="006A673E">
          <w:rPr>
            <w:rStyle w:val="Hyperlink"/>
            <w:noProof/>
          </w:rPr>
          <w:t>U atomic percent.</w:t>
        </w:r>
        <w:r w:rsidR="00F27DA8">
          <w:rPr>
            <w:noProof/>
            <w:webHidden/>
          </w:rPr>
          <w:tab/>
        </w:r>
        <w:r>
          <w:rPr>
            <w:noProof/>
            <w:webHidden/>
          </w:rPr>
          <w:fldChar w:fldCharType="begin"/>
        </w:r>
        <w:r w:rsidR="00F27DA8">
          <w:rPr>
            <w:noProof/>
            <w:webHidden/>
          </w:rPr>
          <w:instrText xml:space="preserve"> PAGEREF _Toc295818224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25" w:history="1">
        <w:r w:rsidR="00F27DA8" w:rsidRPr="006A673E">
          <w:rPr>
            <w:rStyle w:val="Hyperlink"/>
            <w:noProof/>
          </w:rPr>
          <w:t xml:space="preserve">Figure 5.20.  </w:t>
        </w:r>
        <w:r w:rsidR="00F27DA8" w:rsidRPr="006A673E">
          <w:rPr>
            <w:rStyle w:val="Hyperlink"/>
            <w:noProof/>
            <w:vertAlign w:val="superscript"/>
          </w:rPr>
          <w:t>235</w:t>
        </w:r>
        <w:r w:rsidR="00F27DA8" w:rsidRPr="006A673E">
          <w:rPr>
            <w:rStyle w:val="Hyperlink"/>
            <w:noProof/>
          </w:rPr>
          <w:t xml:space="preserve">U depletion and </w:t>
        </w:r>
        <w:r w:rsidR="00F27DA8" w:rsidRPr="006A673E">
          <w:rPr>
            <w:rStyle w:val="Hyperlink"/>
            <w:noProof/>
            <w:vertAlign w:val="superscript"/>
          </w:rPr>
          <w:t>239</w:t>
        </w:r>
        <w:r w:rsidR="00F27DA8" w:rsidRPr="006A673E">
          <w:rPr>
            <w:rStyle w:val="Hyperlink"/>
            <w:noProof/>
          </w:rPr>
          <w:t>Pu buildup as a function of exposure for HFIR cycle 16.</w:t>
        </w:r>
        <w:r w:rsidR="00F27DA8">
          <w:rPr>
            <w:noProof/>
            <w:webHidden/>
          </w:rPr>
          <w:tab/>
        </w:r>
        <w:r>
          <w:rPr>
            <w:noProof/>
            <w:webHidden/>
          </w:rPr>
          <w:fldChar w:fldCharType="begin"/>
        </w:r>
        <w:r w:rsidR="00F27DA8">
          <w:rPr>
            <w:noProof/>
            <w:webHidden/>
          </w:rPr>
          <w:instrText xml:space="preserve"> PAGEREF _Toc295818225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26" w:history="1">
        <w:r w:rsidR="00F27DA8" w:rsidRPr="006A673E">
          <w:rPr>
            <w:rStyle w:val="Hyperlink"/>
            <w:noProof/>
          </w:rPr>
          <w:t xml:space="preserve">Figure 5.21.  </w:t>
        </w:r>
        <w:r w:rsidR="00F27DA8" w:rsidRPr="006A673E">
          <w:rPr>
            <w:rStyle w:val="Hyperlink"/>
            <w:noProof/>
            <w:vertAlign w:val="superscript"/>
          </w:rPr>
          <w:t>135</w:t>
        </w:r>
        <w:r w:rsidR="00F27DA8" w:rsidRPr="006A673E">
          <w:rPr>
            <w:rStyle w:val="Hyperlink"/>
            <w:noProof/>
          </w:rPr>
          <w:t xml:space="preserve">Xe and </w:t>
        </w:r>
        <w:r w:rsidR="00F27DA8" w:rsidRPr="006A673E">
          <w:rPr>
            <w:rStyle w:val="Hyperlink"/>
            <w:noProof/>
            <w:vertAlign w:val="superscript"/>
          </w:rPr>
          <w:t>149</w:t>
        </w:r>
        <w:r w:rsidR="00F27DA8" w:rsidRPr="006A673E">
          <w:rPr>
            <w:rStyle w:val="Hyperlink"/>
            <w:noProof/>
          </w:rPr>
          <w:t>Sm buildup as a function of exposure for HFIR cycle 16.</w:t>
        </w:r>
        <w:r w:rsidR="00F27DA8">
          <w:rPr>
            <w:noProof/>
            <w:webHidden/>
          </w:rPr>
          <w:tab/>
        </w:r>
        <w:r>
          <w:rPr>
            <w:noProof/>
            <w:webHidden/>
          </w:rPr>
          <w:fldChar w:fldCharType="begin"/>
        </w:r>
        <w:r w:rsidR="00F27DA8">
          <w:rPr>
            <w:noProof/>
            <w:webHidden/>
          </w:rPr>
          <w:instrText xml:space="preserve"> PAGEREF _Toc295818226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27" w:history="1">
        <w:r w:rsidR="00F27DA8" w:rsidRPr="006A673E">
          <w:rPr>
            <w:rStyle w:val="Hyperlink"/>
            <w:noProof/>
          </w:rPr>
          <w:t xml:space="preserve">Figure 5.22.  </w:t>
        </w:r>
        <w:r w:rsidR="00F27DA8" w:rsidRPr="006A673E">
          <w:rPr>
            <w:rStyle w:val="Hyperlink"/>
            <w:noProof/>
            <w:vertAlign w:val="superscript"/>
          </w:rPr>
          <w:t>10</w:t>
        </w:r>
        <w:r w:rsidR="00F27DA8" w:rsidRPr="006A673E">
          <w:rPr>
            <w:rStyle w:val="Hyperlink"/>
            <w:noProof/>
          </w:rPr>
          <w:t>B inventory as a function of exposure for HFIR cycle 16.</w:t>
        </w:r>
        <w:r w:rsidR="00F27DA8">
          <w:rPr>
            <w:noProof/>
            <w:webHidden/>
          </w:rPr>
          <w:tab/>
        </w:r>
        <w:r>
          <w:rPr>
            <w:noProof/>
            <w:webHidden/>
          </w:rPr>
          <w:fldChar w:fldCharType="begin"/>
        </w:r>
        <w:r w:rsidR="00F27DA8">
          <w:rPr>
            <w:noProof/>
            <w:webHidden/>
          </w:rPr>
          <w:instrText xml:space="preserve"> PAGEREF _Toc295818227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28" w:history="1">
        <w:r w:rsidR="00F27DA8" w:rsidRPr="006A673E">
          <w:rPr>
            <w:rStyle w:val="Hyperlink"/>
            <w:noProof/>
          </w:rPr>
          <w:t>Figure 6.1.  Transmutation path leading to poison and tritium buildup in the beryllium reflector.</w:t>
        </w:r>
        <w:r w:rsidR="00F27DA8">
          <w:rPr>
            <w:noProof/>
            <w:webHidden/>
          </w:rPr>
          <w:tab/>
        </w:r>
        <w:r>
          <w:rPr>
            <w:noProof/>
            <w:webHidden/>
          </w:rPr>
          <w:fldChar w:fldCharType="begin"/>
        </w:r>
        <w:r w:rsidR="00F27DA8">
          <w:rPr>
            <w:noProof/>
            <w:webHidden/>
          </w:rPr>
          <w:instrText xml:space="preserve"> PAGEREF _Toc295818228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29" w:history="1">
        <w:r w:rsidR="00F27DA8" w:rsidRPr="006A673E">
          <w:rPr>
            <w:rStyle w:val="Hyperlink"/>
            <w:noProof/>
          </w:rPr>
          <w:t>Figure 6.2.  Transmutation path for transuranic isotope production [81].</w:t>
        </w:r>
        <w:r w:rsidR="00F27DA8">
          <w:rPr>
            <w:noProof/>
            <w:webHidden/>
          </w:rPr>
          <w:tab/>
        </w:r>
        <w:r>
          <w:rPr>
            <w:noProof/>
            <w:webHidden/>
          </w:rPr>
          <w:fldChar w:fldCharType="begin"/>
        </w:r>
        <w:r w:rsidR="00F27DA8">
          <w:rPr>
            <w:noProof/>
            <w:webHidden/>
          </w:rPr>
          <w:instrText xml:space="preserve"> PAGEREF _Toc295818229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30" w:history="1">
        <w:r w:rsidR="00F27DA8" w:rsidRPr="006A673E">
          <w:rPr>
            <w:rStyle w:val="Hyperlink"/>
            <w:noProof/>
          </w:rPr>
          <w:t>Figure 6.3.  Isometric view of the HFIR KENO model.</w:t>
        </w:r>
        <w:r w:rsidR="00F27DA8">
          <w:rPr>
            <w:noProof/>
            <w:webHidden/>
          </w:rPr>
          <w:tab/>
        </w:r>
        <w:r>
          <w:rPr>
            <w:noProof/>
            <w:webHidden/>
          </w:rPr>
          <w:fldChar w:fldCharType="begin"/>
        </w:r>
        <w:r w:rsidR="00F27DA8">
          <w:rPr>
            <w:noProof/>
            <w:webHidden/>
          </w:rPr>
          <w:instrText xml:space="preserve"> PAGEREF _Toc295818230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31" w:history="1">
        <w:r w:rsidR="00F27DA8" w:rsidRPr="006A673E">
          <w:rPr>
            <w:rStyle w:val="Hyperlink"/>
            <w:noProof/>
          </w:rPr>
          <w:t>Figure 6.4.  SCALE and time-dependent ALEPH/MCNP flux comparisons.</w:t>
        </w:r>
        <w:r w:rsidR="00F27DA8">
          <w:rPr>
            <w:noProof/>
            <w:webHidden/>
          </w:rPr>
          <w:tab/>
        </w:r>
        <w:r>
          <w:rPr>
            <w:noProof/>
            <w:webHidden/>
          </w:rPr>
          <w:fldChar w:fldCharType="begin"/>
        </w:r>
        <w:r w:rsidR="00F27DA8">
          <w:rPr>
            <w:noProof/>
            <w:webHidden/>
          </w:rPr>
          <w:instrText xml:space="preserve"> PAGEREF _Toc295818231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32" w:history="1">
        <w:r w:rsidR="00F27DA8" w:rsidRPr="006A673E">
          <w:rPr>
            <w:rStyle w:val="Hyperlink"/>
            <w:noProof/>
          </w:rPr>
          <w:t>Figure 6.5.  Poison and gas buildup in the beryllium reflector resulting from neutron activation.</w:t>
        </w:r>
        <w:r w:rsidR="00F27DA8">
          <w:rPr>
            <w:noProof/>
            <w:webHidden/>
          </w:rPr>
          <w:tab/>
        </w:r>
        <w:r>
          <w:rPr>
            <w:noProof/>
            <w:webHidden/>
          </w:rPr>
          <w:fldChar w:fldCharType="begin"/>
        </w:r>
        <w:r w:rsidR="00F27DA8">
          <w:rPr>
            <w:noProof/>
            <w:webHidden/>
          </w:rPr>
          <w:instrText xml:space="preserve"> PAGEREF _Toc295818232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33" w:history="1">
        <w:r w:rsidR="00F27DA8" w:rsidRPr="006A673E">
          <w:rPr>
            <w:rStyle w:val="Hyperlink"/>
            <w:noProof/>
          </w:rPr>
          <w:t xml:space="preserve">Figure 6.6.  Comparison of current procedure and newly derived </w:t>
        </w:r>
        <w:r w:rsidR="00F27DA8" w:rsidRPr="006A673E">
          <w:rPr>
            <w:rStyle w:val="Hyperlink"/>
            <w:noProof/>
            <w:vertAlign w:val="superscript"/>
          </w:rPr>
          <w:t>3</w:t>
        </w:r>
        <w:r w:rsidR="00F27DA8" w:rsidRPr="006A673E">
          <w:rPr>
            <w:rStyle w:val="Hyperlink"/>
            <w:noProof/>
          </w:rPr>
          <w:t>He poison effect estimates.</w:t>
        </w:r>
        <w:r w:rsidR="00F27DA8">
          <w:rPr>
            <w:noProof/>
            <w:webHidden/>
          </w:rPr>
          <w:tab/>
        </w:r>
        <w:r>
          <w:rPr>
            <w:noProof/>
            <w:webHidden/>
          </w:rPr>
          <w:fldChar w:fldCharType="begin"/>
        </w:r>
        <w:r w:rsidR="00F27DA8">
          <w:rPr>
            <w:noProof/>
            <w:webHidden/>
          </w:rPr>
          <w:instrText xml:space="preserve"> PAGEREF _Toc295818233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34" w:history="1">
        <w:r w:rsidR="00F27DA8" w:rsidRPr="006A673E">
          <w:rPr>
            <w:rStyle w:val="Hyperlink"/>
            <w:noProof/>
          </w:rPr>
          <w:t>Figure 6.7.  Comparison of current and proposed ESCCEP methodologies against ASCCEP data.</w:t>
        </w:r>
        <w:r w:rsidR="00F27DA8">
          <w:rPr>
            <w:noProof/>
            <w:webHidden/>
          </w:rPr>
          <w:tab/>
        </w:r>
        <w:r>
          <w:rPr>
            <w:noProof/>
            <w:webHidden/>
          </w:rPr>
          <w:fldChar w:fldCharType="begin"/>
        </w:r>
        <w:r w:rsidR="00F27DA8">
          <w:rPr>
            <w:noProof/>
            <w:webHidden/>
          </w:rPr>
          <w:instrText xml:space="preserve"> PAGEREF _Toc295818234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35" w:history="1">
        <w:r w:rsidR="00F27DA8" w:rsidRPr="006A673E">
          <w:rPr>
            <w:rStyle w:val="Hyperlink"/>
            <w:noProof/>
          </w:rPr>
          <w:t>Figure 6.8.  TRU waste inventory in beryllium reflector regions following discharge.</w:t>
        </w:r>
        <w:r w:rsidR="00F27DA8">
          <w:rPr>
            <w:noProof/>
            <w:webHidden/>
          </w:rPr>
          <w:tab/>
        </w:r>
        <w:r>
          <w:rPr>
            <w:noProof/>
            <w:webHidden/>
          </w:rPr>
          <w:fldChar w:fldCharType="begin"/>
        </w:r>
        <w:r w:rsidR="00F27DA8">
          <w:rPr>
            <w:noProof/>
            <w:webHidden/>
          </w:rPr>
          <w:instrText xml:space="preserve"> PAGEREF _Toc295818235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36" w:history="1">
        <w:r w:rsidR="00F27DA8" w:rsidRPr="006A673E">
          <w:rPr>
            <w:rStyle w:val="Hyperlink"/>
            <w:noProof/>
          </w:rPr>
          <w:t>Figure 6.9.  TRU waste inventory in PB3 following discharge.</w:t>
        </w:r>
        <w:r w:rsidR="00F27DA8">
          <w:rPr>
            <w:noProof/>
            <w:webHidden/>
          </w:rPr>
          <w:tab/>
        </w:r>
        <w:r>
          <w:rPr>
            <w:noProof/>
            <w:webHidden/>
          </w:rPr>
          <w:fldChar w:fldCharType="begin"/>
        </w:r>
        <w:r w:rsidR="00F27DA8">
          <w:rPr>
            <w:noProof/>
            <w:webHidden/>
          </w:rPr>
          <w:instrText xml:space="preserve"> PAGEREF _Toc295818236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37" w:history="1">
        <w:r w:rsidR="00F27DA8" w:rsidRPr="006A673E">
          <w:rPr>
            <w:rStyle w:val="Hyperlink"/>
            <w:noProof/>
          </w:rPr>
          <w:t>Figure 6.10.  June 2010 radionuclide curie levels in PB3 as calculated in TRITON (left), ORIGEN-S best estimate (middle), and ORIGEN-S conservative (right).</w:t>
        </w:r>
        <w:r w:rsidR="00F27DA8">
          <w:rPr>
            <w:noProof/>
            <w:webHidden/>
          </w:rPr>
          <w:tab/>
        </w:r>
        <w:r>
          <w:rPr>
            <w:noProof/>
            <w:webHidden/>
          </w:rPr>
          <w:fldChar w:fldCharType="begin"/>
        </w:r>
        <w:r w:rsidR="00F27DA8">
          <w:rPr>
            <w:noProof/>
            <w:webHidden/>
          </w:rPr>
          <w:instrText xml:space="preserve"> PAGEREF _Toc295818237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38" w:history="1">
        <w:r w:rsidR="00F27DA8" w:rsidRPr="006A673E">
          <w:rPr>
            <w:rStyle w:val="Hyperlink"/>
            <w:noProof/>
          </w:rPr>
          <w:t>Figure 6.11.  Total radioactivity in RB and SPB beryllium and aluminum regions.</w:t>
        </w:r>
        <w:r w:rsidR="00F27DA8">
          <w:rPr>
            <w:noProof/>
            <w:webHidden/>
          </w:rPr>
          <w:tab/>
        </w:r>
        <w:r>
          <w:rPr>
            <w:noProof/>
            <w:webHidden/>
          </w:rPr>
          <w:fldChar w:fldCharType="begin"/>
        </w:r>
        <w:r w:rsidR="00F27DA8">
          <w:rPr>
            <w:noProof/>
            <w:webHidden/>
          </w:rPr>
          <w:instrText xml:space="preserve"> PAGEREF _Toc295818238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39" w:history="1">
        <w:r w:rsidR="00F27DA8" w:rsidRPr="006A673E">
          <w:rPr>
            <w:rStyle w:val="Hyperlink"/>
            <w:noProof/>
          </w:rPr>
          <w:t>Figure 6.12.  Major RB and SPB aluminum region radionuclides.</w:t>
        </w:r>
        <w:r w:rsidR="00F27DA8">
          <w:rPr>
            <w:noProof/>
            <w:webHidden/>
          </w:rPr>
          <w:tab/>
        </w:r>
        <w:r>
          <w:rPr>
            <w:noProof/>
            <w:webHidden/>
          </w:rPr>
          <w:fldChar w:fldCharType="begin"/>
        </w:r>
        <w:r w:rsidR="00F27DA8">
          <w:rPr>
            <w:noProof/>
            <w:webHidden/>
          </w:rPr>
          <w:instrText xml:space="preserve"> PAGEREF _Toc295818239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40" w:history="1">
        <w:r w:rsidR="00F27DA8" w:rsidRPr="006A673E">
          <w:rPr>
            <w:rStyle w:val="Hyperlink"/>
            <w:noProof/>
          </w:rPr>
          <w:t>Figure 7.1.  Flux trap loading summary (407 – 418 are boxed in and are the focus of this study).</w:t>
        </w:r>
        <w:r w:rsidR="00F27DA8">
          <w:rPr>
            <w:noProof/>
            <w:webHidden/>
          </w:rPr>
          <w:tab/>
        </w:r>
        <w:r>
          <w:rPr>
            <w:noProof/>
            <w:webHidden/>
          </w:rPr>
          <w:fldChar w:fldCharType="begin"/>
        </w:r>
        <w:r w:rsidR="00F27DA8">
          <w:rPr>
            <w:noProof/>
            <w:webHidden/>
          </w:rPr>
          <w:instrText xml:space="preserve"> PAGEREF _Toc295818240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41" w:history="1">
        <w:r w:rsidR="00F27DA8" w:rsidRPr="006A673E">
          <w:rPr>
            <w:rStyle w:val="Hyperlink"/>
            <w:noProof/>
          </w:rPr>
          <w:t>Figure 7.2.  Illustration of the flux trap target positions.</w:t>
        </w:r>
        <w:r w:rsidR="00F27DA8">
          <w:rPr>
            <w:noProof/>
            <w:webHidden/>
          </w:rPr>
          <w:tab/>
        </w:r>
        <w:r>
          <w:rPr>
            <w:noProof/>
            <w:webHidden/>
          </w:rPr>
          <w:fldChar w:fldCharType="begin"/>
        </w:r>
        <w:r w:rsidR="00F27DA8">
          <w:rPr>
            <w:noProof/>
            <w:webHidden/>
          </w:rPr>
          <w:instrText xml:space="preserve"> PAGEREF _Toc295818241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42" w:history="1">
        <w:r w:rsidR="00F27DA8" w:rsidRPr="006A673E">
          <w:rPr>
            <w:rStyle w:val="Hyperlink"/>
            <w:noProof/>
          </w:rPr>
          <w:t>Figure 7.3.  Illustration of flux trap target region as modeled in KENO.</w:t>
        </w:r>
        <w:r w:rsidR="00F27DA8">
          <w:rPr>
            <w:noProof/>
            <w:webHidden/>
          </w:rPr>
          <w:tab/>
        </w:r>
        <w:r>
          <w:rPr>
            <w:noProof/>
            <w:webHidden/>
          </w:rPr>
          <w:fldChar w:fldCharType="begin"/>
        </w:r>
        <w:r w:rsidR="00F27DA8">
          <w:rPr>
            <w:noProof/>
            <w:webHidden/>
          </w:rPr>
          <w:instrText xml:space="preserve"> PAGEREF _Toc295818242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43" w:history="1">
        <w:r w:rsidR="00F27DA8" w:rsidRPr="006A673E">
          <w:rPr>
            <w:rStyle w:val="Hyperlink"/>
            <w:noProof/>
          </w:rPr>
          <w:t>Figure 7.4.  KENO and validated MCNP axially averaged flux comparison.</w:t>
        </w:r>
        <w:r w:rsidR="00F27DA8">
          <w:rPr>
            <w:noProof/>
            <w:webHidden/>
          </w:rPr>
          <w:tab/>
        </w:r>
        <w:r>
          <w:rPr>
            <w:noProof/>
            <w:webHidden/>
          </w:rPr>
          <w:fldChar w:fldCharType="begin"/>
        </w:r>
        <w:r w:rsidR="00F27DA8">
          <w:rPr>
            <w:noProof/>
            <w:webHidden/>
          </w:rPr>
          <w:instrText xml:space="preserve"> PAGEREF _Toc295818243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44" w:history="1">
        <w:r w:rsidR="00F27DA8" w:rsidRPr="006A673E">
          <w:rPr>
            <w:rStyle w:val="Hyperlink"/>
            <w:noProof/>
          </w:rPr>
          <w:t xml:space="preserve">Figure 7.5.  Calculated time-dependent </w:t>
        </w:r>
        <w:r w:rsidR="00F27DA8" w:rsidRPr="006A673E">
          <w:rPr>
            <w:rStyle w:val="Hyperlink"/>
            <w:noProof/>
            <w:vertAlign w:val="superscript"/>
          </w:rPr>
          <w:t>252</w:t>
        </w:r>
        <w:r w:rsidR="00F27DA8" w:rsidRPr="006A673E">
          <w:rPr>
            <w:rStyle w:val="Hyperlink"/>
            <w:noProof/>
          </w:rPr>
          <w:t xml:space="preserve">Cf and </w:t>
        </w:r>
        <w:r w:rsidR="00F27DA8" w:rsidRPr="006A673E">
          <w:rPr>
            <w:rStyle w:val="Hyperlink"/>
            <w:noProof/>
            <w:vertAlign w:val="superscript"/>
          </w:rPr>
          <w:t>249</w:t>
        </w:r>
        <w:r w:rsidR="00F27DA8" w:rsidRPr="006A673E">
          <w:rPr>
            <w:rStyle w:val="Hyperlink"/>
            <w:noProof/>
          </w:rPr>
          <w:t>Bk inventories.</w:t>
        </w:r>
        <w:r w:rsidR="00F27DA8">
          <w:rPr>
            <w:noProof/>
            <w:webHidden/>
          </w:rPr>
          <w:tab/>
        </w:r>
        <w:r>
          <w:rPr>
            <w:noProof/>
            <w:webHidden/>
          </w:rPr>
          <w:fldChar w:fldCharType="begin"/>
        </w:r>
        <w:r w:rsidR="00F27DA8">
          <w:rPr>
            <w:noProof/>
            <w:webHidden/>
          </w:rPr>
          <w:instrText xml:space="preserve"> PAGEREF _Toc295818244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45" w:history="1">
        <w:r w:rsidR="00F27DA8" w:rsidRPr="006A673E">
          <w:rPr>
            <w:rStyle w:val="Hyperlink"/>
            <w:noProof/>
          </w:rPr>
          <w:t>Figure 8.1.  Rate circuit model.</w:t>
        </w:r>
        <w:r w:rsidR="00F27DA8">
          <w:rPr>
            <w:noProof/>
            <w:webHidden/>
          </w:rPr>
          <w:tab/>
        </w:r>
        <w:r>
          <w:rPr>
            <w:noProof/>
            <w:webHidden/>
          </w:rPr>
          <w:fldChar w:fldCharType="begin"/>
        </w:r>
        <w:r w:rsidR="00F27DA8">
          <w:rPr>
            <w:noProof/>
            <w:webHidden/>
          </w:rPr>
          <w:instrText xml:space="preserve"> PAGEREF _Toc295818245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46" w:history="1">
        <w:r w:rsidR="00F27DA8" w:rsidRPr="006A673E">
          <w:rPr>
            <w:rStyle w:val="Hyperlink"/>
            <w:noProof/>
          </w:rPr>
          <w:t>Figure 8.2.  Rate Network (V) and Reactor Power [1 + ∆P (MW</w:t>
        </w:r>
        <w:r w:rsidR="00F27DA8" w:rsidRPr="006A673E">
          <w:rPr>
            <w:rStyle w:val="Hyperlink"/>
            <w:noProof/>
            <w:vertAlign w:val="subscript"/>
          </w:rPr>
          <w:t>th</w:t>
        </w:r>
        <w:r w:rsidR="00F27DA8" w:rsidRPr="006A673E">
          <w:rPr>
            <w:rStyle w:val="Hyperlink"/>
            <w:noProof/>
          </w:rPr>
          <w:t>)] Response.</w:t>
        </w:r>
        <w:r w:rsidR="00F27DA8">
          <w:rPr>
            <w:noProof/>
            <w:webHidden/>
          </w:rPr>
          <w:tab/>
        </w:r>
        <w:r>
          <w:rPr>
            <w:noProof/>
            <w:webHidden/>
          </w:rPr>
          <w:fldChar w:fldCharType="begin"/>
        </w:r>
        <w:r w:rsidR="00F27DA8">
          <w:rPr>
            <w:noProof/>
            <w:webHidden/>
          </w:rPr>
          <w:instrText xml:space="preserve"> PAGEREF _Toc295818246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47" w:history="1">
        <w:r w:rsidR="00F27DA8" w:rsidRPr="006A673E">
          <w:rPr>
            <w:rStyle w:val="Hyperlink"/>
            <w:noProof/>
          </w:rPr>
          <w:t>Figure 9.1.  Schematic representation of NEWT and COMSOL models.</w:t>
        </w:r>
        <w:r w:rsidR="00F27DA8">
          <w:rPr>
            <w:noProof/>
            <w:webHidden/>
          </w:rPr>
          <w:tab/>
        </w:r>
        <w:r>
          <w:rPr>
            <w:noProof/>
            <w:webHidden/>
          </w:rPr>
          <w:fldChar w:fldCharType="begin"/>
        </w:r>
        <w:r w:rsidR="00F27DA8">
          <w:rPr>
            <w:noProof/>
            <w:webHidden/>
          </w:rPr>
          <w:instrText xml:space="preserve"> PAGEREF _Toc295818247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48" w:history="1">
        <w:r w:rsidR="00F27DA8" w:rsidRPr="006A673E">
          <w:rPr>
            <w:rStyle w:val="Hyperlink"/>
            <w:noProof/>
          </w:rPr>
          <w:t>Figure 9.2.  Grid structure and material placement in NEWT model.</w:t>
        </w:r>
        <w:r w:rsidR="00F27DA8">
          <w:rPr>
            <w:noProof/>
            <w:webHidden/>
          </w:rPr>
          <w:tab/>
        </w:r>
        <w:r>
          <w:rPr>
            <w:noProof/>
            <w:webHidden/>
          </w:rPr>
          <w:fldChar w:fldCharType="begin"/>
        </w:r>
        <w:r w:rsidR="00F27DA8">
          <w:rPr>
            <w:noProof/>
            <w:webHidden/>
          </w:rPr>
          <w:instrText xml:space="preserve"> PAGEREF _Toc295818248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49" w:history="1">
        <w:r w:rsidR="00F27DA8" w:rsidRPr="006A673E">
          <w:rPr>
            <w:rStyle w:val="Hyperlink"/>
            <w:noProof/>
          </w:rPr>
          <w:t>Figure 9.3.  Diffusion theory estimate of the extrapolation distance.</w:t>
        </w:r>
        <w:r w:rsidR="00F27DA8">
          <w:rPr>
            <w:noProof/>
            <w:webHidden/>
          </w:rPr>
          <w:tab/>
        </w:r>
        <w:r>
          <w:rPr>
            <w:noProof/>
            <w:webHidden/>
          </w:rPr>
          <w:fldChar w:fldCharType="begin"/>
        </w:r>
        <w:r w:rsidR="00F27DA8">
          <w:rPr>
            <w:noProof/>
            <w:webHidden/>
          </w:rPr>
          <w:instrText xml:space="preserve"> PAGEREF _Toc295818249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50" w:history="1">
        <w:r w:rsidR="00F27DA8" w:rsidRPr="006A673E">
          <w:rPr>
            <w:rStyle w:val="Hyperlink"/>
            <w:noProof/>
          </w:rPr>
          <w:t>Figure 9.4.  COMSOL geometry drawing of HFIR.</w:t>
        </w:r>
        <w:r w:rsidR="00F27DA8">
          <w:rPr>
            <w:noProof/>
            <w:webHidden/>
          </w:rPr>
          <w:tab/>
        </w:r>
        <w:r>
          <w:rPr>
            <w:noProof/>
            <w:webHidden/>
          </w:rPr>
          <w:fldChar w:fldCharType="begin"/>
        </w:r>
        <w:r w:rsidR="00F27DA8">
          <w:rPr>
            <w:noProof/>
            <w:webHidden/>
          </w:rPr>
          <w:instrText xml:space="preserve"> PAGEREF _Toc295818250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51" w:history="1">
        <w:r w:rsidR="00F27DA8" w:rsidRPr="006A673E">
          <w:rPr>
            <w:rStyle w:val="Hyperlink"/>
            <w:noProof/>
          </w:rPr>
          <w:t>Figure 9.5.  NEWT half core thermal neutron flux distribution.</w:t>
        </w:r>
        <w:r w:rsidR="00F27DA8">
          <w:rPr>
            <w:noProof/>
            <w:webHidden/>
          </w:rPr>
          <w:tab/>
        </w:r>
        <w:r>
          <w:rPr>
            <w:noProof/>
            <w:webHidden/>
          </w:rPr>
          <w:fldChar w:fldCharType="begin"/>
        </w:r>
        <w:r w:rsidR="00F27DA8">
          <w:rPr>
            <w:noProof/>
            <w:webHidden/>
          </w:rPr>
          <w:instrText xml:space="preserve"> PAGEREF _Toc295818251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52" w:history="1">
        <w:r w:rsidR="00F27DA8" w:rsidRPr="006A673E">
          <w:rPr>
            <w:rStyle w:val="Hyperlink"/>
            <w:noProof/>
          </w:rPr>
          <w:t>Figure 9.6.  NEWT half core fast neutron flux distribution.</w:t>
        </w:r>
        <w:r w:rsidR="00F27DA8">
          <w:rPr>
            <w:noProof/>
            <w:webHidden/>
          </w:rPr>
          <w:tab/>
        </w:r>
        <w:r>
          <w:rPr>
            <w:noProof/>
            <w:webHidden/>
          </w:rPr>
          <w:fldChar w:fldCharType="begin"/>
        </w:r>
        <w:r w:rsidR="00F27DA8">
          <w:rPr>
            <w:noProof/>
            <w:webHidden/>
          </w:rPr>
          <w:instrText xml:space="preserve"> PAGEREF _Toc295818252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53" w:history="1">
        <w:r w:rsidR="00F27DA8" w:rsidRPr="006A673E">
          <w:rPr>
            <w:rStyle w:val="Hyperlink"/>
            <w:noProof/>
          </w:rPr>
          <w:t>Figure 9.7.  COMSOL half core thermal neutron flux distribution.</w:t>
        </w:r>
        <w:r w:rsidR="00F27DA8">
          <w:rPr>
            <w:noProof/>
            <w:webHidden/>
          </w:rPr>
          <w:tab/>
        </w:r>
        <w:r>
          <w:rPr>
            <w:noProof/>
            <w:webHidden/>
          </w:rPr>
          <w:fldChar w:fldCharType="begin"/>
        </w:r>
        <w:r w:rsidR="00F27DA8">
          <w:rPr>
            <w:noProof/>
            <w:webHidden/>
          </w:rPr>
          <w:instrText xml:space="preserve"> PAGEREF _Toc295818253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54" w:history="1">
        <w:r w:rsidR="00F27DA8" w:rsidRPr="006A673E">
          <w:rPr>
            <w:rStyle w:val="Hyperlink"/>
            <w:noProof/>
          </w:rPr>
          <w:t>Figure 9.8.  COMSOL half core fast neutron flux distribution.</w:t>
        </w:r>
        <w:r w:rsidR="00F27DA8">
          <w:rPr>
            <w:noProof/>
            <w:webHidden/>
          </w:rPr>
          <w:tab/>
        </w:r>
        <w:r>
          <w:rPr>
            <w:noProof/>
            <w:webHidden/>
          </w:rPr>
          <w:fldChar w:fldCharType="begin"/>
        </w:r>
        <w:r w:rsidR="00F27DA8">
          <w:rPr>
            <w:noProof/>
            <w:webHidden/>
          </w:rPr>
          <w:instrText xml:space="preserve"> PAGEREF _Toc295818254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55" w:history="1">
        <w:r w:rsidR="00F27DA8" w:rsidRPr="006A673E">
          <w:rPr>
            <w:rStyle w:val="Hyperlink"/>
            <w:noProof/>
          </w:rPr>
          <w:t>Figure 9.9.  Thermal (middle) and fast (right) flux in the flux trap (h=60.96cm, r=6.4cm).</w:t>
        </w:r>
        <w:r w:rsidR="00F27DA8">
          <w:rPr>
            <w:noProof/>
            <w:webHidden/>
          </w:rPr>
          <w:tab/>
        </w:r>
        <w:r>
          <w:rPr>
            <w:noProof/>
            <w:webHidden/>
          </w:rPr>
          <w:fldChar w:fldCharType="begin"/>
        </w:r>
        <w:r w:rsidR="00F27DA8">
          <w:rPr>
            <w:noProof/>
            <w:webHidden/>
          </w:rPr>
          <w:instrText xml:space="preserve"> PAGEREF _Toc295818255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56" w:history="1">
        <w:r w:rsidR="00F27DA8" w:rsidRPr="006A673E">
          <w:rPr>
            <w:rStyle w:val="Hyperlink"/>
            <w:noProof/>
          </w:rPr>
          <w:t>Figure 9.10.  Thermal (middle) and fast (right) flux in the fuel regions (active fuel h=50.8cm).</w:t>
        </w:r>
        <w:r w:rsidR="00F27DA8">
          <w:rPr>
            <w:noProof/>
            <w:webHidden/>
          </w:rPr>
          <w:tab/>
        </w:r>
        <w:r>
          <w:rPr>
            <w:noProof/>
            <w:webHidden/>
          </w:rPr>
          <w:fldChar w:fldCharType="begin"/>
        </w:r>
        <w:r w:rsidR="00F27DA8">
          <w:rPr>
            <w:noProof/>
            <w:webHidden/>
          </w:rPr>
          <w:instrText xml:space="preserve"> PAGEREF _Toc295818256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57" w:history="1">
        <w:r w:rsidR="00F27DA8" w:rsidRPr="006A673E">
          <w:rPr>
            <w:rStyle w:val="Hyperlink"/>
            <w:noProof/>
          </w:rPr>
          <w:t>Figure 9.11.  Thermal (left) and fast (right) flux in the control elements (h=102cm, w=0.635cm).</w:t>
        </w:r>
        <w:r w:rsidR="00F27DA8">
          <w:rPr>
            <w:noProof/>
            <w:webHidden/>
          </w:rPr>
          <w:tab/>
        </w:r>
        <w:r>
          <w:rPr>
            <w:noProof/>
            <w:webHidden/>
          </w:rPr>
          <w:fldChar w:fldCharType="begin"/>
        </w:r>
        <w:r w:rsidR="00F27DA8">
          <w:rPr>
            <w:noProof/>
            <w:webHidden/>
          </w:rPr>
          <w:instrText xml:space="preserve"> PAGEREF _Toc295818257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58" w:history="1">
        <w:r w:rsidR="00F27DA8" w:rsidRPr="006A673E">
          <w:rPr>
            <w:rStyle w:val="Hyperlink"/>
            <w:noProof/>
          </w:rPr>
          <w:t>Figure 9.12.  Thermal (left) and fast (right) flux in the beryllium reflector (h=60.96cm, w=30.80cm).</w:t>
        </w:r>
        <w:r w:rsidR="00F27DA8">
          <w:rPr>
            <w:noProof/>
            <w:webHidden/>
          </w:rPr>
          <w:tab/>
        </w:r>
        <w:r>
          <w:rPr>
            <w:noProof/>
            <w:webHidden/>
          </w:rPr>
          <w:fldChar w:fldCharType="begin"/>
        </w:r>
        <w:r w:rsidR="00F27DA8">
          <w:rPr>
            <w:noProof/>
            <w:webHidden/>
          </w:rPr>
          <w:instrText xml:space="preserve"> PAGEREF _Toc295818258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59" w:history="1">
        <w:r w:rsidR="00F27DA8" w:rsidRPr="006A673E">
          <w:rPr>
            <w:rStyle w:val="Hyperlink"/>
            <w:noProof/>
          </w:rPr>
          <w:t>Figure 9.13.  Normalized two-group flux profiles.</w:t>
        </w:r>
        <w:r w:rsidR="00F27DA8">
          <w:rPr>
            <w:noProof/>
            <w:webHidden/>
          </w:rPr>
          <w:tab/>
        </w:r>
        <w:r>
          <w:rPr>
            <w:noProof/>
            <w:webHidden/>
          </w:rPr>
          <w:fldChar w:fldCharType="begin"/>
        </w:r>
        <w:r w:rsidR="00F27DA8">
          <w:rPr>
            <w:noProof/>
            <w:webHidden/>
          </w:rPr>
          <w:instrText xml:space="preserve"> PAGEREF _Toc295818259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60" w:history="1">
        <w:r w:rsidR="00F27DA8" w:rsidRPr="006A673E">
          <w:rPr>
            <w:rStyle w:val="Hyperlink"/>
            <w:noProof/>
          </w:rPr>
          <w:t>Figure 9.14.  COMSOL mesh quality (mesh refinement 0 on left, mesh refinement 5 on right).</w:t>
        </w:r>
        <w:r w:rsidR="00F27DA8">
          <w:rPr>
            <w:noProof/>
            <w:webHidden/>
          </w:rPr>
          <w:tab/>
        </w:r>
        <w:r>
          <w:rPr>
            <w:noProof/>
            <w:webHidden/>
          </w:rPr>
          <w:fldChar w:fldCharType="begin"/>
        </w:r>
        <w:r w:rsidR="00F27DA8">
          <w:rPr>
            <w:noProof/>
            <w:webHidden/>
          </w:rPr>
          <w:instrText xml:space="preserve"> PAGEREF _Toc295818260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61" w:history="1">
        <w:r w:rsidR="00F27DA8" w:rsidRPr="006A673E">
          <w:rPr>
            <w:rStyle w:val="Hyperlink"/>
            <w:noProof/>
          </w:rPr>
          <w:t>Figure 9.15.  Thermal Flux (E &lt; 3 eV) Contour Plots During Gadolinium Rabbit Ejection.</w:t>
        </w:r>
        <w:r w:rsidR="00F27DA8">
          <w:rPr>
            <w:noProof/>
            <w:webHidden/>
          </w:rPr>
          <w:tab/>
        </w:r>
        <w:r>
          <w:rPr>
            <w:noProof/>
            <w:webHidden/>
          </w:rPr>
          <w:fldChar w:fldCharType="begin"/>
        </w:r>
        <w:r w:rsidR="00F27DA8">
          <w:rPr>
            <w:noProof/>
            <w:webHidden/>
          </w:rPr>
          <w:instrText xml:space="preserve"> PAGEREF _Toc295818261 \h </w:instrText>
        </w:r>
        <w:r>
          <w:rPr>
            <w:noProof/>
            <w:webHidden/>
          </w:rPr>
        </w:r>
        <w:r>
          <w:rPr>
            <w:noProof/>
            <w:webHidden/>
          </w:rPr>
          <w:fldChar w:fldCharType="separate"/>
        </w:r>
        <w:r w:rsidR="00D5167B">
          <w:rPr>
            <w:noProof/>
            <w:webHidden/>
          </w:rPr>
          <w:t>2</w:t>
        </w:r>
        <w:r>
          <w:rPr>
            <w:noProof/>
            <w:webHidden/>
          </w:rPr>
          <w:fldChar w:fldCharType="end"/>
        </w:r>
      </w:hyperlink>
    </w:p>
    <w:p w:rsidR="003E0851" w:rsidRDefault="007511FA" w:rsidP="00F27DA8">
      <w:pPr>
        <w:spacing w:line="276" w:lineRule="auto"/>
        <w:ind w:firstLine="0"/>
        <w:outlineLvl w:val="0"/>
      </w:pPr>
      <w:r>
        <w:fldChar w:fldCharType="end"/>
      </w:r>
      <w:r w:rsidR="003E0851">
        <w:br w:type="page"/>
      </w:r>
    </w:p>
    <w:p w:rsidR="003E0851" w:rsidRDefault="003E0851" w:rsidP="00AA149C">
      <w:pPr>
        <w:pStyle w:val="Title"/>
        <w:outlineLvl w:val="0"/>
      </w:pPr>
      <w:bookmarkStart w:id="49" w:name="_Toc285548074"/>
      <w:bookmarkStart w:id="50" w:name="_Toc286239054"/>
      <w:bookmarkStart w:id="51" w:name="_Toc286847187"/>
      <w:bookmarkStart w:id="52" w:name="_Toc287004239"/>
      <w:bookmarkStart w:id="53" w:name="_Toc290891979"/>
      <w:bookmarkStart w:id="54" w:name="_Toc290892220"/>
      <w:bookmarkStart w:id="55" w:name="_Toc295818090"/>
      <w:r>
        <w:lastRenderedPageBreak/>
        <w:t xml:space="preserve">List </w:t>
      </w:r>
      <w:r w:rsidRPr="003E0851">
        <w:rPr>
          <w:caps w:val="0"/>
        </w:rPr>
        <w:t>of</w:t>
      </w:r>
      <w:r>
        <w:t xml:space="preserve"> Tables</w:t>
      </w:r>
      <w:bookmarkEnd w:id="49"/>
      <w:bookmarkEnd w:id="50"/>
      <w:bookmarkEnd w:id="51"/>
      <w:bookmarkEnd w:id="52"/>
      <w:bookmarkEnd w:id="53"/>
      <w:bookmarkEnd w:id="54"/>
      <w:bookmarkEnd w:id="55"/>
    </w:p>
    <w:p w:rsidR="00F27DA8" w:rsidRDefault="007511FA" w:rsidP="00F27DA8">
      <w:pPr>
        <w:pStyle w:val="TableofFigures"/>
        <w:tabs>
          <w:tab w:val="right" w:leader="dot" w:pos="9350"/>
        </w:tabs>
        <w:spacing w:line="276" w:lineRule="auto"/>
        <w:ind w:firstLine="0"/>
        <w:rPr>
          <w:rFonts w:eastAsiaTheme="minorEastAsia"/>
          <w:noProof/>
        </w:rPr>
      </w:pPr>
      <w:r>
        <w:fldChar w:fldCharType="begin"/>
      </w:r>
      <w:r w:rsidR="00F95AD4">
        <w:instrText xml:space="preserve"> TOC \h \z \c "Table" </w:instrText>
      </w:r>
      <w:r>
        <w:fldChar w:fldCharType="separate"/>
      </w:r>
      <w:hyperlink w:anchor="_Toc295818262" w:history="1">
        <w:r w:rsidR="00F27DA8" w:rsidRPr="00C4382C">
          <w:rPr>
            <w:rStyle w:val="Hyperlink"/>
            <w:noProof/>
          </w:rPr>
          <w:t>Table 2.1.  Summary of HFIR characteristics.</w:t>
        </w:r>
        <w:r w:rsidR="00F27DA8">
          <w:rPr>
            <w:noProof/>
            <w:webHidden/>
          </w:rPr>
          <w:tab/>
        </w:r>
        <w:r>
          <w:rPr>
            <w:noProof/>
            <w:webHidden/>
          </w:rPr>
          <w:fldChar w:fldCharType="begin"/>
        </w:r>
        <w:r w:rsidR="00F27DA8">
          <w:rPr>
            <w:noProof/>
            <w:webHidden/>
          </w:rPr>
          <w:instrText xml:space="preserve"> PAGEREF _Toc295818262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63" w:history="1">
        <w:r w:rsidR="00F27DA8" w:rsidRPr="00C4382C">
          <w:rPr>
            <w:rStyle w:val="Hyperlink"/>
            <w:noProof/>
          </w:rPr>
          <w:t>Table 2.2.  Radial boundaries of core components</w:t>
        </w:r>
        <w:r w:rsidR="00F27DA8">
          <w:rPr>
            <w:noProof/>
            <w:webHidden/>
          </w:rPr>
          <w:tab/>
        </w:r>
        <w:r>
          <w:rPr>
            <w:noProof/>
            <w:webHidden/>
          </w:rPr>
          <w:fldChar w:fldCharType="begin"/>
        </w:r>
        <w:r w:rsidR="00F27DA8">
          <w:rPr>
            <w:noProof/>
            <w:webHidden/>
          </w:rPr>
          <w:instrText xml:space="preserve"> PAGEREF _Toc295818263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64" w:history="1">
        <w:r w:rsidR="00F27DA8" w:rsidRPr="00C4382C">
          <w:rPr>
            <w:rStyle w:val="Hyperlink"/>
            <w:noProof/>
          </w:rPr>
          <w:t>Table 4.1.  Summary of critical experiments.</w:t>
        </w:r>
        <w:r w:rsidR="00F27DA8">
          <w:rPr>
            <w:noProof/>
            <w:webHidden/>
          </w:rPr>
          <w:tab/>
        </w:r>
        <w:r>
          <w:rPr>
            <w:noProof/>
            <w:webHidden/>
          </w:rPr>
          <w:fldChar w:fldCharType="begin"/>
        </w:r>
        <w:r w:rsidR="00F27DA8">
          <w:rPr>
            <w:noProof/>
            <w:webHidden/>
          </w:rPr>
          <w:instrText xml:space="preserve"> PAGEREF _Toc295818264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65" w:history="1">
        <w:r w:rsidR="00F27DA8" w:rsidRPr="00C4382C">
          <w:rPr>
            <w:rStyle w:val="Hyperlink"/>
            <w:noProof/>
          </w:rPr>
          <w:t>Table 4.2.  Radial boundaries of core components.</w:t>
        </w:r>
        <w:r w:rsidR="00F27DA8">
          <w:rPr>
            <w:noProof/>
            <w:webHidden/>
          </w:rPr>
          <w:tab/>
        </w:r>
        <w:r>
          <w:rPr>
            <w:noProof/>
            <w:webHidden/>
          </w:rPr>
          <w:fldChar w:fldCharType="begin"/>
        </w:r>
        <w:r w:rsidR="00F27DA8">
          <w:rPr>
            <w:noProof/>
            <w:webHidden/>
          </w:rPr>
          <w:instrText xml:space="preserve"> PAGEREF _Toc295818265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66" w:history="1">
        <w:r w:rsidR="00F27DA8" w:rsidRPr="00C4382C">
          <w:rPr>
            <w:rStyle w:val="Hyperlink"/>
            <w:noProof/>
          </w:rPr>
          <w:t>Table 4.3.  Fuel radial region boundaries.</w:t>
        </w:r>
        <w:r w:rsidR="00F27DA8">
          <w:rPr>
            <w:noProof/>
            <w:webHidden/>
          </w:rPr>
          <w:tab/>
        </w:r>
        <w:r>
          <w:rPr>
            <w:noProof/>
            <w:webHidden/>
          </w:rPr>
          <w:fldChar w:fldCharType="begin"/>
        </w:r>
        <w:r w:rsidR="00F27DA8">
          <w:rPr>
            <w:noProof/>
            <w:webHidden/>
          </w:rPr>
          <w:instrText xml:space="preserve"> PAGEREF _Toc295818266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67" w:history="1">
        <w:r w:rsidR="00F27DA8" w:rsidRPr="00C4382C">
          <w:rPr>
            <w:rStyle w:val="Hyperlink"/>
            <w:noProof/>
          </w:rPr>
          <w:t>Table 4.4.  Summary of cycle 400 production core and HFIRCE-3.</w:t>
        </w:r>
        <w:r w:rsidR="00F27DA8">
          <w:rPr>
            <w:noProof/>
            <w:webHidden/>
          </w:rPr>
          <w:tab/>
        </w:r>
        <w:r>
          <w:rPr>
            <w:noProof/>
            <w:webHidden/>
          </w:rPr>
          <w:fldChar w:fldCharType="begin"/>
        </w:r>
        <w:r w:rsidR="00F27DA8">
          <w:rPr>
            <w:noProof/>
            <w:webHidden/>
          </w:rPr>
          <w:instrText xml:space="preserve"> PAGEREF _Toc295818267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68" w:history="1">
        <w:r w:rsidR="00F27DA8" w:rsidRPr="00C4382C">
          <w:rPr>
            <w:rStyle w:val="Hyperlink"/>
            <w:noProof/>
          </w:rPr>
          <w:t xml:space="preserve">Table 4.5.  Percent difference of </w:t>
        </w:r>
        <w:r w:rsidR="00F27DA8" w:rsidRPr="00C4382C">
          <w:rPr>
            <w:rStyle w:val="Hyperlink"/>
            <w:noProof/>
            <w:vertAlign w:val="superscript"/>
          </w:rPr>
          <w:t>235</w:t>
        </w:r>
        <w:r w:rsidR="00F27DA8" w:rsidRPr="00C4382C">
          <w:rPr>
            <w:rStyle w:val="Hyperlink"/>
            <w:noProof/>
          </w:rPr>
          <w:t>U modeled in IFE.</w:t>
        </w:r>
        <w:r w:rsidR="00F27DA8">
          <w:rPr>
            <w:noProof/>
            <w:webHidden/>
          </w:rPr>
          <w:tab/>
        </w:r>
        <w:r>
          <w:rPr>
            <w:noProof/>
            <w:webHidden/>
          </w:rPr>
          <w:fldChar w:fldCharType="begin"/>
        </w:r>
        <w:r w:rsidR="00F27DA8">
          <w:rPr>
            <w:noProof/>
            <w:webHidden/>
          </w:rPr>
          <w:instrText xml:space="preserve"> PAGEREF _Toc295818268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69" w:history="1">
        <w:r w:rsidR="00F27DA8" w:rsidRPr="00C4382C">
          <w:rPr>
            <w:rStyle w:val="Hyperlink"/>
            <w:noProof/>
          </w:rPr>
          <w:t>Table 4.6.  Percent difference of 235U modeled in OFE.</w:t>
        </w:r>
        <w:r w:rsidR="00F27DA8">
          <w:rPr>
            <w:noProof/>
            <w:webHidden/>
          </w:rPr>
          <w:tab/>
        </w:r>
        <w:r>
          <w:rPr>
            <w:noProof/>
            <w:webHidden/>
          </w:rPr>
          <w:fldChar w:fldCharType="begin"/>
        </w:r>
        <w:r w:rsidR="00F27DA8">
          <w:rPr>
            <w:noProof/>
            <w:webHidden/>
          </w:rPr>
          <w:instrText xml:space="preserve"> PAGEREF _Toc295818269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70" w:history="1">
        <w:r w:rsidR="00F27DA8" w:rsidRPr="00C4382C">
          <w:rPr>
            <w:rStyle w:val="Hyperlink"/>
            <w:noProof/>
          </w:rPr>
          <w:t>Table 4.7.  Effective multiplication factors for clean core conditions.</w:t>
        </w:r>
        <w:r w:rsidR="00F27DA8">
          <w:rPr>
            <w:noProof/>
            <w:webHidden/>
          </w:rPr>
          <w:tab/>
        </w:r>
        <w:r>
          <w:rPr>
            <w:noProof/>
            <w:webHidden/>
          </w:rPr>
          <w:fldChar w:fldCharType="begin"/>
        </w:r>
        <w:r w:rsidR="00F27DA8">
          <w:rPr>
            <w:noProof/>
            <w:webHidden/>
          </w:rPr>
          <w:instrText xml:space="preserve"> PAGEREF _Toc295818270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71" w:history="1">
        <w:r w:rsidR="00F27DA8" w:rsidRPr="00C4382C">
          <w:rPr>
            <w:rStyle w:val="Hyperlink"/>
            <w:noProof/>
          </w:rPr>
          <w:t>Table 4.8.  Effective multiplication factors for poisoned core conditions.</w:t>
        </w:r>
        <w:r w:rsidR="00F27DA8">
          <w:rPr>
            <w:noProof/>
            <w:webHidden/>
          </w:rPr>
          <w:tab/>
        </w:r>
        <w:r>
          <w:rPr>
            <w:noProof/>
            <w:webHidden/>
          </w:rPr>
          <w:fldChar w:fldCharType="begin"/>
        </w:r>
        <w:r w:rsidR="00F27DA8">
          <w:rPr>
            <w:noProof/>
            <w:webHidden/>
          </w:rPr>
          <w:instrText xml:space="preserve"> PAGEREF _Toc295818271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72" w:history="1">
        <w:r w:rsidR="00F27DA8" w:rsidRPr="00C4382C">
          <w:rPr>
            <w:rStyle w:val="Hyperlink"/>
            <w:noProof/>
          </w:rPr>
          <w:t>Table 5.1.  Summary of fuel elements analyzed.</w:t>
        </w:r>
        <w:r w:rsidR="00F27DA8">
          <w:rPr>
            <w:noProof/>
            <w:webHidden/>
          </w:rPr>
          <w:tab/>
        </w:r>
        <w:r>
          <w:rPr>
            <w:noProof/>
            <w:webHidden/>
          </w:rPr>
          <w:fldChar w:fldCharType="begin"/>
        </w:r>
        <w:r w:rsidR="00F27DA8">
          <w:rPr>
            <w:noProof/>
            <w:webHidden/>
          </w:rPr>
          <w:instrText xml:space="preserve"> PAGEREF _Toc295818272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73" w:history="1">
        <w:r w:rsidR="00F27DA8" w:rsidRPr="00C4382C">
          <w:rPr>
            <w:rStyle w:val="Hyperlink"/>
            <w:noProof/>
          </w:rPr>
          <w:t>Table 5.2.  Radial dimensions of major HFIR model regions.</w:t>
        </w:r>
        <w:r w:rsidR="00F27DA8">
          <w:rPr>
            <w:noProof/>
            <w:webHidden/>
          </w:rPr>
          <w:tab/>
        </w:r>
        <w:r>
          <w:rPr>
            <w:noProof/>
            <w:webHidden/>
          </w:rPr>
          <w:fldChar w:fldCharType="begin"/>
        </w:r>
        <w:r w:rsidR="00F27DA8">
          <w:rPr>
            <w:noProof/>
            <w:webHidden/>
          </w:rPr>
          <w:instrText xml:space="preserve"> PAGEREF _Toc295818273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74" w:history="1">
        <w:r w:rsidR="00F27DA8" w:rsidRPr="00C4382C">
          <w:rPr>
            <w:rStyle w:val="Hyperlink"/>
            <w:noProof/>
          </w:rPr>
          <w:t>Table 6.1.  Irradiation history input for PB3 ORIGEN-S calculations.</w:t>
        </w:r>
        <w:r w:rsidR="00F27DA8">
          <w:rPr>
            <w:noProof/>
            <w:webHidden/>
          </w:rPr>
          <w:tab/>
        </w:r>
        <w:r>
          <w:rPr>
            <w:noProof/>
            <w:webHidden/>
          </w:rPr>
          <w:fldChar w:fldCharType="begin"/>
        </w:r>
        <w:r w:rsidR="00F27DA8">
          <w:rPr>
            <w:noProof/>
            <w:webHidden/>
          </w:rPr>
          <w:instrText xml:space="preserve"> PAGEREF _Toc295818274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75" w:history="1">
        <w:r w:rsidR="00F27DA8" w:rsidRPr="00C4382C">
          <w:rPr>
            <w:rStyle w:val="Hyperlink"/>
            <w:noProof/>
          </w:rPr>
          <w:t>Table 6.2.  Irradiation history input for RB and SPB ORIGEN-S calculations.</w:t>
        </w:r>
        <w:r w:rsidR="00F27DA8">
          <w:rPr>
            <w:noProof/>
            <w:webHidden/>
          </w:rPr>
          <w:tab/>
        </w:r>
        <w:r>
          <w:rPr>
            <w:noProof/>
            <w:webHidden/>
          </w:rPr>
          <w:fldChar w:fldCharType="begin"/>
        </w:r>
        <w:r w:rsidR="00F27DA8">
          <w:rPr>
            <w:noProof/>
            <w:webHidden/>
          </w:rPr>
          <w:instrText xml:space="preserve"> PAGEREF _Toc295818275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76" w:history="1">
        <w:r w:rsidR="00F27DA8" w:rsidRPr="00C4382C">
          <w:rPr>
            <w:rStyle w:val="Hyperlink"/>
            <w:noProof/>
          </w:rPr>
          <w:t>Table 6.3.  PB3 post-discharge radionuclides (Ci) (largest from TRITON or ORIGEN-S).</w:t>
        </w:r>
        <w:r w:rsidR="00F27DA8">
          <w:rPr>
            <w:noProof/>
            <w:webHidden/>
          </w:rPr>
          <w:tab/>
        </w:r>
        <w:r>
          <w:rPr>
            <w:noProof/>
            <w:webHidden/>
          </w:rPr>
          <w:fldChar w:fldCharType="begin"/>
        </w:r>
        <w:r w:rsidR="00F27DA8">
          <w:rPr>
            <w:noProof/>
            <w:webHidden/>
          </w:rPr>
          <w:instrText xml:space="preserve"> PAGEREF _Toc295818276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77" w:history="1">
        <w:r w:rsidR="00F27DA8" w:rsidRPr="00C4382C">
          <w:rPr>
            <w:rStyle w:val="Hyperlink"/>
            <w:noProof/>
          </w:rPr>
          <w:t>Table 6.4.  Representative RB post-discharge radionuclides (Ci) (ORIGEN-S).</w:t>
        </w:r>
        <w:r w:rsidR="00F27DA8">
          <w:rPr>
            <w:noProof/>
            <w:webHidden/>
          </w:rPr>
          <w:tab/>
        </w:r>
        <w:r>
          <w:rPr>
            <w:noProof/>
            <w:webHidden/>
          </w:rPr>
          <w:fldChar w:fldCharType="begin"/>
        </w:r>
        <w:r w:rsidR="00F27DA8">
          <w:rPr>
            <w:noProof/>
            <w:webHidden/>
          </w:rPr>
          <w:instrText xml:space="preserve"> PAGEREF _Toc295818277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78" w:history="1">
        <w:r w:rsidR="00F27DA8" w:rsidRPr="00C4382C">
          <w:rPr>
            <w:rStyle w:val="Hyperlink"/>
            <w:noProof/>
          </w:rPr>
          <w:t>Table 6.5.  Representative SPB post-discharge radionuclides (Ci) (ORIGEN-S).</w:t>
        </w:r>
        <w:r w:rsidR="00F27DA8">
          <w:rPr>
            <w:noProof/>
            <w:webHidden/>
          </w:rPr>
          <w:tab/>
        </w:r>
        <w:r>
          <w:rPr>
            <w:noProof/>
            <w:webHidden/>
          </w:rPr>
          <w:fldChar w:fldCharType="begin"/>
        </w:r>
        <w:r w:rsidR="00F27DA8">
          <w:rPr>
            <w:noProof/>
            <w:webHidden/>
          </w:rPr>
          <w:instrText xml:space="preserve"> PAGEREF _Toc295818278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79" w:history="1">
        <w:r w:rsidR="00F27DA8" w:rsidRPr="00C4382C">
          <w:rPr>
            <w:rStyle w:val="Hyperlink"/>
            <w:noProof/>
          </w:rPr>
          <w:t>Table 7.1.  Irradiation history of target rods.</w:t>
        </w:r>
        <w:r w:rsidR="00F27DA8">
          <w:rPr>
            <w:noProof/>
            <w:webHidden/>
          </w:rPr>
          <w:tab/>
        </w:r>
        <w:r>
          <w:rPr>
            <w:noProof/>
            <w:webHidden/>
          </w:rPr>
          <w:fldChar w:fldCharType="begin"/>
        </w:r>
        <w:r w:rsidR="00F27DA8">
          <w:rPr>
            <w:noProof/>
            <w:webHidden/>
          </w:rPr>
          <w:instrText xml:space="preserve"> PAGEREF _Toc295818279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80" w:history="1">
        <w:r w:rsidR="00F27DA8" w:rsidRPr="00C4382C">
          <w:rPr>
            <w:rStyle w:val="Hyperlink"/>
            <w:noProof/>
          </w:rPr>
          <w:t>Table 7.2.  Initial curium targets actinide loading (atoms/barn/cm).</w:t>
        </w:r>
        <w:r w:rsidR="00F27DA8">
          <w:rPr>
            <w:noProof/>
            <w:webHidden/>
          </w:rPr>
          <w:tab/>
        </w:r>
        <w:r>
          <w:rPr>
            <w:noProof/>
            <w:webHidden/>
          </w:rPr>
          <w:fldChar w:fldCharType="begin"/>
        </w:r>
        <w:r w:rsidR="00F27DA8">
          <w:rPr>
            <w:noProof/>
            <w:webHidden/>
          </w:rPr>
          <w:instrText xml:space="preserve"> PAGEREF _Toc295818280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81" w:history="1">
        <w:r w:rsidR="00F27DA8" w:rsidRPr="00C4382C">
          <w:rPr>
            <w:rStyle w:val="Hyperlink"/>
            <w:noProof/>
          </w:rPr>
          <w:t>Table 7.3.  Calculated end-of-life transuranic nuclide in curium targets.</w:t>
        </w:r>
        <w:r w:rsidR="00F27DA8">
          <w:rPr>
            <w:noProof/>
            <w:webHidden/>
          </w:rPr>
          <w:tab/>
        </w:r>
        <w:r>
          <w:rPr>
            <w:noProof/>
            <w:webHidden/>
          </w:rPr>
          <w:fldChar w:fldCharType="begin"/>
        </w:r>
        <w:r w:rsidR="00F27DA8">
          <w:rPr>
            <w:noProof/>
            <w:webHidden/>
          </w:rPr>
          <w:instrText xml:space="preserve"> PAGEREF _Toc295818281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82" w:history="1">
        <w:r w:rsidR="00F27DA8" w:rsidRPr="00C4382C">
          <w:rPr>
            <w:rStyle w:val="Hyperlink"/>
            <w:noProof/>
          </w:rPr>
          <w:t>Table 9.1.  Geometric and material descriptions of NEWT/COMSOL model regions.</w:t>
        </w:r>
        <w:r w:rsidR="00F27DA8">
          <w:rPr>
            <w:noProof/>
            <w:webHidden/>
          </w:rPr>
          <w:tab/>
        </w:r>
        <w:r>
          <w:rPr>
            <w:noProof/>
            <w:webHidden/>
          </w:rPr>
          <w:fldChar w:fldCharType="begin"/>
        </w:r>
        <w:r w:rsidR="00F27DA8">
          <w:rPr>
            <w:noProof/>
            <w:webHidden/>
          </w:rPr>
          <w:instrText xml:space="preserve"> PAGEREF _Toc295818282 \h </w:instrText>
        </w:r>
        <w:r>
          <w:rPr>
            <w:noProof/>
            <w:webHidden/>
          </w:rPr>
        </w:r>
        <w:r>
          <w:rPr>
            <w:noProof/>
            <w:webHidden/>
          </w:rPr>
          <w:fldChar w:fldCharType="separate"/>
        </w:r>
        <w:r w:rsidR="00D5167B">
          <w:rPr>
            <w:noProof/>
            <w:webHidden/>
          </w:rPr>
          <w:t>2</w:t>
        </w:r>
        <w:r>
          <w:rPr>
            <w:noProof/>
            <w:webHidden/>
          </w:rPr>
          <w:fldChar w:fldCharType="end"/>
        </w:r>
      </w:hyperlink>
    </w:p>
    <w:p w:rsidR="00F27DA8" w:rsidRDefault="007511FA" w:rsidP="00F27DA8">
      <w:pPr>
        <w:pStyle w:val="TableofFigures"/>
        <w:tabs>
          <w:tab w:val="right" w:leader="dot" w:pos="9350"/>
        </w:tabs>
        <w:spacing w:line="276" w:lineRule="auto"/>
        <w:ind w:firstLine="0"/>
        <w:rPr>
          <w:rFonts w:eastAsiaTheme="minorEastAsia"/>
          <w:noProof/>
        </w:rPr>
      </w:pPr>
      <w:hyperlink w:anchor="_Toc295818283" w:history="1">
        <w:r w:rsidR="00F27DA8" w:rsidRPr="00C4382C">
          <w:rPr>
            <w:rStyle w:val="Hyperlink"/>
            <w:noProof/>
          </w:rPr>
          <w:t>Table 9.2.  Automatic mesh refinement statistics/parameters.</w:t>
        </w:r>
        <w:r w:rsidR="00F27DA8">
          <w:rPr>
            <w:noProof/>
            <w:webHidden/>
          </w:rPr>
          <w:tab/>
        </w:r>
        <w:r>
          <w:rPr>
            <w:noProof/>
            <w:webHidden/>
          </w:rPr>
          <w:fldChar w:fldCharType="begin"/>
        </w:r>
        <w:r w:rsidR="00F27DA8">
          <w:rPr>
            <w:noProof/>
            <w:webHidden/>
          </w:rPr>
          <w:instrText xml:space="preserve"> PAGEREF _Toc295818283 \h </w:instrText>
        </w:r>
        <w:r>
          <w:rPr>
            <w:noProof/>
            <w:webHidden/>
          </w:rPr>
        </w:r>
        <w:r>
          <w:rPr>
            <w:noProof/>
            <w:webHidden/>
          </w:rPr>
          <w:fldChar w:fldCharType="separate"/>
        </w:r>
        <w:r w:rsidR="00D5167B">
          <w:rPr>
            <w:noProof/>
            <w:webHidden/>
          </w:rPr>
          <w:t>2</w:t>
        </w:r>
        <w:r>
          <w:rPr>
            <w:noProof/>
            <w:webHidden/>
          </w:rPr>
          <w:fldChar w:fldCharType="end"/>
        </w:r>
      </w:hyperlink>
    </w:p>
    <w:p w:rsidR="006A45AE" w:rsidRDefault="007511FA" w:rsidP="00E83B2D">
      <w:pPr>
        <w:spacing w:line="360" w:lineRule="auto"/>
        <w:ind w:left="994" w:firstLine="0"/>
      </w:pPr>
      <w:r>
        <w:fldChar w:fldCharType="end"/>
      </w:r>
      <w:r w:rsidR="003E0851">
        <w:br w:type="page"/>
      </w:r>
    </w:p>
    <w:p w:rsidR="006A45AE" w:rsidRDefault="006A45AE" w:rsidP="00A35723">
      <w:pPr>
        <w:sectPr w:rsidR="006A45AE" w:rsidSect="00515095">
          <w:footerReference w:type="default" r:id="rId8"/>
          <w:pgSz w:w="12240" w:h="15840"/>
          <w:pgMar w:top="1440" w:right="1440" w:bottom="1440" w:left="1440" w:header="1440" w:footer="1440" w:gutter="0"/>
          <w:pgNumType w:fmt="lowerRoman" w:start="2"/>
          <w:cols w:space="720"/>
          <w:docGrid w:linePitch="360"/>
        </w:sectPr>
      </w:pPr>
    </w:p>
    <w:p w:rsidR="006A45AE" w:rsidRDefault="0091078C" w:rsidP="00AA149C">
      <w:pPr>
        <w:pStyle w:val="Heading1"/>
      </w:pPr>
      <w:bookmarkStart w:id="56" w:name="_Toc295818091"/>
      <w:r w:rsidRPr="0091078C">
        <w:lastRenderedPageBreak/>
        <w:t>Introduction</w:t>
      </w:r>
      <w:bookmarkEnd w:id="56"/>
    </w:p>
    <w:p w:rsidR="00BB7840" w:rsidRDefault="008736AD" w:rsidP="00BB7840">
      <w:r>
        <w:t>Chapter 1 presents a brief background on and an introduction to the research performed and docume</w:t>
      </w:r>
      <w:r w:rsidR="00236B35">
        <w:t>nted in this dissertation.  T</w:t>
      </w:r>
      <w:r>
        <w:t xml:space="preserve">he </w:t>
      </w:r>
      <w:r w:rsidR="00236B35">
        <w:t>subsections of this chapter discu</w:t>
      </w:r>
      <w:r w:rsidR="00A82B4E">
        <w:t>ss the content and organization</w:t>
      </w:r>
      <w:r w:rsidR="00236B35">
        <w:t xml:space="preserve"> of this dissertation, the motivation behind the research </w:t>
      </w:r>
      <w:proofErr w:type="gramStart"/>
      <w:r w:rsidR="00236B35">
        <w:t>performed,</w:t>
      </w:r>
      <w:proofErr w:type="gramEnd"/>
      <w:r w:rsidR="00236B35">
        <w:t xml:space="preserve"> a brief background on nuclear energy and nuclear reactor physics, and a literature review on </w:t>
      </w:r>
      <w:r w:rsidR="00E6587D">
        <w:t xml:space="preserve">documented </w:t>
      </w:r>
      <w:r w:rsidR="00236B35">
        <w:t>studies related to the research presented in this dissertation.</w:t>
      </w:r>
    </w:p>
    <w:p w:rsidR="00236B35" w:rsidRDefault="00236B35" w:rsidP="00BB7840"/>
    <w:p w:rsidR="00236B35" w:rsidRDefault="00236B35" w:rsidP="00AA149C">
      <w:pPr>
        <w:pStyle w:val="Heading2"/>
      </w:pPr>
      <w:bookmarkStart w:id="57" w:name="_Toc295818092"/>
      <w:r>
        <w:t>Organization of Dissertation</w:t>
      </w:r>
      <w:bookmarkEnd w:id="57"/>
    </w:p>
    <w:p w:rsidR="00236B35" w:rsidRDefault="00236B35" w:rsidP="00236B35">
      <w:r>
        <w:t xml:space="preserve">This dissertation is divided and organized into </w:t>
      </w:r>
      <w:r w:rsidR="00C80D7A">
        <w:t>several</w:t>
      </w:r>
      <w:r>
        <w:t xml:space="preserve"> chapters including this introductory chapter.  Chapter 1 presents background information on the motivation behind the studies presented in this dissertation, previous documented studies related to this dissertation</w:t>
      </w:r>
      <w:r w:rsidR="00D83585">
        <w:t>, and nuclear engineering</w:t>
      </w:r>
      <w:r>
        <w:t>.  Chapter 2 discusses the necessary background information on the High Flux Isotope Reactor needed to understand the body of this dissertation and include when and why the High Flux Isotope Reactor was constructed and physical descriptions of the reactor.  Descriptions of the pertinent computations tools used throughout this dissertation are presented in Chapter 3.</w:t>
      </w:r>
    </w:p>
    <w:p w:rsidR="00236B35" w:rsidRDefault="00236B35" w:rsidP="00236B35">
      <w:r>
        <w:t xml:space="preserve">Chapters 4 through </w:t>
      </w:r>
      <w:r w:rsidR="00C80D7A">
        <w:t>10</w:t>
      </w:r>
      <w:r>
        <w:t xml:space="preserve"> </w:t>
      </w:r>
      <w:proofErr w:type="gramStart"/>
      <w:r w:rsidR="00C80D7A">
        <w:t>document</w:t>
      </w:r>
      <w:proofErr w:type="gramEnd"/>
      <w:r>
        <w:t xml:space="preserve"> the research performed in this dissertation and are organized such that each chapter builds on the previous chapters.  Chapters 4 through 7 present studies validating some of the computational tools and neutron cross section data against HFIR specific experiments.  These tools and data are required for generating essential input for the computation</w:t>
      </w:r>
      <w:r w:rsidR="00D83585">
        <w:t>al</w:t>
      </w:r>
      <w:r>
        <w:t xml:space="preserve"> tools used in the research documented in Chapters 8 through 10.</w:t>
      </w:r>
    </w:p>
    <w:p w:rsidR="00236B35" w:rsidRDefault="00236B35" w:rsidP="00236B35">
      <w:r>
        <w:t xml:space="preserve">The Monte Carlo transport code, MCNP, and the continuous energy ENDF/B-VI.8 neutron cross section library are validated for the HFIR core in Chapter 4 with power distribution and effective multiplicative factor data from </w:t>
      </w:r>
      <w:r w:rsidR="00C67546">
        <w:t>critical experiments.  The studies</w:t>
      </w:r>
      <w:r>
        <w:t xml:space="preserve"> presented in this chapter ha</w:t>
      </w:r>
      <w:r w:rsidR="00C67546">
        <w:t>ve</w:t>
      </w:r>
      <w:r>
        <w:t xml:space="preserve"> previously been published in</w:t>
      </w:r>
      <w:r w:rsidR="00C67546">
        <w:t xml:space="preserve"> </w:t>
      </w:r>
      <w:r w:rsidR="007511FA">
        <w:fldChar w:fldCharType="begin"/>
      </w:r>
      <w:r w:rsidR="00C67546">
        <w:instrText xml:space="preserve"> REF _Ref285635892 \n \h </w:instrText>
      </w:r>
      <w:r w:rsidR="007511FA">
        <w:fldChar w:fldCharType="separate"/>
      </w:r>
      <w:r w:rsidR="00D5167B">
        <w:t>[1]</w:t>
      </w:r>
      <w:r w:rsidR="007511FA">
        <w:fldChar w:fldCharType="end"/>
      </w:r>
      <w:r w:rsidR="00C67546">
        <w:t xml:space="preserve">, </w:t>
      </w:r>
      <w:r w:rsidR="007511FA">
        <w:fldChar w:fldCharType="begin"/>
      </w:r>
      <w:r w:rsidR="00C67546">
        <w:instrText xml:space="preserve"> REF _Ref285635901 \n \h </w:instrText>
      </w:r>
      <w:r w:rsidR="007511FA">
        <w:fldChar w:fldCharType="separate"/>
      </w:r>
      <w:r w:rsidR="00D5167B">
        <w:t>[2]</w:t>
      </w:r>
      <w:r w:rsidR="007511FA">
        <w:fldChar w:fldCharType="end"/>
      </w:r>
      <w:r w:rsidR="00C67546">
        <w:t xml:space="preserve">, and </w:t>
      </w:r>
      <w:r w:rsidR="007511FA">
        <w:fldChar w:fldCharType="begin"/>
      </w:r>
      <w:r w:rsidR="00C67546">
        <w:instrText xml:space="preserve"> REF _Ref285635913 \n \h </w:instrText>
      </w:r>
      <w:r w:rsidR="007511FA">
        <w:fldChar w:fldCharType="separate"/>
      </w:r>
      <w:r w:rsidR="00D5167B">
        <w:t>[3]</w:t>
      </w:r>
      <w:r w:rsidR="007511FA">
        <w:fldChar w:fldCharType="end"/>
      </w:r>
      <w:r w:rsidR="00F9110B">
        <w:t>.</w:t>
      </w:r>
    </w:p>
    <w:p w:rsidR="00236B35" w:rsidRDefault="00236B35" w:rsidP="00236B35">
      <w:r>
        <w:lastRenderedPageBreak/>
        <w:t xml:space="preserve">Two Monte Carlo based depletions tools, ALEPH and VESTA, and the continuous energy ENDF/B-VI.8 and ENDF/B-VII neutron cross section libraries are validated for the HFIR core in Chapter 5 with spatially-dependent post-irradiation uranium isotopic atomic percentages.  The analyses presented in this chapter have been published in </w:t>
      </w:r>
      <w:r w:rsidR="007511FA">
        <w:fldChar w:fldCharType="begin"/>
      </w:r>
      <w:r w:rsidR="00C67546">
        <w:instrText xml:space="preserve"> REF _Ref285635929 \n \h </w:instrText>
      </w:r>
      <w:r w:rsidR="007511FA">
        <w:fldChar w:fldCharType="separate"/>
      </w:r>
      <w:r w:rsidR="00D5167B">
        <w:t>[4]</w:t>
      </w:r>
      <w:r w:rsidR="007511FA">
        <w:fldChar w:fldCharType="end"/>
      </w:r>
      <w:r w:rsidR="00C67546">
        <w:t xml:space="preserve">, </w:t>
      </w:r>
      <w:r w:rsidR="007511FA">
        <w:fldChar w:fldCharType="begin"/>
      </w:r>
      <w:r w:rsidR="00C67546">
        <w:instrText xml:space="preserve"> REF _Ref285635937 \n \h </w:instrText>
      </w:r>
      <w:r w:rsidR="007511FA">
        <w:fldChar w:fldCharType="separate"/>
      </w:r>
      <w:r w:rsidR="00D5167B">
        <w:t>[5]</w:t>
      </w:r>
      <w:r w:rsidR="007511FA">
        <w:fldChar w:fldCharType="end"/>
      </w:r>
      <w:r w:rsidR="00C67546">
        <w:t xml:space="preserve">, </w:t>
      </w:r>
      <w:r w:rsidR="007511FA">
        <w:fldChar w:fldCharType="begin"/>
      </w:r>
      <w:r w:rsidR="00C67546">
        <w:instrText xml:space="preserve"> REF _Ref285635943 \n \h </w:instrText>
      </w:r>
      <w:r w:rsidR="007511FA">
        <w:fldChar w:fldCharType="separate"/>
      </w:r>
      <w:r w:rsidR="00D5167B">
        <w:t>[6]</w:t>
      </w:r>
      <w:r w:rsidR="007511FA">
        <w:fldChar w:fldCharType="end"/>
      </w:r>
      <w:r w:rsidR="00C67546">
        <w:t xml:space="preserve">, and </w:t>
      </w:r>
      <w:r w:rsidR="007511FA">
        <w:fldChar w:fldCharType="begin"/>
      </w:r>
      <w:r w:rsidR="00C67546">
        <w:instrText xml:space="preserve"> REF _Ref285635951 \n \h </w:instrText>
      </w:r>
      <w:r w:rsidR="007511FA">
        <w:fldChar w:fldCharType="separate"/>
      </w:r>
      <w:r w:rsidR="00D5167B">
        <w:t>[7]</w:t>
      </w:r>
      <w:r w:rsidR="007511FA">
        <w:fldChar w:fldCharType="end"/>
      </w:r>
      <w:r w:rsidR="00C67546">
        <w:t>.</w:t>
      </w:r>
    </w:p>
    <w:p w:rsidR="00236B35" w:rsidRDefault="00236B35" w:rsidP="00236B35">
      <w:r>
        <w:t xml:space="preserve">Chapter 6 presents the development of a three-dimensional SCALE model of HFIR and serves to validate the model as well as the ENDF/B-VII 238-group neutron cross section library, specifically for beryllium activation calculations, thus, validating the cross sections and fluxes present in the beryllium reflector.  This chapter discusses </w:t>
      </w:r>
      <w:r w:rsidR="00320AAC">
        <w:t>the effects neutron activation o</w:t>
      </w:r>
      <w:r>
        <w:t xml:space="preserve">n the beryllium reflector has on the approach to critical at startup and the impact it has on disposing the reflector.  The </w:t>
      </w:r>
      <w:r w:rsidR="00257C87">
        <w:t xml:space="preserve">various </w:t>
      </w:r>
      <w:r>
        <w:t xml:space="preserve">studies presented in this chapter have been published in </w:t>
      </w:r>
      <w:r w:rsidR="007511FA">
        <w:fldChar w:fldCharType="begin"/>
      </w:r>
      <w:r w:rsidR="00C67546">
        <w:instrText xml:space="preserve"> REF _Ref285636033 \n \h </w:instrText>
      </w:r>
      <w:r w:rsidR="007511FA">
        <w:fldChar w:fldCharType="separate"/>
      </w:r>
      <w:r w:rsidR="00D5167B">
        <w:t>[8]</w:t>
      </w:r>
      <w:r w:rsidR="007511FA">
        <w:fldChar w:fldCharType="end"/>
      </w:r>
      <w:r w:rsidR="00C67546">
        <w:t xml:space="preserve">, </w:t>
      </w:r>
      <w:r w:rsidR="007511FA">
        <w:fldChar w:fldCharType="begin"/>
      </w:r>
      <w:r w:rsidR="00C67546">
        <w:instrText xml:space="preserve"> REF _Ref285636040 \n \h </w:instrText>
      </w:r>
      <w:r w:rsidR="007511FA">
        <w:fldChar w:fldCharType="separate"/>
      </w:r>
      <w:r w:rsidR="00D5167B">
        <w:t>[9]</w:t>
      </w:r>
      <w:r w:rsidR="007511FA">
        <w:fldChar w:fldCharType="end"/>
      </w:r>
      <w:r w:rsidR="00C67546">
        <w:t xml:space="preserve">, </w:t>
      </w:r>
      <w:r w:rsidR="007511FA">
        <w:fldChar w:fldCharType="begin"/>
      </w:r>
      <w:r w:rsidR="00C67546">
        <w:instrText xml:space="preserve"> REF _Ref285636046 \n \h </w:instrText>
      </w:r>
      <w:r w:rsidR="007511FA">
        <w:fldChar w:fldCharType="separate"/>
      </w:r>
      <w:r w:rsidR="00D5167B">
        <w:t>[10]</w:t>
      </w:r>
      <w:r w:rsidR="007511FA">
        <w:fldChar w:fldCharType="end"/>
      </w:r>
      <w:r w:rsidR="00C67546">
        <w:t xml:space="preserve">, and </w:t>
      </w:r>
      <w:r w:rsidR="007511FA">
        <w:fldChar w:fldCharType="begin"/>
      </w:r>
      <w:r w:rsidR="00C67546">
        <w:instrText xml:space="preserve"> REF _Ref285636054 \n \h </w:instrText>
      </w:r>
      <w:r w:rsidR="007511FA">
        <w:fldChar w:fldCharType="separate"/>
      </w:r>
      <w:r w:rsidR="00D5167B">
        <w:t>[11]</w:t>
      </w:r>
      <w:r w:rsidR="007511FA">
        <w:fldChar w:fldCharType="end"/>
      </w:r>
      <w:r w:rsidR="00C67546">
        <w:t>.</w:t>
      </w:r>
    </w:p>
    <w:p w:rsidR="00236B35" w:rsidRPr="005D6750" w:rsidRDefault="00236B35" w:rsidP="00236B35">
      <w:r>
        <w:t xml:space="preserve">Chapter 7 discusses a validation study performed with the model developed in Chapter 6 to calculate the post-irradiation </w:t>
      </w:r>
      <w:r w:rsidRPr="00887795">
        <w:rPr>
          <w:vertAlign w:val="superscript"/>
        </w:rPr>
        <w:t>252</w:t>
      </w:r>
      <w:r>
        <w:t xml:space="preserve">Cf and </w:t>
      </w:r>
      <w:r w:rsidRPr="00887795">
        <w:rPr>
          <w:vertAlign w:val="superscript"/>
        </w:rPr>
        <w:t>249</w:t>
      </w:r>
      <w:r>
        <w:t>Bk inventory in curium target rods irradiated in the flux trap of HFIR.  Thus, the SCALE model and the ENDF/B-VII 238-group neutron cross section library are validated for calculating the cross sections and fluxes in curium targets in the flux trap of HFIR.  The study documented in Chapter 7 is published</w:t>
      </w:r>
      <w:r w:rsidR="00C67546">
        <w:t xml:space="preserve"> in </w:t>
      </w:r>
      <w:r w:rsidR="007511FA">
        <w:fldChar w:fldCharType="begin"/>
      </w:r>
      <w:r w:rsidR="00C67546">
        <w:instrText xml:space="preserve"> REF _Ref285636077 \n \h </w:instrText>
      </w:r>
      <w:r w:rsidR="007511FA">
        <w:fldChar w:fldCharType="separate"/>
      </w:r>
      <w:r w:rsidR="00D5167B">
        <w:t>[12]</w:t>
      </w:r>
      <w:r w:rsidR="007511FA">
        <w:fldChar w:fldCharType="end"/>
      </w:r>
      <w:r w:rsidR="00257C87">
        <w:t>.</w:t>
      </w:r>
    </w:p>
    <w:p w:rsidR="00236B35" w:rsidRPr="0042249D" w:rsidRDefault="00567A1D" w:rsidP="00236B35">
      <w:r>
        <w:t xml:space="preserve">Chapter 8 presents a reactor </w:t>
      </w:r>
      <w:r w:rsidR="00050B54">
        <w:t>point-kin</w:t>
      </w:r>
      <w:r>
        <w:t xml:space="preserve">etics study utilizing the PARET code and the ordinary differential equation solver in COMSOL.  In this study, hydraulic tube rabbit ejection experiments are briefly discussed as well as some of the limitations of </w:t>
      </w:r>
      <w:r w:rsidR="00050B54">
        <w:t>point-kin</w:t>
      </w:r>
      <w:r>
        <w:t xml:space="preserve">etics, which is the driver behind this dissertation and the development of the later chapters.  Part of this study is published in </w:t>
      </w:r>
      <w:r w:rsidR="007511FA">
        <w:rPr>
          <w:highlight w:val="yellow"/>
        </w:rPr>
        <w:fldChar w:fldCharType="begin"/>
      </w:r>
      <w:r w:rsidR="00C67546">
        <w:instrText xml:space="preserve"> REF _Ref285636097 \n \h </w:instrText>
      </w:r>
      <w:r w:rsidR="007511FA">
        <w:rPr>
          <w:highlight w:val="yellow"/>
        </w:rPr>
      </w:r>
      <w:r w:rsidR="007511FA">
        <w:rPr>
          <w:highlight w:val="yellow"/>
        </w:rPr>
        <w:fldChar w:fldCharType="separate"/>
      </w:r>
      <w:r w:rsidR="00D5167B">
        <w:t>[13]</w:t>
      </w:r>
      <w:r w:rsidR="007511FA">
        <w:rPr>
          <w:highlight w:val="yellow"/>
        </w:rPr>
        <w:fldChar w:fldCharType="end"/>
      </w:r>
      <w:r w:rsidR="00257C87">
        <w:t>.</w:t>
      </w:r>
    </w:p>
    <w:p w:rsidR="00236B35" w:rsidRDefault="00CB0E49" w:rsidP="00BB7840">
      <w:r>
        <w:t xml:space="preserve">A two-dimensional, two-group diffusion theory model of HFIR was developed in COMSOL and documented in Chapter 9 to study the spatially-dependent, beginning-of-cycle fast and thermal neutron fluxes.  This study was the first step along the path to implementing two- and three-dimensional models of HFIR in COMSOL for the purpose of studying the spatial dependence of transient-induced behavior in the reactor core, i.e. it is a bridge from Chapter 8 to Chapter 10.  </w:t>
      </w:r>
      <w:r w:rsidR="00257C87">
        <w:t xml:space="preserve">Parts of this chapter are presented in </w:t>
      </w:r>
      <w:r w:rsidR="007511FA">
        <w:rPr>
          <w:highlight w:val="yellow"/>
        </w:rPr>
        <w:fldChar w:fldCharType="begin"/>
      </w:r>
      <w:r w:rsidR="00C67546">
        <w:instrText xml:space="preserve"> REF _Ref285636097 \n \h </w:instrText>
      </w:r>
      <w:r w:rsidR="007511FA">
        <w:rPr>
          <w:highlight w:val="yellow"/>
        </w:rPr>
      </w:r>
      <w:r w:rsidR="007511FA">
        <w:rPr>
          <w:highlight w:val="yellow"/>
        </w:rPr>
        <w:fldChar w:fldCharType="separate"/>
      </w:r>
      <w:r w:rsidR="00D5167B">
        <w:t>[13]</w:t>
      </w:r>
      <w:r w:rsidR="007511FA">
        <w:rPr>
          <w:highlight w:val="yellow"/>
        </w:rPr>
        <w:fldChar w:fldCharType="end"/>
      </w:r>
      <w:r w:rsidR="00C67546">
        <w:t xml:space="preserve"> and </w:t>
      </w:r>
      <w:r w:rsidR="007511FA">
        <w:rPr>
          <w:highlight w:val="yellow"/>
        </w:rPr>
        <w:fldChar w:fldCharType="begin"/>
      </w:r>
      <w:r w:rsidR="00C67546">
        <w:instrText xml:space="preserve"> REF _Ref285636123 \n \h </w:instrText>
      </w:r>
      <w:r w:rsidR="007511FA">
        <w:rPr>
          <w:highlight w:val="yellow"/>
        </w:rPr>
      </w:r>
      <w:r w:rsidR="007511FA">
        <w:rPr>
          <w:highlight w:val="yellow"/>
        </w:rPr>
        <w:fldChar w:fldCharType="separate"/>
      </w:r>
      <w:r w:rsidR="00D5167B">
        <w:t>[14]</w:t>
      </w:r>
      <w:r w:rsidR="007511FA">
        <w:rPr>
          <w:highlight w:val="yellow"/>
        </w:rPr>
        <w:fldChar w:fldCharType="end"/>
      </w:r>
      <w:r w:rsidR="00257C87">
        <w:t>.</w:t>
      </w:r>
    </w:p>
    <w:p w:rsidR="00CB0E49" w:rsidRDefault="00CB0E49" w:rsidP="00BB7840">
      <w:r>
        <w:lastRenderedPageBreak/>
        <w:t xml:space="preserve">The research documented in Chapter </w:t>
      </w:r>
      <w:r w:rsidR="00C80D7A">
        <w:t>10</w:t>
      </w:r>
      <w:r>
        <w:t xml:space="preserve"> is the primary focus of this dissertation</w:t>
      </w:r>
      <w:r w:rsidR="00162B3C">
        <w:t>.  Time</w:t>
      </w:r>
      <w:r w:rsidR="00C80D7A">
        <w:t>- and space</w:t>
      </w:r>
      <w:r w:rsidR="00162B3C">
        <w:t xml:space="preserve">-dependent, three-group, neutron kinetics models of HFIR, which </w:t>
      </w:r>
      <w:r w:rsidR="006A7BD7">
        <w:t xml:space="preserve">are to be </w:t>
      </w:r>
      <w:r w:rsidR="00162B3C">
        <w:t>developed in COMSOL, are discussed.  The purpose of thes</w:t>
      </w:r>
      <w:r w:rsidR="00320AAC">
        <w:t>e models is to study the power distribution in the reactor core</w:t>
      </w:r>
      <w:r w:rsidR="00162B3C">
        <w:t xml:space="preserve"> </w:t>
      </w:r>
      <w:r w:rsidR="00320AAC">
        <w:t xml:space="preserve">during a reactivity-induced transient that is introduced </w:t>
      </w:r>
      <w:proofErr w:type="spellStart"/>
      <w:r w:rsidR="00320AAC">
        <w:t>nonuniformly</w:t>
      </w:r>
      <w:proofErr w:type="spellEnd"/>
      <w:r w:rsidR="00320AAC">
        <w:t xml:space="preserve"> throughout the core</w:t>
      </w:r>
      <w:r w:rsidR="00162B3C">
        <w:t>.</w:t>
      </w:r>
    </w:p>
    <w:p w:rsidR="00CB0E49" w:rsidRPr="00BB7840" w:rsidRDefault="00CB0E49" w:rsidP="00BB7840"/>
    <w:p w:rsidR="00BB7840" w:rsidRDefault="00BB7840" w:rsidP="00AA149C">
      <w:pPr>
        <w:pStyle w:val="Heading2"/>
      </w:pPr>
      <w:bookmarkStart w:id="58" w:name="_Toc295818093"/>
      <w:r>
        <w:t>Motivation</w:t>
      </w:r>
      <w:r w:rsidR="00236B35">
        <w:t xml:space="preserve"> and Goal</w:t>
      </w:r>
      <w:bookmarkEnd w:id="58"/>
    </w:p>
    <w:p w:rsidR="00033A8E" w:rsidRPr="00AA6115" w:rsidRDefault="00033A8E" w:rsidP="00033A8E">
      <w:pPr>
        <w:spacing w:before="240" w:after="240"/>
      </w:pPr>
      <w:r>
        <w:t>Under the sponsorship of the U. S. Department of Energy’s (DOE) National Nuclear Security Administration (NNSA), staff members at the Oak Ridge National Laboratory (ORNL) have been conducting studies to determine whether the High Flux Isotope Reactor (HFIR) can be converted from high enriched uranium (HEU) fuel to low enriched uranium (LEU) fuel.  Converting domestic and international civilian research reactors and isotope production facilities from the use of weapons of mass destruction (WMD) usable HEU fuel to LEU is one of the three subprograms of the Global Threat Reduction Initiative (GTRI) to deny terrorists access to nuclear and radiological materials</w:t>
      </w:r>
      <w:r w:rsidR="00C67546">
        <w:t xml:space="preserve"> </w:t>
      </w:r>
      <w:r w:rsidR="007511FA">
        <w:fldChar w:fldCharType="begin"/>
      </w:r>
      <w:r w:rsidR="00C67546">
        <w:instrText xml:space="preserve"> REF _Ref285636142 \n \h </w:instrText>
      </w:r>
      <w:r w:rsidR="007511FA">
        <w:fldChar w:fldCharType="separate"/>
      </w:r>
      <w:r w:rsidR="00D5167B">
        <w:t>[15]</w:t>
      </w:r>
      <w:r w:rsidR="007511FA">
        <w:fldChar w:fldCharType="end"/>
      </w:r>
      <w:r>
        <w:t xml:space="preserve">.  The Reduced Enrichment for Research and Test Reactors (RERTR) Program </w:t>
      </w:r>
      <w:r w:rsidR="007511FA">
        <w:fldChar w:fldCharType="begin"/>
      </w:r>
      <w:r w:rsidR="00C67546">
        <w:instrText xml:space="preserve"> REF _Ref285636153 \n \h </w:instrText>
      </w:r>
      <w:r w:rsidR="007511FA">
        <w:fldChar w:fldCharType="separate"/>
      </w:r>
      <w:r w:rsidR="00D5167B">
        <w:t>[16]</w:t>
      </w:r>
      <w:r w:rsidR="007511FA">
        <w:fldChar w:fldCharType="end"/>
      </w:r>
      <w:r w:rsidR="008736AD">
        <w:t xml:space="preserve"> </w:t>
      </w:r>
      <w:r>
        <w:t xml:space="preserve">and the National Organization of Test, Research, and Training Reactors (TRTR) </w:t>
      </w:r>
      <w:r w:rsidR="007511FA">
        <w:fldChar w:fldCharType="begin"/>
      </w:r>
      <w:r w:rsidR="00C67546">
        <w:instrText xml:space="preserve"> REF _Ref285636160 \n \h </w:instrText>
      </w:r>
      <w:r w:rsidR="007511FA">
        <w:fldChar w:fldCharType="separate"/>
      </w:r>
      <w:r w:rsidR="00D5167B">
        <w:t>[17]</w:t>
      </w:r>
      <w:r w:rsidR="007511FA">
        <w:fldChar w:fldCharType="end"/>
      </w:r>
      <w:r w:rsidR="008736AD">
        <w:t xml:space="preserve"> </w:t>
      </w:r>
      <w:r>
        <w:t>were formed to promote collaboration between research reactors and RERTR was setup specifically to support the conversion.</w:t>
      </w:r>
    </w:p>
    <w:p w:rsidR="00033A8E" w:rsidRDefault="00033A8E" w:rsidP="00033A8E">
      <w:pPr>
        <w:spacing w:before="240" w:after="240"/>
      </w:pPr>
      <w:r>
        <w:t>Research reactors are designed for specific scientific missions and the mission of HFIR for example is to produce the highest achi</w:t>
      </w:r>
      <w:r w:rsidR="00320AAC">
        <w:t>evable steady state neutron currents</w:t>
      </w:r>
      <w:r>
        <w:t xml:space="preserve"> to experiment facilities for neutron scattering experiments, isotope production, </w:t>
      </w:r>
      <w:r w:rsidR="00320AAC">
        <w:t>materials</w:t>
      </w:r>
      <w:r>
        <w:t xml:space="preserve"> irradiation, and neutron activation analysis.  The GTRI/RERTR Program has defined goals for the replacement of HEU in research reactors and some of the key objectives include:</w:t>
      </w:r>
    </w:p>
    <w:p w:rsidR="00033A8E" w:rsidRDefault="00033A8E" w:rsidP="00033A8E">
      <w:pPr>
        <w:pStyle w:val="ListParagraph"/>
        <w:numPr>
          <w:ilvl w:val="0"/>
          <w:numId w:val="23"/>
        </w:numPr>
        <w:spacing w:before="240" w:after="240"/>
      </w:pPr>
      <w:r>
        <w:t xml:space="preserve">Ensure that the ability of the reactor to </w:t>
      </w:r>
      <w:r w:rsidRPr="00FB3D2A">
        <w:rPr>
          <w:b/>
        </w:rPr>
        <w:t>perform its scientific mission</w:t>
      </w:r>
      <w:r>
        <w:t xml:space="preserve"> is not significantly diminished.</w:t>
      </w:r>
    </w:p>
    <w:p w:rsidR="00033A8E" w:rsidRDefault="00033A8E" w:rsidP="00033A8E">
      <w:pPr>
        <w:pStyle w:val="ListParagraph"/>
        <w:numPr>
          <w:ilvl w:val="0"/>
          <w:numId w:val="23"/>
        </w:numPr>
        <w:spacing w:before="240" w:after="240"/>
      </w:pPr>
      <w:r>
        <w:lastRenderedPageBreak/>
        <w:t xml:space="preserve">Work to ensure that an LEU fuel alternative is provided that maintains </w:t>
      </w:r>
      <w:r w:rsidRPr="00FB3D2A">
        <w:rPr>
          <w:b/>
        </w:rPr>
        <w:t>a similar service lifetime</w:t>
      </w:r>
      <w:r>
        <w:t xml:space="preserve"> for the fuel assembly.</w:t>
      </w:r>
    </w:p>
    <w:p w:rsidR="00033A8E" w:rsidRDefault="00033A8E" w:rsidP="00033A8E">
      <w:pPr>
        <w:pStyle w:val="ListParagraph"/>
        <w:numPr>
          <w:ilvl w:val="0"/>
          <w:numId w:val="23"/>
        </w:numPr>
        <w:spacing w:before="240" w:after="240"/>
      </w:pPr>
      <w:r>
        <w:t>Ensure that conversion to a suitable LEU fuel can be achieved without requiring major changes in reactor structures or equipment.</w:t>
      </w:r>
    </w:p>
    <w:p w:rsidR="00033A8E" w:rsidRDefault="00033A8E" w:rsidP="00033A8E">
      <w:pPr>
        <w:pStyle w:val="ListParagraph"/>
        <w:numPr>
          <w:ilvl w:val="0"/>
          <w:numId w:val="23"/>
        </w:numPr>
        <w:spacing w:before="240" w:after="240"/>
      </w:pPr>
      <w:r>
        <w:t xml:space="preserve">Determine, to the extent possible, that the overall </w:t>
      </w:r>
      <w:proofErr w:type="gramStart"/>
      <w:r>
        <w:t>costs associated with conversion to LEU fuel does</w:t>
      </w:r>
      <w:proofErr w:type="gramEnd"/>
      <w:r>
        <w:t xml:space="preserve"> not increase the annual operating expenditure for the owner/operator.</w:t>
      </w:r>
    </w:p>
    <w:p w:rsidR="00033A8E" w:rsidRDefault="00033A8E" w:rsidP="00033A8E">
      <w:pPr>
        <w:pStyle w:val="ListParagraph"/>
        <w:numPr>
          <w:ilvl w:val="0"/>
          <w:numId w:val="23"/>
        </w:numPr>
        <w:spacing w:before="240" w:after="240"/>
      </w:pPr>
      <w:r>
        <w:t xml:space="preserve">Demonstrate that the conversion and subsequent operation can be </w:t>
      </w:r>
      <w:r w:rsidRPr="00FB3D2A">
        <w:rPr>
          <w:b/>
        </w:rPr>
        <w:t>accomplished safely</w:t>
      </w:r>
      <w:r>
        <w:t xml:space="preserve"> and the LEU fuel meets safety requirements.</w:t>
      </w:r>
    </w:p>
    <w:p w:rsidR="00033A8E" w:rsidRDefault="00033A8E" w:rsidP="00033A8E">
      <w:pPr>
        <w:pStyle w:val="ListParagraph"/>
        <w:numPr>
          <w:ilvl w:val="0"/>
          <w:numId w:val="23"/>
        </w:numPr>
        <w:spacing w:before="240" w:after="240"/>
      </w:pPr>
      <w:r>
        <w:t>Work in concert with the fuel return programs to coordinate the schedule of HEU fuel removal with the LEU fuel delivery to initiate conversion.</w:t>
      </w:r>
    </w:p>
    <w:p w:rsidR="00033A8E" w:rsidRDefault="00033A8E" w:rsidP="00033A8E">
      <w:pPr>
        <w:pStyle w:val="ListParagraph"/>
        <w:numPr>
          <w:ilvl w:val="0"/>
          <w:numId w:val="23"/>
        </w:numPr>
        <w:spacing w:before="240" w:after="240"/>
      </w:pPr>
      <w:r>
        <w:t>For more rapid or immediate conversions, the owner/operator may be compensated for the unused service lifetime of the repatriated HEU fuel.</w:t>
      </w:r>
    </w:p>
    <w:p w:rsidR="00033A8E" w:rsidRDefault="00033A8E" w:rsidP="00033A8E">
      <w:pPr>
        <w:spacing w:before="240" w:after="240"/>
      </w:pPr>
      <w:r>
        <w:t>Thus, after conversion, HFIR must be able to safely operate while maintaining reactor performance and a similar fuel cycle length.  The reactor performance must not be diminished and therefore the neutron flux (magnitude and spectra) at the experiment facilities must not be diminished and must be maintained for the duration of a typical HEU fuel cycle length in calendar time.</w:t>
      </w:r>
    </w:p>
    <w:p w:rsidR="00033A8E" w:rsidRPr="00ED19EF" w:rsidRDefault="00033A8E" w:rsidP="00033A8E">
      <w:pPr>
        <w:spacing w:before="240" w:after="240"/>
      </w:pPr>
      <w:r>
        <w:t xml:space="preserve">The HEU fuel currently loaded in HFIR is approximately 93 percent by weight </w:t>
      </w:r>
      <w:r>
        <w:rPr>
          <w:vertAlign w:val="superscript"/>
        </w:rPr>
        <w:t>235</w:t>
      </w:r>
      <w:r>
        <w:t>U/U in the form of U</w:t>
      </w:r>
      <w:r>
        <w:rPr>
          <w:vertAlign w:val="subscript"/>
        </w:rPr>
        <w:t>3</w:t>
      </w:r>
      <w:r>
        <w:t>O</w:t>
      </w:r>
      <w:r>
        <w:rPr>
          <w:vertAlign w:val="subscript"/>
        </w:rPr>
        <w:t>8</w:t>
      </w:r>
      <w:r>
        <w:t xml:space="preserve">-Al (a blend of ceramic and metal powders) and the proposed LEU fuel will be enriched to 20 percent by weight </w:t>
      </w:r>
      <w:r>
        <w:rPr>
          <w:vertAlign w:val="superscript"/>
        </w:rPr>
        <w:t>235</w:t>
      </w:r>
      <w:r>
        <w:t>U/U in the form of U</w:t>
      </w:r>
      <w:r w:rsidR="00E6587D">
        <w:t>-</w:t>
      </w:r>
      <w:r>
        <w:t xml:space="preserve">10Mo, a uranium metal alloyed with molybdenum with the Mo composing 10 percent by weight of the mixture.  The fresh core uranium loading will increase from 10.1 kg for HEU fuel to about </w:t>
      </w:r>
      <w:r w:rsidR="00E6587D">
        <w:t>125</w:t>
      </w:r>
      <w:r>
        <w:t xml:space="preserve"> kg for LEU fuel.  Due to self shielding effects introduced by the large concentration of </w:t>
      </w:r>
      <w:r>
        <w:rPr>
          <w:vertAlign w:val="superscript"/>
        </w:rPr>
        <w:t>238</w:t>
      </w:r>
      <w:r>
        <w:t xml:space="preserve">U, the critical mass of </w:t>
      </w:r>
      <w:r>
        <w:rPr>
          <w:vertAlign w:val="superscript"/>
        </w:rPr>
        <w:t>235</w:t>
      </w:r>
      <w:r>
        <w:t xml:space="preserve">U will be increased from 9.4 kg (HEU fuel) to 25 kg (LEU fuel) and the densest fuel available will be needed </w:t>
      </w:r>
      <w:r w:rsidR="007511FA">
        <w:fldChar w:fldCharType="begin"/>
      </w:r>
      <w:r w:rsidR="00C67546">
        <w:instrText xml:space="preserve"> REF _Ref285636182 \n \h </w:instrText>
      </w:r>
      <w:r w:rsidR="007511FA">
        <w:fldChar w:fldCharType="separate"/>
      </w:r>
      <w:r w:rsidR="00D5167B">
        <w:t>[18]</w:t>
      </w:r>
      <w:r w:rsidR="007511FA">
        <w:fldChar w:fldCharType="end"/>
      </w:r>
      <w:r w:rsidR="00E6587D">
        <w:t xml:space="preserve">.  The denser LEU </w:t>
      </w:r>
      <w:proofErr w:type="spellStart"/>
      <w:r w:rsidR="00E6587D">
        <w:t>fuel</w:t>
      </w:r>
      <w:r>
        <w:t>t</w:t>
      </w:r>
      <w:proofErr w:type="spellEnd"/>
      <w:r>
        <w:t xml:space="preserve"> will also cause the reactor power to be increased from 85 MW</w:t>
      </w:r>
      <w:r>
        <w:rPr>
          <w:vertAlign w:val="subscript"/>
        </w:rPr>
        <w:t>th</w:t>
      </w:r>
      <w:r>
        <w:t xml:space="preserve"> to 100 MW</w:t>
      </w:r>
      <w:r>
        <w:rPr>
          <w:vertAlign w:val="subscript"/>
        </w:rPr>
        <w:t>th</w:t>
      </w:r>
      <w:r>
        <w:t xml:space="preserve"> in order to maintain the </w:t>
      </w:r>
      <w:r w:rsidR="00320AAC">
        <w:t xml:space="preserve">neutron </w:t>
      </w:r>
      <w:r>
        <w:t xml:space="preserve">flux at the experiment facilities.  Increasing the power while maintaining the same end-of-cycle fuel burnup (MWd) shortens the </w:t>
      </w:r>
      <w:r>
        <w:lastRenderedPageBreak/>
        <w:t>fuel cycle length (days) and therefore the discharged fuel burnup must be increased by a ratio of 100/85 to maintain the same cycle length</w:t>
      </w:r>
      <w:r w:rsidR="00C67546">
        <w:t xml:space="preserve"> </w:t>
      </w:r>
      <w:r w:rsidR="007511FA">
        <w:fldChar w:fldCharType="begin"/>
      </w:r>
      <w:r w:rsidR="00C67546">
        <w:instrText xml:space="preserve"> REF _Ref285636191 \n \h </w:instrText>
      </w:r>
      <w:r w:rsidR="007511FA">
        <w:fldChar w:fldCharType="separate"/>
      </w:r>
      <w:r w:rsidR="00D5167B">
        <w:t>[19]</w:t>
      </w:r>
      <w:r w:rsidR="007511FA">
        <w:fldChar w:fldCharType="end"/>
      </w:r>
      <w:r>
        <w:t>.</w:t>
      </w:r>
    </w:p>
    <w:p w:rsidR="00033A8E" w:rsidRDefault="00033A8E" w:rsidP="00033A8E">
      <w:pPr>
        <w:spacing w:before="240" w:after="240"/>
      </w:pPr>
      <w:r>
        <w:t xml:space="preserve">The current HEU core was designed based on experiments, calculations, and expert-based opinions.  However, today, experiments are very expensive and </w:t>
      </w:r>
      <w:r w:rsidR="00E6587D">
        <w:t>critical experiment facilities in existence at the time HFIR was built are no longer available and replacement facilities have not been constructed</w:t>
      </w:r>
      <w:r>
        <w:t>.  With current advances in computational power, fuel design studies have become more reliant on performing calculations via computational based nuclear programs and methods.  Numerical analysis programs are available and are able to accurately predict pertinent physics parameters, and are thus utilized for studies such as converting to LEU fuel.  Additionally, utilizing computationally based programs is useful and economical for safety assessments in which it is undesirable to experimentally determine the transient behavior of the reactor and similarly, to minimize the risk of failure of a specimen proposed for irradiation and the consequences of such a failure should it occur.  For design and safety purposes, it is vital to validate computer codes before relying on their results.</w:t>
      </w:r>
    </w:p>
    <w:p w:rsidR="00033A8E" w:rsidRDefault="00033A8E" w:rsidP="00033A8E">
      <w:pPr>
        <w:spacing w:before="240" w:after="240"/>
      </w:pPr>
      <w:r>
        <w:t xml:space="preserve">The purpose of the studies presented in this </w:t>
      </w:r>
      <w:r w:rsidR="00ED2966">
        <w:t>dissertation</w:t>
      </w:r>
      <w:r>
        <w:t xml:space="preserve"> is to develop and validate new methodologies using modern</w:t>
      </w:r>
      <w:r w:rsidR="006F3E48">
        <w:t>,</w:t>
      </w:r>
      <w:r>
        <w:t xml:space="preserve"> state-of-the-art computational tools to perform physics studies on the HFIR.  The methodologies described in these studies were developed and validated for HEU fuel and have been or will be adopted for LEU fuel studies.  Currently, no LEU fuel experimental physics data exists and thus it is important to first validate these methods against the existing HEU fuel experimentally measured results before applying to LEU fuel studies.</w:t>
      </w:r>
    </w:p>
    <w:p w:rsidR="00033A8E" w:rsidRDefault="00033A8E" w:rsidP="00033A8E">
      <w:pPr>
        <w:spacing w:before="240" w:after="240"/>
      </w:pPr>
      <w:r>
        <w:t xml:space="preserve">It is very important to develop new methodologies based on current tools because programs of the past often go unmaintained, become unsupported, and become incompatible with current software.  The latest programs are often newer versions of the original program that implement more efficient and accurate numerical methods and better (nuclear) data.  The validation studies presented here make use of Monte Carlo codes and detailed three-dimensional geometry.  </w:t>
      </w:r>
      <w:r w:rsidR="00ED2966">
        <w:t>D</w:t>
      </w:r>
      <w:r>
        <w:t>iffusion theory</w:t>
      </w:r>
      <w:r w:rsidR="00ED2966">
        <w:t>-based models are</w:t>
      </w:r>
      <w:r>
        <w:t xml:space="preserve"> </w:t>
      </w:r>
      <w:r w:rsidR="00ED2966">
        <w:lastRenderedPageBreak/>
        <w:t>developed in this dissertation and applied</w:t>
      </w:r>
      <w:r>
        <w:t xml:space="preserve"> to some of the tim</w:t>
      </w:r>
      <w:r w:rsidR="00ED2966">
        <w:t>e-dependent analyses presented</w:t>
      </w:r>
      <w:r>
        <w:t xml:space="preserve"> because diffusion theory requires much less computational time than Monte Carlo codes and have the ability to calculate flux</w:t>
      </w:r>
      <w:r w:rsidR="006F3E48">
        <w:t>es</w:t>
      </w:r>
      <w:r>
        <w:t xml:space="preserve"> </w:t>
      </w:r>
      <w:r w:rsidR="006F3E48">
        <w:t>at mesh intervals inside small regions</w:t>
      </w:r>
      <w:r>
        <w:t>.</w:t>
      </w:r>
    </w:p>
    <w:p w:rsidR="00033A8E" w:rsidRDefault="00033A8E" w:rsidP="00033A8E">
      <w:pPr>
        <w:spacing w:before="240" w:after="240"/>
      </w:pPr>
      <w:r>
        <w:t>Validating codes against experimental data and other computer codes is very important to ensure that the calculations are accurate, to determine any computational biases, and to establish the code’s range of applicability.  Pertinent sources of neutronics measurements that are applicable to validating reactor physics codes include, but are not limited to</w:t>
      </w:r>
      <w:r w:rsidR="006F3E48">
        <w:t>,</w:t>
      </w:r>
      <w:r>
        <w:t xml:space="preserve"> power/flux distributions in the reactor core, spent fuel isotopic inventories and distributions within the core, decay heat generation rates, criticality (k</w:t>
      </w:r>
      <w:r>
        <w:rPr>
          <w:vertAlign w:val="subscript"/>
        </w:rPr>
        <w:t>eff</w:t>
      </w:r>
      <w:r>
        <w:t xml:space="preserve">) data, and fuel cycle length.  </w:t>
      </w:r>
    </w:p>
    <w:p w:rsidR="00033A8E" w:rsidRPr="00AE00CF" w:rsidRDefault="00033A8E" w:rsidP="00033A8E">
      <w:pPr>
        <w:spacing w:before="240" w:after="240"/>
      </w:pPr>
      <w:r>
        <w:t>Critical experiment data including effective multiplication factors and power distributions at beginning-of-cycle and end-of-cycle (simulated with boron poison in coolant to represent fission products and fuel burnup) was used to validate a detailed MCNP5 input.  MCNP5 coupled with ORIGEN 2.2 via the ALEPH and VESTA computer codes were validated with k</w:t>
      </w:r>
      <w:r>
        <w:rPr>
          <w:vertAlign w:val="subscript"/>
        </w:rPr>
        <w:t>eff</w:t>
      </w:r>
      <w:r>
        <w:t>, cycle length, and spatially-dependent end-of-cycle uranium isotopic inventory data obtained from three HFIR cores that were irradiated in the mid to late 1960s.  The SCALE sequence TRITON including the KENO and ORIGEN-S codes w</w:t>
      </w:r>
      <w:r w:rsidR="005F2FCC">
        <w:t>as</w:t>
      </w:r>
      <w:r>
        <w:t xml:space="preserve"> used to determine the nuclide inventory in discharged curium targets irradiated in the flux trap of HFIR as well as discharged beryllium reflectors.  The </w:t>
      </w:r>
      <w:r w:rsidRPr="00AE00CF">
        <w:rPr>
          <w:vertAlign w:val="superscript"/>
        </w:rPr>
        <w:t>252</w:t>
      </w:r>
      <w:r>
        <w:t xml:space="preserve">Cf and </w:t>
      </w:r>
      <w:r w:rsidRPr="00AE00CF">
        <w:rPr>
          <w:vertAlign w:val="superscript"/>
        </w:rPr>
        <w:t>248</w:t>
      </w:r>
      <w:r>
        <w:t xml:space="preserve">Bk inventory in the discharged curium targets were compared to dissolver solution measurements.  The buildup of neutron absorbers; </w:t>
      </w:r>
      <w:r>
        <w:rPr>
          <w:vertAlign w:val="superscript"/>
        </w:rPr>
        <w:t>3</w:t>
      </w:r>
      <w:r>
        <w:t xml:space="preserve">He and </w:t>
      </w:r>
      <w:r>
        <w:rPr>
          <w:vertAlign w:val="superscript"/>
        </w:rPr>
        <w:t>6</w:t>
      </w:r>
      <w:r>
        <w:t xml:space="preserve">Li; and gases; </w:t>
      </w:r>
      <w:r w:rsidRPr="00AE00CF">
        <w:rPr>
          <w:vertAlign w:val="superscript"/>
        </w:rPr>
        <w:t>3</w:t>
      </w:r>
      <w:r>
        <w:t xml:space="preserve">H, </w:t>
      </w:r>
      <w:r w:rsidRPr="00AE00CF">
        <w:rPr>
          <w:vertAlign w:val="superscript"/>
        </w:rPr>
        <w:t>3</w:t>
      </w:r>
      <w:r>
        <w:t xml:space="preserve">He, and </w:t>
      </w:r>
      <w:r w:rsidRPr="00AE00CF">
        <w:rPr>
          <w:vertAlign w:val="superscript"/>
        </w:rPr>
        <w:t>4</w:t>
      </w:r>
      <w:r>
        <w:t>He; in the beryllium reflector w</w:t>
      </w:r>
      <w:r w:rsidR="006F3E48">
        <w:t xml:space="preserve">ere </w:t>
      </w:r>
      <w:r>
        <w:t xml:space="preserve">studied and the </w:t>
      </w:r>
      <w:r>
        <w:rPr>
          <w:vertAlign w:val="superscript"/>
        </w:rPr>
        <w:t>3</w:t>
      </w:r>
      <w:r>
        <w:t xml:space="preserve">He buildup was used to develop a new methodology to predict its reactivity impact on the beginning-of-cycle control element position. </w:t>
      </w:r>
    </w:p>
    <w:p w:rsidR="0000419A" w:rsidRDefault="00033A8E" w:rsidP="00033A8E">
      <w:pPr>
        <w:spacing w:before="240" w:after="240"/>
      </w:pPr>
      <w:r>
        <w:t xml:space="preserve">The HEU validation studies </w:t>
      </w:r>
      <w:r w:rsidR="005F2FCC">
        <w:t>described previously</w:t>
      </w:r>
      <w:r>
        <w:t xml:space="preserve">, if applied to LEU fuel, can be/are being used to ensure that the ability of the LEU fueled HFIR to perform its scientific mission is not diminished, to ensure that the LEU fuel alternative maintains a similar cycle length, and to better understand the nuclear </w:t>
      </w:r>
      <w:r>
        <w:lastRenderedPageBreak/>
        <w:t>physics characteristics of the LEU fuel.  The motivation behind developing a time- and spatially-dependent reactor kinetics methodology is derived from</w:t>
      </w:r>
      <w:r w:rsidR="0000419A">
        <w:t>:</w:t>
      </w:r>
    </w:p>
    <w:p w:rsidR="0000419A" w:rsidRDefault="0000419A" w:rsidP="0000419A">
      <w:pPr>
        <w:pStyle w:val="ListParagraph"/>
        <w:numPr>
          <w:ilvl w:val="0"/>
          <w:numId w:val="31"/>
        </w:numPr>
        <w:spacing w:before="240" w:after="240"/>
      </w:pPr>
      <w:r>
        <w:t xml:space="preserve">developing a new HEU-based reactivity-induced transient </w:t>
      </w:r>
      <w:r w:rsidR="001948D9">
        <w:t xml:space="preserve">modeling methodology to be applied to the LEU fuel in order to </w:t>
      </w:r>
      <w:r w:rsidR="00033A8E">
        <w:t>ensur</w:t>
      </w:r>
      <w:r w:rsidR="001948D9">
        <w:t>e the new</w:t>
      </w:r>
      <w:r w:rsidR="00033A8E">
        <w:t xml:space="preserve"> HFIR </w:t>
      </w:r>
      <w:r>
        <w:t>fuel meets safety requirements,</w:t>
      </w:r>
    </w:p>
    <w:p w:rsidR="0000419A" w:rsidRDefault="001948D9" w:rsidP="0000419A">
      <w:pPr>
        <w:pStyle w:val="ListParagraph"/>
        <w:numPr>
          <w:ilvl w:val="0"/>
          <w:numId w:val="31"/>
        </w:numPr>
        <w:spacing w:before="240" w:after="240"/>
      </w:pPr>
      <w:r>
        <w:t xml:space="preserve">eliminating the </w:t>
      </w:r>
      <w:r w:rsidR="00033A8E">
        <w:t>assumptions associated with the current methodology of point (zero-dimension</w:t>
      </w:r>
      <w:r w:rsidR="0000419A">
        <w:t>al) reactor kinetics,</w:t>
      </w:r>
    </w:p>
    <w:p w:rsidR="0000419A" w:rsidRDefault="001948D9" w:rsidP="0000419A">
      <w:pPr>
        <w:pStyle w:val="ListParagraph"/>
        <w:numPr>
          <w:ilvl w:val="0"/>
          <w:numId w:val="31"/>
        </w:numPr>
        <w:spacing w:before="240" w:after="240"/>
      </w:pPr>
      <w:r>
        <w:t xml:space="preserve">eliminating </w:t>
      </w:r>
      <w:r w:rsidR="0000419A">
        <w:t>the conservatisms applied to the current methodology,</w:t>
      </w:r>
    </w:p>
    <w:p w:rsidR="0000419A" w:rsidRDefault="00033A8E" w:rsidP="0000419A">
      <w:pPr>
        <w:pStyle w:val="ListParagraph"/>
        <w:numPr>
          <w:ilvl w:val="0"/>
          <w:numId w:val="31"/>
        </w:numPr>
        <w:spacing w:before="240" w:after="240"/>
      </w:pPr>
      <w:r>
        <w:t>ongoing effort</w:t>
      </w:r>
      <w:r w:rsidR="001948D9">
        <w:t>s</w:t>
      </w:r>
      <w:r>
        <w:t xml:space="preserve"> to up</w:t>
      </w:r>
      <w:r w:rsidR="0000419A">
        <w:t>date the HFIR thermal-hydraulic</w:t>
      </w:r>
      <w:r w:rsidR="001948D9">
        <w:t xml:space="preserve"> and structural methods,</w:t>
      </w:r>
    </w:p>
    <w:p w:rsidR="001948D9" w:rsidRDefault="001948D9" w:rsidP="001948D9">
      <w:pPr>
        <w:pStyle w:val="ListParagraph"/>
        <w:numPr>
          <w:ilvl w:val="0"/>
          <w:numId w:val="31"/>
        </w:numPr>
        <w:spacing w:before="240" w:after="240"/>
      </w:pPr>
      <w:proofErr w:type="gramStart"/>
      <w:r>
        <w:t>and</w:t>
      </w:r>
      <w:proofErr w:type="gramEnd"/>
      <w:r>
        <w:t xml:space="preserve"> the recent interest and advances in spatially-dependent reactor kinetics coupled with advances in computational power and numerical methods.</w:t>
      </w:r>
    </w:p>
    <w:p w:rsidR="00033A8E" w:rsidRDefault="00033A8E" w:rsidP="0000419A">
      <w:r>
        <w:t xml:space="preserve">A spatial kinetics study of HFIR has been postulated in the past in order to confirm the </w:t>
      </w:r>
      <w:r w:rsidR="00050B54">
        <w:t>point-kin</w:t>
      </w:r>
      <w:r>
        <w:t xml:space="preserve">etics assumption, but has never been performed.  The main objective of this </w:t>
      </w:r>
      <w:r w:rsidR="00D80A96">
        <w:t>dissertation</w:t>
      </w:r>
      <w:r>
        <w:t xml:space="preserve"> is to study space-time kinetics associated with HFIR.</w:t>
      </w:r>
      <w:r w:rsidR="0000419A">
        <w:t xml:space="preserve">  The current methodology used for studying HFIR transients and limitations to the </w:t>
      </w:r>
      <w:r w:rsidR="00050B54">
        <w:t>point-kin</w:t>
      </w:r>
      <w:r w:rsidR="0000419A">
        <w:t>etics approach are discussed in detail</w:t>
      </w:r>
      <w:r w:rsidR="001948D9">
        <w:t xml:space="preserve"> in the following paragraphs</w:t>
      </w:r>
      <w:r w:rsidR="00050B54">
        <w:t>.</w:t>
      </w:r>
    </w:p>
    <w:p w:rsidR="00050B54" w:rsidRDefault="00050B54" w:rsidP="00050B54">
      <w:pPr>
        <w:spacing w:before="240" w:after="240"/>
      </w:pPr>
      <w:r>
        <w:t>Point-kinetics has been widely used in the nuclear industry to predict the time-dependent behavior of nuclear reactors.  The major assumption associated with point-kinetics is that the fundamental flux mode dominates the transient.  During steady-state operations, a nuclear reactor is critical and operating in the fundamental mode.  Under the point-kinetics assumption, the properties of the reactor are rapidly changed uniformly throughout the system and the flux remains in the fundamental mode</w:t>
      </w:r>
      <w:r w:rsidR="005F2FCC">
        <w:t xml:space="preserve"> of the original, unperturbed</w:t>
      </w:r>
      <w:r>
        <w:t xml:space="preserve"> </w:t>
      </w:r>
      <w:r w:rsidR="005F2FCC">
        <w:t xml:space="preserve">system </w:t>
      </w:r>
      <w:r>
        <w:t xml:space="preserve">when reactivity is introduced to the reactor and the effective multiplication factor is no longer unity.  The current methodology assumes that the higher harmonics die out faster than the reactivity change that is imposed on the system and thus the fundamental mode is achieved, which may not be true </w:t>
      </w:r>
      <w:r w:rsidR="007511FA">
        <w:fldChar w:fldCharType="begin"/>
      </w:r>
      <w:r>
        <w:instrText xml:space="preserve"> REF _Ref285636343 \n \h </w:instrText>
      </w:r>
      <w:r w:rsidR="007511FA">
        <w:fldChar w:fldCharType="separate"/>
      </w:r>
      <w:r w:rsidR="00D5167B">
        <w:t>[20]</w:t>
      </w:r>
      <w:r w:rsidR="007511FA">
        <w:fldChar w:fldCharType="end"/>
      </w:r>
      <w:r>
        <w:t xml:space="preserve">.  However, HFIR transients are not induced by uniform reactivity changes and thus the properties of the reactor are not changed uniformly.  A couple </w:t>
      </w:r>
      <w:r w:rsidR="005F2FCC">
        <w:t xml:space="preserve">of </w:t>
      </w:r>
      <w:r>
        <w:t xml:space="preserve">examples of reactivity additions that </w:t>
      </w:r>
      <w:r>
        <w:lastRenderedPageBreak/>
        <w:t>would not induce uniform reactivity changes include ejecting a europium lined rabbit from the hydraulic tube (center of core, moving upwards) and a control cylinder ejection (outside of core, moving away from the core in the axial direction.  The spatial effects introduced by reactivity-induced transients in HFIR are the aim of the space-time kinetics study presented in this dissertation.</w:t>
      </w:r>
    </w:p>
    <w:p w:rsidR="004C0C3E" w:rsidRDefault="00D80A96" w:rsidP="004C0C3E">
      <w:pPr>
        <w:spacing w:before="240" w:after="240"/>
      </w:pPr>
      <w:r>
        <w:t>COMSOL, a finite element-</w:t>
      </w:r>
      <w:r w:rsidR="004C0C3E">
        <w:t>based tool, has recently been adopted at HFIR for performing thermal-hydraulic analyses and is being used to determine whether the LEU fuel will need to be axially graded to satisfy thermal requirements.  Three-dimensional models of HFIR fuel plates have been developed such that heat transfer can be conducted in all three dimensions, which is an improvement over current one-dimensional models</w:t>
      </w:r>
      <w:r w:rsidR="004C0C3E" w:rsidRPr="00977A4A">
        <w:t xml:space="preserve"> </w:t>
      </w:r>
      <w:r w:rsidR="004C0C3E">
        <w:t xml:space="preserve">that only include heat transfer through the plate (no axial or span-wise conduction) </w:t>
      </w:r>
      <w:r w:rsidR="007511FA">
        <w:fldChar w:fldCharType="begin"/>
      </w:r>
      <w:r w:rsidR="00C67546">
        <w:instrText xml:space="preserve"> REF _Ref285636237 \n \h </w:instrText>
      </w:r>
      <w:r w:rsidR="007511FA">
        <w:fldChar w:fldCharType="separate"/>
      </w:r>
      <w:r w:rsidR="00D5167B">
        <w:t>[21]</w:t>
      </w:r>
      <w:r w:rsidR="007511FA">
        <w:fldChar w:fldCharType="end"/>
      </w:r>
      <w:r w:rsidR="004C0C3E">
        <w:t>.  This study has proven to be valuable and is another dr</w:t>
      </w:r>
      <w:r>
        <w:t>iver behind developing a COMSOL-</w:t>
      </w:r>
      <w:r w:rsidR="004C0C3E">
        <w:t xml:space="preserve">based space-time kinetics model.  </w:t>
      </w:r>
    </w:p>
    <w:p w:rsidR="001948D9" w:rsidRDefault="001948D9" w:rsidP="00257C87">
      <w:pPr>
        <w:ind w:firstLine="0"/>
      </w:pPr>
    </w:p>
    <w:p w:rsidR="001948D9" w:rsidRDefault="001948D9" w:rsidP="00AA149C">
      <w:pPr>
        <w:pStyle w:val="Heading2"/>
      </w:pPr>
      <w:bookmarkStart w:id="59" w:name="_Toc295818094"/>
      <w:r>
        <w:t xml:space="preserve">Literature </w:t>
      </w:r>
      <w:r w:rsidRPr="00961CAF">
        <w:t>Review</w:t>
      </w:r>
      <w:bookmarkEnd w:id="59"/>
    </w:p>
    <w:p w:rsidR="001948D9" w:rsidRDefault="001948D9" w:rsidP="001948D9">
      <w:pPr>
        <w:spacing w:before="240" w:after="240"/>
      </w:pPr>
      <w:r>
        <w:t xml:space="preserve">This </w:t>
      </w:r>
      <w:r w:rsidR="00CE769C">
        <w:t xml:space="preserve">purpose of the </w:t>
      </w:r>
      <w:r>
        <w:t xml:space="preserve">section </w:t>
      </w:r>
      <w:r w:rsidR="00CE769C">
        <w:t>is to collect and summarize information relevant to this dissertation topic, studying the spatially-dependent effects caused by reactivity-induced transients in the HFIR core.  This section is brok</w:t>
      </w:r>
      <w:r w:rsidR="00BF162F">
        <w:t>en into a few</w:t>
      </w:r>
      <w:r w:rsidR="00CE769C">
        <w:t xml:space="preserve"> subsections to incl</w:t>
      </w:r>
      <w:r w:rsidR="00EC1CE1">
        <w:t>ude a brief documentation on the 1) core physics calculations, 2)</w:t>
      </w:r>
      <w:r w:rsidR="00CE769C">
        <w:t xml:space="preserve"> </w:t>
      </w:r>
      <w:r w:rsidR="00EC1CE1">
        <w:t>method</w:t>
      </w:r>
      <w:r w:rsidR="00D80A96">
        <w:t>s</w:t>
      </w:r>
      <w:r w:rsidR="00CE769C">
        <w:t xml:space="preserve"> used in HFIR’s Safety Analysis Report (SAR) to predict the core’s response to </w:t>
      </w:r>
      <w:r w:rsidR="00C65634">
        <w:t>possible</w:t>
      </w:r>
      <w:r w:rsidR="00CE769C">
        <w:t xml:space="preserve"> transient</w:t>
      </w:r>
      <w:r w:rsidR="00C65634">
        <w:t>s</w:t>
      </w:r>
      <w:r w:rsidR="00CE769C">
        <w:t xml:space="preserve">, </w:t>
      </w:r>
      <w:r w:rsidR="00EC1CE1">
        <w:t xml:space="preserve">3) </w:t>
      </w:r>
      <w:r w:rsidR="00CE769C">
        <w:t>previous studies at HFIR pertaining to</w:t>
      </w:r>
      <w:r w:rsidR="00EC1CE1">
        <w:t xml:space="preserve"> reactivity-induced transients,</w:t>
      </w:r>
      <w:r w:rsidR="00C65634">
        <w:t xml:space="preserve"> </w:t>
      </w:r>
      <w:r w:rsidR="00EC1CE1">
        <w:t xml:space="preserve">4) </w:t>
      </w:r>
      <w:r w:rsidR="00CE769C">
        <w:t>spatially-dependent commercial transient codes used for power reactors</w:t>
      </w:r>
      <w:r w:rsidR="00EC1CE1">
        <w:t>, and 5) published studies involving COMSOL neutronics calculations</w:t>
      </w:r>
      <w:r w:rsidR="00C65634">
        <w:t>.</w:t>
      </w:r>
    </w:p>
    <w:p w:rsidR="00D80A96" w:rsidRDefault="00D80A96" w:rsidP="001948D9">
      <w:pPr>
        <w:spacing w:before="240" w:after="240"/>
      </w:pPr>
    </w:p>
    <w:p w:rsidR="00EC1CE1" w:rsidRDefault="00EC1CE1" w:rsidP="00EC1CE1">
      <w:pPr>
        <w:pStyle w:val="Heading3"/>
      </w:pPr>
      <w:bookmarkStart w:id="60" w:name="_Toc295818095"/>
      <w:r>
        <w:lastRenderedPageBreak/>
        <w:t>HFIR Physics Calculations</w:t>
      </w:r>
      <w:bookmarkEnd w:id="60"/>
    </w:p>
    <w:p w:rsidR="00EC1CE1" w:rsidRDefault="00EC1CE1" w:rsidP="00EC1CE1">
      <w:r>
        <w:t xml:space="preserve">The HFIR core physics validation studies were a continuation of the work performed by N. </w:t>
      </w:r>
      <w:proofErr w:type="spellStart"/>
      <w:r>
        <w:t>Xoubi</w:t>
      </w:r>
      <w:proofErr w:type="spellEnd"/>
      <w:r>
        <w:t xml:space="preserve"> </w:t>
      </w:r>
      <w:r w:rsidR="007511FA">
        <w:fldChar w:fldCharType="begin"/>
      </w:r>
      <w:r w:rsidR="00C67546">
        <w:instrText xml:space="preserve"> REF _Ref285636258 \n \h </w:instrText>
      </w:r>
      <w:r w:rsidR="007511FA">
        <w:fldChar w:fldCharType="separate"/>
      </w:r>
      <w:r w:rsidR="00D5167B">
        <w:t>[22]</w:t>
      </w:r>
      <w:r w:rsidR="007511FA">
        <w:fldChar w:fldCharType="end"/>
      </w:r>
      <w:r>
        <w:t xml:space="preserve">.  </w:t>
      </w:r>
      <w:proofErr w:type="spellStart"/>
      <w:r>
        <w:t>Xoubi</w:t>
      </w:r>
      <w:proofErr w:type="spellEnd"/>
      <w:r>
        <w:t xml:space="preserve"> performed his dissertation via a contract between the University of Cincinnati and the Research Reactors Division, ORNL, and published his research in November 2005.  </w:t>
      </w:r>
      <w:proofErr w:type="spellStart"/>
      <w:r>
        <w:t>Xoubi</w:t>
      </w:r>
      <w:proofErr w:type="spellEnd"/>
      <w:r>
        <w:t xml:space="preserve"> modified a previous MCNP model of HFIR and validated </w:t>
      </w:r>
      <w:r w:rsidR="00D80A96">
        <w:t xml:space="preserve">it </w:t>
      </w:r>
      <w:r>
        <w:t>against</w:t>
      </w:r>
      <w:r w:rsidR="00D80A96">
        <w:t xml:space="preserve"> </w:t>
      </w:r>
      <w:r>
        <w:t xml:space="preserve">HFIR fuel cycle </w:t>
      </w:r>
      <w:r w:rsidR="00D80A96">
        <w:t xml:space="preserve">number </w:t>
      </w:r>
      <w:r>
        <w:t>400</w:t>
      </w:r>
      <w:r w:rsidR="00C67546">
        <w:t xml:space="preserve"> </w:t>
      </w:r>
      <w:r w:rsidR="007511FA">
        <w:fldChar w:fldCharType="begin"/>
      </w:r>
      <w:r w:rsidR="00C67546">
        <w:instrText xml:space="preserve"> REF _Ref285636274 \n \h </w:instrText>
      </w:r>
      <w:r w:rsidR="007511FA">
        <w:fldChar w:fldCharType="separate"/>
      </w:r>
      <w:r w:rsidR="00D5167B">
        <w:t>[23]</w:t>
      </w:r>
      <w:r w:rsidR="007511FA">
        <w:fldChar w:fldCharType="end"/>
      </w:r>
      <w:r>
        <w:t xml:space="preserve">.  </w:t>
      </w:r>
      <w:proofErr w:type="spellStart"/>
      <w:r>
        <w:t>Xoubi’s</w:t>
      </w:r>
      <w:proofErr w:type="spellEnd"/>
      <w:r>
        <w:t xml:space="preserve"> main research goal made use of this HFIR MCNP model and ALEPH, a generic depletion tool, to study the behavior of the predicted, time-dependent effective eigenvalue and compare it to the actual eigenvalue, i.e. eigenvalue drift.  </w:t>
      </w:r>
    </w:p>
    <w:p w:rsidR="00EC1CE1" w:rsidRDefault="00EC1CE1" w:rsidP="00EC1CE1">
      <w:proofErr w:type="spellStart"/>
      <w:r>
        <w:t>Xoubi’s</w:t>
      </w:r>
      <w:proofErr w:type="spellEnd"/>
      <w:r>
        <w:t xml:space="preserve"> cycle 400 models were used throughout this dissertation to develop new and original Monte Carlo-based methodologies to predict the time- and spatially-dependent power distribution profiles and uranium isotopic atomic percent distributions.  New SCALE models, KENO </w:t>
      </w:r>
      <w:proofErr w:type="spellStart"/>
      <w:r>
        <w:t>V.a</w:t>
      </w:r>
      <w:proofErr w:type="spellEnd"/>
      <w:r>
        <w:t xml:space="preserve"> and KENO-VI, of HFIR were developed and utilized in this dissertation and were created based on the material compositions and geometrical boundaries used in the cycle 400 model.  These models were used to develop new and original methodologies to predict the reactivity effect neutron poisons (</w:t>
      </w:r>
      <w:r w:rsidRPr="00EC1CE1">
        <w:rPr>
          <w:vertAlign w:val="superscript"/>
        </w:rPr>
        <w:t>3</w:t>
      </w:r>
      <w:r>
        <w:t xml:space="preserve">He and </w:t>
      </w:r>
      <w:r w:rsidRPr="00EC1CE1">
        <w:rPr>
          <w:vertAlign w:val="superscript"/>
        </w:rPr>
        <w:t>6</w:t>
      </w:r>
      <w:r>
        <w:t>Li) have on starting HFIR following long outages, predicting the post-irradiation and post-discharge radionuclide inventory in beryllium reflectors, and the post-irradiation nuclide inventory in curium target rods irradiated in the flux trap target region.</w:t>
      </w:r>
    </w:p>
    <w:p w:rsidR="00EC1CE1" w:rsidRDefault="00EC1CE1" w:rsidP="00EC1CE1">
      <w:r>
        <w:t>G. Ilas has also performed a variety of core physics studies at HFIR including developing a VESTA model of HFIR for depletion calculations</w:t>
      </w:r>
      <w:r w:rsidR="00257C87">
        <w:t xml:space="preserve"> </w:t>
      </w:r>
      <w:r w:rsidR="007511FA">
        <w:fldChar w:fldCharType="begin"/>
      </w:r>
      <w:r w:rsidR="00C67546">
        <w:instrText xml:space="preserve"> REF _Ref285636297 \n \h </w:instrText>
      </w:r>
      <w:r w:rsidR="007511FA">
        <w:fldChar w:fldCharType="separate"/>
      </w:r>
      <w:r w:rsidR="00D5167B">
        <w:t>[24]</w:t>
      </w:r>
      <w:r w:rsidR="007511FA">
        <w:fldChar w:fldCharType="end"/>
      </w:r>
      <w:r>
        <w:t xml:space="preserve"> and an LEU-based NEWT model for calculating microscopic cross sections for insertion into VENTURE inputs</w:t>
      </w:r>
      <w:r w:rsidR="00257C87">
        <w:t xml:space="preserve"> </w:t>
      </w:r>
      <w:r w:rsidR="007511FA">
        <w:fldChar w:fldCharType="begin"/>
      </w:r>
      <w:r w:rsidR="00C67546">
        <w:instrText xml:space="preserve"> REF _Ref285636307 \n \h </w:instrText>
      </w:r>
      <w:r w:rsidR="007511FA">
        <w:fldChar w:fldCharType="separate"/>
      </w:r>
      <w:r w:rsidR="00D5167B">
        <w:t>[25]</w:t>
      </w:r>
      <w:r w:rsidR="007511FA">
        <w:fldChar w:fldCharType="end"/>
      </w:r>
      <w:r>
        <w:t xml:space="preserve">.  Modifications were applied to Ilas’ VESTA model in this dissertation in order to compare against the calculations described in the previous paragraph as well as develop a new methodology for predicting the </w:t>
      </w:r>
      <w:r w:rsidRPr="00EC1CE1">
        <w:rPr>
          <w:vertAlign w:val="superscript"/>
        </w:rPr>
        <w:t>238</w:t>
      </w:r>
      <w:r>
        <w:t xml:space="preserve">Pu production rate in </w:t>
      </w:r>
      <w:r w:rsidRPr="00EC1CE1">
        <w:rPr>
          <w:vertAlign w:val="superscript"/>
        </w:rPr>
        <w:t>237</w:t>
      </w:r>
      <w:r>
        <w:t xml:space="preserve">Np targets </w:t>
      </w:r>
      <w:r w:rsidR="00D80A96">
        <w:t xml:space="preserve">to be </w:t>
      </w:r>
      <w:r>
        <w:t>irradiated in the beryllium reflector.  The LEU-based NEWT model was modified appropriately for HEU-based calculations to generate macroscopic cross sections needed to solve the diff</w:t>
      </w:r>
      <w:r w:rsidR="00D80A96">
        <w:t>usion theory equations coded in</w:t>
      </w:r>
      <w:r>
        <w:t>to the HFIR COMSOL models developed in this dissertation.</w:t>
      </w:r>
    </w:p>
    <w:p w:rsidR="00EC1CE1" w:rsidRDefault="00763433" w:rsidP="00257C87">
      <w:r>
        <w:lastRenderedPageBreak/>
        <w:t xml:space="preserve">R. </w:t>
      </w:r>
      <w:r w:rsidR="00257C87">
        <w:t>T. Primm</w:t>
      </w:r>
      <w:r>
        <w:t>, III</w:t>
      </w:r>
      <w:r w:rsidR="00257C87">
        <w:t xml:space="preserve"> performed</w:t>
      </w:r>
      <w:r>
        <w:t xml:space="preserve"> a variety of core physics studies including calculating time-dependent power distributions and effective eigenvalues in the early 1990s </w:t>
      </w:r>
      <w:r w:rsidR="007511FA">
        <w:fldChar w:fldCharType="begin"/>
      </w:r>
      <w:r w:rsidR="00C67546">
        <w:instrText xml:space="preserve"> REF _Ref285636322 \n \h </w:instrText>
      </w:r>
      <w:r w:rsidR="007511FA">
        <w:fldChar w:fldCharType="separate"/>
      </w:r>
      <w:r w:rsidR="00D5167B">
        <w:t>[26]</w:t>
      </w:r>
      <w:r w:rsidR="007511FA">
        <w:fldChar w:fldCharType="end"/>
      </w:r>
      <w:r w:rsidR="00C67546">
        <w:t>.</w:t>
      </w:r>
      <w:r>
        <w:t xml:space="preserve">  These studies utilized two-dimensional diffusion theory and few group ENDF/B-V neutron cross section data.  The majority of the core physics studies presented in this document </w:t>
      </w:r>
      <w:proofErr w:type="gramStart"/>
      <w:r>
        <w:t>make</w:t>
      </w:r>
      <w:proofErr w:type="gramEnd"/>
      <w:r>
        <w:t xml:space="preserve"> </w:t>
      </w:r>
      <w:r w:rsidR="005F2FCC">
        <w:t xml:space="preserve">use </w:t>
      </w:r>
      <w:r>
        <w:t>of Monte Carlo transport codes, which allow for a more detailed three-dimensional HFIR geometry to be modeled.  Also, a combination of continuous energy nuclear data and 238-group nuclear data are utilized.</w:t>
      </w:r>
    </w:p>
    <w:p w:rsidR="00763433" w:rsidRDefault="00763433" w:rsidP="00257C87"/>
    <w:p w:rsidR="001948D9" w:rsidRDefault="001948D9" w:rsidP="00AA149C">
      <w:pPr>
        <w:pStyle w:val="Heading3"/>
      </w:pPr>
      <w:bookmarkStart w:id="61" w:name="_Toc295818096"/>
      <w:r>
        <w:t xml:space="preserve">Current HFIR </w:t>
      </w:r>
      <w:r w:rsidR="004C0C3E">
        <w:t xml:space="preserve">SAR </w:t>
      </w:r>
      <w:r>
        <w:t>Methods</w:t>
      </w:r>
      <w:bookmarkEnd w:id="61"/>
    </w:p>
    <w:p w:rsidR="001948D9" w:rsidRDefault="001948D9" w:rsidP="001948D9">
      <w:pPr>
        <w:spacing w:before="240" w:after="240"/>
      </w:pPr>
      <w:r>
        <w:t>The current method used to study HFIR reactivity-induced transients makes use of the RELAP5 thermal-hydraulic solver coupled to a stand-alone reactor point-kinetics solver</w:t>
      </w:r>
      <w:r w:rsidR="00C67546">
        <w:t xml:space="preserve"> </w:t>
      </w:r>
      <w:r w:rsidR="007511FA">
        <w:fldChar w:fldCharType="begin"/>
      </w:r>
      <w:r w:rsidR="00C67546">
        <w:instrText xml:space="preserve"> REF _Ref285636331 \n \h </w:instrText>
      </w:r>
      <w:r w:rsidR="007511FA">
        <w:fldChar w:fldCharType="separate"/>
      </w:r>
      <w:r w:rsidR="00D5167B">
        <w:t>[27]</w:t>
      </w:r>
      <w:r w:rsidR="007511FA">
        <w:fldChar w:fldCharType="end"/>
      </w:r>
      <w:r>
        <w:t xml:space="preserve">.  Although RELAP5 has a self-contained point-kinetics solver built into it, a replacement point-kinetics solver was developed </w:t>
      </w:r>
      <w:r w:rsidR="005F2FCC">
        <w:t xml:space="preserve">by Dr. J. D. Freels, ORNL, </w:t>
      </w:r>
      <w:r>
        <w:t xml:space="preserve">and linked to the thermal-hydraulics solver.  The RELAP5 input is executed for a user-defined amount of time, typically 100 seconds, in order to reach steady state conditions.  A restart is performed on the RELAP5 code coupled to point-kinetics such that a reactivity induced transient can be modeled.  The point-kinetics input utilizes six-groups of delayed neutron precursors and conservative temperature and voiding coefficients.  RELAP5 is used to calculate the temperatures and void fractions needed for input in the feedback equations and the point-kinetics equations use the reactivity and delayed neutron data to calculate the power feedback.  The major assumptions in this method include performing one-dimensional RELAP5 calculations and zero-dimensional point-kinetics calculations to study the reactor power during a reactivity excursion. </w:t>
      </w:r>
    </w:p>
    <w:p w:rsidR="00050B54" w:rsidRDefault="00050B54" w:rsidP="001948D9">
      <w:pPr>
        <w:spacing w:before="240" w:after="240"/>
      </w:pPr>
    </w:p>
    <w:p w:rsidR="004C0C3E" w:rsidRDefault="00050B54" w:rsidP="00AA149C">
      <w:pPr>
        <w:pStyle w:val="Heading3"/>
      </w:pPr>
      <w:bookmarkStart w:id="62" w:name="_Toc295818097"/>
      <w:r>
        <w:lastRenderedPageBreak/>
        <w:t>Point-Kin</w:t>
      </w:r>
      <w:r w:rsidR="00F2569B">
        <w:t>etics Studies</w:t>
      </w:r>
      <w:r w:rsidR="004C0C3E">
        <w:t xml:space="preserve"> at HFIR</w:t>
      </w:r>
      <w:bookmarkEnd w:id="62"/>
      <w:r w:rsidR="004C0C3E">
        <w:t xml:space="preserve"> </w:t>
      </w:r>
    </w:p>
    <w:p w:rsidR="004C0C3E" w:rsidRDefault="00C62C36" w:rsidP="009750FC">
      <w:pPr>
        <w:rPr>
          <w:rFonts w:cstheme="minorHAnsi"/>
        </w:rPr>
      </w:pPr>
      <w:r>
        <w:t>A point-kinetics input of the HFIR core was developed in PARET,</w:t>
      </w:r>
      <w:r w:rsidR="004C0C3E">
        <w:t xml:space="preserve"> </w:t>
      </w:r>
      <w:r>
        <w:t xml:space="preserve">a </w:t>
      </w:r>
      <w:r w:rsidR="004C0C3E">
        <w:t xml:space="preserve">computer code that couples </w:t>
      </w:r>
      <w:r>
        <w:t>point-kinetics to one-dimensional</w:t>
      </w:r>
      <w:r w:rsidR="004C0C3E">
        <w:t xml:space="preserve"> </w:t>
      </w:r>
      <w:r>
        <w:t xml:space="preserve">heat </w:t>
      </w:r>
      <w:r w:rsidR="004C0C3E">
        <w:t>transfer</w:t>
      </w:r>
      <w:r>
        <w:t xml:space="preserve"> and fluid equations, in</w:t>
      </w:r>
      <w:r w:rsidR="004C0C3E">
        <w:t xml:space="preserve"> 2009</w:t>
      </w:r>
      <w:r w:rsidR="00C67546">
        <w:t xml:space="preserve"> </w:t>
      </w:r>
      <w:r w:rsidR="007511FA">
        <w:fldChar w:fldCharType="begin"/>
      </w:r>
      <w:r w:rsidR="00C67546">
        <w:instrText xml:space="preserve"> REF _Ref285636356 \n \h </w:instrText>
      </w:r>
      <w:r w:rsidR="007511FA">
        <w:fldChar w:fldCharType="separate"/>
      </w:r>
      <w:r w:rsidR="00D5167B">
        <w:t>[28]</w:t>
      </w:r>
      <w:r w:rsidR="007511FA">
        <w:fldChar w:fldCharType="end"/>
      </w:r>
      <w:r>
        <w:t xml:space="preserve">.  This input models the HFIR core (fuel, clad, and coolant) as 17 radial </w:t>
      </w:r>
      <w:r w:rsidR="00FB3323">
        <w:t>“</w:t>
      </w:r>
      <w:r>
        <w:t>core</w:t>
      </w:r>
      <w:r w:rsidR="00FB3323">
        <w:t>”</w:t>
      </w:r>
      <w:r>
        <w:t xml:space="preserve"> regions (8 regions for the inner fuel element and 9 regions for the outer fuel element) and 19 axial regions such that a spatial power distribution is modeled in the “nested tube in slab” geometry.  </w:t>
      </w:r>
      <w:r w:rsidR="00FB3323">
        <w:t xml:space="preserve">Each “core” has its own power generation and coolant flow rate and represents a single fuel plate (not a single HFIR involute fuel plate).  The </w:t>
      </w:r>
      <w:r w:rsidR="00050B54">
        <w:t>point-kin</w:t>
      </w:r>
      <w:r w:rsidR="00FB3323">
        <w:t>etics equations are solved for each “core” with six delayed neutron precursor groups and feedback from fuel temperature, water temperature, and voiding.  The resulting power from each of the “cores” are summed together to determine the total core power as a function of time.  This input was used to predict the power and reactivity introduced by a decrease in the primary flow rate</w:t>
      </w:r>
      <w:r w:rsidR="009750FC">
        <w:t xml:space="preserve"> with HFIR loaded with HEU and LEU fuel.  This study showed that a decrease in the primary flow rate is more severe for the HEU loaded core in comparison to the LEU fuelled core.</w:t>
      </w:r>
    </w:p>
    <w:p w:rsidR="009750FC" w:rsidRDefault="00680D15" w:rsidP="008D3EB0">
      <w:r>
        <w:t xml:space="preserve">In the early 1990s, a coupled neutronics (point-kinetics) and core thermal hydraulics model was developed </w:t>
      </w:r>
      <w:r w:rsidR="00F97E07">
        <w:t xml:space="preserve">by T. </w:t>
      </w:r>
      <w:proofErr w:type="spellStart"/>
      <w:r w:rsidR="00F97E07">
        <w:t>Sofu</w:t>
      </w:r>
      <w:proofErr w:type="spellEnd"/>
      <w:r w:rsidR="00F97E07">
        <w:t xml:space="preserve"> </w:t>
      </w:r>
      <w:r>
        <w:t>for the purpose of studying possible reactivity insertion accidents at HFIR</w:t>
      </w:r>
      <w:r w:rsidR="00C67546">
        <w:t xml:space="preserve"> </w:t>
      </w:r>
      <w:r w:rsidR="007511FA">
        <w:fldChar w:fldCharType="begin"/>
      </w:r>
      <w:r w:rsidR="00C67546">
        <w:instrText xml:space="preserve"> REF _Ref285636365 \n \h </w:instrText>
      </w:r>
      <w:r w:rsidR="007511FA">
        <w:fldChar w:fldCharType="separate"/>
      </w:r>
      <w:r w:rsidR="00D5167B">
        <w:t>[29]</w:t>
      </w:r>
      <w:r w:rsidR="007511FA">
        <w:fldChar w:fldCharType="end"/>
      </w:r>
      <w:r>
        <w:t xml:space="preserve">.  The </w:t>
      </w:r>
      <w:r w:rsidR="00050B54">
        <w:t>point-kin</w:t>
      </w:r>
      <w:r>
        <w:t xml:space="preserve">etics equations utilized </w:t>
      </w:r>
      <w:r w:rsidR="00067C86">
        <w:t xml:space="preserve">up to </w:t>
      </w:r>
      <w:r>
        <w:t xml:space="preserve">six groups of delayed neutron precursors and </w:t>
      </w:r>
      <w:r w:rsidR="00067C86">
        <w:t>feedback from temperature and voiding</w:t>
      </w:r>
      <w:r w:rsidR="00050B54">
        <w:t>.  This model utilized</w:t>
      </w:r>
      <w:r>
        <w:t xml:space="preserve"> one-dimensional, non-homogenous, equilibrium two-phase flow and heat transfer with the provision for </w:t>
      </w:r>
      <w:proofErr w:type="spellStart"/>
      <w:r>
        <w:t>subcooled</w:t>
      </w:r>
      <w:proofErr w:type="spellEnd"/>
      <w:r>
        <w:t xml:space="preserve"> boiling in the coolant channels and </w:t>
      </w:r>
      <w:proofErr w:type="gramStart"/>
      <w:r>
        <w:t>a spatially</w:t>
      </w:r>
      <w:proofErr w:type="gramEnd"/>
      <w:r>
        <w:t xml:space="preserve">-averaged, one-dimensional heat conduction for the fuel plates.  To solve these coupled equations, a direct numerical solution of the multiple point difference approximation to the equations representing the core dynamics model were used in an implicit fashion </w:t>
      </w:r>
      <w:r w:rsidR="007511FA">
        <w:fldChar w:fldCharType="begin"/>
      </w:r>
      <w:r w:rsidR="00C67546">
        <w:instrText xml:space="preserve"> REF _Ref285636365 \n \h </w:instrText>
      </w:r>
      <w:r w:rsidR="007511FA">
        <w:fldChar w:fldCharType="separate"/>
      </w:r>
      <w:r w:rsidR="00D5167B">
        <w:t>[29]</w:t>
      </w:r>
      <w:r w:rsidR="007511FA">
        <w:fldChar w:fldCharType="end"/>
      </w:r>
      <w:r w:rsidR="00C67546">
        <w:t xml:space="preserve">.  </w:t>
      </w:r>
      <w:r w:rsidR="00F97E07">
        <w:t>This model was used to investigate a</w:t>
      </w:r>
      <w:r>
        <w:t xml:space="preserve">ccidents </w:t>
      </w:r>
      <w:r w:rsidR="001F0429">
        <w:t xml:space="preserve">involving </w:t>
      </w:r>
      <w:r>
        <w:t xml:space="preserve">withdrawal of the control elements, </w:t>
      </w:r>
      <w:r w:rsidR="001F0429">
        <w:t xml:space="preserve">over cooling the core region (i.e. a pump start in a cold idle heat exchanger loop), and voids in the target region (i.e. flow blockage, and etc.) </w:t>
      </w:r>
      <w:r w:rsidR="00F97E07">
        <w:t>for both nominal and hot-spot conditions.</w:t>
      </w:r>
      <w:r w:rsidR="001F0429">
        <w:t xml:space="preserve">  </w:t>
      </w:r>
      <w:r w:rsidR="00F97E07">
        <w:t xml:space="preserve">In Section 9.2 of </w:t>
      </w:r>
      <w:r w:rsidR="007511FA">
        <w:fldChar w:fldCharType="begin"/>
      </w:r>
      <w:r w:rsidR="00C67546">
        <w:instrText xml:space="preserve"> REF _Ref285636365 \n \h </w:instrText>
      </w:r>
      <w:r w:rsidR="007511FA">
        <w:fldChar w:fldCharType="separate"/>
      </w:r>
      <w:r w:rsidR="00D5167B">
        <w:t>[29]</w:t>
      </w:r>
      <w:r w:rsidR="007511FA">
        <w:fldChar w:fldCharType="end"/>
      </w:r>
      <w:r w:rsidR="00F97E07">
        <w:t xml:space="preserve">, T. </w:t>
      </w:r>
      <w:proofErr w:type="spellStart"/>
      <w:r w:rsidR="00F97E07">
        <w:t>Sofu</w:t>
      </w:r>
      <w:proofErr w:type="spellEnd"/>
      <w:r w:rsidR="00F97E07">
        <w:t xml:space="preserve"> recommends that a space-kinetics approach may be needed to addr</w:t>
      </w:r>
      <w:r w:rsidR="00050B54">
        <w:t>ess the space-independent point-</w:t>
      </w:r>
      <w:r w:rsidR="00F97E07">
        <w:t>kinetics approximation.</w:t>
      </w:r>
    </w:p>
    <w:p w:rsidR="00524908" w:rsidRDefault="00D403FC" w:rsidP="00D403FC">
      <w:r>
        <w:lastRenderedPageBreak/>
        <w:t xml:space="preserve">Studies of </w:t>
      </w:r>
      <w:r w:rsidR="00A95620">
        <w:t xml:space="preserve">HFIR </w:t>
      </w:r>
      <w:r w:rsidR="00050B54">
        <w:t>transients by means of point-</w:t>
      </w:r>
      <w:r>
        <w:t xml:space="preserve">kinetics equations have been the focus of several other </w:t>
      </w:r>
      <w:r w:rsidR="00A95620">
        <w:t xml:space="preserve">published documents, </w:t>
      </w:r>
      <w:r w:rsidR="00067C86">
        <w:t>some</w:t>
      </w:r>
      <w:r w:rsidR="00A95620">
        <w:t xml:space="preserve"> of which are internal to the Research Reactors Division</w:t>
      </w:r>
      <w:r w:rsidR="00C67546">
        <w:t xml:space="preserve">, </w:t>
      </w:r>
      <w:r w:rsidR="007511FA">
        <w:fldChar w:fldCharType="begin"/>
      </w:r>
      <w:r w:rsidR="00C67546">
        <w:instrText xml:space="preserve"> REF _Ref285636397 \n \h </w:instrText>
      </w:r>
      <w:r w:rsidR="007511FA">
        <w:fldChar w:fldCharType="separate"/>
      </w:r>
      <w:r w:rsidR="00D5167B">
        <w:t>[30]</w:t>
      </w:r>
      <w:r w:rsidR="007511FA">
        <w:fldChar w:fldCharType="end"/>
      </w:r>
      <w:r w:rsidR="00C67546">
        <w:t xml:space="preserve"> - </w:t>
      </w:r>
      <w:r w:rsidR="007511FA">
        <w:fldChar w:fldCharType="begin"/>
      </w:r>
      <w:r w:rsidR="00C67546">
        <w:instrText xml:space="preserve"> REF _Ref285636420 \n \h </w:instrText>
      </w:r>
      <w:r w:rsidR="007511FA">
        <w:fldChar w:fldCharType="separate"/>
      </w:r>
      <w:r w:rsidR="00D5167B">
        <w:t>[36]</w:t>
      </w:r>
      <w:r w:rsidR="007511FA">
        <w:fldChar w:fldCharType="end"/>
      </w:r>
      <w:r w:rsidR="00A95620">
        <w:t xml:space="preserve">.  These are not discussed in </w:t>
      </w:r>
      <w:r w:rsidR="00067C86">
        <w:t xml:space="preserve">detail in </w:t>
      </w:r>
      <w:r w:rsidR="00A95620">
        <w:t>this section, but</w:t>
      </w:r>
      <w:r w:rsidR="00220B7D">
        <w:t xml:space="preserve"> a few of these studies</w:t>
      </w:r>
      <w:r w:rsidR="00C67546">
        <w:t xml:space="preserve">, </w:t>
      </w:r>
      <w:r w:rsidR="007511FA">
        <w:fldChar w:fldCharType="begin"/>
      </w:r>
      <w:r w:rsidR="00C67546">
        <w:instrText xml:space="preserve"> REF _Ref285636435 \n \h </w:instrText>
      </w:r>
      <w:r w:rsidR="007511FA">
        <w:fldChar w:fldCharType="separate"/>
      </w:r>
      <w:r w:rsidR="00D5167B">
        <w:t>[32]</w:t>
      </w:r>
      <w:r w:rsidR="007511FA">
        <w:fldChar w:fldCharType="end"/>
      </w:r>
      <w:r w:rsidR="00C67546">
        <w:t xml:space="preserve"> - </w:t>
      </w:r>
      <w:r w:rsidR="007511FA">
        <w:fldChar w:fldCharType="begin"/>
      </w:r>
      <w:r w:rsidR="00C67546">
        <w:instrText xml:space="preserve"> REF _Ref285636444 \n \h </w:instrText>
      </w:r>
      <w:r w:rsidR="007511FA">
        <w:fldChar w:fldCharType="separate"/>
      </w:r>
      <w:r w:rsidR="00D5167B">
        <w:t>[35]</w:t>
      </w:r>
      <w:r w:rsidR="007511FA">
        <w:fldChar w:fldCharType="end"/>
      </w:r>
      <w:r w:rsidR="00C67546">
        <w:t xml:space="preserve">, </w:t>
      </w:r>
      <w:r w:rsidR="00067C86">
        <w:t xml:space="preserve"> studied space-dependency by modeling the reactor as 2 to 4 zero-dimensional systems, i.e. four </w:t>
      </w:r>
      <w:r w:rsidR="00050B54">
        <w:t>point-kin</w:t>
      </w:r>
      <w:r w:rsidR="00067C86">
        <w:t>etics analyses summed together</w:t>
      </w:r>
      <w:r>
        <w:t>.</w:t>
      </w:r>
      <w:r w:rsidR="00067C86">
        <w:t xml:space="preserve">  To date, there has been no attempt at HFIR to study the </w:t>
      </w:r>
      <w:r w:rsidR="00613442">
        <w:t xml:space="preserve">spatially-dependent core </w:t>
      </w:r>
      <w:r w:rsidR="00067C86">
        <w:t xml:space="preserve">flux distribution </w:t>
      </w:r>
      <w:r w:rsidR="00613442">
        <w:t>during a reactivity-induced transient, and this is the focus of this dissertation.</w:t>
      </w:r>
      <w:r w:rsidR="00067C86">
        <w:t xml:space="preserve"> </w:t>
      </w:r>
    </w:p>
    <w:p w:rsidR="00B25AE8" w:rsidRDefault="00B25AE8" w:rsidP="00B25AE8">
      <w:pPr>
        <w:spacing w:line="240" w:lineRule="auto"/>
        <w:ind w:firstLine="0"/>
      </w:pPr>
    </w:p>
    <w:p w:rsidR="00F97E07" w:rsidRDefault="00F97E07" w:rsidP="00AA149C">
      <w:pPr>
        <w:pStyle w:val="Heading3"/>
        <w:spacing w:before="0" w:after="200" w:line="276" w:lineRule="auto"/>
        <w:jc w:val="left"/>
        <w:rPr>
          <w:rFonts w:cstheme="minorHAnsi"/>
        </w:rPr>
      </w:pPr>
      <w:bookmarkStart w:id="63" w:name="_Toc295818098"/>
      <w:r>
        <w:rPr>
          <w:rFonts w:cstheme="minorHAnsi"/>
        </w:rPr>
        <w:t xml:space="preserve">Codes for Reactor </w:t>
      </w:r>
      <w:r w:rsidR="00F9110B">
        <w:rPr>
          <w:rFonts w:cstheme="minorHAnsi"/>
        </w:rPr>
        <w:t xml:space="preserve">Transient </w:t>
      </w:r>
      <w:r>
        <w:rPr>
          <w:rFonts w:cstheme="minorHAnsi"/>
        </w:rPr>
        <w:t>Analysis</w:t>
      </w:r>
      <w:bookmarkEnd w:id="63"/>
    </w:p>
    <w:p w:rsidR="00B25AE8" w:rsidRDefault="00F97E07" w:rsidP="008D3EB0">
      <w:r>
        <w:t>The existing computer codes</w:t>
      </w:r>
      <w:r w:rsidR="00C67546">
        <w:t xml:space="preserve">, </w:t>
      </w:r>
      <w:r w:rsidR="007511FA">
        <w:fldChar w:fldCharType="begin"/>
      </w:r>
      <w:r w:rsidR="00C67546">
        <w:instrText xml:space="preserve"> REF _Ref285636461 \n \h </w:instrText>
      </w:r>
      <w:r w:rsidR="007511FA">
        <w:fldChar w:fldCharType="separate"/>
      </w:r>
      <w:r w:rsidR="00D5167B">
        <w:t>[37]</w:t>
      </w:r>
      <w:r w:rsidR="007511FA">
        <w:fldChar w:fldCharType="end"/>
      </w:r>
      <w:r w:rsidR="00C67546">
        <w:t xml:space="preserve"> - </w:t>
      </w:r>
      <w:r w:rsidR="007511FA">
        <w:fldChar w:fldCharType="begin"/>
      </w:r>
      <w:r w:rsidR="00C67546">
        <w:instrText xml:space="preserve"> REF _Ref285636472 \n \h </w:instrText>
      </w:r>
      <w:r w:rsidR="007511FA">
        <w:fldChar w:fldCharType="separate"/>
      </w:r>
      <w:r w:rsidR="00D5167B">
        <w:t>[43]</w:t>
      </w:r>
      <w:r w:rsidR="007511FA">
        <w:fldChar w:fldCharType="end"/>
      </w:r>
      <w:r w:rsidR="00C67546">
        <w:t>,</w:t>
      </w:r>
      <w:r>
        <w:t xml:space="preserve"> that are used for modeling reactivity-induced transients are, in general, developed for commercial power reactors with geometries and operating conditions significantly different from HFIR.  Thus, these types of codes have a limited range of applicability for research reactors such as HFIR.  HFIR is unique because of its compact core design </w:t>
      </w:r>
      <w:r w:rsidR="005F2714">
        <w:t xml:space="preserve">(height = 2 ft, outer radius = </w:t>
      </w:r>
      <w:r w:rsidR="00111410">
        <w:t xml:space="preserve">8.5 in), which is </w:t>
      </w:r>
      <w:r>
        <w:t xml:space="preserve">composed of </w:t>
      </w:r>
      <w:r w:rsidR="00111410">
        <w:t xml:space="preserve">540 </w:t>
      </w:r>
      <w:r>
        <w:t>involute-shaped, HEU</w:t>
      </w:r>
      <w:r w:rsidR="00613442">
        <w:t xml:space="preserve"> (93% </w:t>
      </w:r>
      <w:r w:rsidR="00613442">
        <w:rPr>
          <w:vertAlign w:val="superscript"/>
        </w:rPr>
        <w:t>235</w:t>
      </w:r>
      <w:r w:rsidR="00613442">
        <w:t>U/U)</w:t>
      </w:r>
      <w:r>
        <w:t xml:space="preserve"> loaded fuel plates</w:t>
      </w:r>
      <w:r w:rsidR="00613442">
        <w:t>.</w:t>
      </w:r>
      <w:r>
        <w:t xml:space="preserve"> </w:t>
      </w:r>
      <w:r w:rsidR="005F2714">
        <w:t xml:space="preserve"> In comparison</w:t>
      </w:r>
      <w:r w:rsidR="00111410">
        <w:t>,</w:t>
      </w:r>
      <w:r w:rsidR="005F2714">
        <w:t xml:space="preserve"> a typical commercial light water reactor is composed of approximately 50,000 fuel rods </w:t>
      </w:r>
      <w:r w:rsidR="00613442">
        <w:t xml:space="preserve">that are </w:t>
      </w:r>
      <w:r w:rsidR="005F2714">
        <w:t xml:space="preserve">about 12 feet in length and </w:t>
      </w:r>
      <w:r w:rsidR="00613442">
        <w:t>f</w:t>
      </w:r>
      <w:r w:rsidR="005F2714">
        <w:t>illed with fuel pellets enriched to 2 -</w:t>
      </w:r>
      <w:r w:rsidR="00111410">
        <w:t xml:space="preserve"> </w:t>
      </w:r>
      <w:r w:rsidR="005F2FCC">
        <w:t>5</w:t>
      </w:r>
      <w:r w:rsidR="005F2714">
        <w:t xml:space="preserve"> percent in </w:t>
      </w:r>
      <w:r w:rsidR="005F2714">
        <w:rPr>
          <w:vertAlign w:val="superscript"/>
        </w:rPr>
        <w:t>235</w:t>
      </w:r>
      <w:r w:rsidR="005F2714">
        <w:t>U/U</w:t>
      </w:r>
      <w:r w:rsidR="00111410">
        <w:t>.</w:t>
      </w:r>
    </w:p>
    <w:p w:rsidR="00B25AE8" w:rsidRDefault="00B25AE8" w:rsidP="00C65634">
      <w:pPr>
        <w:ind w:firstLine="0"/>
      </w:pPr>
    </w:p>
    <w:p w:rsidR="00D403FC" w:rsidRDefault="00613442" w:rsidP="00AA149C">
      <w:pPr>
        <w:pStyle w:val="Heading3"/>
      </w:pPr>
      <w:bookmarkStart w:id="64" w:name="_Toc295818099"/>
      <w:r>
        <w:t>COMSOL Neutronics Modeling</w:t>
      </w:r>
      <w:bookmarkEnd w:id="64"/>
    </w:p>
    <w:p w:rsidR="00FF7777" w:rsidRPr="00220B7D" w:rsidRDefault="00613442" w:rsidP="00220B7D">
      <w:r>
        <w:t xml:space="preserve">G. Gomes created a two-dimensional, two-group, two-region (fuel + reflector) diffusion theory model of a </w:t>
      </w:r>
      <w:r w:rsidR="00372EA6">
        <w:t>single</w:t>
      </w:r>
      <w:r>
        <w:t xml:space="preserve"> lattice </w:t>
      </w:r>
      <w:r w:rsidR="00372EA6">
        <w:t xml:space="preserve">benchmark </w:t>
      </w:r>
      <w:r>
        <w:t xml:space="preserve">problem and </w:t>
      </w:r>
      <w:r w:rsidR="00372EA6">
        <w:t>compared</w:t>
      </w:r>
      <w:r>
        <w:t xml:space="preserve"> his results against the Reactor Fuelling Simulation Program in</w:t>
      </w:r>
      <w:r w:rsidR="00C67546">
        <w:t xml:space="preserve"> </w:t>
      </w:r>
      <w:r w:rsidR="007511FA">
        <w:fldChar w:fldCharType="begin"/>
      </w:r>
      <w:r w:rsidR="00C67546">
        <w:instrText xml:space="preserve"> REF _Ref285636503 \n \h </w:instrText>
      </w:r>
      <w:r w:rsidR="007511FA">
        <w:fldChar w:fldCharType="separate"/>
      </w:r>
      <w:r w:rsidR="00D5167B">
        <w:t>[44]</w:t>
      </w:r>
      <w:r w:rsidR="007511FA">
        <w:fldChar w:fldCharType="end"/>
      </w:r>
      <w:r>
        <w:t xml:space="preserve">.  </w:t>
      </w:r>
      <w:r w:rsidR="00372EA6">
        <w:t xml:space="preserve">V. </w:t>
      </w:r>
      <w:proofErr w:type="spellStart"/>
      <w:r w:rsidR="00372EA6">
        <w:t>Memoli</w:t>
      </w:r>
      <w:proofErr w:type="spellEnd"/>
      <w:r w:rsidR="00372EA6">
        <w:t xml:space="preserve">, </w:t>
      </w:r>
      <w:proofErr w:type="gramStart"/>
      <w:r w:rsidR="00372EA6">
        <w:t>et</w:t>
      </w:r>
      <w:proofErr w:type="gramEnd"/>
      <w:r w:rsidR="00372EA6">
        <w:t>. al</w:t>
      </w:r>
      <w:r w:rsidR="00050B54">
        <w:t>.</w:t>
      </w:r>
      <w:r w:rsidR="00372EA6">
        <w:t xml:space="preserve">, developed a two-dimensional, two-group, two-region </w:t>
      </w:r>
      <w:r w:rsidR="002E3D9C">
        <w:t xml:space="preserve">(liquid fuel and graphite reflector) </w:t>
      </w:r>
      <w:r w:rsidR="00372EA6">
        <w:t xml:space="preserve">diffusion theory model of a </w:t>
      </w:r>
      <w:r w:rsidR="002E3D9C">
        <w:t xml:space="preserve">single </w:t>
      </w:r>
      <w:r w:rsidR="00372EA6">
        <w:t>Molten Salt Reactor</w:t>
      </w:r>
      <w:r w:rsidR="002E3D9C">
        <w:t xml:space="preserve"> (MSR) core channel and compared his results to SCALE and MCNP studies</w:t>
      </w:r>
      <w:r w:rsidR="00797884">
        <w:t xml:space="preserve"> in </w:t>
      </w:r>
      <w:r w:rsidR="007511FA">
        <w:rPr>
          <w:highlight w:val="yellow"/>
        </w:rPr>
        <w:fldChar w:fldCharType="begin"/>
      </w:r>
      <w:r w:rsidR="00C67546">
        <w:instrText xml:space="preserve"> REF _Ref285636509 \n \h </w:instrText>
      </w:r>
      <w:r w:rsidR="007511FA">
        <w:rPr>
          <w:highlight w:val="yellow"/>
        </w:rPr>
      </w:r>
      <w:r w:rsidR="007511FA">
        <w:rPr>
          <w:highlight w:val="yellow"/>
        </w:rPr>
        <w:fldChar w:fldCharType="separate"/>
      </w:r>
      <w:r w:rsidR="00D5167B">
        <w:t>[45]</w:t>
      </w:r>
      <w:r w:rsidR="007511FA">
        <w:rPr>
          <w:highlight w:val="yellow"/>
        </w:rPr>
        <w:fldChar w:fldCharType="end"/>
      </w:r>
      <w:r w:rsidR="00372EA6">
        <w:t xml:space="preserve">. </w:t>
      </w:r>
      <w:r w:rsidR="002E3D9C">
        <w:t xml:space="preserve"> Both of these stu</w:t>
      </w:r>
      <w:r w:rsidR="00797884">
        <w:t>dies utilized partial regions of</w:t>
      </w:r>
      <w:r w:rsidR="002E3D9C">
        <w:t xml:space="preserve"> </w:t>
      </w:r>
      <w:r w:rsidR="005F2FCC">
        <w:t>p</w:t>
      </w:r>
      <w:r w:rsidR="00797884">
        <w:t>ower reactor cores and two-</w:t>
      </w:r>
      <w:r w:rsidR="00050B54">
        <w:t>dimensional</w:t>
      </w:r>
      <w:r w:rsidR="00797884">
        <w:t xml:space="preserve"> geometry, whereas this dissertation focuses on both two- and three-dimensions of a small compact research reactor core.  Also, these two studies focus on static </w:t>
      </w:r>
      <w:r w:rsidR="00797884">
        <w:lastRenderedPageBreak/>
        <w:t>analyses of LEU</w:t>
      </w:r>
      <w:r w:rsidR="00050B54">
        <w:t>-type</w:t>
      </w:r>
      <w:r w:rsidR="00797884">
        <w:t xml:space="preserve"> fuel, solid and liquid, whereas this dissertation presents static and time-dependent analyses of a HEU fueled core. </w:t>
      </w:r>
    </w:p>
    <w:p w:rsidR="00887795" w:rsidRPr="004C0C3E" w:rsidRDefault="00887795" w:rsidP="00D403FC">
      <w:pPr>
        <w:rPr>
          <w:rFonts w:cstheme="minorHAnsi"/>
        </w:rPr>
      </w:pPr>
    </w:p>
    <w:p w:rsidR="00961CAF" w:rsidRDefault="00C65634" w:rsidP="00AA149C">
      <w:pPr>
        <w:pStyle w:val="Heading2"/>
      </w:pPr>
      <w:bookmarkStart w:id="65" w:name="_Toc295818100"/>
      <w:r>
        <w:t xml:space="preserve">Brief </w:t>
      </w:r>
      <w:r w:rsidR="0019382E">
        <w:t xml:space="preserve">Nuclear </w:t>
      </w:r>
      <w:r w:rsidR="00961CAF">
        <w:t>Background</w:t>
      </w:r>
      <w:bookmarkEnd w:id="65"/>
    </w:p>
    <w:p w:rsidR="00426AC4" w:rsidRDefault="0019382E" w:rsidP="00AF709F">
      <w:r>
        <w:t>This section</w:t>
      </w:r>
      <w:r w:rsidR="00C65634">
        <w:t xml:space="preserve"> serves to present a brief </w:t>
      </w:r>
      <w:r>
        <w:t>background on nuclear energy</w:t>
      </w:r>
      <w:r w:rsidR="00C65634">
        <w:t xml:space="preserve"> and is subdivided into two sections</w:t>
      </w:r>
      <w:r>
        <w:t>.</w:t>
      </w:r>
      <w:r w:rsidR="00C65634">
        <w:t xml:space="preserve">  Section 1.4.1 </w:t>
      </w:r>
      <w:r w:rsidR="00426AC4">
        <w:t>presents</w:t>
      </w:r>
      <w:r w:rsidR="00C65634">
        <w:t xml:space="preserve"> some of the pertinent nuclear reactor physics concepts used and further discussed </w:t>
      </w:r>
      <w:r w:rsidR="00426AC4">
        <w:t>throughout</w:t>
      </w:r>
      <w:r w:rsidR="00C65634">
        <w:t xml:space="preserve"> this dissertation.</w:t>
      </w:r>
      <w:r w:rsidR="00426AC4">
        <w:t xml:space="preserve">  Section 1.4.2 discusses a brief background on nuclear energy and the role of nuclear reactors today.</w:t>
      </w:r>
    </w:p>
    <w:p w:rsidR="00C65634" w:rsidRDefault="00C65634" w:rsidP="00AF709F"/>
    <w:p w:rsidR="00C65634" w:rsidRDefault="00C65634" w:rsidP="00AA149C">
      <w:pPr>
        <w:pStyle w:val="Heading3"/>
      </w:pPr>
      <w:bookmarkStart w:id="66" w:name="_Toc295818101"/>
      <w:r>
        <w:t>Reactor Physics</w:t>
      </w:r>
      <w:bookmarkEnd w:id="66"/>
    </w:p>
    <w:p w:rsidR="00AF709F" w:rsidRDefault="00AF709F" w:rsidP="00AF709F">
      <w:r>
        <w:t xml:space="preserve">Nuclear energy is produced by means of nuclear fission reactions.  A fission reaction occurs when a neutron bombards the nucleus of an atom, typically fissile heavy isotopes like </w:t>
      </w:r>
      <w:r>
        <w:rPr>
          <w:vertAlign w:val="superscript"/>
        </w:rPr>
        <w:t>235</w:t>
      </w:r>
      <w:r>
        <w:t xml:space="preserve">U, which subsequently </w:t>
      </w:r>
      <w:r w:rsidR="007C6507">
        <w:t xml:space="preserve">forms an excited nucleus </w:t>
      </w:r>
      <w:r>
        <w:t xml:space="preserve">and splits into smaller elements, called fission </w:t>
      </w:r>
      <w:r w:rsidR="007C6507">
        <w:t>fragments</w:t>
      </w:r>
      <w:r>
        <w:t>, freeing neutrons</w:t>
      </w:r>
      <w:r w:rsidR="007C6507">
        <w:t xml:space="preserve"> and gamma rays</w:t>
      </w:r>
      <w:r>
        <w:t xml:space="preserve"> and releasing energy.  In a typical </w:t>
      </w:r>
      <w:r>
        <w:rPr>
          <w:vertAlign w:val="superscript"/>
        </w:rPr>
        <w:t>235</w:t>
      </w:r>
      <w:r>
        <w:t xml:space="preserve">U fueled reactor, 2 to 3 neutrons are freed and approximately 200 </w:t>
      </w:r>
      <w:proofErr w:type="spellStart"/>
      <w:r>
        <w:t>MeV</w:t>
      </w:r>
      <w:proofErr w:type="spellEnd"/>
      <w:r>
        <w:t xml:space="preserve"> of energy is released following a fission event.  The source of energy is produced from the mass conversion and most of it is released as kinetic energy associated with the fission </w:t>
      </w:r>
      <w:r w:rsidR="007C6507">
        <w:t>fragment</w:t>
      </w:r>
      <w:r>
        <w:t xml:space="preserve">s.  </w:t>
      </w:r>
      <w:r w:rsidR="007C6507">
        <w:t xml:space="preserve">An example of the fission process is shown </w:t>
      </w:r>
      <w:r w:rsidR="007454FE">
        <w:t>in</w:t>
      </w:r>
      <w:r w:rsidR="00220B7D">
        <w:t xml:space="preserve"> </w:t>
      </w:r>
      <w:r w:rsidR="007511FA">
        <w:fldChar w:fldCharType="begin"/>
      </w:r>
      <w:r w:rsidR="00220B7D">
        <w:instrText xml:space="preserve"> REF _Ref285621153 \h </w:instrText>
      </w:r>
      <w:r w:rsidR="007511FA">
        <w:fldChar w:fldCharType="separate"/>
      </w:r>
      <w:r w:rsidR="00D5167B">
        <w:t xml:space="preserve">Equation </w:t>
      </w:r>
      <w:r w:rsidR="00D5167B">
        <w:rPr>
          <w:noProof/>
        </w:rPr>
        <w:t>1</w:t>
      </w:r>
      <w:r w:rsidR="00D5167B">
        <w:t>.</w:t>
      </w:r>
      <w:r w:rsidR="00D5167B">
        <w:rPr>
          <w:noProof/>
        </w:rPr>
        <w:t>1</w:t>
      </w:r>
      <w:r w:rsidR="007511FA">
        <w:fldChar w:fldCharType="end"/>
      </w:r>
      <w:r w:rsidR="007C6507">
        <w:t>.</w:t>
      </w:r>
      <w:r w:rsidR="00131598">
        <w:t xml:space="preserve">  The</w:t>
      </w:r>
      <w:r w:rsidR="007454FE">
        <w:t xml:space="preserve"> principle of conservation of mass can be used to determine</w:t>
      </w:r>
      <w:r w:rsidR="00FA4834">
        <w:t xml:space="preserve"> the</w:t>
      </w:r>
      <w:r w:rsidR="00131598">
        <w:t xml:space="preserve"> energy yield from the reaction defined in </w:t>
      </w:r>
      <w:r w:rsidR="007511FA">
        <w:fldChar w:fldCharType="begin"/>
      </w:r>
      <w:r w:rsidR="00220B7D">
        <w:instrText xml:space="preserve"> REF _Ref285621153 \h </w:instrText>
      </w:r>
      <w:r w:rsidR="007511FA">
        <w:fldChar w:fldCharType="separate"/>
      </w:r>
      <w:r w:rsidR="00D5167B">
        <w:t xml:space="preserve">Equation </w:t>
      </w:r>
      <w:r w:rsidR="00D5167B">
        <w:rPr>
          <w:noProof/>
        </w:rPr>
        <w:t>1</w:t>
      </w:r>
      <w:r w:rsidR="00D5167B">
        <w:t>.</w:t>
      </w:r>
      <w:r w:rsidR="00D5167B">
        <w:rPr>
          <w:noProof/>
        </w:rPr>
        <w:t>1</w:t>
      </w:r>
      <w:r w:rsidR="007511FA">
        <w:fldChar w:fldCharType="end"/>
      </w:r>
      <w:r w:rsidR="00FA4834">
        <w:t>.</w:t>
      </w:r>
    </w:p>
    <w:p w:rsidR="007C6507" w:rsidRDefault="007C6507" w:rsidP="00AF709F"/>
    <w:p w:rsidR="007C6507" w:rsidRPr="00220B7D" w:rsidRDefault="007511FA" w:rsidP="00C80D7A">
      <w:pPr>
        <w:spacing w:line="240" w:lineRule="auto"/>
        <w:ind w:firstLine="0"/>
        <w:jc w:val="center"/>
        <w:rPr>
          <w:rFonts w:eastAsiaTheme="minorEastAsia"/>
        </w:rPr>
      </w:pPr>
      <m:oMathPara>
        <m:oMath>
          <m:sPre>
            <m:sPrePr>
              <m:ctrlPr>
                <w:rPr>
                  <w:rFonts w:ascii="Cambria Math" w:hAnsi="Cambria Math"/>
                  <w:i/>
                </w:rPr>
              </m:ctrlPr>
            </m:sPrePr>
            <m:sub>
              <m:r>
                <w:rPr>
                  <w:rFonts w:ascii="Cambria Math" w:hAnsi="Cambria Math"/>
                </w:rPr>
                <m:t>92</m:t>
              </m:r>
            </m:sub>
            <m:sup>
              <m:r>
                <w:rPr>
                  <w:rFonts w:ascii="Cambria Math" w:hAnsi="Cambria Math"/>
                </w:rPr>
                <m:t>235</m:t>
              </m:r>
            </m:sup>
            <m:e>
              <m:r>
                <w:rPr>
                  <w:rFonts w:ascii="Cambria Math" w:hAnsi="Cambria Math"/>
                </w:rPr>
                <m:t>U</m:t>
              </m:r>
            </m:e>
          </m:sPre>
          <m:r>
            <w:rPr>
              <w:rFonts w:ascii="Cambria Math" w:hAnsi="Cambria Math"/>
            </w:rPr>
            <m:t xml:space="preserve">+ </m:t>
          </m:r>
          <m:sPre>
            <m:sPrePr>
              <m:ctrlPr>
                <w:rPr>
                  <w:rFonts w:ascii="Cambria Math" w:hAnsi="Cambria Math"/>
                  <w:i/>
                </w:rPr>
              </m:ctrlPr>
            </m:sPrePr>
            <m:sub>
              <m:r>
                <w:rPr>
                  <w:rFonts w:ascii="Cambria Math" w:hAnsi="Cambria Math"/>
                </w:rPr>
                <m:t>0</m:t>
              </m:r>
            </m:sub>
            <m:sup>
              <m:r>
                <w:rPr>
                  <w:rFonts w:ascii="Cambria Math" w:hAnsi="Cambria Math"/>
                </w:rPr>
                <m:t>1</m:t>
              </m:r>
            </m:sup>
            <m:e>
              <m:r>
                <w:rPr>
                  <w:rFonts w:ascii="Cambria Math" w:hAnsi="Cambria Math"/>
                </w:rPr>
                <m:t>n</m:t>
              </m:r>
            </m:e>
          </m:sPre>
          <m:r>
            <w:rPr>
              <w:rFonts w:ascii="Cambria Math" w:hAnsi="Cambria Math"/>
            </w:rPr>
            <m:t xml:space="preserve"> →</m:t>
          </m:r>
          <m:sPre>
            <m:sPrePr>
              <m:ctrlPr>
                <w:rPr>
                  <w:rFonts w:ascii="Cambria Math" w:hAnsi="Cambria Math"/>
                  <w:i/>
                </w:rPr>
              </m:ctrlPr>
            </m:sPrePr>
            <m:sub>
              <m:r>
                <w:rPr>
                  <w:rFonts w:ascii="Cambria Math" w:hAnsi="Cambria Math"/>
                </w:rPr>
                <m:t>92</m:t>
              </m:r>
            </m:sub>
            <m:sup>
              <m:r>
                <w:rPr>
                  <w:rFonts w:ascii="Cambria Math" w:hAnsi="Cambria Math"/>
                </w:rPr>
                <m:t>236</m:t>
              </m:r>
            </m:sup>
            <m:e>
              <m:r>
                <w:rPr>
                  <w:rFonts w:ascii="Cambria Math" w:hAnsi="Cambria Math"/>
                </w:rPr>
                <m:t>U</m:t>
              </m:r>
            </m:e>
          </m:sPre>
          <m:r>
            <w:rPr>
              <w:rFonts w:ascii="Cambria Math" w:hAnsi="Cambria Math"/>
            </w:rPr>
            <m:t xml:space="preserve"> → </m:t>
          </m:r>
          <m:sPre>
            <m:sPrePr>
              <m:ctrlPr>
                <w:rPr>
                  <w:rFonts w:ascii="Cambria Math" w:hAnsi="Cambria Math"/>
                  <w:i/>
                </w:rPr>
              </m:ctrlPr>
            </m:sPrePr>
            <m:sub>
              <m:r>
                <w:rPr>
                  <w:rFonts w:ascii="Cambria Math" w:hAnsi="Cambria Math"/>
                </w:rPr>
                <m:t>36</m:t>
              </m:r>
            </m:sub>
            <m:sup>
              <m:r>
                <w:rPr>
                  <w:rFonts w:ascii="Cambria Math" w:hAnsi="Cambria Math"/>
                </w:rPr>
                <m:t>90</m:t>
              </m:r>
            </m:sup>
            <m:e>
              <m:r>
                <w:rPr>
                  <w:rFonts w:ascii="Cambria Math" w:hAnsi="Cambria Math"/>
                </w:rPr>
                <m:t>Kr</m:t>
              </m:r>
            </m:e>
          </m:sPre>
          <m:r>
            <w:rPr>
              <w:rFonts w:ascii="Cambria Math" w:hAnsi="Cambria Math"/>
            </w:rPr>
            <m:t xml:space="preserve">+ </m:t>
          </m:r>
          <m:sPre>
            <m:sPrePr>
              <m:ctrlPr>
                <w:rPr>
                  <w:rFonts w:ascii="Cambria Math" w:hAnsi="Cambria Math"/>
                  <w:i/>
                </w:rPr>
              </m:ctrlPr>
            </m:sPrePr>
            <m:sub>
              <m:r>
                <w:rPr>
                  <w:rFonts w:ascii="Cambria Math" w:hAnsi="Cambria Math"/>
                </w:rPr>
                <m:t>56</m:t>
              </m:r>
            </m:sub>
            <m:sup>
              <m:r>
                <w:rPr>
                  <w:rFonts w:ascii="Cambria Math" w:hAnsi="Cambria Math"/>
                </w:rPr>
                <m:t>144</m:t>
              </m:r>
            </m:sup>
            <m:e>
              <m:r>
                <w:rPr>
                  <w:rFonts w:ascii="Cambria Math" w:hAnsi="Cambria Math"/>
                </w:rPr>
                <m:t>Ba</m:t>
              </m:r>
            </m:e>
          </m:sPre>
          <m:r>
            <w:rPr>
              <w:rFonts w:ascii="Cambria Math" w:hAnsi="Cambria Math"/>
            </w:rPr>
            <m:t>+2</m:t>
          </m:r>
          <m:sPre>
            <m:sPrePr>
              <m:ctrlPr>
                <w:rPr>
                  <w:rFonts w:ascii="Cambria Math" w:hAnsi="Cambria Math"/>
                  <w:i/>
                </w:rPr>
              </m:ctrlPr>
            </m:sPrePr>
            <m:sub>
              <m:r>
                <w:rPr>
                  <w:rFonts w:ascii="Cambria Math" w:hAnsi="Cambria Math"/>
                </w:rPr>
                <m:t>0</m:t>
              </m:r>
            </m:sub>
            <m:sup>
              <m:r>
                <w:rPr>
                  <w:rFonts w:ascii="Cambria Math" w:hAnsi="Cambria Math"/>
                </w:rPr>
                <m:t>1</m:t>
              </m:r>
            </m:sup>
            <m:e>
              <m:r>
                <w:rPr>
                  <w:rFonts w:ascii="Cambria Math" w:hAnsi="Cambria Math"/>
                </w:rPr>
                <m:t>n</m:t>
              </m:r>
            </m:e>
          </m:sPre>
          <m:r>
            <w:rPr>
              <w:rFonts w:ascii="Cambria Math" w:hAnsi="Cambria Math"/>
            </w:rPr>
            <m:t>+Energy</m:t>
          </m:r>
        </m:oMath>
      </m:oMathPara>
    </w:p>
    <w:p w:rsidR="00220B7D" w:rsidRPr="00220B7D" w:rsidRDefault="00220B7D" w:rsidP="00220B7D">
      <w:pPr>
        <w:pStyle w:val="Caption"/>
        <w:rPr>
          <w:rFonts w:asciiTheme="minorHAnsi" w:eastAsiaTheme="minorEastAsia" w:hAnsiTheme="minorHAnsi"/>
        </w:rPr>
      </w:pPr>
      <w:bookmarkStart w:id="67" w:name="_Ref285621153"/>
      <w:proofErr w:type="gramStart"/>
      <w:r>
        <w:t xml:space="preserve">Equation </w:t>
      </w:r>
      <w:r w:rsidR="007511FA">
        <w:fldChar w:fldCharType="begin"/>
      </w:r>
      <w:r w:rsidR="00AE17F8">
        <w:instrText xml:space="preserve"> STYLEREF 1 \s </w:instrText>
      </w:r>
      <w:r w:rsidR="007511FA">
        <w:fldChar w:fldCharType="separate"/>
      </w:r>
      <w:r w:rsidR="00D5167B">
        <w:rPr>
          <w:noProof/>
        </w:rPr>
        <w:t>1</w:t>
      </w:r>
      <w:r w:rsidR="007511FA">
        <w:fldChar w:fldCharType="end"/>
      </w:r>
      <w:r>
        <w:t>.</w:t>
      </w:r>
      <w:proofErr w:type="gramEnd"/>
      <w:r w:rsidR="007511FA">
        <w:fldChar w:fldCharType="begin"/>
      </w:r>
      <w:r>
        <w:instrText xml:space="preserve"> SEQ Equation \* ARABIC \s 1 </w:instrText>
      </w:r>
      <w:r w:rsidR="007511FA">
        <w:fldChar w:fldCharType="separate"/>
      </w:r>
      <w:r w:rsidR="00D5167B">
        <w:rPr>
          <w:noProof/>
        </w:rPr>
        <w:t>1</w:t>
      </w:r>
      <w:r w:rsidR="007511FA">
        <w:fldChar w:fldCharType="end"/>
      </w:r>
      <w:bookmarkEnd w:id="67"/>
    </w:p>
    <w:p w:rsidR="007C6507" w:rsidRDefault="007C6507" w:rsidP="00AF709F"/>
    <w:p w:rsidR="00FA4834" w:rsidRDefault="00FA4834" w:rsidP="00AF709F">
      <w:r>
        <w:lastRenderedPageBreak/>
        <w:t xml:space="preserve">The most basic parameters used in nuclear engineering include cross sections, neutron flux, reaction rates, multiplication factors, and reactivity.  These parameters are briefly discussed here.  A </w:t>
      </w:r>
      <w:r w:rsidR="006F0079">
        <w:t xml:space="preserve">microscopic </w:t>
      </w:r>
      <w:r>
        <w:t>cross section</w:t>
      </w:r>
      <w:r w:rsidR="0046087B">
        <w:t xml:space="preserve"> (</w:t>
      </w:r>
      <w:r w:rsidR="0046087B">
        <w:rPr>
          <w:rFonts w:cstheme="minorHAnsi"/>
        </w:rPr>
        <w:t>σ</w:t>
      </w:r>
      <w:r w:rsidR="0046087B">
        <w:t>)</w:t>
      </w:r>
      <w:r>
        <w:t xml:space="preserve">, in the most basic definition, is the measure of the probability of a certain type of </w:t>
      </w:r>
      <w:r w:rsidR="006F0079">
        <w:t>reaction</w:t>
      </w:r>
      <w:r>
        <w:t xml:space="preserve"> </w:t>
      </w:r>
      <w:r w:rsidR="006F0079">
        <w:t xml:space="preserve">(absorption, fission, and etc.) </w:t>
      </w:r>
      <w:r>
        <w:t xml:space="preserve">and is </w:t>
      </w:r>
      <w:r w:rsidR="006F0079">
        <w:t>expressed</w:t>
      </w:r>
      <w:r>
        <w:t xml:space="preserve"> in units of barns</w:t>
      </w:r>
      <w:r w:rsidR="006F0079">
        <w:t xml:space="preserve"> (</w:t>
      </w:r>
      <w:r>
        <w:t xml:space="preserve">1 barn </w:t>
      </w:r>
      <w:r w:rsidR="006F0079">
        <w:t>=</w:t>
      </w:r>
      <w:r>
        <w:t xml:space="preserve"> 1x10</w:t>
      </w:r>
      <w:r>
        <w:rPr>
          <w:vertAlign w:val="superscript"/>
        </w:rPr>
        <w:t>-24</w:t>
      </w:r>
      <w:r>
        <w:t xml:space="preserve"> cm</w:t>
      </w:r>
      <w:r>
        <w:rPr>
          <w:vertAlign w:val="superscript"/>
        </w:rPr>
        <w:t>2</w:t>
      </w:r>
      <w:r w:rsidR="006F0079">
        <w:t xml:space="preserve">).  A macroscopic cross section </w:t>
      </w:r>
      <w:r w:rsidR="0046087B">
        <w:t>[</w:t>
      </w:r>
      <w:r w:rsidR="0046087B">
        <w:rPr>
          <w:rFonts w:cstheme="minorHAnsi"/>
        </w:rPr>
        <w:t>Σ</w:t>
      </w:r>
      <w:r w:rsidR="0046087B">
        <w:t xml:space="preserve"> </w:t>
      </w:r>
      <w:r w:rsidR="006F0079">
        <w:t>(1/cm)</w:t>
      </w:r>
      <w:r w:rsidR="0046087B">
        <w:t>]</w:t>
      </w:r>
      <w:r w:rsidR="006F0079">
        <w:t xml:space="preserve"> is the result of multiplying the microscopic cross section by the target’s atomic density </w:t>
      </w:r>
      <w:r w:rsidR="0046087B">
        <w:t xml:space="preserve">[N </w:t>
      </w:r>
      <w:r w:rsidR="006F0079">
        <w:t>(atoms/barn/cm or atoms/cm</w:t>
      </w:r>
      <w:r w:rsidR="006F0079">
        <w:rPr>
          <w:vertAlign w:val="superscript"/>
        </w:rPr>
        <w:t>3</w:t>
      </w:r>
      <w:r w:rsidR="006F0079">
        <w:t>)</w:t>
      </w:r>
      <w:r w:rsidR="0046087B">
        <w:t>]</w:t>
      </w:r>
      <w:r w:rsidR="006F0079">
        <w:t xml:space="preserve"> of the target.  The neutron flux </w:t>
      </w:r>
      <w:r w:rsidR="0046087B">
        <w:t>[</w:t>
      </w:r>
      <w:r w:rsidR="0046087B">
        <w:rPr>
          <w:rFonts w:cstheme="minorHAnsi"/>
        </w:rPr>
        <w:t>ϕ</w:t>
      </w:r>
      <w:r w:rsidR="0046087B">
        <w:t xml:space="preserve"> (neutrons/cm</w:t>
      </w:r>
      <w:r w:rsidR="0046087B">
        <w:rPr>
          <w:vertAlign w:val="superscript"/>
        </w:rPr>
        <w:t>2</w:t>
      </w:r>
      <w:r w:rsidR="0046087B">
        <w:t xml:space="preserve">/second)] </w:t>
      </w:r>
      <w:r w:rsidR="006F0079">
        <w:t xml:space="preserve">is the product of the neutron density </w:t>
      </w:r>
      <w:r w:rsidR="0046087B">
        <w:t xml:space="preserve">[n </w:t>
      </w:r>
      <w:r w:rsidR="006F0079">
        <w:t>(neutrons/cm</w:t>
      </w:r>
      <w:r w:rsidR="006F0079">
        <w:rPr>
          <w:vertAlign w:val="superscript"/>
        </w:rPr>
        <w:t>3</w:t>
      </w:r>
      <w:r w:rsidR="006F0079">
        <w:t>)</w:t>
      </w:r>
      <w:r w:rsidR="0046087B">
        <w:t>]</w:t>
      </w:r>
      <w:r w:rsidR="006F0079">
        <w:t xml:space="preserve"> and the velocity </w:t>
      </w:r>
      <w:r w:rsidR="0046087B">
        <w:t xml:space="preserve">[v (cm/second)] </w:t>
      </w:r>
      <w:r w:rsidR="006F0079">
        <w:t xml:space="preserve">of </w:t>
      </w:r>
      <w:r w:rsidR="0046087B">
        <w:t>a neutron stream and thus is a measurement of the number of neutrons that pass through a unit area perpendicular to the neutron stream per unit time.  A reaction rate [R (reactions/cm</w:t>
      </w:r>
      <w:r w:rsidR="0046087B">
        <w:rPr>
          <w:vertAlign w:val="superscript"/>
        </w:rPr>
        <w:t>3</w:t>
      </w:r>
      <w:r w:rsidR="0046087B">
        <w:t xml:space="preserve">)] is the product of the neutron flux and the macroscopic cross section and defines the number of reactions that occur in a unit volume per unit time.  </w:t>
      </w:r>
      <w:r w:rsidR="00C43CE9">
        <w:t>These relationships are described mathematically in</w:t>
      </w:r>
      <w:r w:rsidR="00220B7D">
        <w:t xml:space="preserve"> </w:t>
      </w:r>
      <w:r w:rsidR="007511FA">
        <w:fldChar w:fldCharType="begin"/>
      </w:r>
      <w:r w:rsidR="00220B7D">
        <w:instrText xml:space="preserve"> REF _Ref285621196 \h </w:instrText>
      </w:r>
      <w:r w:rsidR="007511FA">
        <w:fldChar w:fldCharType="separate"/>
      </w:r>
      <w:r w:rsidR="00D5167B">
        <w:t xml:space="preserve">Equation </w:t>
      </w:r>
      <w:r w:rsidR="00D5167B">
        <w:rPr>
          <w:noProof/>
        </w:rPr>
        <w:t>1</w:t>
      </w:r>
      <w:r w:rsidR="00D5167B">
        <w:t>.</w:t>
      </w:r>
      <w:r w:rsidR="00D5167B">
        <w:rPr>
          <w:noProof/>
        </w:rPr>
        <w:t>2</w:t>
      </w:r>
      <w:r w:rsidR="007511FA">
        <w:fldChar w:fldCharType="end"/>
      </w:r>
      <w:r w:rsidR="00C43CE9">
        <w:t>.</w:t>
      </w:r>
    </w:p>
    <w:p w:rsidR="00220B7D" w:rsidRDefault="00220B7D" w:rsidP="00AF709F"/>
    <w:p w:rsidR="00220B7D" w:rsidRDefault="0046087B" w:rsidP="00C80D7A">
      <w:pPr>
        <w:spacing w:line="240" w:lineRule="auto"/>
        <w:ind w:firstLine="0"/>
        <w:jc w:val="center"/>
        <w:rPr>
          <w:rFonts w:eastAsiaTheme="minorEastAsia"/>
        </w:rPr>
      </w:pPr>
      <m:oMathPara>
        <m:oMath>
          <m:r>
            <w:rPr>
              <w:rFonts w:ascii="Cambria Math" w:hAnsi="Cambria Math"/>
            </w:rPr>
            <m:t xml:space="preserve">R </m:t>
          </m:r>
          <m:d>
            <m:dPr>
              <m:ctrlPr>
                <w:rPr>
                  <w:rFonts w:ascii="Cambria Math" w:hAnsi="Cambria Math"/>
                  <w:i/>
                </w:rPr>
              </m:ctrlPr>
            </m:dPr>
            <m:e>
              <m:f>
                <m:fPr>
                  <m:ctrlPr>
                    <w:rPr>
                      <w:rFonts w:ascii="Cambria Math" w:hAnsi="Cambria Math"/>
                      <w:i/>
                    </w:rPr>
                  </m:ctrlPr>
                </m:fPr>
                <m:num>
                  <m:r>
                    <w:rPr>
                      <w:rFonts w:ascii="Cambria Math" w:hAnsi="Cambria Math"/>
                    </w:rPr>
                    <m:t>1</m:t>
                  </m:r>
                </m:num>
                <m:den>
                  <m:sSup>
                    <m:sSupPr>
                      <m:ctrlPr>
                        <w:rPr>
                          <w:rFonts w:ascii="Cambria Math" w:hAnsi="Cambria Math"/>
                          <w:i/>
                        </w:rPr>
                      </m:ctrlPr>
                    </m:sSupPr>
                    <m:e>
                      <m:r>
                        <w:rPr>
                          <w:rFonts w:ascii="Cambria Math" w:hAnsi="Cambria Math"/>
                        </w:rPr>
                        <m:t>cm</m:t>
                      </m:r>
                    </m:e>
                    <m:sup>
                      <m:r>
                        <w:rPr>
                          <w:rFonts w:ascii="Cambria Math" w:hAnsi="Cambria Math"/>
                        </w:rPr>
                        <m:t>3</m:t>
                      </m:r>
                    </m:sup>
                  </m:sSup>
                  <m:r>
                    <w:rPr>
                      <w:rFonts w:ascii="Cambria Math" w:hAnsi="Cambria Math"/>
                    </w:rPr>
                    <m:t>s</m:t>
                  </m:r>
                </m:den>
              </m:f>
            </m:e>
          </m:d>
          <m:r>
            <w:rPr>
              <w:rFonts w:ascii="Cambria Math" w:hAnsi="Cambria Math"/>
            </w:rPr>
            <m:t>=</m:t>
          </m:r>
          <m:d>
            <m:dPr>
              <m:begChr m:val="["/>
              <m:endChr m:val="]"/>
              <m:ctrlPr>
                <w:rPr>
                  <w:rFonts w:ascii="Cambria Math" w:hAnsi="Cambria Math"/>
                  <w:i/>
                </w:rPr>
              </m:ctrlPr>
            </m:dPr>
            <m:e>
              <m:r>
                <w:rPr>
                  <w:rFonts w:ascii="Cambria Math" w:hAnsi="Cambria Math"/>
                </w:rPr>
                <m:t xml:space="preserve">n </m:t>
              </m:r>
              <m:d>
                <m:dPr>
                  <m:ctrlPr>
                    <w:rPr>
                      <w:rFonts w:ascii="Cambria Math" w:hAnsi="Cambria Math"/>
                      <w:i/>
                    </w:rPr>
                  </m:ctrlPr>
                </m:dPr>
                <m:e>
                  <m:f>
                    <m:fPr>
                      <m:ctrlPr>
                        <w:rPr>
                          <w:rFonts w:ascii="Cambria Math" w:hAnsi="Cambria Math"/>
                          <w:i/>
                        </w:rPr>
                      </m:ctrlPr>
                    </m:fPr>
                    <m:num>
                      <m:r>
                        <w:rPr>
                          <w:rFonts w:ascii="Cambria Math" w:hAnsi="Cambria Math"/>
                        </w:rPr>
                        <m:t>n</m:t>
                      </m:r>
                    </m:num>
                    <m:den>
                      <m:sSup>
                        <m:sSupPr>
                          <m:ctrlPr>
                            <w:rPr>
                              <w:rFonts w:ascii="Cambria Math" w:hAnsi="Cambria Math"/>
                              <w:i/>
                            </w:rPr>
                          </m:ctrlPr>
                        </m:sSupPr>
                        <m:e>
                          <m:r>
                            <w:rPr>
                              <w:rFonts w:ascii="Cambria Math" w:hAnsi="Cambria Math"/>
                            </w:rPr>
                            <m:t>cm</m:t>
                          </m:r>
                        </m:e>
                        <m:sup>
                          <m:r>
                            <w:rPr>
                              <w:rFonts w:ascii="Cambria Math" w:hAnsi="Cambria Math"/>
                            </w:rPr>
                            <m:t>3</m:t>
                          </m:r>
                        </m:sup>
                      </m:sSup>
                    </m:den>
                  </m:f>
                </m:e>
              </m:d>
              <m:r>
                <w:rPr>
                  <w:rFonts w:ascii="Cambria Math" w:hAnsi="Cambria Math"/>
                </w:rPr>
                <m:t>×v</m:t>
              </m:r>
              <m:d>
                <m:dPr>
                  <m:ctrlPr>
                    <w:rPr>
                      <w:rFonts w:ascii="Cambria Math" w:hAnsi="Cambria Math"/>
                      <w:i/>
                    </w:rPr>
                  </m:ctrlPr>
                </m:dPr>
                <m:e>
                  <m:f>
                    <m:fPr>
                      <m:ctrlPr>
                        <w:rPr>
                          <w:rFonts w:ascii="Cambria Math" w:hAnsi="Cambria Math"/>
                          <w:i/>
                        </w:rPr>
                      </m:ctrlPr>
                    </m:fPr>
                    <m:num>
                      <m:r>
                        <w:rPr>
                          <w:rFonts w:ascii="Cambria Math" w:hAnsi="Cambria Math"/>
                        </w:rPr>
                        <m:t>cm</m:t>
                      </m:r>
                    </m:num>
                    <m:den>
                      <m:r>
                        <w:rPr>
                          <w:rFonts w:ascii="Cambria Math" w:hAnsi="Cambria Math"/>
                        </w:rPr>
                        <m:t>s</m:t>
                      </m:r>
                    </m:den>
                  </m:f>
                </m:e>
              </m:d>
            </m:e>
          </m:d>
          <m:r>
            <w:rPr>
              <w:rFonts w:ascii="Cambria Math" w:hAnsi="Cambria Math"/>
            </w:rPr>
            <m:t>×</m:t>
          </m:r>
          <m:d>
            <m:dPr>
              <m:begChr m:val="["/>
              <m:endChr m:val="]"/>
              <m:ctrlPr>
                <w:rPr>
                  <w:rFonts w:ascii="Cambria Math" w:hAnsi="Cambria Math"/>
                  <w:i/>
                </w:rPr>
              </m:ctrlPr>
            </m:dPr>
            <m:e>
              <m:r>
                <w:rPr>
                  <w:rFonts w:ascii="Cambria Math" w:hAnsi="Cambria Math"/>
                </w:rPr>
                <m:t>σ</m:t>
              </m:r>
              <m:d>
                <m:dPr>
                  <m:ctrlPr>
                    <w:rPr>
                      <w:rFonts w:ascii="Cambria Math" w:hAnsi="Cambria Math"/>
                      <w:i/>
                    </w:rPr>
                  </m:ctrlPr>
                </m:dPr>
                <m:e>
                  <m:sSup>
                    <m:sSupPr>
                      <m:ctrlPr>
                        <w:rPr>
                          <w:rFonts w:ascii="Cambria Math" w:hAnsi="Cambria Math"/>
                          <w:i/>
                        </w:rPr>
                      </m:ctrlPr>
                    </m:sSupPr>
                    <m:e>
                      <m:r>
                        <w:rPr>
                          <w:rFonts w:ascii="Cambria Math" w:hAnsi="Cambria Math"/>
                        </w:rPr>
                        <m:t>cm</m:t>
                      </m:r>
                    </m:e>
                    <m:sup>
                      <m:r>
                        <w:rPr>
                          <w:rFonts w:ascii="Cambria Math" w:hAnsi="Cambria Math"/>
                        </w:rPr>
                        <m:t>2</m:t>
                      </m:r>
                    </m:sup>
                  </m:sSup>
                </m:e>
              </m:d>
              <m:r>
                <w:rPr>
                  <w:rFonts w:ascii="Cambria Math" w:hAnsi="Cambria Math"/>
                </w:rPr>
                <m:t>×N</m:t>
              </m:r>
              <m:d>
                <m:dPr>
                  <m:ctrlPr>
                    <w:rPr>
                      <w:rFonts w:ascii="Cambria Math" w:hAnsi="Cambria Math"/>
                      <w:i/>
                    </w:rPr>
                  </m:ctrlPr>
                </m:dPr>
                <m:e>
                  <m:f>
                    <m:fPr>
                      <m:ctrlPr>
                        <w:rPr>
                          <w:rFonts w:ascii="Cambria Math" w:hAnsi="Cambria Math"/>
                          <w:i/>
                        </w:rPr>
                      </m:ctrlPr>
                    </m:fPr>
                    <m:num>
                      <m:r>
                        <w:rPr>
                          <w:rFonts w:ascii="Cambria Math" w:hAnsi="Cambria Math"/>
                        </w:rPr>
                        <m:t>atoms</m:t>
                      </m:r>
                    </m:num>
                    <m:den>
                      <m:sSup>
                        <m:sSupPr>
                          <m:ctrlPr>
                            <w:rPr>
                              <w:rFonts w:ascii="Cambria Math" w:hAnsi="Cambria Math"/>
                              <w:i/>
                            </w:rPr>
                          </m:ctrlPr>
                        </m:sSupPr>
                        <m:e>
                          <m:r>
                            <w:rPr>
                              <w:rFonts w:ascii="Cambria Math" w:hAnsi="Cambria Math"/>
                            </w:rPr>
                            <m:t>cm</m:t>
                          </m:r>
                        </m:e>
                        <m:sup>
                          <m:r>
                            <w:rPr>
                              <w:rFonts w:ascii="Cambria Math" w:hAnsi="Cambria Math"/>
                            </w:rPr>
                            <m:t>3</m:t>
                          </m:r>
                        </m:sup>
                      </m:sSup>
                    </m:den>
                  </m:f>
                </m:e>
              </m:d>
            </m:e>
          </m:d>
          <m:r>
            <w:rPr>
              <w:rFonts w:ascii="Cambria Math" w:hAnsi="Cambria Math"/>
            </w:rPr>
            <m:t>=</m:t>
          </m:r>
          <m:r>
            <m:rPr>
              <m:sty m:val="p"/>
            </m:rPr>
            <w:rPr>
              <w:rFonts w:ascii="Cambria Math" w:hAnsi="Cambria Math"/>
            </w:rPr>
            <m:t>Φ</m:t>
          </m:r>
          <m:d>
            <m:dPr>
              <m:ctrlPr>
                <w:rPr>
                  <w:rFonts w:ascii="Cambria Math" w:hAnsi="Cambria Math"/>
                  <w:i/>
                </w:rPr>
              </m:ctrlPr>
            </m:dPr>
            <m:e>
              <m:f>
                <m:fPr>
                  <m:ctrlPr>
                    <w:rPr>
                      <w:rFonts w:ascii="Cambria Math" w:hAnsi="Cambria Math"/>
                      <w:i/>
                    </w:rPr>
                  </m:ctrlPr>
                </m:fPr>
                <m:num>
                  <m:r>
                    <w:rPr>
                      <w:rFonts w:ascii="Cambria Math" w:hAnsi="Cambria Math"/>
                    </w:rPr>
                    <m:t>n</m:t>
                  </m:r>
                </m:num>
                <m:den>
                  <m:sSup>
                    <m:sSupPr>
                      <m:ctrlPr>
                        <w:rPr>
                          <w:rFonts w:ascii="Cambria Math" w:hAnsi="Cambria Math"/>
                          <w:i/>
                        </w:rPr>
                      </m:ctrlPr>
                    </m:sSupPr>
                    <m:e>
                      <m:r>
                        <w:rPr>
                          <w:rFonts w:ascii="Cambria Math" w:hAnsi="Cambria Math"/>
                        </w:rPr>
                        <m:t>cm</m:t>
                      </m:r>
                    </m:e>
                    <m:sup>
                      <m:r>
                        <w:rPr>
                          <w:rFonts w:ascii="Cambria Math" w:hAnsi="Cambria Math"/>
                        </w:rPr>
                        <m:t>2</m:t>
                      </m:r>
                    </m:sup>
                  </m:sSup>
                  <m:r>
                    <w:rPr>
                      <w:rFonts w:ascii="Cambria Math" w:hAnsi="Cambria Math"/>
                    </w:rPr>
                    <m:t>s</m:t>
                  </m:r>
                </m:den>
              </m:f>
            </m:e>
          </m:d>
          <m:r>
            <m:rPr>
              <m:sty m:val="p"/>
            </m:rPr>
            <w:rPr>
              <w:rFonts w:ascii="Cambria Math" w:hAnsi="Cambria Math"/>
            </w:rPr>
            <m:t>Σ</m:t>
          </m:r>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cm</m:t>
                  </m:r>
                </m:den>
              </m:f>
            </m:e>
          </m:d>
        </m:oMath>
      </m:oMathPara>
    </w:p>
    <w:p w:rsidR="0046087B" w:rsidRDefault="00220B7D" w:rsidP="00220B7D">
      <w:pPr>
        <w:pStyle w:val="Caption"/>
        <w:rPr>
          <w:rFonts w:eastAsiaTheme="minorEastAsia"/>
        </w:rPr>
      </w:pPr>
      <w:bookmarkStart w:id="68" w:name="_Ref285621196"/>
      <w:proofErr w:type="gramStart"/>
      <w:r>
        <w:t xml:space="preserve">Equation </w:t>
      </w:r>
      <w:r w:rsidR="007511FA">
        <w:fldChar w:fldCharType="begin"/>
      </w:r>
      <w:r w:rsidR="00AE17F8">
        <w:instrText xml:space="preserve"> STYLEREF 1 \s </w:instrText>
      </w:r>
      <w:r w:rsidR="007511FA">
        <w:fldChar w:fldCharType="separate"/>
      </w:r>
      <w:r w:rsidR="00D5167B">
        <w:rPr>
          <w:noProof/>
        </w:rPr>
        <w:t>1</w:t>
      </w:r>
      <w:r w:rsidR="007511FA">
        <w:fldChar w:fldCharType="end"/>
      </w:r>
      <w:r>
        <w:t>.</w:t>
      </w:r>
      <w:proofErr w:type="gramEnd"/>
      <w:r w:rsidR="007511FA">
        <w:fldChar w:fldCharType="begin"/>
      </w:r>
      <w:r>
        <w:instrText xml:space="preserve"> SEQ Equation \* ARABIC \s 1 </w:instrText>
      </w:r>
      <w:r w:rsidR="007511FA">
        <w:fldChar w:fldCharType="separate"/>
      </w:r>
      <w:r w:rsidR="00D5167B">
        <w:rPr>
          <w:noProof/>
        </w:rPr>
        <w:t>2</w:t>
      </w:r>
      <w:r w:rsidR="007511FA">
        <w:fldChar w:fldCharType="end"/>
      </w:r>
      <w:bookmarkEnd w:id="68"/>
    </w:p>
    <w:p w:rsidR="00C43CE9" w:rsidRDefault="00C43CE9" w:rsidP="00C43CE9">
      <w:pPr>
        <w:ind w:firstLine="0"/>
        <w:jc w:val="center"/>
        <w:rPr>
          <w:rFonts w:eastAsiaTheme="minorEastAsia"/>
        </w:rPr>
      </w:pPr>
    </w:p>
    <w:p w:rsidR="00C43CE9" w:rsidRPr="00502FB8" w:rsidRDefault="00C43CE9" w:rsidP="00C43CE9">
      <w:r>
        <w:t>The most basic definition for the effective multiplication factor, also referred to as an effective eigenvalue or k</w:t>
      </w:r>
      <w:r>
        <w:rPr>
          <w:vertAlign w:val="subscript"/>
        </w:rPr>
        <w:t>eff</w:t>
      </w:r>
      <w:r>
        <w:t>, is the ratio of the number of neutrons in one generation to the number of neutrons in the previous generation.  The ratio of the production rate of neutrons to the destruction rate (absorptions + leakage) of neutrons in a system is the other basic definition of k</w:t>
      </w:r>
      <w:r>
        <w:rPr>
          <w:vertAlign w:val="subscript"/>
        </w:rPr>
        <w:t>eff</w:t>
      </w:r>
      <w:r>
        <w:t xml:space="preserve">.  These two definitions are presented mathematically in </w:t>
      </w:r>
      <w:r w:rsidR="007511FA">
        <w:rPr>
          <w:highlight w:val="yellow"/>
        </w:rPr>
        <w:fldChar w:fldCharType="begin"/>
      </w:r>
      <w:r w:rsidR="00220B7D">
        <w:instrText xml:space="preserve"> REF _Ref285621217 \h </w:instrText>
      </w:r>
      <w:r w:rsidR="007511FA">
        <w:rPr>
          <w:highlight w:val="yellow"/>
        </w:rPr>
      </w:r>
      <w:r w:rsidR="007511FA">
        <w:rPr>
          <w:highlight w:val="yellow"/>
        </w:rPr>
        <w:fldChar w:fldCharType="separate"/>
      </w:r>
      <w:r w:rsidR="00D5167B">
        <w:t xml:space="preserve">Equation </w:t>
      </w:r>
      <w:r w:rsidR="00D5167B">
        <w:rPr>
          <w:noProof/>
        </w:rPr>
        <w:t>1</w:t>
      </w:r>
      <w:r w:rsidR="00D5167B">
        <w:t>.</w:t>
      </w:r>
      <w:r w:rsidR="00D5167B">
        <w:rPr>
          <w:noProof/>
        </w:rPr>
        <w:t>3</w:t>
      </w:r>
      <w:r w:rsidR="007511FA">
        <w:rPr>
          <w:highlight w:val="yellow"/>
        </w:rPr>
        <w:fldChar w:fldCharType="end"/>
      </w:r>
      <w:r>
        <w:t>.</w:t>
      </w:r>
      <w:r w:rsidR="00220B7D">
        <w:t xml:space="preserve"> </w:t>
      </w:r>
    </w:p>
    <w:p w:rsidR="00FA4834" w:rsidRDefault="00FA4834" w:rsidP="00AF709F"/>
    <w:p w:rsidR="00AF709F" w:rsidRDefault="007511FA" w:rsidP="00C80D7A">
      <w:pPr>
        <w:spacing w:line="240" w:lineRule="auto"/>
        <w:jc w:val="center"/>
        <w:rPr>
          <w:rFonts w:eastAsiaTheme="minorEastAsia"/>
        </w:rPr>
      </w:pPr>
      <m:oMath>
        <m:sSub>
          <m:sSubPr>
            <m:ctrlPr>
              <w:rPr>
                <w:rFonts w:ascii="Cambria Math" w:hAnsi="Cambria Math"/>
                <w:i/>
              </w:rPr>
            </m:ctrlPr>
          </m:sSubPr>
          <m:e>
            <m:r>
              <w:rPr>
                <w:rFonts w:ascii="Cambria Math" w:hAnsi="Cambria Math"/>
              </w:rPr>
              <m:t>k</m:t>
            </m:r>
          </m:e>
          <m:sub>
            <m:r>
              <w:rPr>
                <w:rFonts w:ascii="Cambria Math" w:hAnsi="Cambria Math"/>
              </w:rPr>
              <m:t>eff</m:t>
            </m:r>
          </m:sub>
        </m:sSub>
        <m:r>
          <w:rPr>
            <w:rFonts w:ascii="Cambria Math" w:eastAsiaTheme="minorEastAsia" w:hAnsi="Cambria Math"/>
          </w:rPr>
          <m:t xml:space="preserve">= </m:t>
        </m:r>
        <m:f>
          <m:fPr>
            <m:ctrlPr>
              <w:rPr>
                <w:rFonts w:ascii="Cambria Math" w:eastAsiaTheme="minorEastAsia" w:hAnsi="Cambria Math"/>
                <w:i/>
              </w:rPr>
            </m:ctrlPr>
          </m:fPr>
          <m:num>
            <m:r>
              <w:rPr>
                <w:rFonts w:ascii="Cambria Math" w:eastAsiaTheme="minorEastAsia" w:hAnsi="Cambria Math"/>
              </w:rPr>
              <m:t># of neutrons in generation i</m:t>
            </m:r>
          </m:num>
          <m:den>
            <m:r>
              <w:rPr>
                <w:rFonts w:ascii="Cambria Math" w:eastAsiaTheme="minorEastAsia" w:hAnsi="Cambria Math"/>
              </w:rPr>
              <m:t># of neutrons in generation i-1</m:t>
            </m:r>
          </m:den>
        </m:f>
        <m:r>
          <w:rPr>
            <w:rFonts w:ascii="Cambria Math" w:eastAsiaTheme="minorEastAsia" w:hAnsi="Cambria Math"/>
          </w:rPr>
          <m:t xml:space="preserve">= </m:t>
        </m:r>
        <m:f>
          <m:fPr>
            <m:ctrlPr>
              <w:rPr>
                <w:rFonts w:ascii="Cambria Math" w:eastAsiaTheme="minorEastAsia" w:hAnsi="Cambria Math"/>
                <w:i/>
              </w:rPr>
            </m:ctrlPr>
          </m:fPr>
          <m:num>
            <m:r>
              <w:rPr>
                <w:rFonts w:ascii="Cambria Math" w:eastAsiaTheme="minorEastAsia" w:hAnsi="Cambria Math"/>
              </w:rPr>
              <m:t>Production</m:t>
            </m:r>
          </m:num>
          <m:den>
            <m:r>
              <w:rPr>
                <w:rFonts w:ascii="Cambria Math" w:eastAsiaTheme="minorEastAsia" w:hAnsi="Cambria Math"/>
              </w:rPr>
              <m:t>Absorption+Leakage</m:t>
            </m:r>
          </m:den>
        </m:f>
        <m:r>
          <w:rPr>
            <w:rFonts w:ascii="Cambria Math" w:eastAsiaTheme="minorEastAsia" w:hAnsi="Cambria Math"/>
          </w:rPr>
          <m:t xml:space="preserve"> </m:t>
        </m:r>
      </m:oMath>
      <w:r w:rsidR="00C43CE9">
        <w:rPr>
          <w:rFonts w:eastAsiaTheme="minorEastAsia"/>
        </w:rPr>
        <w:t xml:space="preserve"> </w:t>
      </w:r>
    </w:p>
    <w:p w:rsidR="00220B7D" w:rsidRDefault="00220B7D" w:rsidP="00220B7D">
      <w:pPr>
        <w:pStyle w:val="Caption"/>
      </w:pPr>
      <w:bookmarkStart w:id="69" w:name="_Ref285621217"/>
      <w:proofErr w:type="gramStart"/>
      <w:r>
        <w:t xml:space="preserve">Equation </w:t>
      </w:r>
      <w:r w:rsidR="007511FA">
        <w:fldChar w:fldCharType="begin"/>
      </w:r>
      <w:r w:rsidR="00AE17F8">
        <w:instrText xml:space="preserve"> STYLEREF 1 \s </w:instrText>
      </w:r>
      <w:r w:rsidR="007511FA">
        <w:fldChar w:fldCharType="separate"/>
      </w:r>
      <w:r w:rsidR="00D5167B">
        <w:rPr>
          <w:noProof/>
        </w:rPr>
        <w:t>1</w:t>
      </w:r>
      <w:r w:rsidR="007511FA">
        <w:fldChar w:fldCharType="end"/>
      </w:r>
      <w:r>
        <w:t>.</w:t>
      </w:r>
      <w:proofErr w:type="gramEnd"/>
      <w:r w:rsidR="007511FA">
        <w:fldChar w:fldCharType="begin"/>
      </w:r>
      <w:r>
        <w:instrText xml:space="preserve"> SEQ Equation \* ARABIC \s 1 </w:instrText>
      </w:r>
      <w:r w:rsidR="007511FA">
        <w:fldChar w:fldCharType="separate"/>
      </w:r>
      <w:r w:rsidR="00D5167B">
        <w:rPr>
          <w:noProof/>
        </w:rPr>
        <w:t>3</w:t>
      </w:r>
      <w:r w:rsidR="007511FA">
        <w:fldChar w:fldCharType="end"/>
      </w:r>
      <w:bookmarkEnd w:id="69"/>
    </w:p>
    <w:p w:rsidR="007C6507" w:rsidRDefault="007C6507" w:rsidP="0019382E"/>
    <w:p w:rsidR="00502FB8" w:rsidRDefault="00502FB8" w:rsidP="0019382E">
      <w:pPr>
        <w:rPr>
          <w:rFonts w:cstheme="minorHAnsi"/>
        </w:rPr>
      </w:pPr>
      <w:r>
        <w:lastRenderedPageBreak/>
        <w:t>The six factor formula is also often used to describe the effective multiplication factor and is the product of the fast fission factor (</w:t>
      </w:r>
      <w:r>
        <w:rPr>
          <w:rFonts w:cstheme="minorHAnsi"/>
        </w:rPr>
        <w:t>ε</w:t>
      </w:r>
      <w:r>
        <w:t>), the reproduction factor (</w:t>
      </w:r>
      <w:r>
        <w:rPr>
          <w:rFonts w:cstheme="minorHAnsi"/>
        </w:rPr>
        <w:t>η), the thermal utilization factor (</w:t>
      </w:r>
      <w:r w:rsidRPr="00502FB8">
        <w:rPr>
          <w:rFonts w:cstheme="minorHAnsi"/>
          <w:i/>
        </w:rPr>
        <w:t>f</w:t>
      </w:r>
      <w:r>
        <w:rPr>
          <w:rFonts w:cstheme="minorHAnsi"/>
        </w:rPr>
        <w:t>), the resonance escape probability (</w:t>
      </w:r>
      <w:r w:rsidRPr="00502FB8">
        <w:rPr>
          <w:rFonts w:cstheme="minorHAnsi"/>
          <w:i/>
        </w:rPr>
        <w:t>p</w:t>
      </w:r>
      <w:r>
        <w:rPr>
          <w:rFonts w:cstheme="minorHAnsi"/>
        </w:rPr>
        <w:t>), the fast non-leakage probability (P</w:t>
      </w:r>
      <w:r>
        <w:rPr>
          <w:rFonts w:cstheme="minorHAnsi"/>
          <w:vertAlign w:val="subscript"/>
        </w:rPr>
        <w:t>FNL</w:t>
      </w:r>
      <w:r>
        <w:rPr>
          <w:rFonts w:cstheme="minorHAnsi"/>
        </w:rPr>
        <w:t>), and the thermal non-leakage probability.  The four factor formula defines the i</w:t>
      </w:r>
      <w:r w:rsidR="00925497">
        <w:rPr>
          <w:rFonts w:cstheme="minorHAnsi"/>
        </w:rPr>
        <w:t xml:space="preserve">nfinite multiplication factor, which excludes the non-leakage probabilities.  The four factor formula in integral form is shown in </w:t>
      </w:r>
      <w:r w:rsidR="007511FA">
        <w:rPr>
          <w:rFonts w:cstheme="minorHAnsi"/>
        </w:rPr>
        <w:fldChar w:fldCharType="begin"/>
      </w:r>
      <w:r w:rsidR="00220B7D">
        <w:rPr>
          <w:rFonts w:cstheme="minorHAnsi"/>
        </w:rPr>
        <w:instrText xml:space="preserve"> REF _Ref285621252 \h </w:instrText>
      </w:r>
      <w:r w:rsidR="007511FA">
        <w:rPr>
          <w:rFonts w:cstheme="minorHAnsi"/>
        </w:rPr>
      </w:r>
      <w:r w:rsidR="007511FA">
        <w:rPr>
          <w:rFonts w:cstheme="minorHAnsi"/>
        </w:rPr>
        <w:fldChar w:fldCharType="separate"/>
      </w:r>
      <w:r w:rsidR="00D5167B">
        <w:t xml:space="preserve">Equation </w:t>
      </w:r>
      <w:r w:rsidR="00D5167B">
        <w:rPr>
          <w:noProof/>
        </w:rPr>
        <w:t>1</w:t>
      </w:r>
      <w:r w:rsidR="00D5167B">
        <w:t>.</w:t>
      </w:r>
      <w:r w:rsidR="00D5167B">
        <w:rPr>
          <w:noProof/>
        </w:rPr>
        <w:t>4</w:t>
      </w:r>
      <w:r w:rsidR="007511FA">
        <w:rPr>
          <w:rFonts w:cstheme="minorHAnsi"/>
        </w:rPr>
        <w:fldChar w:fldCharType="end"/>
      </w:r>
      <w:r w:rsidR="00220B7D">
        <w:rPr>
          <w:rFonts w:cstheme="minorHAnsi"/>
        </w:rPr>
        <w:t xml:space="preserve"> </w:t>
      </w:r>
      <w:r w:rsidR="00925497">
        <w:rPr>
          <w:rFonts w:cstheme="minorHAnsi"/>
        </w:rPr>
        <w:t xml:space="preserve">and defines the values described previously. </w:t>
      </w:r>
    </w:p>
    <w:p w:rsidR="00925497" w:rsidRDefault="00925497" w:rsidP="0019382E">
      <w:pPr>
        <w:rPr>
          <w:rFonts w:cstheme="minorHAnsi"/>
        </w:rPr>
      </w:pPr>
    </w:p>
    <w:p w:rsidR="00925497" w:rsidRDefault="007511FA" w:rsidP="00C80D7A">
      <w:pPr>
        <w:spacing w:after="0"/>
        <w:ind w:firstLine="0"/>
        <w:rPr>
          <w:rFonts w:eastAsiaTheme="minorEastAsia" w:cstheme="minorHAnsi"/>
        </w:rPr>
      </w:pPr>
      <m:oMathPara>
        <m:oMath>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m:t>
              </m:r>
            </m:sub>
          </m:sSub>
          <m:r>
            <w:rPr>
              <w:rFonts w:ascii="Cambria Math" w:hAnsi="Cambria Math" w:cstheme="minorHAnsi"/>
            </w:rPr>
            <m:t>=εηfp=</m:t>
          </m:r>
          <m:f>
            <m:fPr>
              <m:ctrlPr>
                <w:rPr>
                  <w:rFonts w:ascii="Cambria Math" w:hAnsi="Cambria Math" w:cstheme="minorHAnsi"/>
                  <w:i/>
                </w:rPr>
              </m:ctrlPr>
            </m:fPr>
            <m:num>
              <m:nary>
                <m:naryPr>
                  <m:limLoc m:val="undOvr"/>
                  <m:ctrlPr>
                    <w:rPr>
                      <w:rFonts w:ascii="Cambria Math" w:hAnsi="Cambria Math" w:cstheme="minorHAnsi"/>
                      <w:i/>
                    </w:rPr>
                  </m:ctrlPr>
                </m:naryPr>
                <m:sub>
                  <m:r>
                    <w:rPr>
                      <w:rFonts w:ascii="Cambria Math" w:hAnsi="Cambria Math" w:cstheme="minorHAnsi"/>
                    </w:rPr>
                    <m:t>0</m:t>
                  </m:r>
                </m:sub>
                <m:sup>
                  <m:r>
                    <w:rPr>
                      <w:rFonts w:ascii="Cambria Math" w:hAnsi="Cambria Math" w:cstheme="minorHAnsi"/>
                    </w:rPr>
                    <m:t>∞</m:t>
                  </m:r>
                </m:sup>
                <m:e>
                  <m:r>
                    <w:rPr>
                      <w:rFonts w:ascii="Cambria Math" w:hAnsi="Cambria Math" w:cstheme="minorHAnsi"/>
                    </w:rPr>
                    <m:t>v</m:t>
                  </m:r>
                  <m:sSub>
                    <m:sSubPr>
                      <m:ctrlPr>
                        <w:rPr>
                          <w:rFonts w:ascii="Cambria Math" w:hAnsi="Cambria Math" w:cstheme="minorHAnsi"/>
                          <w:i/>
                        </w:rPr>
                      </m:ctrlPr>
                    </m:sSubPr>
                    <m:e>
                      <m:r>
                        <m:rPr>
                          <m:sty m:val="p"/>
                        </m:rPr>
                        <w:rPr>
                          <w:rFonts w:ascii="Cambria Math" w:hAnsi="Cambria Math" w:cstheme="minorHAnsi"/>
                        </w:rPr>
                        <m:t>Σ</m:t>
                      </m:r>
                    </m:e>
                    <m:sub>
                      <m:r>
                        <w:rPr>
                          <w:rFonts w:ascii="Cambria Math" w:hAnsi="Cambria Math" w:cstheme="minorHAnsi"/>
                        </w:rPr>
                        <m:t>f</m:t>
                      </m:r>
                    </m:sub>
                  </m:sSub>
                  <m:d>
                    <m:dPr>
                      <m:ctrlPr>
                        <w:rPr>
                          <w:rFonts w:ascii="Cambria Math" w:hAnsi="Cambria Math" w:cstheme="minorHAnsi"/>
                          <w:i/>
                        </w:rPr>
                      </m:ctrlPr>
                    </m:dPr>
                    <m:e>
                      <m:r>
                        <w:rPr>
                          <w:rFonts w:ascii="Cambria Math" w:hAnsi="Cambria Math" w:cstheme="minorHAnsi"/>
                        </w:rPr>
                        <m:t>E</m:t>
                      </m:r>
                    </m:e>
                  </m:d>
                  <m:r>
                    <m:rPr>
                      <m:sty m:val="p"/>
                    </m:rPr>
                    <w:rPr>
                      <w:rFonts w:ascii="Cambria Math" w:hAnsi="Cambria Math" w:cstheme="minorHAnsi"/>
                    </w:rPr>
                    <m:t>Φ</m:t>
                  </m:r>
                  <m:d>
                    <m:dPr>
                      <m:ctrlPr>
                        <w:rPr>
                          <w:rFonts w:ascii="Cambria Math" w:hAnsi="Cambria Math" w:cstheme="minorHAnsi"/>
                          <w:i/>
                        </w:rPr>
                      </m:ctrlPr>
                    </m:dPr>
                    <m:e>
                      <m:r>
                        <w:rPr>
                          <w:rFonts w:ascii="Cambria Math" w:hAnsi="Cambria Math" w:cstheme="minorHAnsi"/>
                        </w:rPr>
                        <m:t>E</m:t>
                      </m:r>
                    </m:e>
                  </m:d>
                  <m:r>
                    <w:rPr>
                      <w:rFonts w:ascii="Cambria Math" w:hAnsi="Cambria Math" w:cstheme="minorHAnsi"/>
                    </w:rPr>
                    <m:t>dE</m:t>
                  </m:r>
                </m:e>
              </m:nary>
            </m:num>
            <m:den>
              <m:nary>
                <m:naryPr>
                  <m:limLoc m:val="undOvr"/>
                  <m:ctrlPr>
                    <w:rPr>
                      <w:rFonts w:ascii="Cambria Math" w:hAnsi="Cambria Math" w:cstheme="minorHAnsi"/>
                      <w:i/>
                    </w:rPr>
                  </m:ctrlPr>
                </m:naryPr>
                <m:sub>
                  <m:r>
                    <w:rPr>
                      <w:rFonts w:ascii="Cambria Math" w:hAnsi="Cambria Math" w:cstheme="minorHAnsi"/>
                    </w:rPr>
                    <m:t>0</m:t>
                  </m:r>
                </m:sub>
                <m:sup>
                  <m:sSub>
                    <m:sSubPr>
                      <m:ctrlPr>
                        <w:rPr>
                          <w:rFonts w:ascii="Cambria Math" w:hAnsi="Cambria Math" w:cstheme="minorHAnsi"/>
                          <w:i/>
                        </w:rPr>
                      </m:ctrlPr>
                    </m:sSubPr>
                    <m:e>
                      <m:r>
                        <w:rPr>
                          <w:rFonts w:ascii="Cambria Math" w:hAnsi="Cambria Math" w:cstheme="minorHAnsi"/>
                        </w:rPr>
                        <m:t>E</m:t>
                      </m:r>
                    </m:e>
                    <m:sub>
                      <m:r>
                        <w:rPr>
                          <w:rFonts w:ascii="Cambria Math" w:hAnsi="Cambria Math" w:cstheme="minorHAnsi"/>
                        </w:rPr>
                        <m:t>th</m:t>
                      </m:r>
                    </m:sub>
                  </m:sSub>
                </m:sup>
                <m:e>
                  <m:r>
                    <w:rPr>
                      <w:rFonts w:ascii="Cambria Math" w:hAnsi="Cambria Math" w:cstheme="minorHAnsi"/>
                    </w:rPr>
                    <m:t>v</m:t>
                  </m:r>
                  <m:sSub>
                    <m:sSubPr>
                      <m:ctrlPr>
                        <w:rPr>
                          <w:rFonts w:ascii="Cambria Math" w:hAnsi="Cambria Math" w:cstheme="minorHAnsi"/>
                          <w:i/>
                        </w:rPr>
                      </m:ctrlPr>
                    </m:sSubPr>
                    <m:e>
                      <m:r>
                        <m:rPr>
                          <m:sty m:val="p"/>
                        </m:rPr>
                        <w:rPr>
                          <w:rFonts w:ascii="Cambria Math" w:hAnsi="Cambria Math" w:cstheme="minorHAnsi"/>
                        </w:rPr>
                        <m:t>Σ</m:t>
                      </m:r>
                    </m:e>
                    <m:sub>
                      <m:r>
                        <w:rPr>
                          <w:rFonts w:ascii="Cambria Math" w:hAnsi="Cambria Math" w:cstheme="minorHAnsi"/>
                        </w:rPr>
                        <m:t>f</m:t>
                      </m:r>
                    </m:sub>
                  </m:sSub>
                  <m:d>
                    <m:dPr>
                      <m:ctrlPr>
                        <w:rPr>
                          <w:rFonts w:ascii="Cambria Math" w:hAnsi="Cambria Math" w:cstheme="minorHAnsi"/>
                          <w:i/>
                        </w:rPr>
                      </m:ctrlPr>
                    </m:dPr>
                    <m:e>
                      <m:r>
                        <w:rPr>
                          <w:rFonts w:ascii="Cambria Math" w:hAnsi="Cambria Math" w:cstheme="minorHAnsi"/>
                        </w:rPr>
                        <m:t>E</m:t>
                      </m:r>
                    </m:e>
                  </m:d>
                  <m:r>
                    <m:rPr>
                      <m:sty m:val="p"/>
                    </m:rPr>
                    <w:rPr>
                      <w:rFonts w:ascii="Cambria Math" w:hAnsi="Cambria Math" w:cstheme="minorHAnsi"/>
                    </w:rPr>
                    <m:t>Φ</m:t>
                  </m:r>
                  <m:d>
                    <m:dPr>
                      <m:ctrlPr>
                        <w:rPr>
                          <w:rFonts w:ascii="Cambria Math" w:hAnsi="Cambria Math" w:cstheme="minorHAnsi"/>
                          <w:i/>
                        </w:rPr>
                      </m:ctrlPr>
                    </m:dPr>
                    <m:e>
                      <m:r>
                        <w:rPr>
                          <w:rFonts w:ascii="Cambria Math" w:hAnsi="Cambria Math" w:cstheme="minorHAnsi"/>
                        </w:rPr>
                        <m:t>E</m:t>
                      </m:r>
                    </m:e>
                  </m:d>
                  <m:r>
                    <w:rPr>
                      <w:rFonts w:ascii="Cambria Math" w:hAnsi="Cambria Math" w:cstheme="minorHAnsi"/>
                    </w:rPr>
                    <m:t>dE</m:t>
                  </m:r>
                </m:e>
              </m:nary>
            </m:den>
          </m:f>
          <m:r>
            <w:rPr>
              <w:rFonts w:ascii="Cambria Math" w:hAnsi="Cambria Math" w:cstheme="minorHAnsi"/>
            </w:rPr>
            <m:t>×</m:t>
          </m:r>
          <m:f>
            <m:fPr>
              <m:ctrlPr>
                <w:rPr>
                  <w:rFonts w:ascii="Cambria Math" w:hAnsi="Cambria Math" w:cstheme="minorHAnsi"/>
                  <w:i/>
                </w:rPr>
              </m:ctrlPr>
            </m:fPr>
            <m:num>
              <m:nary>
                <m:naryPr>
                  <m:limLoc m:val="undOvr"/>
                  <m:ctrlPr>
                    <w:rPr>
                      <w:rFonts w:ascii="Cambria Math" w:hAnsi="Cambria Math" w:cstheme="minorHAnsi"/>
                      <w:i/>
                    </w:rPr>
                  </m:ctrlPr>
                </m:naryPr>
                <m:sub>
                  <m:r>
                    <w:rPr>
                      <w:rFonts w:ascii="Cambria Math" w:hAnsi="Cambria Math" w:cstheme="minorHAnsi"/>
                    </w:rPr>
                    <m:t>0</m:t>
                  </m:r>
                </m:sub>
                <m:sup>
                  <m:sSub>
                    <m:sSubPr>
                      <m:ctrlPr>
                        <w:rPr>
                          <w:rFonts w:ascii="Cambria Math" w:hAnsi="Cambria Math" w:cstheme="minorHAnsi"/>
                          <w:i/>
                        </w:rPr>
                      </m:ctrlPr>
                    </m:sSubPr>
                    <m:e>
                      <m:r>
                        <w:rPr>
                          <w:rFonts w:ascii="Cambria Math" w:hAnsi="Cambria Math" w:cstheme="minorHAnsi"/>
                        </w:rPr>
                        <m:t>E</m:t>
                      </m:r>
                    </m:e>
                    <m:sub>
                      <m:r>
                        <w:rPr>
                          <w:rFonts w:ascii="Cambria Math" w:hAnsi="Cambria Math" w:cstheme="minorHAnsi"/>
                        </w:rPr>
                        <m:t>th</m:t>
                      </m:r>
                    </m:sub>
                  </m:sSub>
                </m:sup>
                <m:e>
                  <m:r>
                    <w:rPr>
                      <w:rFonts w:ascii="Cambria Math" w:hAnsi="Cambria Math" w:cstheme="minorHAnsi"/>
                    </w:rPr>
                    <m:t>v</m:t>
                  </m:r>
                  <m:sSub>
                    <m:sSubPr>
                      <m:ctrlPr>
                        <w:rPr>
                          <w:rFonts w:ascii="Cambria Math" w:hAnsi="Cambria Math" w:cstheme="minorHAnsi"/>
                          <w:i/>
                        </w:rPr>
                      </m:ctrlPr>
                    </m:sSubPr>
                    <m:e>
                      <m:r>
                        <m:rPr>
                          <m:sty m:val="p"/>
                        </m:rPr>
                        <w:rPr>
                          <w:rFonts w:ascii="Cambria Math" w:hAnsi="Cambria Math" w:cstheme="minorHAnsi"/>
                        </w:rPr>
                        <m:t>Σ</m:t>
                      </m:r>
                    </m:e>
                    <m:sub>
                      <m:r>
                        <w:rPr>
                          <w:rFonts w:ascii="Cambria Math" w:hAnsi="Cambria Math" w:cstheme="minorHAnsi"/>
                        </w:rPr>
                        <m:t>f</m:t>
                      </m:r>
                    </m:sub>
                  </m:sSub>
                  <m:d>
                    <m:dPr>
                      <m:ctrlPr>
                        <w:rPr>
                          <w:rFonts w:ascii="Cambria Math" w:hAnsi="Cambria Math" w:cstheme="minorHAnsi"/>
                          <w:i/>
                        </w:rPr>
                      </m:ctrlPr>
                    </m:dPr>
                    <m:e>
                      <m:r>
                        <w:rPr>
                          <w:rFonts w:ascii="Cambria Math" w:hAnsi="Cambria Math" w:cstheme="minorHAnsi"/>
                        </w:rPr>
                        <m:t>E</m:t>
                      </m:r>
                    </m:e>
                  </m:d>
                  <m:r>
                    <m:rPr>
                      <m:sty m:val="p"/>
                    </m:rPr>
                    <w:rPr>
                      <w:rFonts w:ascii="Cambria Math" w:hAnsi="Cambria Math" w:cstheme="minorHAnsi"/>
                    </w:rPr>
                    <m:t>Φ</m:t>
                  </m:r>
                  <m:d>
                    <m:dPr>
                      <m:ctrlPr>
                        <w:rPr>
                          <w:rFonts w:ascii="Cambria Math" w:hAnsi="Cambria Math" w:cstheme="minorHAnsi"/>
                          <w:i/>
                        </w:rPr>
                      </m:ctrlPr>
                    </m:dPr>
                    <m:e>
                      <m:r>
                        <w:rPr>
                          <w:rFonts w:ascii="Cambria Math" w:hAnsi="Cambria Math" w:cstheme="minorHAnsi"/>
                        </w:rPr>
                        <m:t>E</m:t>
                      </m:r>
                    </m:e>
                  </m:d>
                  <m:r>
                    <w:rPr>
                      <w:rFonts w:ascii="Cambria Math" w:hAnsi="Cambria Math" w:cstheme="minorHAnsi"/>
                    </w:rPr>
                    <m:t>dE</m:t>
                  </m:r>
                </m:e>
              </m:nary>
            </m:num>
            <m:den>
              <m:nary>
                <m:naryPr>
                  <m:limLoc m:val="undOvr"/>
                  <m:ctrlPr>
                    <w:rPr>
                      <w:rFonts w:ascii="Cambria Math" w:hAnsi="Cambria Math" w:cstheme="minorHAnsi"/>
                      <w:i/>
                    </w:rPr>
                  </m:ctrlPr>
                </m:naryPr>
                <m:sub>
                  <m:r>
                    <w:rPr>
                      <w:rFonts w:ascii="Cambria Math" w:hAnsi="Cambria Math" w:cstheme="minorHAnsi"/>
                    </w:rPr>
                    <m:t>0</m:t>
                  </m:r>
                </m:sub>
                <m:sup>
                  <m:sSub>
                    <m:sSubPr>
                      <m:ctrlPr>
                        <w:rPr>
                          <w:rFonts w:ascii="Cambria Math" w:hAnsi="Cambria Math" w:cstheme="minorHAnsi"/>
                          <w:i/>
                        </w:rPr>
                      </m:ctrlPr>
                    </m:sSubPr>
                    <m:e>
                      <m:r>
                        <w:rPr>
                          <w:rFonts w:ascii="Cambria Math" w:hAnsi="Cambria Math" w:cstheme="minorHAnsi"/>
                        </w:rPr>
                        <m:t>E</m:t>
                      </m:r>
                    </m:e>
                    <m:sub>
                      <m:r>
                        <w:rPr>
                          <w:rFonts w:ascii="Cambria Math" w:hAnsi="Cambria Math" w:cstheme="minorHAnsi"/>
                        </w:rPr>
                        <m:t>th</m:t>
                      </m:r>
                    </m:sub>
                  </m:sSub>
                </m:sup>
                <m:e>
                  <m:sSubSup>
                    <m:sSubSupPr>
                      <m:ctrlPr>
                        <w:rPr>
                          <w:rFonts w:ascii="Cambria Math" w:hAnsi="Cambria Math" w:cstheme="minorHAnsi"/>
                          <w:i/>
                        </w:rPr>
                      </m:ctrlPr>
                    </m:sSubSupPr>
                    <m:e>
                      <m:r>
                        <m:rPr>
                          <m:sty m:val="p"/>
                        </m:rPr>
                        <w:rPr>
                          <w:rFonts w:ascii="Cambria Math" w:hAnsi="Cambria Math" w:cstheme="minorHAnsi"/>
                        </w:rPr>
                        <m:t>Σ</m:t>
                      </m:r>
                    </m:e>
                    <m:sub>
                      <m:r>
                        <w:rPr>
                          <w:rFonts w:ascii="Cambria Math" w:hAnsi="Cambria Math" w:cstheme="minorHAnsi"/>
                        </w:rPr>
                        <m:t>a</m:t>
                      </m:r>
                    </m:sub>
                    <m:sup>
                      <m:r>
                        <w:rPr>
                          <w:rFonts w:ascii="Cambria Math" w:hAnsi="Cambria Math" w:cstheme="minorHAnsi"/>
                        </w:rPr>
                        <m:t>f</m:t>
                      </m:r>
                    </m:sup>
                  </m:sSubSup>
                  <m:d>
                    <m:dPr>
                      <m:ctrlPr>
                        <w:rPr>
                          <w:rFonts w:ascii="Cambria Math" w:hAnsi="Cambria Math" w:cstheme="minorHAnsi"/>
                          <w:i/>
                        </w:rPr>
                      </m:ctrlPr>
                    </m:dPr>
                    <m:e>
                      <m:r>
                        <w:rPr>
                          <w:rFonts w:ascii="Cambria Math" w:hAnsi="Cambria Math" w:cstheme="minorHAnsi"/>
                        </w:rPr>
                        <m:t>E</m:t>
                      </m:r>
                    </m:e>
                  </m:d>
                  <m:r>
                    <m:rPr>
                      <m:sty m:val="p"/>
                    </m:rPr>
                    <w:rPr>
                      <w:rFonts w:ascii="Cambria Math" w:hAnsi="Cambria Math" w:cstheme="minorHAnsi"/>
                    </w:rPr>
                    <m:t>Φ</m:t>
                  </m:r>
                  <m:d>
                    <m:dPr>
                      <m:ctrlPr>
                        <w:rPr>
                          <w:rFonts w:ascii="Cambria Math" w:hAnsi="Cambria Math" w:cstheme="minorHAnsi"/>
                          <w:i/>
                        </w:rPr>
                      </m:ctrlPr>
                    </m:dPr>
                    <m:e>
                      <m:r>
                        <w:rPr>
                          <w:rFonts w:ascii="Cambria Math" w:hAnsi="Cambria Math" w:cstheme="minorHAnsi"/>
                        </w:rPr>
                        <m:t>E</m:t>
                      </m:r>
                    </m:e>
                  </m:d>
                  <m:r>
                    <w:rPr>
                      <w:rFonts w:ascii="Cambria Math" w:hAnsi="Cambria Math" w:cstheme="minorHAnsi"/>
                    </w:rPr>
                    <m:t>dE</m:t>
                  </m:r>
                </m:e>
              </m:nary>
            </m:den>
          </m:f>
          <m:r>
            <w:rPr>
              <w:rFonts w:ascii="Cambria Math" w:hAnsi="Cambria Math" w:cstheme="minorHAnsi"/>
            </w:rPr>
            <m:t>×</m:t>
          </m:r>
          <m:f>
            <m:fPr>
              <m:ctrlPr>
                <w:rPr>
                  <w:rFonts w:ascii="Cambria Math" w:hAnsi="Cambria Math" w:cstheme="minorHAnsi"/>
                  <w:i/>
                </w:rPr>
              </m:ctrlPr>
            </m:fPr>
            <m:num>
              <m:nary>
                <m:naryPr>
                  <m:limLoc m:val="undOvr"/>
                  <m:ctrlPr>
                    <w:rPr>
                      <w:rFonts w:ascii="Cambria Math" w:hAnsi="Cambria Math" w:cstheme="minorHAnsi"/>
                      <w:i/>
                    </w:rPr>
                  </m:ctrlPr>
                </m:naryPr>
                <m:sub>
                  <m:r>
                    <w:rPr>
                      <w:rFonts w:ascii="Cambria Math" w:hAnsi="Cambria Math" w:cstheme="minorHAnsi"/>
                    </w:rPr>
                    <m:t>0</m:t>
                  </m:r>
                </m:sub>
                <m:sup>
                  <m:sSub>
                    <m:sSubPr>
                      <m:ctrlPr>
                        <w:rPr>
                          <w:rFonts w:ascii="Cambria Math" w:hAnsi="Cambria Math" w:cstheme="minorHAnsi"/>
                          <w:i/>
                        </w:rPr>
                      </m:ctrlPr>
                    </m:sSubPr>
                    <m:e>
                      <m:r>
                        <w:rPr>
                          <w:rFonts w:ascii="Cambria Math" w:hAnsi="Cambria Math" w:cstheme="minorHAnsi"/>
                        </w:rPr>
                        <m:t>E</m:t>
                      </m:r>
                    </m:e>
                    <m:sub>
                      <m:r>
                        <w:rPr>
                          <w:rFonts w:ascii="Cambria Math" w:hAnsi="Cambria Math" w:cstheme="minorHAnsi"/>
                        </w:rPr>
                        <m:t>th</m:t>
                      </m:r>
                    </m:sub>
                  </m:sSub>
                </m:sup>
                <m:e>
                  <m:sSubSup>
                    <m:sSubSupPr>
                      <m:ctrlPr>
                        <w:rPr>
                          <w:rFonts w:ascii="Cambria Math" w:hAnsi="Cambria Math" w:cstheme="minorHAnsi"/>
                          <w:i/>
                        </w:rPr>
                      </m:ctrlPr>
                    </m:sSubSupPr>
                    <m:e>
                      <m:r>
                        <m:rPr>
                          <m:sty m:val="p"/>
                        </m:rPr>
                        <w:rPr>
                          <w:rFonts w:ascii="Cambria Math" w:hAnsi="Cambria Math" w:cstheme="minorHAnsi"/>
                        </w:rPr>
                        <m:t>Σ</m:t>
                      </m:r>
                    </m:e>
                    <m:sub>
                      <m:r>
                        <w:rPr>
                          <w:rFonts w:ascii="Cambria Math" w:hAnsi="Cambria Math" w:cstheme="minorHAnsi"/>
                        </w:rPr>
                        <m:t>a</m:t>
                      </m:r>
                    </m:sub>
                    <m:sup>
                      <m:r>
                        <w:rPr>
                          <w:rFonts w:ascii="Cambria Math" w:hAnsi="Cambria Math" w:cstheme="minorHAnsi"/>
                        </w:rPr>
                        <m:t>f</m:t>
                      </m:r>
                    </m:sup>
                  </m:sSubSup>
                  <m:d>
                    <m:dPr>
                      <m:ctrlPr>
                        <w:rPr>
                          <w:rFonts w:ascii="Cambria Math" w:hAnsi="Cambria Math" w:cstheme="minorHAnsi"/>
                          <w:i/>
                        </w:rPr>
                      </m:ctrlPr>
                    </m:dPr>
                    <m:e>
                      <m:r>
                        <w:rPr>
                          <w:rFonts w:ascii="Cambria Math" w:hAnsi="Cambria Math" w:cstheme="minorHAnsi"/>
                        </w:rPr>
                        <m:t>E</m:t>
                      </m:r>
                    </m:e>
                  </m:d>
                  <m:r>
                    <m:rPr>
                      <m:sty m:val="p"/>
                    </m:rPr>
                    <w:rPr>
                      <w:rFonts w:ascii="Cambria Math" w:hAnsi="Cambria Math" w:cstheme="minorHAnsi"/>
                    </w:rPr>
                    <m:t>Φ</m:t>
                  </m:r>
                  <m:d>
                    <m:dPr>
                      <m:ctrlPr>
                        <w:rPr>
                          <w:rFonts w:ascii="Cambria Math" w:hAnsi="Cambria Math" w:cstheme="minorHAnsi"/>
                          <w:i/>
                        </w:rPr>
                      </m:ctrlPr>
                    </m:dPr>
                    <m:e>
                      <m:r>
                        <w:rPr>
                          <w:rFonts w:ascii="Cambria Math" w:hAnsi="Cambria Math" w:cstheme="minorHAnsi"/>
                        </w:rPr>
                        <m:t>E</m:t>
                      </m:r>
                    </m:e>
                  </m:d>
                  <m:r>
                    <w:rPr>
                      <w:rFonts w:ascii="Cambria Math" w:hAnsi="Cambria Math" w:cstheme="minorHAnsi"/>
                    </w:rPr>
                    <m:t>dE</m:t>
                  </m:r>
                </m:e>
              </m:nary>
            </m:num>
            <m:den>
              <m:nary>
                <m:naryPr>
                  <m:limLoc m:val="undOvr"/>
                  <m:ctrlPr>
                    <w:rPr>
                      <w:rFonts w:ascii="Cambria Math" w:hAnsi="Cambria Math" w:cstheme="minorHAnsi"/>
                      <w:i/>
                    </w:rPr>
                  </m:ctrlPr>
                </m:naryPr>
                <m:sub>
                  <m:r>
                    <w:rPr>
                      <w:rFonts w:ascii="Cambria Math" w:hAnsi="Cambria Math" w:cstheme="minorHAnsi"/>
                    </w:rPr>
                    <m:t>0</m:t>
                  </m:r>
                </m:sub>
                <m:sup>
                  <m:sSub>
                    <m:sSubPr>
                      <m:ctrlPr>
                        <w:rPr>
                          <w:rFonts w:ascii="Cambria Math" w:hAnsi="Cambria Math" w:cstheme="minorHAnsi"/>
                          <w:i/>
                        </w:rPr>
                      </m:ctrlPr>
                    </m:sSubPr>
                    <m:e>
                      <m:r>
                        <w:rPr>
                          <w:rFonts w:ascii="Cambria Math" w:hAnsi="Cambria Math" w:cstheme="minorHAnsi"/>
                        </w:rPr>
                        <m:t>E</m:t>
                      </m:r>
                    </m:e>
                    <m:sub>
                      <m:r>
                        <w:rPr>
                          <w:rFonts w:ascii="Cambria Math" w:hAnsi="Cambria Math" w:cstheme="minorHAnsi"/>
                        </w:rPr>
                        <m:t>th</m:t>
                      </m:r>
                    </m:sub>
                  </m:sSub>
                </m:sup>
                <m:e>
                  <m:sSub>
                    <m:sSubPr>
                      <m:ctrlPr>
                        <w:rPr>
                          <w:rFonts w:ascii="Cambria Math" w:hAnsi="Cambria Math" w:cstheme="minorHAnsi"/>
                          <w:i/>
                        </w:rPr>
                      </m:ctrlPr>
                    </m:sSubPr>
                    <m:e>
                      <m:r>
                        <m:rPr>
                          <m:sty m:val="p"/>
                        </m:rPr>
                        <w:rPr>
                          <w:rFonts w:ascii="Cambria Math" w:hAnsi="Cambria Math" w:cstheme="minorHAnsi"/>
                        </w:rPr>
                        <m:t>Σ</m:t>
                      </m:r>
                    </m:e>
                    <m:sub>
                      <m:r>
                        <w:rPr>
                          <w:rFonts w:ascii="Cambria Math" w:hAnsi="Cambria Math" w:cstheme="minorHAnsi"/>
                        </w:rPr>
                        <m:t>a</m:t>
                      </m:r>
                    </m:sub>
                  </m:sSub>
                  <m:d>
                    <m:dPr>
                      <m:ctrlPr>
                        <w:rPr>
                          <w:rFonts w:ascii="Cambria Math" w:hAnsi="Cambria Math" w:cstheme="minorHAnsi"/>
                          <w:i/>
                        </w:rPr>
                      </m:ctrlPr>
                    </m:dPr>
                    <m:e>
                      <m:r>
                        <w:rPr>
                          <w:rFonts w:ascii="Cambria Math" w:hAnsi="Cambria Math" w:cstheme="minorHAnsi"/>
                        </w:rPr>
                        <m:t>E</m:t>
                      </m:r>
                    </m:e>
                  </m:d>
                  <m:r>
                    <m:rPr>
                      <m:sty m:val="p"/>
                    </m:rPr>
                    <w:rPr>
                      <w:rFonts w:ascii="Cambria Math" w:hAnsi="Cambria Math" w:cstheme="minorHAnsi"/>
                    </w:rPr>
                    <m:t>Φ</m:t>
                  </m:r>
                  <m:d>
                    <m:dPr>
                      <m:ctrlPr>
                        <w:rPr>
                          <w:rFonts w:ascii="Cambria Math" w:hAnsi="Cambria Math" w:cstheme="minorHAnsi"/>
                          <w:i/>
                        </w:rPr>
                      </m:ctrlPr>
                    </m:dPr>
                    <m:e>
                      <m:r>
                        <w:rPr>
                          <w:rFonts w:ascii="Cambria Math" w:hAnsi="Cambria Math" w:cstheme="minorHAnsi"/>
                        </w:rPr>
                        <m:t>E</m:t>
                      </m:r>
                    </m:e>
                  </m:d>
                  <m:r>
                    <w:rPr>
                      <w:rFonts w:ascii="Cambria Math" w:hAnsi="Cambria Math" w:cstheme="minorHAnsi"/>
                    </w:rPr>
                    <m:t>dE</m:t>
                  </m:r>
                </m:e>
              </m:nary>
            </m:den>
          </m:f>
          <m:r>
            <w:rPr>
              <w:rFonts w:ascii="Cambria Math" w:hAnsi="Cambria Math" w:cstheme="minorHAnsi"/>
            </w:rPr>
            <m:t>×</m:t>
          </m:r>
          <m:f>
            <m:fPr>
              <m:ctrlPr>
                <w:rPr>
                  <w:rFonts w:ascii="Cambria Math" w:hAnsi="Cambria Math" w:cstheme="minorHAnsi"/>
                  <w:i/>
                </w:rPr>
              </m:ctrlPr>
            </m:fPr>
            <m:num>
              <m:nary>
                <m:naryPr>
                  <m:limLoc m:val="undOvr"/>
                  <m:ctrlPr>
                    <w:rPr>
                      <w:rFonts w:ascii="Cambria Math" w:hAnsi="Cambria Math" w:cstheme="minorHAnsi"/>
                      <w:i/>
                    </w:rPr>
                  </m:ctrlPr>
                </m:naryPr>
                <m:sub>
                  <m:r>
                    <w:rPr>
                      <w:rFonts w:ascii="Cambria Math" w:hAnsi="Cambria Math" w:cstheme="minorHAnsi"/>
                    </w:rPr>
                    <m:t>0</m:t>
                  </m:r>
                </m:sub>
                <m:sup>
                  <m:sSub>
                    <m:sSubPr>
                      <m:ctrlPr>
                        <w:rPr>
                          <w:rFonts w:ascii="Cambria Math" w:hAnsi="Cambria Math" w:cstheme="minorHAnsi"/>
                          <w:i/>
                        </w:rPr>
                      </m:ctrlPr>
                    </m:sSubPr>
                    <m:e>
                      <m:r>
                        <w:rPr>
                          <w:rFonts w:ascii="Cambria Math" w:hAnsi="Cambria Math" w:cstheme="minorHAnsi"/>
                        </w:rPr>
                        <m:t>E</m:t>
                      </m:r>
                    </m:e>
                    <m:sub>
                      <m:r>
                        <w:rPr>
                          <w:rFonts w:ascii="Cambria Math" w:hAnsi="Cambria Math" w:cstheme="minorHAnsi"/>
                        </w:rPr>
                        <m:t>th</m:t>
                      </m:r>
                    </m:sub>
                  </m:sSub>
                </m:sup>
                <m:e>
                  <m:sSub>
                    <m:sSubPr>
                      <m:ctrlPr>
                        <w:rPr>
                          <w:rFonts w:ascii="Cambria Math" w:hAnsi="Cambria Math" w:cstheme="minorHAnsi"/>
                          <w:i/>
                        </w:rPr>
                      </m:ctrlPr>
                    </m:sSubPr>
                    <m:e>
                      <m:r>
                        <m:rPr>
                          <m:sty m:val="p"/>
                        </m:rPr>
                        <w:rPr>
                          <w:rFonts w:ascii="Cambria Math" w:hAnsi="Cambria Math" w:cstheme="minorHAnsi"/>
                        </w:rPr>
                        <m:t>Σ</m:t>
                      </m:r>
                    </m:e>
                    <m:sub>
                      <m:r>
                        <w:rPr>
                          <w:rFonts w:ascii="Cambria Math" w:hAnsi="Cambria Math" w:cstheme="minorHAnsi"/>
                        </w:rPr>
                        <m:t>a</m:t>
                      </m:r>
                    </m:sub>
                  </m:sSub>
                  <m:d>
                    <m:dPr>
                      <m:ctrlPr>
                        <w:rPr>
                          <w:rFonts w:ascii="Cambria Math" w:hAnsi="Cambria Math" w:cstheme="minorHAnsi"/>
                          <w:i/>
                        </w:rPr>
                      </m:ctrlPr>
                    </m:dPr>
                    <m:e>
                      <m:r>
                        <w:rPr>
                          <w:rFonts w:ascii="Cambria Math" w:hAnsi="Cambria Math" w:cstheme="minorHAnsi"/>
                        </w:rPr>
                        <m:t>E</m:t>
                      </m:r>
                    </m:e>
                  </m:d>
                  <m:r>
                    <m:rPr>
                      <m:sty m:val="p"/>
                    </m:rPr>
                    <w:rPr>
                      <w:rFonts w:ascii="Cambria Math" w:hAnsi="Cambria Math" w:cstheme="minorHAnsi"/>
                    </w:rPr>
                    <m:t>Φ</m:t>
                  </m:r>
                  <m:d>
                    <m:dPr>
                      <m:ctrlPr>
                        <w:rPr>
                          <w:rFonts w:ascii="Cambria Math" w:hAnsi="Cambria Math" w:cstheme="minorHAnsi"/>
                          <w:i/>
                        </w:rPr>
                      </m:ctrlPr>
                    </m:dPr>
                    <m:e>
                      <m:r>
                        <w:rPr>
                          <w:rFonts w:ascii="Cambria Math" w:hAnsi="Cambria Math" w:cstheme="minorHAnsi"/>
                        </w:rPr>
                        <m:t>E</m:t>
                      </m:r>
                    </m:e>
                  </m:d>
                  <m:r>
                    <w:rPr>
                      <w:rFonts w:ascii="Cambria Math" w:hAnsi="Cambria Math" w:cstheme="minorHAnsi"/>
                    </w:rPr>
                    <m:t>dE</m:t>
                  </m:r>
                </m:e>
              </m:nary>
            </m:num>
            <m:den>
              <m:nary>
                <m:naryPr>
                  <m:limLoc m:val="undOvr"/>
                  <m:ctrlPr>
                    <w:rPr>
                      <w:rFonts w:ascii="Cambria Math" w:hAnsi="Cambria Math" w:cstheme="minorHAnsi"/>
                      <w:i/>
                    </w:rPr>
                  </m:ctrlPr>
                </m:naryPr>
                <m:sub>
                  <m:r>
                    <w:rPr>
                      <w:rFonts w:ascii="Cambria Math" w:hAnsi="Cambria Math" w:cstheme="minorHAnsi"/>
                    </w:rPr>
                    <m:t>0</m:t>
                  </m:r>
                </m:sub>
                <m:sup>
                  <m:r>
                    <w:rPr>
                      <w:rFonts w:ascii="Cambria Math" w:hAnsi="Cambria Math" w:cstheme="minorHAnsi"/>
                    </w:rPr>
                    <m:t>∞</m:t>
                  </m:r>
                </m:sup>
                <m:e>
                  <m:sSub>
                    <m:sSubPr>
                      <m:ctrlPr>
                        <w:rPr>
                          <w:rFonts w:ascii="Cambria Math" w:hAnsi="Cambria Math" w:cstheme="minorHAnsi"/>
                          <w:i/>
                        </w:rPr>
                      </m:ctrlPr>
                    </m:sSubPr>
                    <m:e>
                      <m:r>
                        <m:rPr>
                          <m:sty m:val="p"/>
                        </m:rPr>
                        <w:rPr>
                          <w:rFonts w:ascii="Cambria Math" w:hAnsi="Cambria Math" w:cstheme="minorHAnsi"/>
                        </w:rPr>
                        <m:t>Σ</m:t>
                      </m:r>
                    </m:e>
                    <m:sub>
                      <m:r>
                        <w:rPr>
                          <w:rFonts w:ascii="Cambria Math" w:hAnsi="Cambria Math" w:cstheme="minorHAnsi"/>
                        </w:rPr>
                        <m:t>a</m:t>
                      </m:r>
                    </m:sub>
                  </m:sSub>
                  <m:d>
                    <m:dPr>
                      <m:ctrlPr>
                        <w:rPr>
                          <w:rFonts w:ascii="Cambria Math" w:hAnsi="Cambria Math" w:cstheme="minorHAnsi"/>
                          <w:i/>
                        </w:rPr>
                      </m:ctrlPr>
                    </m:dPr>
                    <m:e>
                      <m:r>
                        <w:rPr>
                          <w:rFonts w:ascii="Cambria Math" w:hAnsi="Cambria Math" w:cstheme="minorHAnsi"/>
                        </w:rPr>
                        <m:t>E</m:t>
                      </m:r>
                    </m:e>
                  </m:d>
                  <m:r>
                    <m:rPr>
                      <m:sty m:val="p"/>
                    </m:rPr>
                    <w:rPr>
                      <w:rFonts w:ascii="Cambria Math" w:hAnsi="Cambria Math" w:cstheme="minorHAnsi"/>
                    </w:rPr>
                    <m:t>Φ</m:t>
                  </m:r>
                  <m:d>
                    <m:dPr>
                      <m:ctrlPr>
                        <w:rPr>
                          <w:rFonts w:ascii="Cambria Math" w:hAnsi="Cambria Math" w:cstheme="minorHAnsi"/>
                          <w:i/>
                        </w:rPr>
                      </m:ctrlPr>
                    </m:dPr>
                    <m:e>
                      <m:r>
                        <w:rPr>
                          <w:rFonts w:ascii="Cambria Math" w:hAnsi="Cambria Math" w:cstheme="minorHAnsi"/>
                        </w:rPr>
                        <m:t>E</m:t>
                      </m:r>
                    </m:e>
                  </m:d>
                  <m:r>
                    <w:rPr>
                      <w:rFonts w:ascii="Cambria Math" w:hAnsi="Cambria Math" w:cstheme="minorHAnsi"/>
                    </w:rPr>
                    <m:t>dE</m:t>
                  </m:r>
                </m:e>
              </m:nary>
            </m:den>
          </m:f>
          <m:r>
            <w:rPr>
              <w:rFonts w:ascii="Cambria Math" w:hAnsi="Cambria Math" w:cstheme="minorHAnsi"/>
            </w:rPr>
            <m:t>=</m:t>
          </m:r>
          <m:f>
            <m:fPr>
              <m:ctrlPr>
                <w:rPr>
                  <w:rFonts w:ascii="Cambria Math" w:hAnsi="Cambria Math" w:cstheme="minorHAnsi"/>
                  <w:i/>
                </w:rPr>
              </m:ctrlPr>
            </m:fPr>
            <m:num>
              <m:nary>
                <m:naryPr>
                  <m:limLoc m:val="undOvr"/>
                  <m:ctrlPr>
                    <w:rPr>
                      <w:rFonts w:ascii="Cambria Math" w:hAnsi="Cambria Math" w:cstheme="minorHAnsi"/>
                      <w:i/>
                    </w:rPr>
                  </m:ctrlPr>
                </m:naryPr>
                <m:sub>
                  <m:r>
                    <w:rPr>
                      <w:rFonts w:ascii="Cambria Math" w:hAnsi="Cambria Math" w:cstheme="minorHAnsi"/>
                    </w:rPr>
                    <m:t>0</m:t>
                  </m:r>
                </m:sub>
                <m:sup>
                  <m:r>
                    <w:rPr>
                      <w:rFonts w:ascii="Cambria Math" w:hAnsi="Cambria Math" w:cstheme="minorHAnsi"/>
                    </w:rPr>
                    <m:t>∞</m:t>
                  </m:r>
                </m:sup>
                <m:e>
                  <m:r>
                    <w:rPr>
                      <w:rFonts w:ascii="Cambria Math" w:hAnsi="Cambria Math" w:cstheme="minorHAnsi"/>
                    </w:rPr>
                    <m:t>v</m:t>
                  </m:r>
                  <m:sSub>
                    <m:sSubPr>
                      <m:ctrlPr>
                        <w:rPr>
                          <w:rFonts w:ascii="Cambria Math" w:hAnsi="Cambria Math" w:cstheme="minorHAnsi"/>
                          <w:i/>
                        </w:rPr>
                      </m:ctrlPr>
                    </m:sSubPr>
                    <m:e>
                      <m:r>
                        <m:rPr>
                          <m:sty m:val="p"/>
                        </m:rPr>
                        <w:rPr>
                          <w:rFonts w:ascii="Cambria Math" w:hAnsi="Cambria Math" w:cstheme="minorHAnsi"/>
                        </w:rPr>
                        <m:t>Σ</m:t>
                      </m:r>
                    </m:e>
                    <m:sub>
                      <m:r>
                        <w:rPr>
                          <w:rFonts w:ascii="Cambria Math" w:hAnsi="Cambria Math" w:cstheme="minorHAnsi"/>
                        </w:rPr>
                        <m:t>f</m:t>
                      </m:r>
                    </m:sub>
                  </m:sSub>
                  <m:d>
                    <m:dPr>
                      <m:ctrlPr>
                        <w:rPr>
                          <w:rFonts w:ascii="Cambria Math" w:hAnsi="Cambria Math" w:cstheme="minorHAnsi"/>
                          <w:i/>
                        </w:rPr>
                      </m:ctrlPr>
                    </m:dPr>
                    <m:e>
                      <m:r>
                        <w:rPr>
                          <w:rFonts w:ascii="Cambria Math" w:hAnsi="Cambria Math" w:cstheme="minorHAnsi"/>
                        </w:rPr>
                        <m:t>E</m:t>
                      </m:r>
                    </m:e>
                  </m:d>
                  <m:r>
                    <m:rPr>
                      <m:sty m:val="p"/>
                    </m:rPr>
                    <w:rPr>
                      <w:rFonts w:ascii="Cambria Math" w:hAnsi="Cambria Math" w:cstheme="minorHAnsi"/>
                    </w:rPr>
                    <m:t>Φ</m:t>
                  </m:r>
                  <m:d>
                    <m:dPr>
                      <m:ctrlPr>
                        <w:rPr>
                          <w:rFonts w:ascii="Cambria Math" w:hAnsi="Cambria Math" w:cstheme="minorHAnsi"/>
                          <w:i/>
                        </w:rPr>
                      </m:ctrlPr>
                    </m:dPr>
                    <m:e>
                      <m:r>
                        <w:rPr>
                          <w:rFonts w:ascii="Cambria Math" w:hAnsi="Cambria Math" w:cstheme="minorHAnsi"/>
                        </w:rPr>
                        <m:t>E</m:t>
                      </m:r>
                    </m:e>
                  </m:d>
                  <m:r>
                    <w:rPr>
                      <w:rFonts w:ascii="Cambria Math" w:hAnsi="Cambria Math" w:cstheme="minorHAnsi"/>
                    </w:rPr>
                    <m:t>dE</m:t>
                  </m:r>
                </m:e>
              </m:nary>
            </m:num>
            <m:den>
              <m:nary>
                <m:naryPr>
                  <m:limLoc m:val="undOvr"/>
                  <m:ctrlPr>
                    <w:rPr>
                      <w:rFonts w:ascii="Cambria Math" w:hAnsi="Cambria Math" w:cstheme="minorHAnsi"/>
                      <w:i/>
                    </w:rPr>
                  </m:ctrlPr>
                </m:naryPr>
                <m:sub>
                  <m:r>
                    <w:rPr>
                      <w:rFonts w:ascii="Cambria Math" w:hAnsi="Cambria Math" w:cstheme="minorHAnsi"/>
                    </w:rPr>
                    <m:t>0</m:t>
                  </m:r>
                </m:sub>
                <m:sup>
                  <m:r>
                    <w:rPr>
                      <w:rFonts w:ascii="Cambria Math" w:hAnsi="Cambria Math" w:cstheme="minorHAnsi"/>
                    </w:rPr>
                    <m:t>∞</m:t>
                  </m:r>
                </m:sup>
                <m:e>
                  <m:sSub>
                    <m:sSubPr>
                      <m:ctrlPr>
                        <w:rPr>
                          <w:rFonts w:ascii="Cambria Math" w:hAnsi="Cambria Math" w:cstheme="minorHAnsi"/>
                          <w:i/>
                        </w:rPr>
                      </m:ctrlPr>
                    </m:sSubPr>
                    <m:e>
                      <m:r>
                        <m:rPr>
                          <m:sty m:val="p"/>
                        </m:rPr>
                        <w:rPr>
                          <w:rFonts w:ascii="Cambria Math" w:hAnsi="Cambria Math" w:cstheme="minorHAnsi"/>
                        </w:rPr>
                        <m:t>Σ</m:t>
                      </m:r>
                    </m:e>
                    <m:sub>
                      <m:r>
                        <w:rPr>
                          <w:rFonts w:ascii="Cambria Math" w:hAnsi="Cambria Math" w:cstheme="minorHAnsi"/>
                        </w:rPr>
                        <m:t>a</m:t>
                      </m:r>
                    </m:sub>
                  </m:sSub>
                  <m:d>
                    <m:dPr>
                      <m:ctrlPr>
                        <w:rPr>
                          <w:rFonts w:ascii="Cambria Math" w:hAnsi="Cambria Math" w:cstheme="minorHAnsi"/>
                          <w:i/>
                        </w:rPr>
                      </m:ctrlPr>
                    </m:dPr>
                    <m:e>
                      <m:r>
                        <w:rPr>
                          <w:rFonts w:ascii="Cambria Math" w:hAnsi="Cambria Math" w:cstheme="minorHAnsi"/>
                        </w:rPr>
                        <m:t>E</m:t>
                      </m:r>
                    </m:e>
                  </m:d>
                  <m:r>
                    <m:rPr>
                      <m:sty m:val="p"/>
                    </m:rPr>
                    <w:rPr>
                      <w:rFonts w:ascii="Cambria Math" w:hAnsi="Cambria Math" w:cstheme="minorHAnsi"/>
                    </w:rPr>
                    <m:t>Φ</m:t>
                  </m:r>
                  <m:d>
                    <m:dPr>
                      <m:ctrlPr>
                        <w:rPr>
                          <w:rFonts w:ascii="Cambria Math" w:hAnsi="Cambria Math" w:cstheme="minorHAnsi"/>
                          <w:i/>
                        </w:rPr>
                      </m:ctrlPr>
                    </m:dPr>
                    <m:e>
                      <m:r>
                        <w:rPr>
                          <w:rFonts w:ascii="Cambria Math" w:hAnsi="Cambria Math" w:cstheme="minorHAnsi"/>
                        </w:rPr>
                        <m:t>E</m:t>
                      </m:r>
                    </m:e>
                  </m:d>
                  <m:r>
                    <w:rPr>
                      <w:rFonts w:ascii="Cambria Math" w:hAnsi="Cambria Math" w:cstheme="minorHAnsi"/>
                    </w:rPr>
                    <m:t>dE</m:t>
                  </m:r>
                </m:e>
              </m:nary>
            </m:den>
          </m:f>
          <m:r>
            <w:rPr>
              <w:rFonts w:ascii="Cambria Math" w:hAnsi="Cambria Math" w:cstheme="minorHAnsi"/>
            </w:rPr>
            <m:t>=</m:t>
          </m:r>
          <m:f>
            <m:fPr>
              <m:ctrlPr>
                <w:rPr>
                  <w:rFonts w:ascii="Cambria Math" w:hAnsi="Cambria Math" w:cstheme="minorHAnsi"/>
                  <w:i/>
                </w:rPr>
              </m:ctrlPr>
            </m:fPr>
            <m:num>
              <m:r>
                <w:rPr>
                  <w:rFonts w:ascii="Cambria Math" w:hAnsi="Cambria Math" w:cstheme="minorHAnsi"/>
                </w:rPr>
                <m:t>neutron production by fission</m:t>
              </m:r>
            </m:num>
            <m:den>
              <m:r>
                <w:rPr>
                  <w:rFonts w:ascii="Cambria Math" w:hAnsi="Cambria Math" w:cstheme="minorHAnsi"/>
                </w:rPr>
                <m:t>neutron destruction by absorption</m:t>
              </m:r>
            </m:den>
          </m:f>
        </m:oMath>
      </m:oMathPara>
    </w:p>
    <w:p w:rsidR="009C7BC3" w:rsidRDefault="00220B7D" w:rsidP="00220B7D">
      <w:pPr>
        <w:pStyle w:val="Caption"/>
        <w:rPr>
          <w:rFonts w:cstheme="minorHAnsi"/>
        </w:rPr>
      </w:pPr>
      <w:bookmarkStart w:id="70" w:name="_Ref285621252"/>
      <w:proofErr w:type="gramStart"/>
      <w:r>
        <w:t xml:space="preserve">Equation </w:t>
      </w:r>
      <w:r w:rsidR="007511FA">
        <w:fldChar w:fldCharType="begin"/>
      </w:r>
      <w:r w:rsidR="00AE17F8">
        <w:instrText xml:space="preserve"> STYLEREF 1 \s </w:instrText>
      </w:r>
      <w:r w:rsidR="007511FA">
        <w:fldChar w:fldCharType="separate"/>
      </w:r>
      <w:r w:rsidR="00D5167B">
        <w:rPr>
          <w:noProof/>
        </w:rPr>
        <w:t>1</w:t>
      </w:r>
      <w:r w:rsidR="007511FA">
        <w:fldChar w:fldCharType="end"/>
      </w:r>
      <w:r>
        <w:t>.</w:t>
      </w:r>
      <w:proofErr w:type="gramEnd"/>
      <w:r w:rsidR="007511FA">
        <w:fldChar w:fldCharType="begin"/>
      </w:r>
      <w:r>
        <w:instrText xml:space="preserve"> SEQ Equation \* ARABIC \s 1 </w:instrText>
      </w:r>
      <w:r w:rsidR="007511FA">
        <w:fldChar w:fldCharType="separate"/>
      </w:r>
      <w:r w:rsidR="00D5167B">
        <w:rPr>
          <w:noProof/>
        </w:rPr>
        <w:t>4</w:t>
      </w:r>
      <w:r w:rsidR="007511FA">
        <w:fldChar w:fldCharType="end"/>
      </w:r>
      <w:bookmarkEnd w:id="70"/>
    </w:p>
    <w:p w:rsidR="009C7BC3" w:rsidRDefault="009C7BC3" w:rsidP="0019382E">
      <w:pPr>
        <w:rPr>
          <w:rFonts w:cstheme="minorHAnsi"/>
        </w:rPr>
      </w:pPr>
    </w:p>
    <w:p w:rsidR="009C7BC3" w:rsidRDefault="009C7BC3" w:rsidP="0019382E">
      <w:pPr>
        <w:rPr>
          <w:rFonts w:cstheme="minorHAnsi"/>
        </w:rPr>
      </w:pPr>
      <w:r>
        <w:rPr>
          <w:rFonts w:cstheme="minorHAnsi"/>
        </w:rPr>
        <w:t>Criticality is achieved when a self-sustaining chain reaction is accomplished which refers to a system having an effective multiplication equal to unity.  Thus, criticality is achieved when the number of neutrons produced in a system is equal to the number of neutrons that are removed by neutron capture and leakage from the system in the same generation.  If k</w:t>
      </w:r>
      <w:r>
        <w:rPr>
          <w:rFonts w:cstheme="minorHAnsi"/>
          <w:vertAlign w:val="subscript"/>
        </w:rPr>
        <w:t>eff</w:t>
      </w:r>
      <w:r>
        <w:rPr>
          <w:rFonts w:cstheme="minorHAnsi"/>
        </w:rPr>
        <w:t xml:space="preserve"> is less than </w:t>
      </w:r>
      <w:r w:rsidR="004A3AF2">
        <w:rPr>
          <w:rFonts w:cstheme="minorHAnsi"/>
        </w:rPr>
        <w:t>unity</w:t>
      </w:r>
      <w:r>
        <w:rPr>
          <w:rFonts w:cstheme="minorHAnsi"/>
        </w:rPr>
        <w:t xml:space="preserve"> the system is subcritical and the neutron population will decrease exponentially and if the k</w:t>
      </w:r>
      <w:r>
        <w:rPr>
          <w:rFonts w:cstheme="minorHAnsi"/>
          <w:vertAlign w:val="subscript"/>
        </w:rPr>
        <w:t>eff</w:t>
      </w:r>
      <w:r>
        <w:rPr>
          <w:rFonts w:cstheme="minorHAnsi"/>
        </w:rPr>
        <w:t xml:space="preserve"> is greater than unity the system is supercritical and the neutron population will grow exponentially.  Reactivity </w:t>
      </w:r>
      <w:r w:rsidR="004A3AF2">
        <w:rPr>
          <w:rFonts w:cstheme="minorHAnsi"/>
        </w:rPr>
        <w:t>(ρ) is a measure of the system’s deflection from criticality (k</w:t>
      </w:r>
      <w:r w:rsidR="004A3AF2">
        <w:rPr>
          <w:rFonts w:cstheme="minorHAnsi"/>
          <w:vertAlign w:val="subscript"/>
        </w:rPr>
        <w:t>eff</w:t>
      </w:r>
      <w:r w:rsidR="004A3AF2">
        <w:rPr>
          <w:rFonts w:cstheme="minorHAnsi"/>
        </w:rPr>
        <w:t xml:space="preserve"> = 1) and is defined in</w:t>
      </w:r>
      <w:r w:rsidR="00220B7D">
        <w:rPr>
          <w:rFonts w:cstheme="minorHAnsi"/>
        </w:rPr>
        <w:t xml:space="preserve"> </w:t>
      </w:r>
      <w:r w:rsidR="007511FA">
        <w:rPr>
          <w:rFonts w:cstheme="minorHAnsi"/>
        </w:rPr>
        <w:fldChar w:fldCharType="begin"/>
      </w:r>
      <w:r w:rsidR="00220B7D">
        <w:rPr>
          <w:rFonts w:cstheme="minorHAnsi"/>
        </w:rPr>
        <w:instrText xml:space="preserve"> REF _Ref285621277 \h </w:instrText>
      </w:r>
      <w:r w:rsidR="007511FA">
        <w:rPr>
          <w:rFonts w:cstheme="minorHAnsi"/>
        </w:rPr>
      </w:r>
      <w:r w:rsidR="007511FA">
        <w:rPr>
          <w:rFonts w:cstheme="minorHAnsi"/>
        </w:rPr>
        <w:fldChar w:fldCharType="separate"/>
      </w:r>
      <w:r w:rsidR="00D5167B">
        <w:t xml:space="preserve">Equation </w:t>
      </w:r>
      <w:r w:rsidR="00D5167B">
        <w:rPr>
          <w:noProof/>
        </w:rPr>
        <w:t>1</w:t>
      </w:r>
      <w:r w:rsidR="00D5167B">
        <w:t>.</w:t>
      </w:r>
      <w:r w:rsidR="00D5167B">
        <w:rPr>
          <w:noProof/>
        </w:rPr>
        <w:t>5</w:t>
      </w:r>
      <w:r w:rsidR="007511FA">
        <w:rPr>
          <w:rFonts w:cstheme="minorHAnsi"/>
        </w:rPr>
        <w:fldChar w:fldCharType="end"/>
      </w:r>
      <w:r w:rsidR="004A3AF2">
        <w:rPr>
          <w:rFonts w:cstheme="minorHAnsi"/>
        </w:rPr>
        <w:t>.</w:t>
      </w:r>
    </w:p>
    <w:p w:rsidR="004A3AF2" w:rsidRDefault="004A3AF2" w:rsidP="0019382E">
      <w:pPr>
        <w:rPr>
          <w:rFonts w:cstheme="minorHAnsi"/>
        </w:rPr>
      </w:pPr>
    </w:p>
    <w:p w:rsidR="004A3AF2" w:rsidRDefault="004A3AF2" w:rsidP="00C80D7A">
      <w:pPr>
        <w:spacing w:line="240" w:lineRule="auto"/>
        <w:ind w:firstLine="0"/>
        <w:rPr>
          <w:rFonts w:eastAsiaTheme="minorEastAsia" w:cstheme="minorHAnsi"/>
        </w:rPr>
      </w:pPr>
      <m:oMathPara>
        <m:oMath>
          <m:r>
            <w:rPr>
              <w:rFonts w:ascii="Cambria Math" w:hAnsi="Cambria Math" w:cstheme="minorHAnsi"/>
            </w:rPr>
            <m:t xml:space="preserve">ρ= </m:t>
          </m:r>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eff</m:t>
                  </m:r>
                </m:sub>
              </m:sSub>
              <m:r>
                <w:rPr>
                  <w:rFonts w:ascii="Cambria Math" w:hAnsi="Cambria Math" w:cstheme="minorHAnsi"/>
                </w:rPr>
                <m:t>-1</m:t>
              </m:r>
            </m:num>
            <m:den>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e</m:t>
                  </m:r>
                  <m:r>
                    <w:rPr>
                      <w:rFonts w:ascii="Cambria Math" w:hAnsi="Cambria Math" w:cstheme="minorHAnsi"/>
                    </w:rPr>
                    <m:t>ff</m:t>
                  </m:r>
                </m:sub>
              </m:sSub>
            </m:den>
          </m:f>
          <m:r>
            <w:rPr>
              <w:rFonts w:ascii="Cambria Math" w:hAnsi="Cambria Math" w:cstheme="minorHAnsi"/>
            </w:rPr>
            <m:t>=1-</m:t>
          </m:r>
          <m:f>
            <m:fPr>
              <m:ctrlPr>
                <w:rPr>
                  <w:rFonts w:ascii="Cambria Math" w:hAnsi="Cambria Math" w:cstheme="minorHAnsi"/>
                  <w:i/>
                </w:rPr>
              </m:ctrlPr>
            </m:fPr>
            <m:num>
              <m:r>
                <w:rPr>
                  <w:rFonts w:ascii="Cambria Math" w:hAnsi="Cambria Math" w:cstheme="minorHAnsi"/>
                </w:rPr>
                <m:t>1</m:t>
              </m:r>
            </m:num>
            <m:den>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eff</m:t>
                  </m:r>
                </m:sub>
              </m:sSub>
            </m:den>
          </m:f>
        </m:oMath>
      </m:oMathPara>
    </w:p>
    <w:p w:rsidR="00220B7D" w:rsidRPr="004A3AF2" w:rsidRDefault="00220B7D" w:rsidP="00220B7D">
      <w:pPr>
        <w:pStyle w:val="Caption"/>
        <w:rPr>
          <w:rFonts w:cstheme="minorHAnsi"/>
        </w:rPr>
      </w:pPr>
      <w:bookmarkStart w:id="71" w:name="_Ref285621277"/>
      <w:proofErr w:type="gramStart"/>
      <w:r>
        <w:t xml:space="preserve">Equation </w:t>
      </w:r>
      <w:r w:rsidR="007511FA">
        <w:fldChar w:fldCharType="begin"/>
      </w:r>
      <w:r w:rsidR="00AE17F8">
        <w:instrText xml:space="preserve"> STYLEREF 1 \s </w:instrText>
      </w:r>
      <w:r w:rsidR="007511FA">
        <w:fldChar w:fldCharType="separate"/>
      </w:r>
      <w:r w:rsidR="00D5167B">
        <w:rPr>
          <w:noProof/>
        </w:rPr>
        <w:t>1</w:t>
      </w:r>
      <w:r w:rsidR="007511FA">
        <w:fldChar w:fldCharType="end"/>
      </w:r>
      <w:r>
        <w:t>.</w:t>
      </w:r>
      <w:proofErr w:type="gramEnd"/>
      <w:r w:rsidR="007511FA">
        <w:fldChar w:fldCharType="begin"/>
      </w:r>
      <w:r>
        <w:instrText xml:space="preserve"> SEQ Equation \* ARABIC \s 1 </w:instrText>
      </w:r>
      <w:r w:rsidR="007511FA">
        <w:fldChar w:fldCharType="separate"/>
      </w:r>
      <w:r w:rsidR="00D5167B">
        <w:rPr>
          <w:noProof/>
        </w:rPr>
        <w:t>5</w:t>
      </w:r>
      <w:r w:rsidR="007511FA">
        <w:fldChar w:fldCharType="end"/>
      </w:r>
      <w:bookmarkEnd w:id="71"/>
    </w:p>
    <w:p w:rsidR="00925497" w:rsidRDefault="00925497" w:rsidP="0019382E"/>
    <w:p w:rsidR="004A3AF2" w:rsidRDefault="004A3AF2" w:rsidP="0019382E">
      <w:r>
        <w:lastRenderedPageBreak/>
        <w:t>Thus, if a reactor has positive reactivity it is supercritical and if a reactor has negative reactivity it is subcritical.  Reactivity can also be used to describe property change effects.  For example, a control element contains neutron absorbing materials and when they are inserted into a reactor core</w:t>
      </w:r>
      <w:r w:rsidR="00F1296F">
        <w:t xml:space="preserve"> they insert negative reactivity.  When control elements are withdrawn from the core, negative reactivity is being removed or in other words, positive reactivity is being inserted.  In order for nuclear reactors to achieve self-sustaining reactions during the course of a fuel cycle, control elements are withdrawn from the core to compensate for negative reactivity caused by fuel burnup, i.e. removal of fissile </w:t>
      </w:r>
      <w:r w:rsidR="004C2603">
        <w:t>atoms</w:t>
      </w:r>
      <w:r w:rsidR="00F1296F">
        <w:t xml:space="preserve"> and creation of fission fragments. </w:t>
      </w:r>
      <w:r>
        <w:t xml:space="preserve"> </w:t>
      </w:r>
      <w:r w:rsidR="004C2603">
        <w:t>If positive reactivity is inserted into a nuclear system and is not compensated by negative reactivity, a reactivity-induced power transient can occur, which has the potential to melt the core if severe enough.</w:t>
      </w:r>
    </w:p>
    <w:p w:rsidR="00426AC4" w:rsidRDefault="00426AC4" w:rsidP="0019382E">
      <w:r>
        <w:t xml:space="preserve">The physics described in the previous paragraphs can be used to describe the neutron distribution within a nuclear reactor.  Diffusion theory utilizes the conservation of neutrons principle and therefore at any given time, the change in the number of neutrons in a given system will be the difference between the number of neutrons produced and the number of neutrons disappearing from the same system.  Diffusion theory is discussed in more detail in </w:t>
      </w:r>
      <w:r w:rsidR="00355EDD">
        <w:t xml:space="preserve">Chapters </w:t>
      </w:r>
      <w:r w:rsidR="00C80D7A">
        <w:t>9 and 10</w:t>
      </w:r>
      <w:r w:rsidR="00355EDD">
        <w:t>.</w:t>
      </w:r>
    </w:p>
    <w:p w:rsidR="00426AC4" w:rsidRDefault="00426AC4" w:rsidP="0019382E"/>
    <w:p w:rsidR="00426AC4" w:rsidRDefault="00426AC4" w:rsidP="00AA149C">
      <w:pPr>
        <w:pStyle w:val="Heading3"/>
      </w:pPr>
      <w:bookmarkStart w:id="72" w:name="_Toc295818102"/>
      <w:r>
        <w:t>Nuclear Reactors</w:t>
      </w:r>
      <w:bookmarkEnd w:id="72"/>
    </w:p>
    <w:p w:rsidR="008D6A4C" w:rsidRDefault="0019382E" w:rsidP="0019382E">
      <w:proofErr w:type="spellStart"/>
      <w:r>
        <w:t>Enricho</w:t>
      </w:r>
      <w:proofErr w:type="spellEnd"/>
      <w:r>
        <w:t xml:space="preserve"> Fermi, the father of nuclear energy, discovered that on average 2.5 neutrons are released </w:t>
      </w:r>
      <w:proofErr w:type="gramStart"/>
      <w:r>
        <w:t>by each fission</w:t>
      </w:r>
      <w:proofErr w:type="gramEnd"/>
      <w:r>
        <w:t xml:space="preserve"> of </w:t>
      </w:r>
      <w:r>
        <w:rPr>
          <w:vertAlign w:val="superscript"/>
        </w:rPr>
        <w:t>235</w:t>
      </w:r>
      <w:r>
        <w:t xml:space="preserve">U in 1939, and future work discovered that on average, 2.4 and 2.9 neutrons are released by each fission of </w:t>
      </w:r>
      <w:r>
        <w:rPr>
          <w:vertAlign w:val="superscript"/>
        </w:rPr>
        <w:t>235</w:t>
      </w:r>
      <w:r>
        <w:t xml:space="preserve">U and </w:t>
      </w:r>
      <w:r>
        <w:rPr>
          <w:vertAlign w:val="superscript"/>
        </w:rPr>
        <w:t>239</w:t>
      </w:r>
      <w:r>
        <w:t>Pu, respectively.  The first nuclear chain reaction occurred in December of 1942 in a core that Fermi built, Chicago Pile-1, which consisted of 58 tons of uranium oxide, 6 tons of uranium m</w:t>
      </w:r>
      <w:r w:rsidR="00E43152">
        <w:t xml:space="preserve">etal, and 400 tons of graphite which is </w:t>
      </w:r>
      <w:r>
        <w:t xml:space="preserve">used </w:t>
      </w:r>
      <w:r w:rsidR="00E43152">
        <w:t>as a</w:t>
      </w:r>
      <w:r>
        <w:t xml:space="preserve"> </w:t>
      </w:r>
      <w:r w:rsidR="001D7F7D">
        <w:t xml:space="preserve">neutron </w:t>
      </w:r>
      <w:r>
        <w:t>moderator and reflector</w:t>
      </w:r>
      <w:r w:rsidR="00E43152">
        <w:t xml:space="preserve"> </w:t>
      </w:r>
      <w:r w:rsidR="007511FA">
        <w:fldChar w:fldCharType="begin"/>
      </w:r>
      <w:r w:rsidR="00C67546">
        <w:instrText xml:space="preserve"> REF _Ref285636536 \n \h </w:instrText>
      </w:r>
      <w:r w:rsidR="007511FA">
        <w:fldChar w:fldCharType="separate"/>
      </w:r>
      <w:r w:rsidR="00D5167B">
        <w:t>[46]</w:t>
      </w:r>
      <w:r w:rsidR="007511FA">
        <w:fldChar w:fldCharType="end"/>
      </w:r>
      <w:r>
        <w:t xml:space="preserve">.  Another project that furthered nuclear power was the Manhattan project that occurred in Oak Ridge, TN early in 1942.  A 1 MW graphite reactor </w:t>
      </w:r>
      <w:r w:rsidR="001D7F7D">
        <w:t xml:space="preserve">called the </w:t>
      </w:r>
      <w:r>
        <w:t>Pile</w:t>
      </w:r>
      <w:r w:rsidR="00755D28">
        <w:t xml:space="preserve"> (also referred to as the Oak Ridge Graphite Reactor)</w:t>
      </w:r>
      <w:r>
        <w:t xml:space="preserve"> was built and went into operation on November 4, 1943 at the X-10 site and was the first continuously </w:t>
      </w:r>
      <w:r>
        <w:lastRenderedPageBreak/>
        <w:t>operating reactor in the world.  Small amounts of plutonium were extracted from the uranium slugs following irradiation via chemical processes</w:t>
      </w:r>
      <w:r w:rsidR="00C67546">
        <w:t xml:space="preserve"> </w:t>
      </w:r>
      <w:r w:rsidR="007511FA">
        <w:fldChar w:fldCharType="begin"/>
      </w:r>
      <w:r w:rsidR="00C67546">
        <w:instrText xml:space="preserve"> REF _Ref285636546 \n \h </w:instrText>
      </w:r>
      <w:r w:rsidR="007511FA">
        <w:fldChar w:fldCharType="separate"/>
      </w:r>
      <w:r w:rsidR="00D5167B">
        <w:t>[47]</w:t>
      </w:r>
      <w:r w:rsidR="007511FA">
        <w:fldChar w:fldCharType="end"/>
      </w:r>
      <w:r>
        <w:t>.</w:t>
      </w:r>
      <w:r w:rsidR="008D6A4C">
        <w:t xml:space="preserve">  </w:t>
      </w:r>
      <w:r>
        <w:t>After WWII, the USS Nautilus became the first nuclear power submarine in 1953 and the first nuclear power plant was built in 1956 at Cald</w:t>
      </w:r>
      <w:r w:rsidR="008D6A4C">
        <w:t xml:space="preserve">er Hall in the United Kingdom </w:t>
      </w:r>
      <w:r w:rsidR="007511FA">
        <w:fldChar w:fldCharType="begin"/>
      </w:r>
      <w:r w:rsidR="00C67546">
        <w:instrText xml:space="preserve"> REF _Ref285636555 \n \h </w:instrText>
      </w:r>
      <w:r w:rsidR="007511FA">
        <w:fldChar w:fldCharType="separate"/>
      </w:r>
      <w:r w:rsidR="00D5167B">
        <w:t>[48]</w:t>
      </w:r>
      <w:r w:rsidR="007511FA">
        <w:fldChar w:fldCharType="end"/>
      </w:r>
      <w:r w:rsidR="008D6A4C">
        <w:t>.</w:t>
      </w:r>
    </w:p>
    <w:p w:rsidR="0019382E" w:rsidRDefault="0019382E" w:rsidP="0019382E">
      <w:r>
        <w:t xml:space="preserve">Today, </w:t>
      </w:r>
      <w:r w:rsidRPr="00C67546">
        <w:t>over 440</w:t>
      </w:r>
      <w:r>
        <w:t xml:space="preserve"> nuclear power reactors are in operation; 104 of these reactors are commercial power reactors in the United States</w:t>
      </w:r>
      <w:r w:rsidR="004C2603">
        <w:t>, and more than 65 reactors are under construction (25+ in China)</w:t>
      </w:r>
      <w:r>
        <w:t xml:space="preserve">.  These commercial reactors are used for electricity production and distribution.  There are also </w:t>
      </w:r>
      <w:r w:rsidR="00755D28">
        <w:t xml:space="preserve">more than 240 </w:t>
      </w:r>
      <w:r>
        <w:t>research and test reactors in operation in the United States</w:t>
      </w:r>
      <w:r w:rsidR="001D7F7D">
        <w:t xml:space="preserve"> and around the world</w:t>
      </w:r>
      <w:r>
        <w:t xml:space="preserve"> that are used for </w:t>
      </w:r>
      <w:r w:rsidR="001D7F7D">
        <w:t>a variety of scientific missions rather than supplying power to the grid</w:t>
      </w:r>
      <w:r w:rsidR="00C67546">
        <w:t xml:space="preserve"> </w:t>
      </w:r>
      <w:r w:rsidR="007511FA">
        <w:fldChar w:fldCharType="begin"/>
      </w:r>
      <w:r w:rsidR="00C67546">
        <w:instrText xml:space="preserve"> REF _Ref285636571 \n \h </w:instrText>
      </w:r>
      <w:r w:rsidR="007511FA">
        <w:fldChar w:fldCharType="separate"/>
      </w:r>
      <w:r w:rsidR="00D5167B">
        <w:t>[49]</w:t>
      </w:r>
      <w:r w:rsidR="007511FA">
        <w:fldChar w:fldCharType="end"/>
      </w:r>
      <w:r>
        <w:t>.  The High Flux Isotope</w:t>
      </w:r>
      <w:r w:rsidR="001D7F7D">
        <w:t xml:space="preserve"> Reactor at Oak Ridge National Laboratory</w:t>
      </w:r>
      <w:r>
        <w:t xml:space="preserve">, for example, runs on </w:t>
      </w:r>
      <w:r w:rsidR="001D7F7D">
        <w:t xml:space="preserve">approximately </w:t>
      </w:r>
      <w:r>
        <w:t>24 day cycles at 85 MW</w:t>
      </w:r>
      <w:r w:rsidR="001D7F7D">
        <w:rPr>
          <w:vertAlign w:val="subscript"/>
        </w:rPr>
        <w:t>th</w:t>
      </w:r>
      <w:r>
        <w:t xml:space="preserve"> and is used primarily for neutron scattering</w:t>
      </w:r>
      <w:r w:rsidR="007563CE">
        <w:t>, isotope production, and materials irradiation</w:t>
      </w:r>
      <w:r w:rsidR="000E783E">
        <w:t>.</w:t>
      </w:r>
    </w:p>
    <w:p w:rsidR="0019382E" w:rsidRDefault="0019382E" w:rsidP="000E783E">
      <w:r>
        <w:t>Most of the commercial reactors in the United States are light water reactors (LWRs) that use light water (H</w:t>
      </w:r>
      <w:r>
        <w:rPr>
          <w:vertAlign w:val="subscript"/>
        </w:rPr>
        <w:t>2</w:t>
      </w:r>
      <w:r>
        <w:t>O) as their moderator and reflector.  The most typical types of LWRs used in the U.S. are pressurized water reactors (PWRs) and boiling water reactors (BWRs).  Both</w:t>
      </w:r>
      <w:r w:rsidR="00042F4A">
        <w:t xml:space="preserve"> of these reactor types</w:t>
      </w:r>
      <w:r>
        <w:t xml:space="preserve"> produce approximately 1000 </w:t>
      </w:r>
      <w:proofErr w:type="spellStart"/>
      <w:r>
        <w:t>MWe</w:t>
      </w:r>
      <w:proofErr w:type="spellEnd"/>
      <w:r>
        <w:t xml:space="preserve"> (efficiency ~33%), use low enriched uranium (LEU) enriched between 2 and 5</w:t>
      </w:r>
      <w:r w:rsidR="00042F4A">
        <w:t xml:space="preserve"> </w:t>
      </w:r>
      <w:r>
        <w:t xml:space="preserve">% in </w:t>
      </w:r>
      <w:r>
        <w:rPr>
          <w:vertAlign w:val="superscript"/>
        </w:rPr>
        <w:t>235</w:t>
      </w:r>
      <w:r>
        <w:t>U</w:t>
      </w:r>
      <w:r w:rsidR="00042F4A">
        <w:t>/U</w:t>
      </w:r>
      <w:r>
        <w:t>, and operate continuously for 18</w:t>
      </w:r>
      <w:r w:rsidR="00042F4A">
        <w:t xml:space="preserve"> to </w:t>
      </w:r>
      <w:r>
        <w:t>24 months</w:t>
      </w:r>
      <w:r w:rsidR="00042F4A">
        <w:t xml:space="preserve"> </w:t>
      </w:r>
      <w:r w:rsidR="004C2603">
        <w:t>cycles</w:t>
      </w:r>
      <w:r>
        <w:t>.  The main differences between the two reactors is that PWRs have control rods (used for reactivity control) that are inserted from the top of the core whereas a BWR has control blades that are inserted from the bottom, and PWRs have two loops (primary-radioactive and secondary-not radioactive) wh</w:t>
      </w:r>
      <w:r w:rsidR="00F1296F">
        <w:t xml:space="preserve">ereas a BWR only has one loop.  Natural uranium only consists of about 0.7 % </w:t>
      </w:r>
      <w:r w:rsidR="00F1296F">
        <w:rPr>
          <w:vertAlign w:val="superscript"/>
        </w:rPr>
        <w:t>235</w:t>
      </w:r>
      <w:r w:rsidR="00F1296F">
        <w:t>U/U and thus must be enriched before being used in most nuclear reactors.  Natural uranium ore is mined from deposits and is then extracted, converted, and enriched into solid fuel form (typically UO</w:t>
      </w:r>
      <w:r w:rsidR="00F1296F">
        <w:rPr>
          <w:vertAlign w:val="subscript"/>
        </w:rPr>
        <w:t>2</w:t>
      </w:r>
      <w:r w:rsidR="00F1296F">
        <w:t xml:space="preserve">).  One kg of </w:t>
      </w:r>
      <w:proofErr w:type="spellStart"/>
      <w:r w:rsidR="00F1296F">
        <w:t>fissioned</w:t>
      </w:r>
      <w:proofErr w:type="spellEnd"/>
      <w:r w:rsidR="00F1296F">
        <w:t xml:space="preserve"> </w:t>
      </w:r>
      <w:r w:rsidR="00F1296F">
        <w:rPr>
          <w:vertAlign w:val="superscript"/>
        </w:rPr>
        <w:t>235</w:t>
      </w:r>
      <w:r w:rsidR="00F1296F">
        <w:t>U has an energy content of about 2700 tons</w:t>
      </w:r>
      <w:r w:rsidR="000E783E">
        <w:t xml:space="preserve"> of coal or 2000 </w:t>
      </w:r>
      <w:proofErr w:type="spellStart"/>
      <w:r w:rsidR="000E783E">
        <w:t>tonnes</w:t>
      </w:r>
      <w:proofErr w:type="spellEnd"/>
      <w:r w:rsidR="000E783E">
        <w:t xml:space="preserve"> of oil.</w:t>
      </w:r>
    </w:p>
    <w:p w:rsidR="00AF709F" w:rsidRPr="000E105F" w:rsidRDefault="00AF709F" w:rsidP="00AF709F">
      <w:r>
        <w:t xml:space="preserve">The United States has the most operating nuclear power plants which contribute about 20 % of the used electricity, but the French nuclear plants provide France with about 80 % of their needs.  Most of the </w:t>
      </w:r>
      <w:r>
        <w:lastRenderedPageBreak/>
        <w:t xml:space="preserve">operating power plants are generation II reactors while </w:t>
      </w:r>
      <w:r w:rsidR="008D6A4C">
        <w:t>research and development</w:t>
      </w:r>
      <w:r>
        <w:t xml:space="preserve"> is being conducted on generation III, III+, and IV reactors.  Some generation III reactors, such as the ABWR, EPR, and the AP1000 have been approved and are being built across the globe and are being planned to be built in the U.S.  Generation III+ and generation IV reactors </w:t>
      </w:r>
      <w:r w:rsidR="0015312F">
        <w:t>are in varying stages of development</w:t>
      </w:r>
      <w:r>
        <w:t>.</w:t>
      </w:r>
    </w:p>
    <w:p w:rsidR="0019382E" w:rsidRDefault="00042F4A" w:rsidP="0019382E">
      <w:r>
        <w:t xml:space="preserve">The nuclear industry has a proven safety track record over the years, but </w:t>
      </w:r>
      <w:r w:rsidR="0015312F" w:rsidRPr="0015312F">
        <w:rPr>
          <w:highlight w:val="red"/>
        </w:rPr>
        <w:t>three</w:t>
      </w:r>
      <w:r w:rsidR="0019382E">
        <w:t xml:space="preserve"> accidents </w:t>
      </w:r>
      <w:r>
        <w:t xml:space="preserve">in the past </w:t>
      </w:r>
      <w:r w:rsidR="0019382E">
        <w:t xml:space="preserve">have concerned the public </w:t>
      </w:r>
      <w:r>
        <w:t>and include t</w:t>
      </w:r>
      <w:r w:rsidR="0019382E">
        <w:t xml:space="preserve">he Chernobyl </w:t>
      </w:r>
      <w:r>
        <w:t xml:space="preserve">reactor number 4 </w:t>
      </w:r>
      <w:r w:rsidR="0019382E">
        <w:t xml:space="preserve">accident </w:t>
      </w:r>
      <w:r>
        <w:t>that</w:t>
      </w:r>
      <w:r w:rsidR="0019382E">
        <w:t xml:space="preserve"> occurred in Ukraine in 1986 and the Three Mile Island 2 accident which occurred in Pennsylvania in 1979.  The Chernobyl accident resulted in a release of radiation caused by </w:t>
      </w:r>
      <w:r>
        <w:t xml:space="preserve">transient-induced power spikes strong enough to cause a series of explosions and </w:t>
      </w:r>
      <w:r w:rsidR="0019382E">
        <w:t>occurred primarily due to an experiment being conducted by untrained operators.  The TMI accident, which was caused by human errors and hardware malfunctions, resulted in the melting of most of the core, but no radiation was released because it was all contained within the containment building.</w:t>
      </w:r>
      <w:r w:rsidR="0015312F">
        <w:t xml:space="preserve"> </w:t>
      </w:r>
      <w:r w:rsidR="0015312F" w:rsidRPr="0015312F">
        <w:rPr>
          <w:highlight w:val="red"/>
        </w:rPr>
        <w:t>Need a sentence or two about Fukushima Power Plant in Japan.</w:t>
      </w:r>
    </w:p>
    <w:p w:rsidR="004C2603" w:rsidRDefault="00F1296F" w:rsidP="004C2603">
      <w:r>
        <w:t>A</w:t>
      </w:r>
      <w:r w:rsidR="00AF709F">
        <w:t>lthough no greenhouse gases are released from nuclear power, radioactive fission products are created via the fission process.  The radioactive isotopes that compose spent fuel have long half lives which cause a problem for storing the spent fuel.  Currently, the spent fuel is stored in spent fuel pools and concrete casks, but it has been proposed that they should be moved to an underground storage repository in Nevada’s Yucca Mountain.  How</w:t>
      </w:r>
      <w:r w:rsidR="0015312F">
        <w:t>ever,</w:t>
      </w:r>
      <w:r w:rsidR="00AF709F">
        <w:t xml:space="preserve"> this idea still remains a proposal.  Another possibility of decreasing the effect of waste is actinide burning.  By placing actinide rods into fast reactors, much of the actinide activity could be “burned” by neutron induced fission, but economics do not seem favorable at this time.</w:t>
      </w:r>
    </w:p>
    <w:p w:rsidR="00A35723" w:rsidRDefault="00A35723" w:rsidP="00A35723">
      <w:r>
        <w:br w:type="page"/>
      </w:r>
    </w:p>
    <w:p w:rsidR="00A35723" w:rsidRDefault="00A35723" w:rsidP="00AA149C">
      <w:pPr>
        <w:pStyle w:val="Heading1"/>
      </w:pPr>
      <w:bookmarkStart w:id="73" w:name="_Toc295818103"/>
      <w:r>
        <w:lastRenderedPageBreak/>
        <w:t>Description of the High Flux Isotope Reactor</w:t>
      </w:r>
      <w:bookmarkEnd w:id="73"/>
    </w:p>
    <w:p w:rsidR="00CB3AF8" w:rsidRPr="00AE4AD7" w:rsidRDefault="00033A8E" w:rsidP="00033A8E">
      <w:pPr>
        <w:autoSpaceDE w:val="0"/>
        <w:autoSpaceDN w:val="0"/>
        <w:adjustRightInd w:val="0"/>
      </w:pPr>
      <w:r w:rsidRPr="002E6980">
        <w:t xml:space="preserve">The High Flux Isotope Reactor is a </w:t>
      </w:r>
      <w:r w:rsidR="00CB3AF8">
        <w:t>compact and versatile</w:t>
      </w:r>
      <w:r w:rsidRPr="002E6980">
        <w:t xml:space="preserve"> </w:t>
      </w:r>
      <w:r w:rsidR="00811A45">
        <w:t xml:space="preserve">HEU fueled, </w:t>
      </w:r>
      <w:r w:rsidR="00492BDA">
        <w:t>beryllium-reflected, light water-cooled</w:t>
      </w:r>
      <w:r w:rsidR="00811A45">
        <w:t xml:space="preserve"> and -moderated</w:t>
      </w:r>
      <w:r w:rsidR="00492BDA">
        <w:t>,</w:t>
      </w:r>
      <w:r w:rsidR="00811A45">
        <w:t xml:space="preserve"> </w:t>
      </w:r>
      <w:r w:rsidR="00492BDA">
        <w:t xml:space="preserve">flux-trap-type </w:t>
      </w:r>
      <w:r>
        <w:t>res</w:t>
      </w:r>
      <w:r w:rsidR="00CB3AF8">
        <w:t>e</w:t>
      </w:r>
      <w:r>
        <w:t>arch</w:t>
      </w:r>
      <w:r w:rsidRPr="002E6980">
        <w:t xml:space="preserve"> reactor </w:t>
      </w:r>
      <w:r w:rsidR="00CB3AF8">
        <w:t>located at the Oak Ridge National Laboratory</w:t>
      </w:r>
      <w:r w:rsidR="00492BDA">
        <w:t xml:space="preserve"> in Oak Ridge, Tennessee</w:t>
      </w:r>
      <w:r w:rsidR="00CB3AF8">
        <w:t xml:space="preserve">.  </w:t>
      </w:r>
      <w:r w:rsidR="00CB3AF8" w:rsidRPr="00671F1E">
        <w:t xml:space="preserve">The reactor was designed and built in </w:t>
      </w:r>
      <w:r w:rsidR="00CB3AF8">
        <w:t xml:space="preserve">the late 1950s </w:t>
      </w:r>
      <w:r w:rsidR="00492BDA">
        <w:t>to mid</w:t>
      </w:r>
      <w:r w:rsidR="00CB3AF8">
        <w:t xml:space="preserve"> 1960s in </w:t>
      </w:r>
      <w:r w:rsidR="00CB3AF8" w:rsidRPr="00671F1E">
        <w:t xml:space="preserve">response to needs for a very high flux isotope reactor for the purpose of producing transuranic isotopes such as </w:t>
      </w:r>
      <w:r w:rsidR="00CB3AF8" w:rsidRPr="00671F1E">
        <w:rPr>
          <w:vertAlign w:val="superscript"/>
        </w:rPr>
        <w:t>252</w:t>
      </w:r>
      <w:r w:rsidR="00CB3AF8" w:rsidRPr="00671F1E">
        <w:t>Cf</w:t>
      </w:r>
      <w:r w:rsidR="00CB3AF8">
        <w:t xml:space="preserve">.  </w:t>
      </w:r>
      <w:r w:rsidR="00CB3AF8" w:rsidRPr="00671F1E">
        <w:t xml:space="preserve">HFIR was designed </w:t>
      </w:r>
      <w:r w:rsidR="00CB3AF8">
        <w:t>with</w:t>
      </w:r>
      <w:r w:rsidR="0015312F">
        <w:t xml:space="preserve"> an</w:t>
      </w:r>
      <w:r w:rsidR="00CB3AF8">
        <w:t xml:space="preserve"> </w:t>
      </w:r>
      <w:r w:rsidR="00CB3AF8" w:rsidRPr="00671F1E">
        <w:t>over-moderated</w:t>
      </w:r>
      <w:r w:rsidR="00CB3AF8">
        <w:t xml:space="preserve"> cylindrical flux trap</w:t>
      </w:r>
      <w:r w:rsidR="00CB3AF8" w:rsidRPr="00671F1E">
        <w:t xml:space="preserve"> in the center of the </w:t>
      </w:r>
      <w:r w:rsidR="00CB3AF8">
        <w:t xml:space="preserve">compact </w:t>
      </w:r>
      <w:r w:rsidR="00CB3AF8" w:rsidRPr="00671F1E">
        <w:t xml:space="preserve">reactor core and a large beryllium reflector on the outside of the core </w:t>
      </w:r>
      <w:r w:rsidR="00CB3AF8">
        <w:t xml:space="preserve">in order </w:t>
      </w:r>
      <w:r w:rsidR="00CB3AF8" w:rsidRPr="00671F1E">
        <w:t>to produce a la</w:t>
      </w:r>
      <w:r w:rsidR="00CB3AF8">
        <w:t>rge thermal</w:t>
      </w:r>
      <w:r w:rsidR="00492BDA">
        <w:t xml:space="preserve"> neutron</w:t>
      </w:r>
      <w:r w:rsidR="00CB3AF8">
        <w:t xml:space="preserve"> flux to power ratio, an optimal irradiation </w:t>
      </w:r>
      <w:r w:rsidR="00492BDA">
        <w:t>environment for transuranic isotope production</w:t>
      </w:r>
      <w:r w:rsidR="00CB3AF8" w:rsidRPr="00671F1E">
        <w:t>.</w:t>
      </w:r>
      <w:r w:rsidR="00CB3AF8" w:rsidRPr="00CB3AF8">
        <w:t xml:space="preserve"> </w:t>
      </w:r>
      <w:r w:rsidR="00CB3AF8">
        <w:t xml:space="preserve"> </w:t>
      </w:r>
      <w:r w:rsidR="00CB3AF8" w:rsidRPr="002E6980">
        <w:t>HFIR first achieved criticality on August 25, 1965</w:t>
      </w:r>
      <w:r w:rsidR="00CB3AF8">
        <w:t xml:space="preserve"> and then reached </w:t>
      </w:r>
      <w:r w:rsidR="00CB3AF8" w:rsidRPr="00671F1E">
        <w:t xml:space="preserve">100% </w:t>
      </w:r>
      <w:r w:rsidR="00CB3AF8">
        <w:t xml:space="preserve">rated </w:t>
      </w:r>
      <w:r w:rsidR="00492BDA">
        <w:t xml:space="preserve">power, </w:t>
      </w:r>
      <w:r w:rsidR="00CB3AF8" w:rsidRPr="00671F1E">
        <w:t>100 MW</w:t>
      </w:r>
      <w:r w:rsidR="00CB3AF8" w:rsidRPr="00671F1E">
        <w:rPr>
          <w:vertAlign w:val="subscript"/>
        </w:rPr>
        <w:t>th</w:t>
      </w:r>
      <w:r w:rsidR="00492BDA">
        <w:t>,</w:t>
      </w:r>
      <w:r w:rsidR="00CB3AF8" w:rsidRPr="00671F1E">
        <w:t xml:space="preserve"> in September of 1966.</w:t>
      </w:r>
      <w:r w:rsidR="00CB3AF8">
        <w:t xml:space="preserve">  </w:t>
      </w:r>
      <w:r w:rsidR="009A7F6A">
        <w:t xml:space="preserve">Due to concerns </w:t>
      </w:r>
      <w:r w:rsidR="00AE4AD7">
        <w:t xml:space="preserve">about pressure vessel </w:t>
      </w:r>
      <w:proofErr w:type="spellStart"/>
      <w:r w:rsidR="00AE4AD7">
        <w:t>embrittlement</w:t>
      </w:r>
      <w:proofErr w:type="spellEnd"/>
      <w:r w:rsidR="00AE4AD7">
        <w:t xml:space="preserve">, HFIR was shutdown in late 1986 to assess the issues and </w:t>
      </w:r>
      <w:r w:rsidR="00811A45">
        <w:t xml:space="preserve">to </w:t>
      </w:r>
      <w:r w:rsidR="00AE4AD7">
        <w:t>answer questions about procedural adequacy.  This assessment lead to a reduction in</w:t>
      </w:r>
      <w:r w:rsidR="00811A45">
        <w:t xml:space="preserve"> the operating</w:t>
      </w:r>
      <w:r w:rsidR="00AE4AD7">
        <w:t xml:space="preserve"> power</w:t>
      </w:r>
      <w:r w:rsidR="00811A45">
        <w:t xml:space="preserve"> level</w:t>
      </w:r>
      <w:r w:rsidR="00AE4AD7">
        <w:t xml:space="preserve"> and in May of 1990, HFIR was restarted at a power of 85 MW</w:t>
      </w:r>
      <w:r w:rsidR="00AE4AD7">
        <w:rPr>
          <w:vertAlign w:val="subscript"/>
        </w:rPr>
        <w:t>th</w:t>
      </w:r>
      <w:r w:rsidR="00AE4AD7">
        <w:t>.  Today, at 85 MW, HFIR operates with a peak thermal neutron flux of about 2.2x10</w:t>
      </w:r>
      <w:r w:rsidR="00AE4AD7">
        <w:rPr>
          <w:vertAlign w:val="superscript"/>
        </w:rPr>
        <w:t>15</w:t>
      </w:r>
      <w:r w:rsidR="00AE4AD7">
        <w:t xml:space="preserve"> neutrons/cm</w:t>
      </w:r>
      <w:r w:rsidR="00AE4AD7">
        <w:rPr>
          <w:vertAlign w:val="superscript"/>
        </w:rPr>
        <w:t>2</w:t>
      </w:r>
      <w:r w:rsidR="00AE4AD7">
        <w:t xml:space="preserve">/second </w:t>
      </w:r>
      <w:r w:rsidR="00811A45">
        <w:t>and the flux fields are primarily used for cold and thermal neutron scattering, isotope production, materials irradiation, and neutron activation analyses.</w:t>
      </w:r>
    </w:p>
    <w:p w:rsidR="00CB3AF8" w:rsidRDefault="00811A45" w:rsidP="00033A8E">
      <w:pPr>
        <w:autoSpaceDE w:val="0"/>
        <w:autoSpaceDN w:val="0"/>
        <w:adjustRightInd w:val="0"/>
      </w:pPr>
      <w:r>
        <w:t>The</w:t>
      </w:r>
      <w:r w:rsidR="002A463D">
        <w:t xml:space="preserve"> reactor assembly consists of multiple regions encompassing each other in a cylindrical geometry as shown in</w:t>
      </w:r>
      <w:r w:rsidR="00C06370">
        <w:t xml:space="preserve"> </w:t>
      </w:r>
      <w:r w:rsidR="007511FA">
        <w:fldChar w:fldCharType="begin"/>
      </w:r>
      <w:r w:rsidR="00C06370">
        <w:instrText xml:space="preserve"> REF _Ref285532102 \h </w:instrText>
      </w:r>
      <w:r w:rsidR="007511FA">
        <w:fldChar w:fldCharType="separate"/>
      </w:r>
      <w:r w:rsidR="00D5167B">
        <w:t xml:space="preserve">Figure </w:t>
      </w:r>
      <w:r w:rsidR="00D5167B">
        <w:rPr>
          <w:noProof/>
        </w:rPr>
        <w:t>2</w:t>
      </w:r>
      <w:r w:rsidR="00D5167B">
        <w:t>.</w:t>
      </w:r>
      <w:r w:rsidR="00D5167B">
        <w:rPr>
          <w:noProof/>
        </w:rPr>
        <w:t>1</w:t>
      </w:r>
      <w:r w:rsidR="007511FA">
        <w:fldChar w:fldCharType="end"/>
      </w:r>
      <w:r w:rsidR="00C06370">
        <w:t xml:space="preserve"> and </w:t>
      </w:r>
      <w:r w:rsidR="007511FA">
        <w:fldChar w:fldCharType="begin"/>
      </w:r>
      <w:r w:rsidR="00C06370">
        <w:instrText xml:space="preserve"> REF _Ref285532110 \h </w:instrText>
      </w:r>
      <w:r w:rsidR="007511FA">
        <w:fldChar w:fldCharType="separate"/>
      </w:r>
      <w:r w:rsidR="00D5167B" w:rsidRPr="00C06370">
        <w:t xml:space="preserve">Figure </w:t>
      </w:r>
      <w:r w:rsidR="00D5167B">
        <w:rPr>
          <w:noProof/>
        </w:rPr>
        <w:t>2</w:t>
      </w:r>
      <w:r w:rsidR="00D5167B">
        <w:t>.</w:t>
      </w:r>
      <w:r w:rsidR="00D5167B">
        <w:rPr>
          <w:noProof/>
        </w:rPr>
        <w:t>2</w:t>
      </w:r>
      <w:r w:rsidR="007511FA">
        <w:fldChar w:fldCharType="end"/>
      </w:r>
      <w:r w:rsidR="002A463D">
        <w:t>.  In the center of the reactor is a cylindrical cavity referred to as the flux trap and two concentric fuel annuli are located outside of the flux trap.  The flux trap and fuel annuli are illustrated in</w:t>
      </w:r>
      <w:r w:rsidR="00C06370">
        <w:t xml:space="preserve"> </w:t>
      </w:r>
      <w:r w:rsidR="007511FA">
        <w:fldChar w:fldCharType="begin"/>
      </w:r>
      <w:r w:rsidR="00C06370">
        <w:instrText xml:space="preserve"> REF _Ref285532125 \h </w:instrText>
      </w:r>
      <w:r w:rsidR="007511FA">
        <w:fldChar w:fldCharType="separate"/>
      </w:r>
      <w:r w:rsidR="00D5167B">
        <w:t xml:space="preserve">Figure </w:t>
      </w:r>
      <w:r w:rsidR="00D5167B">
        <w:rPr>
          <w:noProof/>
        </w:rPr>
        <w:t>2</w:t>
      </w:r>
      <w:r w:rsidR="00D5167B">
        <w:t>.</w:t>
      </w:r>
      <w:r w:rsidR="00D5167B">
        <w:rPr>
          <w:noProof/>
        </w:rPr>
        <w:t>3</w:t>
      </w:r>
      <w:r w:rsidR="007511FA">
        <w:fldChar w:fldCharType="end"/>
      </w:r>
      <w:r w:rsidR="002A463D">
        <w:t xml:space="preserve">.  Two thin, neutron absorbing control elements surround the core </w:t>
      </w:r>
      <w:r w:rsidR="000D3854">
        <w:t xml:space="preserve">and a large beryllium reflector is positioned outside of these control elements.  The reactor core assembly is contained in a </w:t>
      </w:r>
      <w:r w:rsidR="00483A89">
        <w:t xml:space="preserve">carbon steel </w:t>
      </w:r>
      <w:r w:rsidR="000D3854">
        <w:t>pressure vessel</w:t>
      </w:r>
      <w:r w:rsidR="00483A89">
        <w:t xml:space="preserve"> in a stainless steel clad</w:t>
      </w:r>
      <w:r w:rsidR="000D3854">
        <w:t xml:space="preserve"> and located in a pool of light water.</w:t>
      </w:r>
    </w:p>
    <w:p w:rsidR="00352CC5" w:rsidRDefault="000D3854" w:rsidP="00382712">
      <w:pPr>
        <w:autoSpaceDE w:val="0"/>
        <w:autoSpaceDN w:val="0"/>
        <w:adjustRightInd w:val="0"/>
      </w:pPr>
      <w:r w:rsidRPr="00F87092">
        <w:t xml:space="preserve">The flux trap </w:t>
      </w:r>
      <w:r w:rsidR="00453B91">
        <w:t xml:space="preserve">is 12.7 cm in diameter and </w:t>
      </w:r>
      <w:r w:rsidRPr="00F87092">
        <w:t>consists of 37 experimental sites; 31 of these sites ar</w:t>
      </w:r>
      <w:r>
        <w:t>e located in the interior of a</w:t>
      </w:r>
      <w:r w:rsidRPr="00F87092">
        <w:t xml:space="preserve"> basket</w:t>
      </w:r>
      <w:r>
        <w:t xml:space="preserve"> and </w:t>
      </w:r>
      <w:r w:rsidRPr="00F87092">
        <w:t>the other 6 are located on the periphery of the basket and are referred to as the peripheral target positions (PTP</w:t>
      </w:r>
      <w:r>
        <w:t>s</w:t>
      </w:r>
      <w:r w:rsidRPr="00F87092">
        <w:t xml:space="preserve">). </w:t>
      </w:r>
      <w:r>
        <w:t xml:space="preserve"> One of the</w:t>
      </w:r>
      <w:r w:rsidRPr="00F87092">
        <w:t xml:space="preserve"> interior </w:t>
      </w:r>
      <w:r>
        <w:t>positions</w:t>
      </w:r>
      <w:r w:rsidRPr="00F87092">
        <w:t xml:space="preserve"> is connected to a hydraulic tube that allows for the insertion and removal of capsules</w:t>
      </w:r>
      <w:r w:rsidR="00497B61">
        <w:t xml:space="preserve"> while the reactor is operating</w:t>
      </w:r>
      <w:r>
        <w:t xml:space="preserve">, which are usually </w:t>
      </w:r>
      <w:r w:rsidRPr="00F87092">
        <w:lastRenderedPageBreak/>
        <w:t>irradiated for a short duration (minutes to hours)</w:t>
      </w:r>
      <w:r>
        <w:t xml:space="preserve"> and are</w:t>
      </w:r>
      <w:r w:rsidRPr="00F87092">
        <w:t xml:space="preserve"> typically</w:t>
      </w:r>
      <w:r>
        <w:t xml:space="preserve"> utilized for</w:t>
      </w:r>
      <w:r w:rsidRPr="00F87092">
        <w:t xml:space="preserve"> medical isotope production. </w:t>
      </w:r>
      <w:r>
        <w:t xml:space="preserve"> </w:t>
      </w:r>
      <w:r w:rsidRPr="00F87092">
        <w:t>The</w:t>
      </w:r>
      <w:r>
        <w:t xml:space="preserve"> other</w:t>
      </w:r>
      <w:r w:rsidRPr="00F87092">
        <w:t xml:space="preserve"> interior positions are typically occupied by target rods used for the production of trans</w:t>
      </w:r>
      <w:r>
        <w:t>uranic</w:t>
      </w:r>
      <w:r w:rsidRPr="00F87092">
        <w:t xml:space="preserve"> </w:t>
      </w:r>
      <w:r>
        <w:t>and medical isotopes.</w:t>
      </w:r>
      <w:r w:rsidRPr="00F87092">
        <w:t xml:space="preserve"> </w:t>
      </w:r>
      <w:r>
        <w:t xml:space="preserve"> The PTPs, located at the outer radial edge of the flux trap where the highest</w:t>
      </w:r>
      <w:r w:rsidRPr="00F87092">
        <w:t xml:space="preserve"> fast-neutron flux </w:t>
      </w:r>
      <w:r>
        <w:t>exists, are primarily used for materials irradiation studies</w:t>
      </w:r>
      <w:r w:rsidRPr="00F87092">
        <w:t xml:space="preserve">. </w:t>
      </w:r>
      <w:r>
        <w:t xml:space="preserve"> </w:t>
      </w:r>
      <w:r w:rsidRPr="00F87092">
        <w:t xml:space="preserve">The </w:t>
      </w:r>
      <w:r>
        <w:t xml:space="preserve">peak </w:t>
      </w:r>
      <w:r w:rsidRPr="00F87092">
        <w:t xml:space="preserve">thermal neutron flux </w:t>
      </w:r>
      <w:r>
        <w:t xml:space="preserve">exists </w:t>
      </w:r>
      <w:r w:rsidRPr="00F87092">
        <w:t xml:space="preserve">in the flux trap </w:t>
      </w:r>
      <w:r>
        <w:t>because the high energy neutrons born in the fuel elements leak into the flux trap where they are moderated to lower energies via scattering interactions with water</w:t>
      </w:r>
      <w:r w:rsidRPr="00F87092">
        <w:t>.</w:t>
      </w:r>
    </w:p>
    <w:p w:rsidR="009860AE" w:rsidRDefault="009860AE" w:rsidP="00382712">
      <w:pPr>
        <w:autoSpaceDE w:val="0"/>
        <w:autoSpaceDN w:val="0"/>
        <w:adjustRightInd w:val="0"/>
      </w:pPr>
    </w:p>
    <w:p w:rsidR="009860AE" w:rsidRDefault="009860AE" w:rsidP="00382712">
      <w:pPr>
        <w:autoSpaceDE w:val="0"/>
        <w:autoSpaceDN w:val="0"/>
        <w:adjustRightInd w:val="0"/>
      </w:pPr>
    </w:p>
    <w:p w:rsidR="009860AE" w:rsidRDefault="009860AE" w:rsidP="00382712">
      <w:pPr>
        <w:autoSpaceDE w:val="0"/>
        <w:autoSpaceDN w:val="0"/>
        <w:adjustRightInd w:val="0"/>
      </w:pPr>
    </w:p>
    <w:p w:rsidR="009860AE" w:rsidRDefault="009860AE" w:rsidP="00382712">
      <w:pPr>
        <w:autoSpaceDE w:val="0"/>
        <w:autoSpaceDN w:val="0"/>
        <w:adjustRightInd w:val="0"/>
      </w:pPr>
    </w:p>
    <w:p w:rsidR="009860AE" w:rsidRDefault="009860AE" w:rsidP="00382712">
      <w:pPr>
        <w:autoSpaceDE w:val="0"/>
        <w:autoSpaceDN w:val="0"/>
        <w:adjustRightInd w:val="0"/>
      </w:pPr>
    </w:p>
    <w:p w:rsidR="000D3854" w:rsidRDefault="00352CC5" w:rsidP="009860AE">
      <w:pPr>
        <w:autoSpaceDE w:val="0"/>
        <w:autoSpaceDN w:val="0"/>
        <w:adjustRightInd w:val="0"/>
        <w:ind w:firstLine="0"/>
        <w:jc w:val="center"/>
      </w:pPr>
      <w:r>
        <w:rPr>
          <w:rFonts w:ascii="Arial" w:hAnsi="Arial" w:cs="Arial"/>
          <w:noProof/>
          <w:color w:val="373737"/>
          <w:sz w:val="19"/>
          <w:szCs w:val="19"/>
        </w:rPr>
        <w:drawing>
          <wp:inline distT="0" distB="0" distL="0" distR="0">
            <wp:extent cx="5282404" cy="3657600"/>
            <wp:effectExtent l="19050" t="0" r="0" b="0"/>
            <wp:docPr id="12" name="lightbox-image" descr="http://neutrons.ornl.gov/images/hfir/HFIR-Core-crosssection-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htbox-image" descr="http://neutrons.ornl.gov/images/hfir/HFIR-Core-crosssection-med.jpg"/>
                    <pic:cNvPicPr>
                      <a:picLocks noChangeAspect="1" noChangeArrowheads="1"/>
                    </pic:cNvPicPr>
                  </pic:nvPicPr>
                  <pic:blipFill>
                    <a:blip r:embed="rId9" cstate="print"/>
                    <a:srcRect/>
                    <a:stretch>
                      <a:fillRect/>
                    </a:stretch>
                  </pic:blipFill>
                  <pic:spPr bwMode="auto">
                    <a:xfrm>
                      <a:off x="0" y="0"/>
                      <a:ext cx="5282404" cy="3657600"/>
                    </a:xfrm>
                    <a:prstGeom prst="rect">
                      <a:avLst/>
                    </a:prstGeom>
                    <a:noFill/>
                    <a:ln w="9525">
                      <a:noFill/>
                      <a:miter lim="800000"/>
                      <a:headEnd/>
                      <a:tailEnd/>
                    </a:ln>
                  </pic:spPr>
                </pic:pic>
              </a:graphicData>
            </a:graphic>
          </wp:inline>
        </w:drawing>
      </w:r>
    </w:p>
    <w:p w:rsidR="00352CC5" w:rsidRDefault="00C06370" w:rsidP="00C06370">
      <w:pPr>
        <w:pStyle w:val="Caption"/>
      </w:pPr>
      <w:bookmarkStart w:id="74" w:name="_Ref285532102"/>
      <w:bookmarkStart w:id="75" w:name="_Toc295818181"/>
      <w:proofErr w:type="gramStart"/>
      <w:r>
        <w:t xml:space="preserve">Figure </w:t>
      </w:r>
      <w:r w:rsidR="007511FA">
        <w:fldChar w:fldCharType="begin"/>
      </w:r>
      <w:r w:rsidR="00AE17F8">
        <w:instrText xml:space="preserve"> STYLEREF 1 \s </w:instrText>
      </w:r>
      <w:r w:rsidR="007511FA">
        <w:fldChar w:fldCharType="separate"/>
      </w:r>
      <w:r w:rsidR="00D5167B">
        <w:rPr>
          <w:noProof/>
        </w:rPr>
        <w:t>2</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1</w:t>
      </w:r>
      <w:r w:rsidR="007511FA">
        <w:fldChar w:fldCharType="end"/>
      </w:r>
      <w:bookmarkEnd w:id="74"/>
      <w:r w:rsidR="00352CC5" w:rsidRPr="00382712">
        <w:t xml:space="preserve">. </w:t>
      </w:r>
      <w:proofErr w:type="gramStart"/>
      <w:r w:rsidR="00352CC5" w:rsidRPr="00382712">
        <w:t xml:space="preserve">Cross section </w:t>
      </w:r>
      <w:r w:rsidR="00382712" w:rsidRPr="00382712">
        <w:t>at the horizontal midplane.</w:t>
      </w:r>
      <w:bookmarkEnd w:id="75"/>
      <w:proofErr w:type="gramEnd"/>
      <w:r w:rsidR="00352CC5">
        <w:br w:type="page"/>
      </w:r>
    </w:p>
    <w:p w:rsidR="00382712" w:rsidRDefault="00382712" w:rsidP="009860AE">
      <w:pPr>
        <w:spacing w:before="0" w:after="200" w:line="276" w:lineRule="auto"/>
        <w:ind w:firstLine="0"/>
        <w:jc w:val="center"/>
      </w:pPr>
      <w:r w:rsidRPr="00382712">
        <w:rPr>
          <w:noProof/>
        </w:rPr>
        <w:lastRenderedPageBreak/>
        <w:drawing>
          <wp:inline distT="0" distB="0" distL="0" distR="0">
            <wp:extent cx="3657600" cy="2938323"/>
            <wp:effectExtent l="19050" t="0" r="0" b="0"/>
            <wp:docPr id="1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 cstate="print"/>
                    <a:srcRect/>
                    <a:stretch>
                      <a:fillRect/>
                    </a:stretch>
                  </pic:blipFill>
                  <pic:spPr bwMode="auto">
                    <a:xfrm>
                      <a:off x="0" y="0"/>
                      <a:ext cx="3657600" cy="2938323"/>
                    </a:xfrm>
                    <a:prstGeom prst="rect">
                      <a:avLst/>
                    </a:prstGeom>
                    <a:noFill/>
                    <a:ln w="9525">
                      <a:noFill/>
                      <a:miter lim="800000"/>
                      <a:headEnd/>
                      <a:tailEnd/>
                    </a:ln>
                  </pic:spPr>
                </pic:pic>
              </a:graphicData>
            </a:graphic>
          </wp:inline>
        </w:drawing>
      </w:r>
    </w:p>
    <w:p w:rsidR="00382712" w:rsidRPr="00C06370" w:rsidRDefault="00C06370" w:rsidP="00C06370">
      <w:pPr>
        <w:pStyle w:val="Caption"/>
      </w:pPr>
      <w:bookmarkStart w:id="76" w:name="_Ref285532110"/>
      <w:bookmarkStart w:id="77" w:name="_Toc295818182"/>
      <w:proofErr w:type="gramStart"/>
      <w:r w:rsidRPr="00C06370">
        <w:t xml:space="preserve">Figure </w:t>
      </w:r>
      <w:r w:rsidR="007511FA">
        <w:fldChar w:fldCharType="begin"/>
      </w:r>
      <w:r w:rsidR="00AE17F8">
        <w:instrText xml:space="preserve"> STYLEREF 1 \s </w:instrText>
      </w:r>
      <w:r w:rsidR="007511FA">
        <w:fldChar w:fldCharType="separate"/>
      </w:r>
      <w:r w:rsidR="00D5167B">
        <w:rPr>
          <w:noProof/>
        </w:rPr>
        <w:t>2</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2</w:t>
      </w:r>
      <w:r w:rsidR="007511FA">
        <w:fldChar w:fldCharType="end"/>
      </w:r>
      <w:bookmarkEnd w:id="76"/>
      <w:r w:rsidR="00382712" w:rsidRPr="00C06370">
        <w:t xml:space="preserve">.  </w:t>
      </w:r>
      <w:proofErr w:type="gramStart"/>
      <w:r w:rsidR="00382712" w:rsidRPr="00C06370">
        <w:t>HFIR reactor core assembly.</w:t>
      </w:r>
      <w:bookmarkEnd w:id="77"/>
      <w:proofErr w:type="gramEnd"/>
    </w:p>
    <w:p w:rsidR="00382712" w:rsidRDefault="00382712" w:rsidP="009860AE">
      <w:pPr>
        <w:spacing w:before="0" w:after="200" w:line="276" w:lineRule="auto"/>
        <w:ind w:firstLine="0"/>
        <w:jc w:val="center"/>
      </w:pPr>
    </w:p>
    <w:p w:rsidR="009860AE" w:rsidRDefault="009860AE" w:rsidP="009860AE">
      <w:pPr>
        <w:spacing w:before="0" w:after="200" w:line="276" w:lineRule="auto"/>
        <w:ind w:firstLine="0"/>
        <w:jc w:val="center"/>
      </w:pPr>
    </w:p>
    <w:p w:rsidR="00355EDD" w:rsidRDefault="00355EDD" w:rsidP="009860AE">
      <w:pPr>
        <w:spacing w:before="0" w:after="200" w:line="276" w:lineRule="auto"/>
        <w:ind w:firstLine="0"/>
        <w:jc w:val="center"/>
      </w:pPr>
    </w:p>
    <w:p w:rsidR="00382712" w:rsidRDefault="00382712" w:rsidP="009860AE">
      <w:pPr>
        <w:spacing w:before="0" w:after="200" w:line="276" w:lineRule="auto"/>
        <w:ind w:firstLine="0"/>
        <w:jc w:val="center"/>
      </w:pPr>
      <w:r w:rsidRPr="00382712">
        <w:rPr>
          <w:noProof/>
        </w:rPr>
        <w:drawing>
          <wp:inline distT="0" distB="0" distL="0" distR="0">
            <wp:extent cx="3657600" cy="2910748"/>
            <wp:effectExtent l="19050" t="0" r="0" b="0"/>
            <wp:docPr id="14" name="Picture 16" descr="C:\Users\dcz\Desktop\project\pics\Target%20Basket%20in%20Fuel%20Element_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dcz\Desktop\project\pics\Target%20Basket%20in%20Fuel%20Element_jpg.jpg"/>
                    <pic:cNvPicPr>
                      <a:picLocks noChangeAspect="1" noChangeArrowheads="1"/>
                    </pic:cNvPicPr>
                  </pic:nvPicPr>
                  <pic:blipFill>
                    <a:blip r:embed="rId11" cstate="print"/>
                    <a:srcRect/>
                    <a:stretch>
                      <a:fillRect/>
                    </a:stretch>
                  </pic:blipFill>
                  <pic:spPr bwMode="auto">
                    <a:xfrm>
                      <a:off x="0" y="0"/>
                      <a:ext cx="3657600" cy="2910748"/>
                    </a:xfrm>
                    <a:prstGeom prst="rect">
                      <a:avLst/>
                    </a:prstGeom>
                    <a:noFill/>
                    <a:ln w="9525">
                      <a:noFill/>
                      <a:miter lim="800000"/>
                      <a:headEnd/>
                      <a:tailEnd/>
                    </a:ln>
                  </pic:spPr>
                </pic:pic>
              </a:graphicData>
            </a:graphic>
          </wp:inline>
        </w:drawing>
      </w:r>
    </w:p>
    <w:p w:rsidR="00382712" w:rsidRPr="00355EDD" w:rsidRDefault="00C06370" w:rsidP="00C06370">
      <w:pPr>
        <w:pStyle w:val="Caption"/>
      </w:pPr>
      <w:bookmarkStart w:id="78" w:name="_Ref285532125"/>
      <w:bookmarkStart w:id="79" w:name="_Toc295818183"/>
      <w:proofErr w:type="gramStart"/>
      <w:r>
        <w:t xml:space="preserve">Figure </w:t>
      </w:r>
      <w:r w:rsidR="007511FA">
        <w:fldChar w:fldCharType="begin"/>
      </w:r>
      <w:r w:rsidR="00AE17F8">
        <w:instrText xml:space="preserve"> STYLEREF 1 \s </w:instrText>
      </w:r>
      <w:r w:rsidR="007511FA">
        <w:fldChar w:fldCharType="separate"/>
      </w:r>
      <w:r w:rsidR="00D5167B">
        <w:rPr>
          <w:noProof/>
        </w:rPr>
        <w:t>2</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3</w:t>
      </w:r>
      <w:r w:rsidR="007511FA">
        <w:fldChar w:fldCharType="end"/>
      </w:r>
      <w:bookmarkEnd w:id="78"/>
      <w:r w:rsidR="00382712">
        <w:t>.  Flux trap and fuel element configuration.</w:t>
      </w:r>
      <w:bookmarkEnd w:id="79"/>
      <w:r w:rsidR="00382712">
        <w:br w:type="page"/>
      </w:r>
    </w:p>
    <w:p w:rsidR="00453B91" w:rsidRPr="00671F1E" w:rsidRDefault="00453B91" w:rsidP="00453B91">
      <w:r>
        <w:lastRenderedPageBreak/>
        <w:t>The reactor core consists of two concentric fuel elements, an inner fuel element (IFE) and an outer fuel element (OFE), each composed of 0.127 cm thick involute shaped fuel plates and</w:t>
      </w:r>
      <w:r w:rsidR="0047412B">
        <w:t xml:space="preserve"> coolant channels</w:t>
      </w:r>
      <w:r>
        <w:t xml:space="preserve">.  The fuel used to power HFIR is </w:t>
      </w:r>
      <w:r w:rsidRPr="00671F1E">
        <w:t>high</w:t>
      </w:r>
      <w:r>
        <w:t xml:space="preserve"> enriched uranium</w:t>
      </w:r>
      <w:r w:rsidRPr="00671F1E">
        <w:t xml:space="preserve"> enriched to approximately 93 weight percent </w:t>
      </w:r>
      <w:r>
        <w:t xml:space="preserve">(ratio of </w:t>
      </w:r>
      <w:r w:rsidRPr="00671F1E">
        <w:rPr>
          <w:vertAlign w:val="superscript"/>
        </w:rPr>
        <w:t>235</w:t>
      </w:r>
      <w:r w:rsidRPr="00671F1E">
        <w:t>U</w:t>
      </w:r>
      <w:r>
        <w:t xml:space="preserve"> mass to total uranium</w:t>
      </w:r>
      <w:r w:rsidRPr="00671F1E">
        <w:t xml:space="preserve"> </w:t>
      </w:r>
      <w:r>
        <w:t xml:space="preserve">mass) </w:t>
      </w:r>
      <w:r w:rsidRPr="00671F1E">
        <w:t>in the form of U</w:t>
      </w:r>
      <w:r w:rsidRPr="00671F1E">
        <w:rPr>
          <w:vertAlign w:val="subscript"/>
        </w:rPr>
        <w:t>3</w:t>
      </w:r>
      <w:r w:rsidRPr="00671F1E">
        <w:t>O</w:t>
      </w:r>
      <w:r w:rsidRPr="00671F1E">
        <w:rPr>
          <w:vertAlign w:val="subscript"/>
        </w:rPr>
        <w:t>8</w:t>
      </w:r>
      <w:r w:rsidRPr="00671F1E">
        <w:t xml:space="preserve"> in an aluminum matrix.</w:t>
      </w:r>
      <w:r>
        <w:t xml:space="preserve">  </w:t>
      </w:r>
      <w:r w:rsidRPr="00671F1E">
        <w:t xml:space="preserve">The IFE and OFE are constructed of 171 and 369 involute fuel plates, respectively, and the fuel is </w:t>
      </w:r>
      <w:proofErr w:type="spellStart"/>
      <w:r w:rsidRPr="00671F1E">
        <w:t>nonuniformly</w:t>
      </w:r>
      <w:proofErr w:type="spellEnd"/>
      <w:r w:rsidRPr="00671F1E">
        <w:t xml:space="preserve"> distributed along the arc of the involute</w:t>
      </w:r>
      <w:r w:rsidR="0047412B">
        <w:t xml:space="preserve"> in order to minimize the radial peak-to-average power density ratio</w:t>
      </w:r>
      <w:r w:rsidR="00B91473">
        <w:t>.  The fuel is</w:t>
      </w:r>
      <w:r w:rsidRPr="00671F1E">
        <w:t xml:space="preserve"> encapsulated within </w:t>
      </w:r>
      <w:r>
        <w:t>aluminum</w:t>
      </w:r>
      <w:r w:rsidRPr="00671F1E">
        <w:t>-6061 cladding</w:t>
      </w:r>
      <w:r w:rsidR="00B91473">
        <w:t xml:space="preserve"> and the fuel plates are </w:t>
      </w:r>
      <w:r w:rsidR="00B91473" w:rsidRPr="00F87092">
        <w:t xml:space="preserve">held in place by aluminum side </w:t>
      </w:r>
      <w:r w:rsidR="00B91473">
        <w:t>walls</w:t>
      </w:r>
      <w:r w:rsidRPr="00671F1E">
        <w:t>.</w:t>
      </w:r>
      <w:r>
        <w:t xml:space="preserve">  </w:t>
      </w:r>
      <w:r w:rsidR="00B91473" w:rsidRPr="00F87092">
        <w:t xml:space="preserve">A single IFE and OFE fuel plate contains approximately 15.18 and 18.44 grams of </w:t>
      </w:r>
      <w:r w:rsidR="00B91473" w:rsidRPr="00F87092">
        <w:rPr>
          <w:vertAlign w:val="superscript"/>
        </w:rPr>
        <w:t>235</w:t>
      </w:r>
      <w:r w:rsidR="00B91473" w:rsidRPr="00F87092">
        <w:t>U</w:t>
      </w:r>
      <w:r w:rsidR="00B91473">
        <w:t xml:space="preserve"> respectively,</w:t>
      </w:r>
      <w:r w:rsidR="00B91473" w:rsidRPr="00F87092">
        <w:t xml:space="preserve"> which yields a total core loading of 9.4 kilograms of </w:t>
      </w:r>
      <w:r w:rsidR="00B91473" w:rsidRPr="00F87092">
        <w:rPr>
          <w:vertAlign w:val="superscript"/>
        </w:rPr>
        <w:t>235</w:t>
      </w:r>
      <w:r w:rsidR="00B91473" w:rsidRPr="00F87092">
        <w:t xml:space="preserve">U. </w:t>
      </w:r>
      <w:r w:rsidR="00B91473">
        <w:t xml:space="preserve"> </w:t>
      </w:r>
      <w:r w:rsidR="0047412B">
        <w:t xml:space="preserve">A small amount of boron (2.8 grams </w:t>
      </w:r>
      <w:r w:rsidR="0047412B">
        <w:rPr>
          <w:vertAlign w:val="superscript"/>
        </w:rPr>
        <w:t>10</w:t>
      </w:r>
      <w:r w:rsidR="0047412B">
        <w:t>B) is included in the IFE as a burnable poison to flatten the power distribution by reducing the thermal neutron flux near the hydrogenous flux trap</w:t>
      </w:r>
      <w:r w:rsidR="00B91473">
        <w:t xml:space="preserve"> and shifting the power to the OFE</w:t>
      </w:r>
      <w:r w:rsidR="0047412B">
        <w:t xml:space="preserve">.  </w:t>
      </w:r>
      <w:r w:rsidR="00382712">
        <w:t>One of the IFE and OFE fuel plates are shown fixed in between the aluminum sidewalls in</w:t>
      </w:r>
      <w:r w:rsidR="00C06370">
        <w:t xml:space="preserve"> </w:t>
      </w:r>
      <w:r w:rsidR="007511FA">
        <w:fldChar w:fldCharType="begin"/>
      </w:r>
      <w:r w:rsidR="00C06370">
        <w:instrText xml:space="preserve"> REF _Ref285532149 \h </w:instrText>
      </w:r>
      <w:r w:rsidR="007511FA">
        <w:fldChar w:fldCharType="separate"/>
      </w:r>
      <w:r w:rsidR="00D5167B" w:rsidRPr="00C06370">
        <w:t xml:space="preserve">Figure </w:t>
      </w:r>
      <w:r w:rsidR="00D5167B">
        <w:rPr>
          <w:noProof/>
        </w:rPr>
        <w:t>2</w:t>
      </w:r>
      <w:r w:rsidR="00D5167B">
        <w:t>.</w:t>
      </w:r>
      <w:r w:rsidR="00D5167B">
        <w:rPr>
          <w:noProof/>
        </w:rPr>
        <w:t>4</w:t>
      </w:r>
      <w:r w:rsidR="007511FA">
        <w:fldChar w:fldCharType="end"/>
      </w:r>
      <w:r w:rsidR="00382712">
        <w:t xml:space="preserve">.  </w:t>
      </w:r>
      <w:r w:rsidR="00B91473">
        <w:t xml:space="preserve">The </w:t>
      </w:r>
      <w:r w:rsidRPr="00671F1E">
        <w:t>typical fuel cycle length</w:t>
      </w:r>
      <w:r w:rsidR="00B91473">
        <w:t>s</w:t>
      </w:r>
      <w:r w:rsidR="0047412B">
        <w:t>/core lifetime</w:t>
      </w:r>
      <w:r w:rsidR="00B91473">
        <w:t>s</w:t>
      </w:r>
      <w:r w:rsidRPr="00671F1E">
        <w:t xml:space="preserve"> </w:t>
      </w:r>
      <w:r w:rsidR="00B91473">
        <w:t xml:space="preserve">range </w:t>
      </w:r>
      <w:r w:rsidRPr="00671F1E">
        <w:t>between 2</w:t>
      </w:r>
      <w:r w:rsidR="00AB4073">
        <w:t>1</w:t>
      </w:r>
      <w:r w:rsidRPr="00671F1E">
        <w:t xml:space="preserve"> and 26 days</w:t>
      </w:r>
      <w:r w:rsidR="0047412B">
        <w:t xml:space="preserve"> at 85 MW depending on the </w:t>
      </w:r>
      <w:r w:rsidR="00B91473">
        <w:t xml:space="preserve">reactivity worth of the materials loaded in the </w:t>
      </w:r>
      <w:r w:rsidR="0047412B">
        <w:t>experiment</w:t>
      </w:r>
      <w:r w:rsidR="00B91473">
        <w:t>al sites</w:t>
      </w:r>
      <w:r w:rsidRPr="00671F1E">
        <w:t>.</w:t>
      </w:r>
    </w:p>
    <w:p w:rsidR="00033A8E" w:rsidRDefault="009D64CA" w:rsidP="00944624">
      <w:pPr>
        <w:autoSpaceDE w:val="0"/>
        <w:autoSpaceDN w:val="0"/>
        <w:adjustRightInd w:val="0"/>
      </w:pPr>
      <w:r>
        <w:t xml:space="preserve">In the annular region between the </w:t>
      </w:r>
      <w:r w:rsidR="00944624">
        <w:t>OFE</w:t>
      </w:r>
      <w:r>
        <w:t xml:space="preserve"> and the beryllium reflector</w:t>
      </w:r>
      <w:r w:rsidR="00944624">
        <w:t xml:space="preserve"> are t</w:t>
      </w:r>
      <w:r w:rsidR="00033A8E" w:rsidRPr="00F87092">
        <w:t xml:space="preserve">wo </w:t>
      </w:r>
      <w:r w:rsidR="00944624">
        <w:t xml:space="preserve">thin (0.635 cm) </w:t>
      </w:r>
      <w:r w:rsidR="00033A8E" w:rsidRPr="00F87092">
        <w:t xml:space="preserve">poison-bearing concentric control </w:t>
      </w:r>
      <w:r>
        <w:t>elements</w:t>
      </w:r>
      <w:r w:rsidR="00033A8E" w:rsidRPr="00F87092">
        <w:t xml:space="preserve">. </w:t>
      </w:r>
      <w:r>
        <w:t xml:space="preserve"> </w:t>
      </w:r>
      <w:r w:rsidR="00033A8E" w:rsidRPr="00F87092">
        <w:t xml:space="preserve">The inner control </w:t>
      </w:r>
      <w:r>
        <w:t>element</w:t>
      </w:r>
      <w:r w:rsidR="00033A8E" w:rsidRPr="00F87092">
        <w:t xml:space="preserve"> </w:t>
      </w:r>
      <w:r>
        <w:t xml:space="preserve">(ICE) </w:t>
      </w:r>
      <w:r w:rsidR="00033A8E" w:rsidRPr="00F87092">
        <w:t>consists of one thin cylindrical tube and is used for shimming and regulation</w:t>
      </w:r>
      <w:r>
        <w:t xml:space="preserve">, </w:t>
      </w:r>
      <w:r w:rsidR="00033A8E" w:rsidRPr="00F87092">
        <w:t xml:space="preserve">thus not </w:t>
      </w:r>
      <w:r w:rsidR="00033A8E">
        <w:t xml:space="preserve">used </w:t>
      </w:r>
      <w:r w:rsidR="00033A8E" w:rsidRPr="00F87092">
        <w:t xml:space="preserve">for a fast safety function. </w:t>
      </w:r>
      <w:r>
        <w:t xml:space="preserve"> </w:t>
      </w:r>
      <w:r w:rsidR="00033A8E" w:rsidRPr="00F87092">
        <w:t xml:space="preserve">The outer control </w:t>
      </w:r>
      <w:r>
        <w:t>element (OCE)</w:t>
      </w:r>
      <w:r w:rsidR="00033A8E" w:rsidRPr="00F87092">
        <w:t xml:space="preserve"> consists of four separate quadrants, each having an independent drive and safety release mechanism. </w:t>
      </w:r>
      <w:r>
        <w:t xml:space="preserve"> </w:t>
      </w:r>
      <w:r w:rsidR="00033A8E">
        <w:t xml:space="preserve">Each of the </w:t>
      </w:r>
      <w:r w:rsidR="00033A8E" w:rsidRPr="00F87092">
        <w:t xml:space="preserve">control </w:t>
      </w:r>
      <w:r>
        <w:t>elements</w:t>
      </w:r>
      <w:r w:rsidR="00033A8E" w:rsidRPr="00F87092">
        <w:t xml:space="preserve"> </w:t>
      </w:r>
      <w:r>
        <w:t>has</w:t>
      </w:r>
      <w:r w:rsidR="00033A8E" w:rsidRPr="00F87092">
        <w:t xml:space="preserve"> three regions of different poison content. </w:t>
      </w:r>
      <w:r>
        <w:t xml:space="preserve"> </w:t>
      </w:r>
      <w:r w:rsidR="00033A8E" w:rsidRPr="00F87092">
        <w:t xml:space="preserve">The top and bottom of the control </w:t>
      </w:r>
      <w:r>
        <w:t>elements</w:t>
      </w:r>
      <w:r w:rsidR="00033A8E" w:rsidRPr="00F87092">
        <w:t xml:space="preserve"> known as the white region are composed of aluminum and provide flow (</w:t>
      </w:r>
      <w:r w:rsidR="00033A8E">
        <w:t>they are</w:t>
      </w:r>
      <w:r w:rsidR="00033A8E" w:rsidRPr="00F87092">
        <w:t xml:space="preserve"> perforated) a</w:t>
      </w:r>
      <w:r w:rsidR="00033A8E">
        <w:t xml:space="preserve">nd structural stability. </w:t>
      </w:r>
      <w:r>
        <w:t xml:space="preserve"> </w:t>
      </w:r>
      <w:r w:rsidR="00033A8E">
        <w:t>The gre</w:t>
      </w:r>
      <w:r w:rsidR="00033A8E" w:rsidRPr="00F87092">
        <w:t>y region</w:t>
      </w:r>
      <w:r>
        <w:t>s</w:t>
      </w:r>
      <w:r w:rsidR="00033A8E" w:rsidRPr="00F87092">
        <w:t xml:space="preserve"> </w:t>
      </w:r>
      <w:r>
        <w:t>are</w:t>
      </w:r>
      <w:r w:rsidR="00033A8E" w:rsidRPr="00F87092">
        <w:t xml:space="preserve"> </w:t>
      </w:r>
      <w:r>
        <w:t xml:space="preserve">12.7 cm in length and are </w:t>
      </w:r>
      <w:r w:rsidR="00033A8E" w:rsidRPr="00F87092">
        <w:t>made up of tantalum-aluminum (Ta-Al) which is a moderately absorbing material</w:t>
      </w:r>
      <w:r>
        <w:t>.</w:t>
      </w:r>
      <w:r w:rsidR="00033A8E" w:rsidRPr="00F87092">
        <w:t xml:space="preserve"> </w:t>
      </w:r>
      <w:r>
        <w:t xml:space="preserve"> T</w:t>
      </w:r>
      <w:r w:rsidR="00033A8E" w:rsidRPr="00F87092">
        <w:t>he black region</w:t>
      </w:r>
      <w:r>
        <w:t>, located below and above the ICE and OCE grey regions, respectively,</w:t>
      </w:r>
      <w:r w:rsidR="00033A8E" w:rsidRPr="00F87092">
        <w:t xml:space="preserve"> is composed of europium oxide-aluminum (Eu</w:t>
      </w:r>
      <w:r w:rsidR="00033A8E" w:rsidRPr="00F87092">
        <w:rPr>
          <w:vertAlign w:val="subscript"/>
        </w:rPr>
        <w:t>2</w:t>
      </w:r>
      <w:r w:rsidR="00033A8E" w:rsidRPr="00F87092">
        <w:t>O</w:t>
      </w:r>
      <w:r w:rsidR="00033A8E" w:rsidRPr="00F87092">
        <w:rPr>
          <w:vertAlign w:val="subscript"/>
        </w:rPr>
        <w:t>3</w:t>
      </w:r>
      <w:r w:rsidR="00033A8E" w:rsidRPr="00F87092">
        <w:t>-Al) which is a strong neutron absorber.</w:t>
      </w:r>
      <w:r>
        <w:t xml:space="preserve"> </w:t>
      </w:r>
      <w:r w:rsidR="00033A8E">
        <w:t xml:space="preserve"> The inner control element cylinder and one of the outer control element quadrants are shown in </w:t>
      </w:r>
      <w:r w:rsidR="007511FA">
        <w:rPr>
          <w:highlight w:val="yellow"/>
        </w:rPr>
        <w:fldChar w:fldCharType="begin"/>
      </w:r>
      <w:r w:rsidR="00C06370">
        <w:instrText xml:space="preserve"> REF _Ref285532158 \h </w:instrText>
      </w:r>
      <w:r w:rsidR="007511FA">
        <w:rPr>
          <w:highlight w:val="yellow"/>
        </w:rPr>
      </w:r>
      <w:r w:rsidR="007511FA">
        <w:rPr>
          <w:highlight w:val="yellow"/>
        </w:rPr>
        <w:fldChar w:fldCharType="separate"/>
      </w:r>
      <w:r w:rsidR="00D5167B">
        <w:t xml:space="preserve">Figure </w:t>
      </w:r>
      <w:r w:rsidR="00D5167B">
        <w:rPr>
          <w:noProof/>
        </w:rPr>
        <w:t>2</w:t>
      </w:r>
      <w:r w:rsidR="00D5167B">
        <w:t>.</w:t>
      </w:r>
      <w:r w:rsidR="00D5167B">
        <w:rPr>
          <w:noProof/>
        </w:rPr>
        <w:t>5</w:t>
      </w:r>
      <w:r w:rsidR="007511FA">
        <w:rPr>
          <w:highlight w:val="yellow"/>
        </w:rPr>
        <w:fldChar w:fldCharType="end"/>
      </w:r>
      <w:r w:rsidR="00033A8E">
        <w:t>.</w:t>
      </w:r>
      <w:r w:rsidR="00033A8E" w:rsidRPr="00F87092">
        <w:t xml:space="preserve"> </w:t>
      </w:r>
      <w:r>
        <w:t xml:space="preserve"> </w:t>
      </w:r>
      <w:r w:rsidR="00033A8E" w:rsidRPr="00F87092">
        <w:t>During the course of starting the reactor</w:t>
      </w:r>
      <w:r>
        <w:t xml:space="preserve"> in the </w:t>
      </w:r>
      <w:r>
        <w:lastRenderedPageBreak/>
        <w:t>approach to criticality</w:t>
      </w:r>
      <w:r w:rsidR="00033A8E" w:rsidRPr="00F87092">
        <w:t xml:space="preserve">, the inner control </w:t>
      </w:r>
      <w:r>
        <w:t>element</w:t>
      </w:r>
      <w:r w:rsidR="00033A8E" w:rsidRPr="00F87092">
        <w:t xml:space="preserve"> is driven downward (driving the black region away from the core) and the outer control </w:t>
      </w:r>
      <w:r>
        <w:t>element</w:t>
      </w:r>
      <w:r w:rsidR="00033A8E" w:rsidRPr="00F87092">
        <w:t xml:space="preserve"> </w:t>
      </w:r>
      <w:r>
        <w:t xml:space="preserve">is </w:t>
      </w:r>
      <w:r w:rsidR="00033A8E" w:rsidRPr="00F87092">
        <w:t>driven upward (</w:t>
      </w:r>
      <w:r w:rsidR="00033A8E">
        <w:t xml:space="preserve">also </w:t>
      </w:r>
      <w:r w:rsidR="00033A8E" w:rsidRPr="00F87092">
        <w:t>driving the black region away from the core).</w:t>
      </w:r>
      <w:r>
        <w:t xml:space="preserve"> </w:t>
      </w:r>
      <w:r w:rsidR="00033A8E" w:rsidRPr="00F87092">
        <w:t xml:space="preserve"> Thus,</w:t>
      </w:r>
      <w:r w:rsidR="00033A8E">
        <w:t xml:space="preserve"> positive</w:t>
      </w:r>
      <w:r w:rsidR="00033A8E" w:rsidRPr="00F87092">
        <w:t xml:space="preserve"> reactivity is in</w:t>
      </w:r>
      <w:r w:rsidR="00033A8E">
        <w:t>serted</w:t>
      </w:r>
      <w:r w:rsidR="00033A8E" w:rsidRPr="00F87092">
        <w:t xml:space="preserve"> as the </w:t>
      </w:r>
      <w:r>
        <w:t>elements</w:t>
      </w:r>
      <w:r w:rsidR="00033A8E" w:rsidRPr="00F87092">
        <w:t xml:space="preserve"> are driven in opposite directions</w:t>
      </w:r>
      <w:r>
        <w:t xml:space="preserve"> and this occurs symmetrically during a fuel cycle to compensate for reactivity loss due to fuel burnup</w:t>
      </w:r>
      <w:r w:rsidR="00033A8E" w:rsidRPr="00F87092">
        <w:t>.</w:t>
      </w:r>
      <w:r>
        <w:t xml:space="preserve"> </w:t>
      </w:r>
      <w:r w:rsidR="00033A8E" w:rsidRPr="00F87092">
        <w:t xml:space="preserve"> The drive mechanisms are located under the pressure vessel in a sub-pile room, which provides shielding to workers below the core and access to the pressure vessel, reactor core, and reflector regions</w:t>
      </w:r>
      <w:r w:rsidR="000973BD">
        <w:t>.</w:t>
      </w:r>
    </w:p>
    <w:p w:rsidR="000973BD" w:rsidRPr="00F87092" w:rsidRDefault="000973BD" w:rsidP="000973BD">
      <w:pPr>
        <w:autoSpaceDE w:val="0"/>
        <w:autoSpaceDN w:val="0"/>
        <w:adjustRightInd w:val="0"/>
      </w:pPr>
      <w:r w:rsidRPr="00F87092">
        <w:t>On the outsi</w:t>
      </w:r>
      <w:r>
        <w:t>de of the fuel region and</w:t>
      </w:r>
      <w:r w:rsidRPr="00F87092">
        <w:t xml:space="preserve"> control </w:t>
      </w:r>
      <w:r>
        <w:t>elements</w:t>
      </w:r>
      <w:r w:rsidRPr="00F87092">
        <w:t xml:space="preserve"> is a </w:t>
      </w:r>
      <w:r>
        <w:t xml:space="preserve">large (0.3 m thick) </w:t>
      </w:r>
      <w:r w:rsidRPr="00F87092">
        <w:t xml:space="preserve">concentric ring of beryllium, which is </w:t>
      </w:r>
      <w:r>
        <w:t>subdivided into</w:t>
      </w:r>
      <w:r w:rsidRPr="00F87092">
        <w:t xml:space="preserve"> </w:t>
      </w:r>
      <w:r>
        <w:t xml:space="preserve">three regions: </w:t>
      </w:r>
      <w:r w:rsidRPr="00F87092">
        <w:t>a removable reflector, a semi-permanent reflector, and a permanent reflector</w:t>
      </w:r>
      <w:r>
        <w:t>, and are named based on the frequency they are removed from the core.  T</w:t>
      </w:r>
      <w:r w:rsidRPr="00F87092">
        <w:t>he function of the beryllium reflector is to reflect the neutrons that leak out of the fuel region back into the fuel region.</w:t>
      </w:r>
      <w:r>
        <w:t xml:space="preserve"> </w:t>
      </w:r>
      <w:r w:rsidRPr="00F87092">
        <w:t xml:space="preserve"> </w:t>
      </w:r>
      <w:r w:rsidRPr="00671F1E">
        <w:t>Criticality cannot be achieved without the beryllium reflector in place because it enhances the neutron flux in the core by moderating the neutron energies and reflecting neutrons that leak from the core back into the core.</w:t>
      </w:r>
      <w:r>
        <w:t xml:space="preserve">  The beryllium reflector regions contain the majority of the experiment facilities  </w:t>
      </w:r>
      <w:r w:rsidRPr="00F87092">
        <w:t xml:space="preserve">Four small removable beryllium facilities (small RB) and </w:t>
      </w:r>
      <w:r>
        <w:t xml:space="preserve">eight </w:t>
      </w:r>
      <w:r w:rsidRPr="00F87092">
        <w:t xml:space="preserve">large removable beryllium facilities (large RB) are located in the removable beryllium region and are used primarily for the production of radioisotopes. </w:t>
      </w:r>
      <w:r>
        <w:t xml:space="preserve"> </w:t>
      </w:r>
      <w:r w:rsidRPr="00F87092">
        <w:t xml:space="preserve">Four control rod access plug facilities (CRAP) are located in the semi-permanent beryllium reflector and are also used for isotope production. </w:t>
      </w:r>
      <w:r>
        <w:t xml:space="preserve"> </w:t>
      </w:r>
      <w:r w:rsidRPr="00F87092">
        <w:t xml:space="preserve">Sixteen small vertical experiment facilities (VXF) and six large vertical experiment facilities penetrate the permanent reflector and </w:t>
      </w:r>
      <w:r>
        <w:t>typically</w:t>
      </w:r>
      <w:r w:rsidRPr="00F87092">
        <w:t xml:space="preserve"> </w:t>
      </w:r>
      <w:proofErr w:type="spellStart"/>
      <w:r w:rsidRPr="00F87092">
        <w:t>uninstrumented</w:t>
      </w:r>
      <w:proofErr w:type="spellEnd"/>
      <w:r w:rsidRPr="00F87092">
        <w:t xml:space="preserve"> experiments are </w:t>
      </w:r>
      <w:r w:rsidR="00AC506C">
        <w:t>irradiated in these facilities.</w:t>
      </w:r>
      <w:r w:rsidR="00382712">
        <w:t xml:space="preserve">  The permanent reflector is shown in </w:t>
      </w:r>
      <w:r w:rsidR="007511FA">
        <w:rPr>
          <w:highlight w:val="yellow"/>
        </w:rPr>
        <w:fldChar w:fldCharType="begin"/>
      </w:r>
      <w:r w:rsidR="00C06370">
        <w:instrText xml:space="preserve"> REF _Ref285532167 \h </w:instrText>
      </w:r>
      <w:r w:rsidR="007511FA">
        <w:rPr>
          <w:highlight w:val="yellow"/>
        </w:rPr>
      </w:r>
      <w:r w:rsidR="007511FA">
        <w:rPr>
          <w:highlight w:val="yellow"/>
        </w:rPr>
        <w:fldChar w:fldCharType="separate"/>
      </w:r>
      <w:r w:rsidR="00D5167B">
        <w:t xml:space="preserve">Figure </w:t>
      </w:r>
      <w:r w:rsidR="00D5167B">
        <w:rPr>
          <w:noProof/>
        </w:rPr>
        <w:t>2</w:t>
      </w:r>
      <w:r w:rsidR="00D5167B">
        <w:t>.</w:t>
      </w:r>
      <w:r w:rsidR="00D5167B">
        <w:rPr>
          <w:noProof/>
        </w:rPr>
        <w:t>6</w:t>
      </w:r>
      <w:r w:rsidR="007511FA">
        <w:rPr>
          <w:highlight w:val="yellow"/>
        </w:rPr>
        <w:fldChar w:fldCharType="end"/>
      </w:r>
      <w:r w:rsidR="00C06370">
        <w:t>.</w:t>
      </w:r>
    </w:p>
    <w:p w:rsidR="00AC506C" w:rsidRDefault="00AC506C" w:rsidP="00AC506C">
      <w:r w:rsidRPr="00F87092">
        <w:t xml:space="preserve">HFIR is equipped with four horizontal beam </w:t>
      </w:r>
      <w:r>
        <w:t xml:space="preserve">(HB) </w:t>
      </w:r>
      <w:r w:rsidRPr="00F87092">
        <w:t xml:space="preserve">tubes that extend outward from the </w:t>
      </w:r>
      <w:r>
        <w:t>beryllium reflector</w:t>
      </w:r>
      <w:r w:rsidRPr="00F87092">
        <w:t xml:space="preserve"> at the </w:t>
      </w:r>
      <w:r>
        <w:t xml:space="preserve">core horizontal </w:t>
      </w:r>
      <w:r w:rsidRPr="00F87092">
        <w:t>midplane and through the pool wall.</w:t>
      </w:r>
      <w:r>
        <w:t xml:space="preserve">  Neutron currents from the beam tubes that penetrate the beryllium reflector are used for </w:t>
      </w:r>
      <w:r w:rsidR="000973BD">
        <w:t>cold and thermal n</w:t>
      </w:r>
      <w:r>
        <w:t xml:space="preserve">eutron scattering experiments to study </w:t>
      </w:r>
      <w:r w:rsidR="00944624" w:rsidRPr="002E6980">
        <w:t>molecular and magnetic behavior</w:t>
      </w:r>
      <w:r>
        <w:t>s of material,</w:t>
      </w:r>
      <w:r w:rsidR="00944624" w:rsidRPr="002E6980">
        <w:t xml:space="preserve"> </w:t>
      </w:r>
      <w:r>
        <w:t xml:space="preserve">structural behavior </w:t>
      </w:r>
      <w:r w:rsidR="00944624" w:rsidRPr="002E6980">
        <w:t>of materials such as high-temperature superconductors, polymers, metals, and biological samples</w:t>
      </w:r>
      <w:r>
        <w:t>, and etc</w:t>
      </w:r>
      <w:r w:rsidR="00944624" w:rsidRPr="002E6980">
        <w:t xml:space="preserve">. </w:t>
      </w:r>
      <w:r>
        <w:t xml:space="preserve"> The instruments </w:t>
      </w:r>
      <w:r>
        <w:lastRenderedPageBreak/>
        <w:t>utilizing these neutron currents for research purposes include:</w:t>
      </w:r>
      <w:r w:rsidRPr="00F87092">
        <w:t xml:space="preserve"> HB-1 (Polarized Triple-Axis Spectrometer), HB-1A (Fixed Incident Energy Triple-Axis Spectrometer), HB-2A (Neutron Powder </w:t>
      </w:r>
      <w:proofErr w:type="spellStart"/>
      <w:r w:rsidRPr="00F87092">
        <w:t>Diffractometer</w:t>
      </w:r>
      <w:proofErr w:type="spellEnd"/>
      <w:r w:rsidRPr="00F87092">
        <w:t xml:space="preserve">), HB-2B (NRS2 – Neutron Residual Stress Mapping Facility), HB-2C (Wand  - U.S. – Japan Wide Angle Neutron </w:t>
      </w:r>
      <w:proofErr w:type="spellStart"/>
      <w:r w:rsidRPr="00F87092">
        <w:t>Diffractometer</w:t>
      </w:r>
      <w:proofErr w:type="spellEnd"/>
      <w:r w:rsidRPr="00F87092">
        <w:t xml:space="preserve">), HB-3 (Triple Axis Spectrometer), HB-3A (Single-Crystal Four-Circle </w:t>
      </w:r>
      <w:proofErr w:type="spellStart"/>
      <w:r w:rsidRPr="00F87092">
        <w:t>Diffractometer</w:t>
      </w:r>
      <w:proofErr w:type="spellEnd"/>
      <w:r w:rsidRPr="00F87092">
        <w:t>), CG-2</w:t>
      </w:r>
      <w:r>
        <w:t xml:space="preserve"> </w:t>
      </w:r>
      <w:r w:rsidRPr="00F87092">
        <w:t xml:space="preserve">(Small Angle Neutron Scattering </w:t>
      </w:r>
      <w:proofErr w:type="spellStart"/>
      <w:r w:rsidRPr="00F87092">
        <w:t>Diffractometer</w:t>
      </w:r>
      <w:proofErr w:type="spellEnd"/>
      <w:r w:rsidRPr="00F87092">
        <w:t xml:space="preserve">), CG-3(BIO-SANS – Biological Small-Angle Neutron Scattering Instrument), </w:t>
      </w:r>
      <w:r>
        <w:t xml:space="preserve">and </w:t>
      </w:r>
      <w:r w:rsidRPr="00F87092">
        <w:t>CG-4C (U.S. – Japan Cold Neu</w:t>
      </w:r>
      <w:r w:rsidR="00497B61">
        <w:t xml:space="preserve">tron Triple Axis Spectrometer).  </w:t>
      </w:r>
      <w:r w:rsidR="00497B61" w:rsidRPr="00F87092">
        <w:t>Two slant engineering facilities (SEF) provide additional neutron beams for experiments</w:t>
      </w:r>
      <w:r w:rsidR="00497B61">
        <w:t xml:space="preserve"> and</w:t>
      </w:r>
      <w:r w:rsidR="00497B61" w:rsidRPr="00F87092">
        <w:t xml:space="preserve"> are inclined 49° from the horizontal</w:t>
      </w:r>
      <w:r w:rsidR="00497B61">
        <w:t xml:space="preserve"> midplane.</w:t>
      </w:r>
      <w:r w:rsidR="00497B61" w:rsidRPr="00F87092">
        <w:t xml:space="preserve"> </w:t>
      </w:r>
      <w:r w:rsidR="00497B61">
        <w:t>The</w:t>
      </w:r>
      <w:r w:rsidR="00497B61" w:rsidRPr="00F87092">
        <w:t xml:space="preserve"> inner end</w:t>
      </w:r>
      <w:r w:rsidR="00497B61">
        <w:t xml:space="preserve"> of a SEF terminates</w:t>
      </w:r>
      <w:r w:rsidR="00497B61" w:rsidRPr="00F87092">
        <w:t xml:space="preserve"> at the outer periphery of the reflector and </w:t>
      </w:r>
      <w:r w:rsidR="00497B61">
        <w:t xml:space="preserve">the </w:t>
      </w:r>
      <w:r w:rsidR="00497B61" w:rsidRPr="00F87092">
        <w:t>upper</w:t>
      </w:r>
      <w:r w:rsidR="00497B61">
        <w:t xml:space="preserve"> end</w:t>
      </w:r>
      <w:r w:rsidR="00497B61" w:rsidRPr="00F87092">
        <w:t xml:space="preserve"> terminates at the outer face of the pool wall in an experiment room.</w:t>
      </w:r>
    </w:p>
    <w:p w:rsidR="009860AE" w:rsidRDefault="00497B61" w:rsidP="00382712">
      <w:r w:rsidRPr="00F87092">
        <w:t>Two other experimental facilities at HFIR include the gamma irradiation facility (GIF)</w:t>
      </w:r>
      <w:r>
        <w:t xml:space="preserve">, which is located in the spent fuel pool, and </w:t>
      </w:r>
      <w:r w:rsidRPr="00F87092">
        <w:t>the neutron a</w:t>
      </w:r>
      <w:r>
        <w:t>ctivation analysis lab (NAA)</w:t>
      </w:r>
      <w:r w:rsidRPr="00F87092">
        <w:t xml:space="preserve">. </w:t>
      </w:r>
      <w:r>
        <w:t xml:space="preserve"> </w:t>
      </w:r>
      <w:r w:rsidRPr="00F87092">
        <w:t xml:space="preserve">Sample irradiation and environmental qualification of materials used in radioactive fields are performed in the GIF by lowering specimen into the HFIR </w:t>
      </w:r>
      <w:r>
        <w:t xml:space="preserve">spent fuel </w:t>
      </w:r>
      <w:r w:rsidRPr="00F87092">
        <w:t xml:space="preserve">pool and irradiating </w:t>
      </w:r>
      <w:r>
        <w:t>them</w:t>
      </w:r>
      <w:r w:rsidRPr="00F87092">
        <w:t xml:space="preserve"> with the gamma flux generated from the decay of fission products from the spent fuel. </w:t>
      </w:r>
      <w:r>
        <w:t xml:space="preserve"> NAA</w:t>
      </w:r>
      <w:r w:rsidRPr="00F87092">
        <w:t xml:space="preserve"> applications include nuclear nonproliferation, forensics, ultra-trace metrology, environmental, isotope production, and materials irradiation</w:t>
      </w:r>
      <w:r>
        <w:t xml:space="preserve"> studies.</w:t>
      </w:r>
    </w:p>
    <w:p w:rsidR="00382712" w:rsidRDefault="00382712" w:rsidP="00382712">
      <w:r>
        <w:br w:type="page"/>
      </w:r>
    </w:p>
    <w:p w:rsidR="00497B61" w:rsidRDefault="00382712" w:rsidP="009860AE">
      <w:pPr>
        <w:ind w:firstLine="0"/>
        <w:jc w:val="center"/>
      </w:pPr>
      <w:r>
        <w:rPr>
          <w:noProof/>
        </w:rPr>
        <w:lastRenderedPageBreak/>
        <w:drawing>
          <wp:inline distT="0" distB="0" distL="0" distR="0">
            <wp:extent cx="4062730" cy="5227320"/>
            <wp:effectExtent l="19050" t="0" r="0" b="0"/>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4062730" cy="5227320"/>
                    </a:xfrm>
                    <a:prstGeom prst="rect">
                      <a:avLst/>
                    </a:prstGeom>
                    <a:noFill/>
                    <a:ln w="9525">
                      <a:noFill/>
                      <a:miter lim="800000"/>
                      <a:headEnd/>
                      <a:tailEnd/>
                    </a:ln>
                  </pic:spPr>
                </pic:pic>
              </a:graphicData>
            </a:graphic>
          </wp:inline>
        </w:drawing>
      </w:r>
    </w:p>
    <w:p w:rsidR="00382712" w:rsidRPr="00C06370" w:rsidRDefault="00C06370" w:rsidP="00C06370">
      <w:pPr>
        <w:pStyle w:val="Caption"/>
      </w:pPr>
      <w:bookmarkStart w:id="80" w:name="_Ref285532149"/>
      <w:bookmarkStart w:id="81" w:name="_Toc295818184"/>
      <w:proofErr w:type="gramStart"/>
      <w:r w:rsidRPr="00C06370">
        <w:t xml:space="preserve">Figure </w:t>
      </w:r>
      <w:r w:rsidR="007511FA">
        <w:fldChar w:fldCharType="begin"/>
      </w:r>
      <w:r w:rsidR="00AE17F8">
        <w:instrText xml:space="preserve"> STYLEREF 1 \s </w:instrText>
      </w:r>
      <w:r w:rsidR="007511FA">
        <w:fldChar w:fldCharType="separate"/>
      </w:r>
      <w:r w:rsidR="00D5167B">
        <w:rPr>
          <w:noProof/>
        </w:rPr>
        <w:t>2</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4</w:t>
      </w:r>
      <w:r w:rsidR="007511FA">
        <w:fldChar w:fldCharType="end"/>
      </w:r>
      <w:bookmarkEnd w:id="80"/>
      <w:r w:rsidR="00382712" w:rsidRPr="00C06370">
        <w:t>.  IFE and OFE involute fuel plates.</w:t>
      </w:r>
      <w:bookmarkEnd w:id="81"/>
    </w:p>
    <w:p w:rsidR="00382712" w:rsidRDefault="00382712">
      <w:pPr>
        <w:spacing w:before="0" w:after="200" w:line="276" w:lineRule="auto"/>
      </w:pPr>
      <w:r>
        <w:br w:type="page"/>
      </w:r>
    </w:p>
    <w:p w:rsidR="00382712" w:rsidRDefault="007C6E95" w:rsidP="009860AE">
      <w:pPr>
        <w:spacing w:before="0" w:after="200" w:line="276" w:lineRule="auto"/>
        <w:ind w:firstLine="0"/>
        <w:jc w:val="center"/>
      </w:pPr>
      <w:r w:rsidRPr="007C6E95">
        <w:rPr>
          <w:noProof/>
        </w:rPr>
        <w:lastRenderedPageBreak/>
        <w:drawing>
          <wp:inline distT="0" distB="0" distL="0" distR="0">
            <wp:extent cx="4285137" cy="3886200"/>
            <wp:effectExtent l="19050" t="0" r="1113" b="0"/>
            <wp:docPr id="17" name="Picture 20" descr="C:\Users\dcz\Desktop\project\pics\Control Plate and Cyli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dcz\Desktop\project\pics\Control Plate and Cylinder.jpg"/>
                    <pic:cNvPicPr>
                      <a:picLocks noChangeAspect="1" noChangeArrowheads="1"/>
                    </pic:cNvPicPr>
                  </pic:nvPicPr>
                  <pic:blipFill>
                    <a:blip r:embed="rId13" cstate="print"/>
                    <a:srcRect t="6200" b="6799"/>
                    <a:stretch>
                      <a:fillRect/>
                    </a:stretch>
                  </pic:blipFill>
                  <pic:spPr bwMode="auto">
                    <a:xfrm>
                      <a:off x="0" y="0"/>
                      <a:ext cx="4285137" cy="3886200"/>
                    </a:xfrm>
                    <a:prstGeom prst="rect">
                      <a:avLst/>
                    </a:prstGeom>
                    <a:noFill/>
                    <a:ln w="9525">
                      <a:noFill/>
                      <a:miter lim="800000"/>
                      <a:headEnd/>
                      <a:tailEnd/>
                    </a:ln>
                  </pic:spPr>
                </pic:pic>
              </a:graphicData>
            </a:graphic>
          </wp:inline>
        </w:drawing>
      </w:r>
    </w:p>
    <w:p w:rsidR="00382712" w:rsidRDefault="00C06370" w:rsidP="00C06370">
      <w:pPr>
        <w:pStyle w:val="Caption"/>
      </w:pPr>
      <w:bookmarkStart w:id="82" w:name="_Ref285532158"/>
      <w:bookmarkStart w:id="83" w:name="_Toc295818185"/>
      <w:proofErr w:type="gramStart"/>
      <w:r>
        <w:t xml:space="preserve">Figure </w:t>
      </w:r>
      <w:r w:rsidR="007511FA">
        <w:fldChar w:fldCharType="begin"/>
      </w:r>
      <w:r w:rsidR="00AE17F8">
        <w:instrText xml:space="preserve"> STYLEREF 1 \s </w:instrText>
      </w:r>
      <w:r w:rsidR="007511FA">
        <w:fldChar w:fldCharType="separate"/>
      </w:r>
      <w:r w:rsidR="00D5167B">
        <w:rPr>
          <w:noProof/>
        </w:rPr>
        <w:t>2</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5</w:t>
      </w:r>
      <w:r w:rsidR="007511FA">
        <w:fldChar w:fldCharType="end"/>
      </w:r>
      <w:bookmarkEnd w:id="82"/>
      <w:r w:rsidR="00382712">
        <w:t xml:space="preserve">. </w:t>
      </w:r>
      <w:r w:rsidR="007C6E95">
        <w:t xml:space="preserve"> </w:t>
      </w:r>
      <w:proofErr w:type="gramStart"/>
      <w:r w:rsidR="00AB4073">
        <w:t>Outer control plate and inner control cylinder.</w:t>
      </w:r>
      <w:bookmarkEnd w:id="83"/>
      <w:proofErr w:type="gramEnd"/>
    </w:p>
    <w:p w:rsidR="009860AE" w:rsidRDefault="009860AE" w:rsidP="009860AE">
      <w:pPr>
        <w:spacing w:before="0" w:after="200" w:line="276" w:lineRule="auto"/>
        <w:ind w:firstLine="0"/>
        <w:jc w:val="center"/>
        <w:rPr>
          <w:b/>
        </w:rPr>
      </w:pPr>
    </w:p>
    <w:p w:rsidR="00C80D7A" w:rsidRPr="00382712" w:rsidRDefault="00C80D7A" w:rsidP="009860AE">
      <w:pPr>
        <w:spacing w:before="0" w:after="200" w:line="276" w:lineRule="auto"/>
        <w:ind w:firstLine="0"/>
        <w:jc w:val="center"/>
        <w:rPr>
          <w:b/>
        </w:rPr>
      </w:pPr>
    </w:p>
    <w:p w:rsidR="00AB4073" w:rsidRDefault="00AB4073" w:rsidP="009860AE">
      <w:pPr>
        <w:spacing w:before="0" w:after="200" w:line="276" w:lineRule="auto"/>
        <w:ind w:firstLine="0"/>
        <w:jc w:val="center"/>
      </w:pPr>
      <w:r>
        <w:rPr>
          <w:rFonts w:ascii="Arial" w:hAnsi="Arial" w:cs="Arial"/>
          <w:noProof/>
          <w:color w:val="0056AC"/>
          <w:sz w:val="19"/>
          <w:szCs w:val="19"/>
        </w:rPr>
        <w:drawing>
          <wp:inline distT="0" distB="0" distL="0" distR="0">
            <wp:extent cx="3657600" cy="2759271"/>
            <wp:effectExtent l="19050" t="0" r="0" b="0"/>
            <wp:docPr id="18" name="Picture 5" descr="Reactor core assembly">
              <a:hlinkClick xmlns:a="http://schemas.openxmlformats.org/drawingml/2006/main" r:id="rId14" tooltip="&quot;Reactor core assembl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actor core assembly">
                      <a:hlinkClick r:id="rId14" tooltip="&quot;Reactor core assembly&quot;"/>
                    </pic:cNvPr>
                    <pic:cNvPicPr>
                      <a:picLocks noChangeAspect="1" noChangeArrowheads="1"/>
                    </pic:cNvPicPr>
                  </pic:nvPicPr>
                  <pic:blipFill>
                    <a:blip r:embed="rId15" cstate="print"/>
                    <a:srcRect/>
                    <a:stretch>
                      <a:fillRect/>
                    </a:stretch>
                  </pic:blipFill>
                  <pic:spPr bwMode="auto">
                    <a:xfrm>
                      <a:off x="0" y="0"/>
                      <a:ext cx="3657600" cy="2759271"/>
                    </a:xfrm>
                    <a:prstGeom prst="rect">
                      <a:avLst/>
                    </a:prstGeom>
                    <a:noFill/>
                    <a:ln w="9525">
                      <a:noFill/>
                      <a:miter lim="800000"/>
                      <a:headEnd/>
                      <a:tailEnd/>
                    </a:ln>
                  </pic:spPr>
                </pic:pic>
              </a:graphicData>
            </a:graphic>
          </wp:inline>
        </w:drawing>
      </w:r>
    </w:p>
    <w:p w:rsidR="00AB4073" w:rsidRDefault="00C06370" w:rsidP="00C06370">
      <w:pPr>
        <w:pStyle w:val="Caption"/>
      </w:pPr>
      <w:bookmarkStart w:id="84" w:name="_Ref285532167"/>
      <w:bookmarkStart w:id="85" w:name="_Toc295818186"/>
      <w:proofErr w:type="gramStart"/>
      <w:r>
        <w:t xml:space="preserve">Figure </w:t>
      </w:r>
      <w:r w:rsidR="007511FA">
        <w:fldChar w:fldCharType="begin"/>
      </w:r>
      <w:r w:rsidR="00AE17F8">
        <w:instrText xml:space="preserve"> STYLEREF 1 \s </w:instrText>
      </w:r>
      <w:r w:rsidR="007511FA">
        <w:fldChar w:fldCharType="separate"/>
      </w:r>
      <w:r w:rsidR="00D5167B">
        <w:rPr>
          <w:noProof/>
        </w:rPr>
        <w:t>2</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6</w:t>
      </w:r>
      <w:r w:rsidR="007511FA">
        <w:fldChar w:fldCharType="end"/>
      </w:r>
      <w:bookmarkEnd w:id="84"/>
      <w:r w:rsidR="00AB4073">
        <w:t xml:space="preserve">.  </w:t>
      </w:r>
      <w:proofErr w:type="gramStart"/>
      <w:r w:rsidR="00AB4073">
        <w:t>Permanent beryllium reflector.</w:t>
      </w:r>
      <w:bookmarkEnd w:id="85"/>
      <w:proofErr w:type="gramEnd"/>
      <w:r w:rsidR="00AB4073">
        <w:br w:type="page"/>
      </w:r>
    </w:p>
    <w:p w:rsidR="00944624" w:rsidRPr="00AD02B9" w:rsidRDefault="00497B61" w:rsidP="005B3E81">
      <w:pPr>
        <w:autoSpaceDE w:val="0"/>
        <w:autoSpaceDN w:val="0"/>
        <w:adjustRightInd w:val="0"/>
      </w:pPr>
      <w:r>
        <w:lastRenderedPageBreak/>
        <w:t xml:space="preserve">The primary </w:t>
      </w:r>
      <w:r w:rsidR="00483A89">
        <w:t xml:space="preserve">water </w:t>
      </w:r>
      <w:r>
        <w:t xml:space="preserve">coolant enters the pressure vessel </w:t>
      </w:r>
      <w:r w:rsidR="005B3E81">
        <w:t xml:space="preserve">through two inlet water lines </w:t>
      </w:r>
      <w:r>
        <w:t xml:space="preserve">above the core, </w:t>
      </w:r>
      <w:r w:rsidR="005B3E81">
        <w:t xml:space="preserve">continues downward and </w:t>
      </w:r>
      <w:r>
        <w:t>passes through the core, and then exists</w:t>
      </w:r>
      <w:r w:rsidR="005B3E81">
        <w:t xml:space="preserve"> through a single outlet line</w:t>
      </w:r>
      <w:r>
        <w:t xml:space="preserve"> beneath the core.  </w:t>
      </w:r>
      <w:r w:rsidR="005B3E81" w:rsidRPr="00F87092">
        <w:t>HFIR isn’t used to generate electricity</w:t>
      </w:r>
      <w:r w:rsidR="005B3E81">
        <w:t>,</w:t>
      </w:r>
      <w:r w:rsidR="005B3E81" w:rsidRPr="00F87092">
        <w:t xml:space="preserve"> and </w:t>
      </w:r>
      <w:r w:rsidR="005B3E81">
        <w:t xml:space="preserve">thus </w:t>
      </w:r>
      <w:r w:rsidR="005B3E81" w:rsidRPr="00F87092">
        <w:t>the heat created is dissipated through heat exchange</w:t>
      </w:r>
      <w:r w:rsidR="005B3E81">
        <w:t>r</w:t>
      </w:r>
      <w:r w:rsidR="005B3E81" w:rsidRPr="00F87092">
        <w:t xml:space="preserve">s to </w:t>
      </w:r>
      <w:r w:rsidR="005B3E81">
        <w:t xml:space="preserve">a </w:t>
      </w:r>
      <w:r w:rsidR="00483A89">
        <w:t xml:space="preserve">four cell, induced draft </w:t>
      </w:r>
      <w:r w:rsidR="005B3E81">
        <w:t>cooling tower</w:t>
      </w:r>
      <w:r w:rsidR="005B3E81" w:rsidRPr="00F87092">
        <w:t xml:space="preserve">. </w:t>
      </w:r>
      <w:r w:rsidR="00483A89">
        <w:t xml:space="preserve"> The average flow rate is approximately 16,800 </w:t>
      </w:r>
      <w:proofErr w:type="spellStart"/>
      <w:r w:rsidR="00483A89">
        <w:t>gpm</w:t>
      </w:r>
      <w:proofErr w:type="spellEnd"/>
      <w:r w:rsidR="00483A89">
        <w:t>, of which approximately 75 – 80% flows through the fuel region.</w:t>
      </w:r>
      <w:r w:rsidR="0090343A">
        <w:t xml:space="preserve">  The other 20 – 25% flows through the flux trap, control, and reflectors regions.</w:t>
      </w:r>
      <w:r w:rsidR="00483A89">
        <w:t xml:space="preserve">  The inlet temperature of the water coolant is 120 degrees Fahrenheit and the </w:t>
      </w:r>
      <w:r w:rsidR="00A46864">
        <w:t xml:space="preserve">core </w:t>
      </w:r>
      <w:r>
        <w:t xml:space="preserve">inlet </w:t>
      </w:r>
      <w:r w:rsidR="00A46864">
        <w:t>pressure is 468 psig</w:t>
      </w:r>
      <w:r w:rsidR="000938C5">
        <w:t>.</w:t>
      </w:r>
    </w:p>
    <w:p w:rsidR="000973BD" w:rsidRDefault="000938C5" w:rsidP="00944624">
      <w:pPr>
        <w:autoSpaceDE w:val="0"/>
        <w:autoSpaceDN w:val="0"/>
        <w:adjustRightInd w:val="0"/>
      </w:pPr>
      <w:r>
        <w:t xml:space="preserve">The safety system consists of three independent safety channels that serve to override the control system and shut the reactor down if any of the operating parameters exceed their preset values.  The output of each of the three independent channels are connected to a magnet coil on each of the four outer control plates and the safety system is set up such that the magnets will release if </w:t>
      </w:r>
      <w:r w:rsidR="00457A92">
        <w:t xml:space="preserve">at least two of the three channels detects any parameter (same or different parameter) exceeding the prescribed limits.  Thus, a single detection will not disturb the reactor’s operation.  The predefined parameters include high primary inlet temperature, high reactor heat power, high rate of flux increase, </w:t>
      </w:r>
      <w:proofErr w:type="gramStart"/>
      <w:r w:rsidR="00457A92">
        <w:t>high</w:t>
      </w:r>
      <w:proofErr w:type="gramEnd"/>
      <w:r w:rsidR="00457A92">
        <w:t xml:space="preserve"> percent of neutron flux level to percent primary flow ratio, low primary flow, low primary pressure, and high primary gamma radiation activity at the vessel outlet.</w:t>
      </w:r>
    </w:p>
    <w:p w:rsidR="00033A8E" w:rsidRDefault="00033A8E" w:rsidP="00033A8E">
      <w:r>
        <w:t xml:space="preserve">A summary of the </w:t>
      </w:r>
      <w:r w:rsidR="00AB4073">
        <w:t xml:space="preserve">major </w:t>
      </w:r>
      <w:r>
        <w:t xml:space="preserve">HFIR </w:t>
      </w:r>
      <w:r w:rsidR="00AB4073">
        <w:t>parameters</w:t>
      </w:r>
      <w:r>
        <w:t xml:space="preserve"> are listed in </w:t>
      </w:r>
      <w:r w:rsidR="007511FA">
        <w:rPr>
          <w:highlight w:val="yellow"/>
        </w:rPr>
        <w:fldChar w:fldCharType="begin"/>
      </w:r>
      <w:r w:rsidR="00C06370">
        <w:instrText xml:space="preserve"> REF _Ref285532186 \h </w:instrText>
      </w:r>
      <w:r w:rsidR="007511FA">
        <w:rPr>
          <w:highlight w:val="yellow"/>
        </w:rPr>
      </w:r>
      <w:r w:rsidR="007511FA">
        <w:rPr>
          <w:highlight w:val="yellow"/>
        </w:rPr>
        <w:fldChar w:fldCharType="separate"/>
      </w:r>
      <w:r w:rsidR="00D5167B">
        <w:t xml:space="preserve">Table </w:t>
      </w:r>
      <w:r w:rsidR="00D5167B">
        <w:rPr>
          <w:noProof/>
        </w:rPr>
        <w:t>2</w:t>
      </w:r>
      <w:r w:rsidR="00D5167B">
        <w:t>.</w:t>
      </w:r>
      <w:r w:rsidR="00D5167B">
        <w:rPr>
          <w:noProof/>
        </w:rPr>
        <w:t>1</w:t>
      </w:r>
      <w:r w:rsidR="007511FA">
        <w:rPr>
          <w:highlight w:val="yellow"/>
        </w:rPr>
        <w:fldChar w:fldCharType="end"/>
      </w:r>
      <w:r w:rsidR="00AB4073">
        <w:t>.  T</w:t>
      </w:r>
      <w:r>
        <w:t>he radial dimensions (cylindrical boundaries) of the core components of the reactor are listed in</w:t>
      </w:r>
      <w:r w:rsidR="00457A92">
        <w:t xml:space="preserve"> </w:t>
      </w:r>
      <w:r w:rsidR="007511FA">
        <w:rPr>
          <w:highlight w:val="yellow"/>
        </w:rPr>
        <w:fldChar w:fldCharType="begin"/>
      </w:r>
      <w:r w:rsidR="00C06370">
        <w:instrText xml:space="preserve"> REF _Ref285532193 \h </w:instrText>
      </w:r>
      <w:r w:rsidR="007511FA">
        <w:rPr>
          <w:highlight w:val="yellow"/>
        </w:rPr>
      </w:r>
      <w:r w:rsidR="007511FA">
        <w:rPr>
          <w:highlight w:val="yellow"/>
        </w:rPr>
        <w:fldChar w:fldCharType="separate"/>
      </w:r>
      <w:r w:rsidR="00D5167B">
        <w:t xml:space="preserve">Table </w:t>
      </w:r>
      <w:r w:rsidR="00D5167B">
        <w:rPr>
          <w:noProof/>
        </w:rPr>
        <w:t>2</w:t>
      </w:r>
      <w:r w:rsidR="00D5167B">
        <w:t>.</w:t>
      </w:r>
      <w:r w:rsidR="00D5167B">
        <w:rPr>
          <w:noProof/>
        </w:rPr>
        <w:t>2</w:t>
      </w:r>
      <w:r w:rsidR="007511FA">
        <w:rPr>
          <w:highlight w:val="yellow"/>
        </w:rPr>
        <w:fldChar w:fldCharType="end"/>
      </w:r>
      <w:r>
        <w:t>.</w:t>
      </w:r>
    </w:p>
    <w:p w:rsidR="00033A8E" w:rsidRPr="00803D3C" w:rsidRDefault="00033A8E" w:rsidP="00033A8E">
      <w:bookmarkStart w:id="86" w:name="_Ref205876553"/>
      <w:r>
        <w:br w:type="page"/>
      </w:r>
      <w:bookmarkEnd w:id="86"/>
    </w:p>
    <w:p w:rsidR="00033A8E" w:rsidRPr="00C06370" w:rsidRDefault="00C06370" w:rsidP="00C06370">
      <w:pPr>
        <w:pStyle w:val="Caption"/>
      </w:pPr>
      <w:bookmarkStart w:id="87" w:name="_Ref285532186"/>
      <w:bookmarkStart w:id="88" w:name="_Toc295818262"/>
      <w:proofErr w:type="gramStart"/>
      <w:r>
        <w:lastRenderedPageBreak/>
        <w:t xml:space="preserve">Table </w:t>
      </w:r>
      <w:r w:rsidR="007511FA">
        <w:fldChar w:fldCharType="begin"/>
      </w:r>
      <w:r w:rsidR="00AE17F8">
        <w:instrText xml:space="preserve"> STYLEREF 1 \s </w:instrText>
      </w:r>
      <w:r w:rsidR="007511FA">
        <w:fldChar w:fldCharType="separate"/>
      </w:r>
      <w:r w:rsidR="00D5167B">
        <w:rPr>
          <w:noProof/>
        </w:rPr>
        <w:t>2</w:t>
      </w:r>
      <w:r w:rsidR="007511FA">
        <w:fldChar w:fldCharType="end"/>
      </w:r>
      <w:r w:rsidR="00DE5151">
        <w:t>.</w:t>
      </w:r>
      <w:proofErr w:type="gramEnd"/>
      <w:r w:rsidR="007511FA">
        <w:fldChar w:fldCharType="begin"/>
      </w:r>
      <w:r w:rsidR="00C43F40">
        <w:instrText xml:space="preserve"> SEQ Table \* ARABIC \s 1 </w:instrText>
      </w:r>
      <w:r w:rsidR="007511FA">
        <w:fldChar w:fldCharType="separate"/>
      </w:r>
      <w:r w:rsidR="00D5167B">
        <w:rPr>
          <w:noProof/>
        </w:rPr>
        <w:t>1</w:t>
      </w:r>
      <w:r w:rsidR="007511FA">
        <w:fldChar w:fldCharType="end"/>
      </w:r>
      <w:bookmarkEnd w:id="87"/>
      <w:r w:rsidR="00033A8E" w:rsidRPr="00C06370">
        <w:t xml:space="preserve">.  </w:t>
      </w:r>
      <w:proofErr w:type="gramStart"/>
      <w:r w:rsidR="00033A8E" w:rsidRPr="00C06370">
        <w:t>Summary of HFIR characteristics</w:t>
      </w:r>
      <w:r>
        <w:t>.</w:t>
      </w:r>
      <w:bookmarkEnd w:id="88"/>
      <w:proofErr w:type="gramEnd"/>
    </w:p>
    <w:tbl>
      <w:tblPr>
        <w:tblStyle w:val="TableGrid"/>
        <w:tblW w:w="0" w:type="auto"/>
        <w:jc w:val="center"/>
        <w:tblLook w:val="04A0"/>
      </w:tblPr>
      <w:tblGrid>
        <w:gridCol w:w="3348"/>
        <w:gridCol w:w="1260"/>
        <w:gridCol w:w="1260"/>
        <w:gridCol w:w="1518"/>
      </w:tblGrid>
      <w:tr w:rsidR="00AB4073" w:rsidTr="00AB4073">
        <w:trPr>
          <w:trHeight w:val="197"/>
          <w:jc w:val="center"/>
        </w:trPr>
        <w:tc>
          <w:tcPr>
            <w:tcW w:w="3348" w:type="dxa"/>
          </w:tcPr>
          <w:p w:rsidR="00AB4073" w:rsidRPr="0095569A" w:rsidRDefault="00AB4073" w:rsidP="0095569A">
            <w:pPr>
              <w:tabs>
                <w:tab w:val="center" w:pos="4320"/>
                <w:tab w:val="right" w:pos="8640"/>
              </w:tabs>
              <w:spacing w:before="0" w:after="0" w:line="240" w:lineRule="auto"/>
              <w:ind w:hanging="15"/>
              <w:rPr>
                <w:b/>
              </w:rPr>
            </w:pPr>
            <w:r w:rsidRPr="0095569A">
              <w:rPr>
                <w:b/>
              </w:rPr>
              <w:t>Parameter</w:t>
            </w:r>
          </w:p>
        </w:tc>
        <w:tc>
          <w:tcPr>
            <w:tcW w:w="2520" w:type="dxa"/>
            <w:gridSpan w:val="2"/>
          </w:tcPr>
          <w:p w:rsidR="00AB4073" w:rsidRPr="0095569A" w:rsidRDefault="00AB4073" w:rsidP="0095569A">
            <w:pPr>
              <w:tabs>
                <w:tab w:val="center" w:pos="4320"/>
                <w:tab w:val="right" w:pos="8640"/>
              </w:tabs>
              <w:spacing w:before="0" w:after="0" w:line="240" w:lineRule="auto"/>
              <w:ind w:hanging="15"/>
              <w:jc w:val="center"/>
              <w:rPr>
                <w:b/>
              </w:rPr>
            </w:pPr>
            <w:r w:rsidRPr="0095569A">
              <w:rPr>
                <w:b/>
              </w:rPr>
              <w:t>Value</w:t>
            </w:r>
          </w:p>
        </w:tc>
        <w:tc>
          <w:tcPr>
            <w:tcW w:w="1518" w:type="dxa"/>
          </w:tcPr>
          <w:p w:rsidR="00AB4073" w:rsidRPr="0095569A" w:rsidRDefault="00AB4073" w:rsidP="0095569A">
            <w:pPr>
              <w:tabs>
                <w:tab w:val="center" w:pos="4320"/>
                <w:tab w:val="right" w:pos="8640"/>
              </w:tabs>
              <w:spacing w:before="0" w:after="0" w:line="240" w:lineRule="auto"/>
              <w:ind w:hanging="15"/>
              <w:jc w:val="center"/>
              <w:rPr>
                <w:b/>
              </w:rPr>
            </w:pPr>
            <w:r w:rsidRPr="0095569A">
              <w:rPr>
                <w:b/>
              </w:rPr>
              <w:t>Units</w:t>
            </w:r>
          </w:p>
        </w:tc>
      </w:tr>
      <w:tr w:rsidR="00AB4073" w:rsidTr="00AB4073">
        <w:trPr>
          <w:jc w:val="center"/>
        </w:trPr>
        <w:tc>
          <w:tcPr>
            <w:tcW w:w="3348" w:type="dxa"/>
          </w:tcPr>
          <w:p w:rsidR="00AB4073" w:rsidRPr="0095569A" w:rsidRDefault="00AB4073" w:rsidP="0095569A">
            <w:pPr>
              <w:tabs>
                <w:tab w:val="center" w:pos="4320"/>
                <w:tab w:val="right" w:pos="8640"/>
              </w:tabs>
              <w:spacing w:before="0" w:after="0" w:line="240" w:lineRule="auto"/>
              <w:ind w:hanging="15"/>
            </w:pPr>
            <w:r w:rsidRPr="0095569A">
              <w:t>Reactor Power</w:t>
            </w:r>
          </w:p>
        </w:tc>
        <w:tc>
          <w:tcPr>
            <w:tcW w:w="2520" w:type="dxa"/>
            <w:gridSpan w:val="2"/>
          </w:tcPr>
          <w:p w:rsidR="00AB4073" w:rsidRPr="0095569A" w:rsidRDefault="00AB4073" w:rsidP="0095569A">
            <w:pPr>
              <w:tabs>
                <w:tab w:val="center" w:pos="4320"/>
                <w:tab w:val="right" w:pos="8640"/>
              </w:tabs>
              <w:spacing w:before="0" w:after="0" w:line="240" w:lineRule="auto"/>
              <w:ind w:hanging="15"/>
              <w:jc w:val="center"/>
            </w:pPr>
            <w:r w:rsidRPr="0095569A">
              <w:t>85</w:t>
            </w:r>
          </w:p>
        </w:tc>
        <w:tc>
          <w:tcPr>
            <w:tcW w:w="1518" w:type="dxa"/>
          </w:tcPr>
          <w:p w:rsidR="00AB4073" w:rsidRPr="0095569A" w:rsidRDefault="00AB4073" w:rsidP="0095569A">
            <w:pPr>
              <w:tabs>
                <w:tab w:val="center" w:pos="4320"/>
                <w:tab w:val="right" w:pos="8640"/>
              </w:tabs>
              <w:spacing w:before="0" w:after="0" w:line="240" w:lineRule="auto"/>
              <w:ind w:hanging="15"/>
              <w:jc w:val="center"/>
              <w:rPr>
                <w:vertAlign w:val="subscript"/>
              </w:rPr>
            </w:pPr>
            <w:r w:rsidRPr="0095569A">
              <w:t>MW</w:t>
            </w:r>
            <w:r w:rsidRPr="0095569A">
              <w:rPr>
                <w:vertAlign w:val="subscript"/>
              </w:rPr>
              <w:t>th</w:t>
            </w:r>
          </w:p>
        </w:tc>
      </w:tr>
      <w:tr w:rsidR="00AB4073" w:rsidTr="00AB4073">
        <w:trPr>
          <w:jc w:val="center"/>
        </w:trPr>
        <w:tc>
          <w:tcPr>
            <w:tcW w:w="3348" w:type="dxa"/>
          </w:tcPr>
          <w:p w:rsidR="00AB4073" w:rsidRPr="0095569A" w:rsidRDefault="00AB4073" w:rsidP="0095569A">
            <w:pPr>
              <w:tabs>
                <w:tab w:val="center" w:pos="4320"/>
                <w:tab w:val="right" w:pos="8640"/>
              </w:tabs>
              <w:spacing w:before="0" w:after="0" w:line="240" w:lineRule="auto"/>
              <w:ind w:hanging="15"/>
            </w:pPr>
            <w:r w:rsidRPr="0095569A">
              <w:t>Maximum Thermal Neutron Flux</w:t>
            </w:r>
          </w:p>
        </w:tc>
        <w:tc>
          <w:tcPr>
            <w:tcW w:w="2520" w:type="dxa"/>
            <w:gridSpan w:val="2"/>
          </w:tcPr>
          <w:p w:rsidR="00AB4073" w:rsidRPr="0095569A" w:rsidRDefault="00AB4073" w:rsidP="0095569A">
            <w:pPr>
              <w:tabs>
                <w:tab w:val="center" w:pos="4320"/>
                <w:tab w:val="right" w:pos="8640"/>
              </w:tabs>
              <w:spacing w:before="0" w:after="0" w:line="240" w:lineRule="auto"/>
              <w:ind w:hanging="15"/>
              <w:jc w:val="center"/>
              <w:rPr>
                <w:vertAlign w:val="superscript"/>
              </w:rPr>
            </w:pPr>
            <w:r w:rsidRPr="0095569A">
              <w:t>2.2 x 10</w:t>
            </w:r>
            <w:r w:rsidRPr="0095569A">
              <w:rPr>
                <w:vertAlign w:val="superscript"/>
              </w:rPr>
              <w:t>15</w:t>
            </w:r>
          </w:p>
        </w:tc>
        <w:tc>
          <w:tcPr>
            <w:tcW w:w="1518" w:type="dxa"/>
          </w:tcPr>
          <w:p w:rsidR="00AB4073" w:rsidRPr="0095569A" w:rsidRDefault="00AB4073" w:rsidP="0095569A">
            <w:pPr>
              <w:tabs>
                <w:tab w:val="center" w:pos="4320"/>
                <w:tab w:val="right" w:pos="8640"/>
              </w:tabs>
              <w:spacing w:before="0" w:after="0" w:line="240" w:lineRule="auto"/>
              <w:ind w:hanging="15"/>
              <w:jc w:val="center"/>
            </w:pPr>
            <w:r w:rsidRPr="0095569A">
              <w:t>n/cm</w:t>
            </w:r>
            <w:r w:rsidRPr="0095569A">
              <w:rPr>
                <w:vertAlign w:val="superscript"/>
              </w:rPr>
              <w:t>2</w:t>
            </w:r>
            <w:r w:rsidRPr="0095569A">
              <w:t>/s</w:t>
            </w:r>
          </w:p>
        </w:tc>
      </w:tr>
      <w:tr w:rsidR="00AB4073" w:rsidTr="00AB4073">
        <w:trPr>
          <w:jc w:val="center"/>
        </w:trPr>
        <w:tc>
          <w:tcPr>
            <w:tcW w:w="3348" w:type="dxa"/>
          </w:tcPr>
          <w:p w:rsidR="00AB4073" w:rsidRPr="0095569A" w:rsidRDefault="00AB4073" w:rsidP="0095569A">
            <w:pPr>
              <w:tabs>
                <w:tab w:val="center" w:pos="4320"/>
                <w:tab w:val="right" w:pos="8640"/>
              </w:tabs>
              <w:spacing w:before="0" w:after="0" w:line="240" w:lineRule="auto"/>
              <w:ind w:hanging="15"/>
            </w:pPr>
            <w:r w:rsidRPr="0095569A">
              <w:t>Active Core Height</w:t>
            </w:r>
          </w:p>
        </w:tc>
        <w:tc>
          <w:tcPr>
            <w:tcW w:w="2520" w:type="dxa"/>
            <w:gridSpan w:val="2"/>
          </w:tcPr>
          <w:p w:rsidR="00AB4073" w:rsidRPr="0095569A" w:rsidRDefault="00AB4073" w:rsidP="0095569A">
            <w:pPr>
              <w:tabs>
                <w:tab w:val="center" w:pos="4320"/>
                <w:tab w:val="right" w:pos="8640"/>
              </w:tabs>
              <w:spacing w:before="0" w:after="0" w:line="240" w:lineRule="auto"/>
              <w:ind w:hanging="15"/>
              <w:jc w:val="center"/>
            </w:pPr>
            <w:r w:rsidRPr="0095569A">
              <w:t>50.8</w:t>
            </w:r>
          </w:p>
        </w:tc>
        <w:tc>
          <w:tcPr>
            <w:tcW w:w="1518" w:type="dxa"/>
          </w:tcPr>
          <w:p w:rsidR="00AB4073" w:rsidRPr="0095569A" w:rsidRDefault="00AB4073" w:rsidP="0095569A">
            <w:pPr>
              <w:tabs>
                <w:tab w:val="center" w:pos="4320"/>
                <w:tab w:val="right" w:pos="8640"/>
              </w:tabs>
              <w:spacing w:before="0" w:after="0" w:line="240" w:lineRule="auto"/>
              <w:ind w:hanging="15"/>
              <w:jc w:val="center"/>
            </w:pPr>
            <w:r w:rsidRPr="0095569A">
              <w:t>cm</w:t>
            </w:r>
          </w:p>
        </w:tc>
      </w:tr>
      <w:tr w:rsidR="00AB4073" w:rsidTr="00AB4073">
        <w:trPr>
          <w:jc w:val="center"/>
        </w:trPr>
        <w:tc>
          <w:tcPr>
            <w:tcW w:w="3348" w:type="dxa"/>
          </w:tcPr>
          <w:p w:rsidR="00AB4073" w:rsidRPr="0095569A" w:rsidRDefault="00AB4073" w:rsidP="0095569A">
            <w:pPr>
              <w:tabs>
                <w:tab w:val="center" w:pos="4320"/>
                <w:tab w:val="right" w:pos="8640"/>
              </w:tabs>
              <w:spacing w:before="0" w:after="0" w:line="240" w:lineRule="auto"/>
              <w:ind w:hanging="15"/>
            </w:pPr>
            <w:r w:rsidRPr="0095569A">
              <w:t>Number of Fuel Elements</w:t>
            </w:r>
          </w:p>
        </w:tc>
        <w:tc>
          <w:tcPr>
            <w:tcW w:w="2520" w:type="dxa"/>
            <w:gridSpan w:val="2"/>
          </w:tcPr>
          <w:p w:rsidR="00AB4073" w:rsidRPr="0095569A" w:rsidRDefault="00AB4073" w:rsidP="0095569A">
            <w:pPr>
              <w:tabs>
                <w:tab w:val="center" w:pos="4320"/>
                <w:tab w:val="right" w:pos="8640"/>
              </w:tabs>
              <w:spacing w:before="0" w:after="0" w:line="240" w:lineRule="auto"/>
              <w:ind w:hanging="15"/>
              <w:jc w:val="center"/>
            </w:pPr>
            <w:r w:rsidRPr="0095569A">
              <w:t>2</w:t>
            </w:r>
          </w:p>
        </w:tc>
        <w:tc>
          <w:tcPr>
            <w:tcW w:w="1518" w:type="dxa"/>
          </w:tcPr>
          <w:p w:rsidR="00AB4073" w:rsidRPr="0095569A" w:rsidRDefault="00AB4073" w:rsidP="0095569A">
            <w:pPr>
              <w:tabs>
                <w:tab w:val="center" w:pos="4320"/>
                <w:tab w:val="right" w:pos="8640"/>
              </w:tabs>
              <w:spacing w:before="0" w:after="0" w:line="240" w:lineRule="auto"/>
              <w:ind w:hanging="15"/>
              <w:jc w:val="center"/>
            </w:pPr>
            <w:r w:rsidRPr="0095569A">
              <w:t>-</w:t>
            </w:r>
          </w:p>
        </w:tc>
      </w:tr>
      <w:tr w:rsidR="00AB4073" w:rsidTr="00AB4073">
        <w:trPr>
          <w:jc w:val="center"/>
        </w:trPr>
        <w:tc>
          <w:tcPr>
            <w:tcW w:w="3348" w:type="dxa"/>
          </w:tcPr>
          <w:p w:rsidR="00AB4073" w:rsidRPr="0095569A" w:rsidRDefault="00AB4073" w:rsidP="0095569A">
            <w:pPr>
              <w:tabs>
                <w:tab w:val="center" w:pos="4320"/>
                <w:tab w:val="right" w:pos="8640"/>
              </w:tabs>
              <w:spacing w:before="0" w:after="0" w:line="240" w:lineRule="auto"/>
              <w:ind w:hanging="15"/>
            </w:pPr>
            <w:r w:rsidRPr="0095569A">
              <w:t>Fuel Type</w:t>
            </w:r>
          </w:p>
        </w:tc>
        <w:tc>
          <w:tcPr>
            <w:tcW w:w="2520" w:type="dxa"/>
            <w:gridSpan w:val="2"/>
          </w:tcPr>
          <w:p w:rsidR="00AB4073" w:rsidRPr="0095569A" w:rsidRDefault="00AB4073" w:rsidP="0095569A">
            <w:pPr>
              <w:tabs>
                <w:tab w:val="center" w:pos="4320"/>
                <w:tab w:val="right" w:pos="8640"/>
              </w:tabs>
              <w:spacing w:before="0" w:after="0" w:line="240" w:lineRule="auto"/>
              <w:ind w:hanging="15"/>
              <w:jc w:val="center"/>
            </w:pPr>
            <w:r w:rsidRPr="0095569A">
              <w:t>U</w:t>
            </w:r>
            <w:r w:rsidRPr="0095569A">
              <w:rPr>
                <w:vertAlign w:val="subscript"/>
              </w:rPr>
              <w:t>3</w:t>
            </w:r>
            <w:r w:rsidRPr="0095569A">
              <w:t>O</w:t>
            </w:r>
            <w:r w:rsidRPr="0095569A">
              <w:rPr>
                <w:vertAlign w:val="subscript"/>
              </w:rPr>
              <w:t>8</w:t>
            </w:r>
            <w:r w:rsidRPr="0095569A">
              <w:t>-Al</w:t>
            </w:r>
          </w:p>
        </w:tc>
        <w:tc>
          <w:tcPr>
            <w:tcW w:w="1518" w:type="dxa"/>
          </w:tcPr>
          <w:p w:rsidR="00AB4073" w:rsidRPr="0095569A" w:rsidRDefault="00AB4073" w:rsidP="0095569A">
            <w:pPr>
              <w:tabs>
                <w:tab w:val="center" w:pos="4320"/>
                <w:tab w:val="right" w:pos="8640"/>
              </w:tabs>
              <w:spacing w:before="0" w:after="0" w:line="240" w:lineRule="auto"/>
              <w:ind w:hanging="15"/>
              <w:jc w:val="center"/>
            </w:pPr>
            <w:r w:rsidRPr="0095569A">
              <w:t>-</w:t>
            </w:r>
          </w:p>
        </w:tc>
      </w:tr>
      <w:tr w:rsidR="00AB4073" w:rsidTr="00AB4073">
        <w:trPr>
          <w:jc w:val="center"/>
        </w:trPr>
        <w:tc>
          <w:tcPr>
            <w:tcW w:w="3348" w:type="dxa"/>
          </w:tcPr>
          <w:p w:rsidR="00AB4073" w:rsidRPr="0095569A" w:rsidRDefault="00AB4073" w:rsidP="0095569A">
            <w:pPr>
              <w:tabs>
                <w:tab w:val="center" w:pos="4320"/>
                <w:tab w:val="right" w:pos="8640"/>
              </w:tabs>
              <w:spacing w:before="0" w:after="0" w:line="240" w:lineRule="auto"/>
              <w:ind w:hanging="15"/>
            </w:pPr>
            <w:r w:rsidRPr="0095569A">
              <w:t xml:space="preserve">Total </w:t>
            </w:r>
            <w:r w:rsidRPr="0095569A">
              <w:rPr>
                <w:vertAlign w:val="superscript"/>
              </w:rPr>
              <w:t>235</w:t>
            </w:r>
            <w:r w:rsidRPr="0095569A">
              <w:t>U Loading</w:t>
            </w:r>
          </w:p>
        </w:tc>
        <w:tc>
          <w:tcPr>
            <w:tcW w:w="2520" w:type="dxa"/>
            <w:gridSpan w:val="2"/>
          </w:tcPr>
          <w:p w:rsidR="00AB4073" w:rsidRPr="0095569A" w:rsidRDefault="00AB4073" w:rsidP="0095569A">
            <w:pPr>
              <w:tabs>
                <w:tab w:val="center" w:pos="4320"/>
                <w:tab w:val="right" w:pos="8640"/>
              </w:tabs>
              <w:spacing w:before="0" w:after="0" w:line="240" w:lineRule="auto"/>
              <w:ind w:hanging="15"/>
              <w:jc w:val="center"/>
            </w:pPr>
            <w:r w:rsidRPr="0095569A">
              <w:t>9.40</w:t>
            </w:r>
          </w:p>
        </w:tc>
        <w:tc>
          <w:tcPr>
            <w:tcW w:w="1518" w:type="dxa"/>
          </w:tcPr>
          <w:p w:rsidR="00AB4073" w:rsidRPr="0095569A" w:rsidRDefault="00AB4073" w:rsidP="0095569A">
            <w:pPr>
              <w:tabs>
                <w:tab w:val="center" w:pos="4320"/>
                <w:tab w:val="right" w:pos="8640"/>
              </w:tabs>
              <w:spacing w:before="0" w:after="0" w:line="240" w:lineRule="auto"/>
              <w:ind w:hanging="15"/>
              <w:jc w:val="center"/>
            </w:pPr>
            <w:r w:rsidRPr="0095569A">
              <w:t>kg</w:t>
            </w:r>
          </w:p>
        </w:tc>
      </w:tr>
      <w:tr w:rsidR="00AB4073" w:rsidTr="00AB4073">
        <w:trPr>
          <w:jc w:val="center"/>
        </w:trPr>
        <w:tc>
          <w:tcPr>
            <w:tcW w:w="3348" w:type="dxa"/>
          </w:tcPr>
          <w:p w:rsidR="00AB4073" w:rsidRPr="0095569A" w:rsidRDefault="00AB4073" w:rsidP="0095569A">
            <w:pPr>
              <w:tabs>
                <w:tab w:val="center" w:pos="4320"/>
                <w:tab w:val="right" w:pos="8640"/>
              </w:tabs>
              <w:spacing w:before="0" w:after="0" w:line="240" w:lineRule="auto"/>
              <w:ind w:hanging="15"/>
            </w:pPr>
            <w:r w:rsidRPr="0095569A">
              <w:t>Enrichment</w:t>
            </w:r>
          </w:p>
        </w:tc>
        <w:tc>
          <w:tcPr>
            <w:tcW w:w="2520" w:type="dxa"/>
            <w:gridSpan w:val="2"/>
          </w:tcPr>
          <w:p w:rsidR="00AB4073" w:rsidRPr="0095569A" w:rsidRDefault="00AB4073" w:rsidP="0095569A">
            <w:pPr>
              <w:tabs>
                <w:tab w:val="center" w:pos="4320"/>
                <w:tab w:val="right" w:pos="8640"/>
              </w:tabs>
              <w:spacing w:before="0" w:after="0" w:line="240" w:lineRule="auto"/>
              <w:ind w:hanging="15"/>
              <w:jc w:val="center"/>
            </w:pPr>
            <w:r w:rsidRPr="0095569A">
              <w:t>93</w:t>
            </w:r>
          </w:p>
        </w:tc>
        <w:tc>
          <w:tcPr>
            <w:tcW w:w="1518" w:type="dxa"/>
          </w:tcPr>
          <w:p w:rsidR="00AB4073" w:rsidRPr="0095569A" w:rsidRDefault="00AB4073" w:rsidP="0095569A">
            <w:pPr>
              <w:tabs>
                <w:tab w:val="center" w:pos="4320"/>
                <w:tab w:val="right" w:pos="8640"/>
              </w:tabs>
              <w:spacing w:before="0" w:after="0" w:line="240" w:lineRule="auto"/>
              <w:ind w:hanging="15"/>
              <w:jc w:val="center"/>
            </w:pPr>
            <w:r w:rsidRPr="0095569A">
              <w:t xml:space="preserve">wt.% </w:t>
            </w:r>
            <w:r w:rsidRPr="0095569A">
              <w:rPr>
                <w:vertAlign w:val="superscript"/>
              </w:rPr>
              <w:t>235</w:t>
            </w:r>
            <w:r w:rsidRPr="0095569A">
              <w:t>U/U</w:t>
            </w:r>
          </w:p>
        </w:tc>
      </w:tr>
      <w:tr w:rsidR="00AB4073" w:rsidTr="00AB4073">
        <w:trPr>
          <w:jc w:val="center"/>
        </w:trPr>
        <w:tc>
          <w:tcPr>
            <w:tcW w:w="3348" w:type="dxa"/>
          </w:tcPr>
          <w:p w:rsidR="00AB4073" w:rsidRPr="0095569A" w:rsidRDefault="00AB4073" w:rsidP="0095569A">
            <w:pPr>
              <w:tabs>
                <w:tab w:val="center" w:pos="4320"/>
                <w:tab w:val="right" w:pos="8640"/>
              </w:tabs>
              <w:spacing w:before="0" w:after="0" w:line="240" w:lineRule="auto"/>
              <w:ind w:hanging="15"/>
            </w:pPr>
            <w:r w:rsidRPr="0095569A">
              <w:t>Fuel Element</w:t>
            </w:r>
          </w:p>
        </w:tc>
        <w:tc>
          <w:tcPr>
            <w:tcW w:w="1260" w:type="dxa"/>
          </w:tcPr>
          <w:p w:rsidR="00AB4073" w:rsidRPr="0095569A" w:rsidRDefault="00AB4073" w:rsidP="0095569A">
            <w:pPr>
              <w:tabs>
                <w:tab w:val="center" w:pos="4320"/>
                <w:tab w:val="right" w:pos="8640"/>
              </w:tabs>
              <w:spacing w:before="0" w:after="0" w:line="240" w:lineRule="auto"/>
              <w:ind w:hanging="15"/>
              <w:jc w:val="center"/>
            </w:pPr>
            <w:r w:rsidRPr="0095569A">
              <w:t>IFE</w:t>
            </w:r>
          </w:p>
        </w:tc>
        <w:tc>
          <w:tcPr>
            <w:tcW w:w="1260" w:type="dxa"/>
          </w:tcPr>
          <w:p w:rsidR="00AB4073" w:rsidRPr="0095569A" w:rsidRDefault="00AB4073" w:rsidP="0095569A">
            <w:pPr>
              <w:tabs>
                <w:tab w:val="center" w:pos="4320"/>
                <w:tab w:val="right" w:pos="8640"/>
              </w:tabs>
              <w:spacing w:before="0" w:after="0" w:line="240" w:lineRule="auto"/>
              <w:ind w:hanging="15"/>
              <w:jc w:val="center"/>
            </w:pPr>
            <w:r w:rsidRPr="0095569A">
              <w:t>OFE</w:t>
            </w:r>
          </w:p>
        </w:tc>
        <w:tc>
          <w:tcPr>
            <w:tcW w:w="1518" w:type="dxa"/>
          </w:tcPr>
          <w:p w:rsidR="00AB4073" w:rsidRPr="0095569A" w:rsidRDefault="00AB4073" w:rsidP="0095569A">
            <w:pPr>
              <w:tabs>
                <w:tab w:val="center" w:pos="4320"/>
                <w:tab w:val="right" w:pos="8640"/>
              </w:tabs>
              <w:spacing w:before="0" w:after="0" w:line="240" w:lineRule="auto"/>
              <w:ind w:hanging="15"/>
              <w:jc w:val="center"/>
            </w:pPr>
            <w:r w:rsidRPr="0095569A">
              <w:t>-</w:t>
            </w:r>
          </w:p>
        </w:tc>
      </w:tr>
      <w:tr w:rsidR="00AB4073" w:rsidTr="00AB4073">
        <w:trPr>
          <w:jc w:val="center"/>
        </w:trPr>
        <w:tc>
          <w:tcPr>
            <w:tcW w:w="3348" w:type="dxa"/>
          </w:tcPr>
          <w:p w:rsidR="00AB4073" w:rsidRPr="0095569A" w:rsidRDefault="00AB4073" w:rsidP="0095569A">
            <w:pPr>
              <w:tabs>
                <w:tab w:val="center" w:pos="4320"/>
                <w:tab w:val="right" w:pos="8640"/>
              </w:tabs>
              <w:spacing w:before="0" w:after="0" w:line="240" w:lineRule="auto"/>
              <w:ind w:hanging="15"/>
            </w:pPr>
            <w:r w:rsidRPr="0095569A">
              <w:t>Number of Fuel Plates</w:t>
            </w:r>
          </w:p>
        </w:tc>
        <w:tc>
          <w:tcPr>
            <w:tcW w:w="1260" w:type="dxa"/>
          </w:tcPr>
          <w:p w:rsidR="00AB4073" w:rsidRPr="0095569A" w:rsidRDefault="00AB4073" w:rsidP="0095569A">
            <w:pPr>
              <w:tabs>
                <w:tab w:val="center" w:pos="4320"/>
                <w:tab w:val="right" w:pos="8640"/>
              </w:tabs>
              <w:spacing w:before="0" w:after="0" w:line="240" w:lineRule="auto"/>
              <w:ind w:hanging="15"/>
              <w:jc w:val="center"/>
            </w:pPr>
            <w:r w:rsidRPr="0095569A">
              <w:t>171</w:t>
            </w:r>
          </w:p>
        </w:tc>
        <w:tc>
          <w:tcPr>
            <w:tcW w:w="1260" w:type="dxa"/>
          </w:tcPr>
          <w:p w:rsidR="00AB4073" w:rsidRPr="0095569A" w:rsidRDefault="00AB4073" w:rsidP="0095569A">
            <w:pPr>
              <w:tabs>
                <w:tab w:val="center" w:pos="4320"/>
                <w:tab w:val="right" w:pos="8640"/>
              </w:tabs>
              <w:spacing w:before="0" w:after="0" w:line="240" w:lineRule="auto"/>
              <w:ind w:hanging="15"/>
              <w:jc w:val="center"/>
            </w:pPr>
            <w:r w:rsidRPr="0095569A">
              <w:t>369</w:t>
            </w:r>
          </w:p>
        </w:tc>
        <w:tc>
          <w:tcPr>
            <w:tcW w:w="1518" w:type="dxa"/>
          </w:tcPr>
          <w:p w:rsidR="00AB4073" w:rsidRPr="0095569A" w:rsidRDefault="00AB4073" w:rsidP="0095569A">
            <w:pPr>
              <w:tabs>
                <w:tab w:val="center" w:pos="4320"/>
                <w:tab w:val="right" w:pos="8640"/>
              </w:tabs>
              <w:spacing w:before="0" w:after="0" w:line="240" w:lineRule="auto"/>
              <w:ind w:hanging="15"/>
              <w:jc w:val="center"/>
            </w:pPr>
            <w:r w:rsidRPr="0095569A">
              <w:t>-</w:t>
            </w:r>
          </w:p>
        </w:tc>
      </w:tr>
      <w:tr w:rsidR="00AB4073" w:rsidTr="00AB4073">
        <w:trPr>
          <w:jc w:val="center"/>
        </w:trPr>
        <w:tc>
          <w:tcPr>
            <w:tcW w:w="3348" w:type="dxa"/>
          </w:tcPr>
          <w:p w:rsidR="00AB4073" w:rsidRPr="0095569A" w:rsidRDefault="00AB4073" w:rsidP="0095569A">
            <w:pPr>
              <w:tabs>
                <w:tab w:val="center" w:pos="4320"/>
                <w:tab w:val="right" w:pos="8640"/>
              </w:tabs>
              <w:spacing w:before="0" w:after="0" w:line="240" w:lineRule="auto"/>
              <w:ind w:hanging="15"/>
            </w:pPr>
            <w:r w:rsidRPr="0095569A">
              <w:rPr>
                <w:vertAlign w:val="superscript"/>
              </w:rPr>
              <w:t>235</w:t>
            </w:r>
            <w:r w:rsidRPr="0095569A">
              <w:t>U per Plate</w:t>
            </w:r>
            <w:r w:rsidRPr="0095569A">
              <w:rPr>
                <w:vertAlign w:val="superscript"/>
              </w:rPr>
              <w:t xml:space="preserve"> </w:t>
            </w:r>
          </w:p>
        </w:tc>
        <w:tc>
          <w:tcPr>
            <w:tcW w:w="1260" w:type="dxa"/>
          </w:tcPr>
          <w:p w:rsidR="00AB4073" w:rsidRPr="0095569A" w:rsidRDefault="00AB4073" w:rsidP="0095569A">
            <w:pPr>
              <w:tabs>
                <w:tab w:val="center" w:pos="4320"/>
                <w:tab w:val="right" w:pos="8640"/>
              </w:tabs>
              <w:spacing w:before="0" w:after="0" w:line="240" w:lineRule="auto"/>
              <w:ind w:hanging="15"/>
              <w:jc w:val="center"/>
            </w:pPr>
            <w:r w:rsidRPr="0095569A">
              <w:t>15.18</w:t>
            </w:r>
          </w:p>
        </w:tc>
        <w:tc>
          <w:tcPr>
            <w:tcW w:w="1260" w:type="dxa"/>
          </w:tcPr>
          <w:p w:rsidR="00AB4073" w:rsidRPr="0095569A" w:rsidRDefault="00AB4073" w:rsidP="0095569A">
            <w:pPr>
              <w:tabs>
                <w:tab w:val="center" w:pos="4320"/>
                <w:tab w:val="right" w:pos="8640"/>
              </w:tabs>
              <w:spacing w:before="0" w:after="0" w:line="240" w:lineRule="auto"/>
              <w:ind w:hanging="15"/>
              <w:jc w:val="center"/>
            </w:pPr>
            <w:r w:rsidRPr="0095569A">
              <w:t>18.44</w:t>
            </w:r>
          </w:p>
        </w:tc>
        <w:tc>
          <w:tcPr>
            <w:tcW w:w="1518" w:type="dxa"/>
          </w:tcPr>
          <w:p w:rsidR="00AB4073" w:rsidRPr="0095569A" w:rsidRDefault="00AB4073" w:rsidP="0095569A">
            <w:pPr>
              <w:tabs>
                <w:tab w:val="center" w:pos="4320"/>
                <w:tab w:val="right" w:pos="8640"/>
              </w:tabs>
              <w:spacing w:before="0" w:after="0" w:line="240" w:lineRule="auto"/>
              <w:ind w:hanging="15"/>
              <w:jc w:val="center"/>
            </w:pPr>
            <w:r w:rsidRPr="0095569A">
              <w:t xml:space="preserve">g </w:t>
            </w:r>
          </w:p>
        </w:tc>
      </w:tr>
      <w:tr w:rsidR="00AB4073" w:rsidTr="00AB4073">
        <w:trPr>
          <w:jc w:val="center"/>
        </w:trPr>
        <w:tc>
          <w:tcPr>
            <w:tcW w:w="3348" w:type="dxa"/>
          </w:tcPr>
          <w:p w:rsidR="00AB4073" w:rsidRPr="0095569A" w:rsidRDefault="00AB4073" w:rsidP="0095569A">
            <w:pPr>
              <w:tabs>
                <w:tab w:val="center" w:pos="4320"/>
                <w:tab w:val="right" w:pos="8640"/>
              </w:tabs>
              <w:spacing w:before="0" w:after="0" w:line="240" w:lineRule="auto"/>
              <w:ind w:hanging="15"/>
            </w:pPr>
            <w:r w:rsidRPr="0095569A">
              <w:t>Average Fuel U Density</w:t>
            </w:r>
          </w:p>
        </w:tc>
        <w:tc>
          <w:tcPr>
            <w:tcW w:w="1260" w:type="dxa"/>
          </w:tcPr>
          <w:p w:rsidR="00AB4073" w:rsidRPr="0095569A" w:rsidRDefault="00AB4073" w:rsidP="0095569A">
            <w:pPr>
              <w:tabs>
                <w:tab w:val="center" w:pos="4320"/>
                <w:tab w:val="right" w:pos="8640"/>
              </w:tabs>
              <w:spacing w:before="0" w:after="0" w:line="240" w:lineRule="auto"/>
              <w:ind w:hanging="15"/>
              <w:jc w:val="center"/>
            </w:pPr>
            <w:r w:rsidRPr="0095569A">
              <w:t>0.776</w:t>
            </w:r>
          </w:p>
        </w:tc>
        <w:tc>
          <w:tcPr>
            <w:tcW w:w="1260" w:type="dxa"/>
          </w:tcPr>
          <w:p w:rsidR="00AB4073" w:rsidRPr="0095569A" w:rsidRDefault="00AB4073" w:rsidP="0095569A">
            <w:pPr>
              <w:tabs>
                <w:tab w:val="center" w:pos="4320"/>
                <w:tab w:val="right" w:pos="8640"/>
              </w:tabs>
              <w:spacing w:before="0" w:after="0" w:line="240" w:lineRule="auto"/>
              <w:ind w:hanging="15"/>
              <w:jc w:val="center"/>
            </w:pPr>
            <w:r w:rsidRPr="0095569A">
              <w:t>1.151</w:t>
            </w:r>
          </w:p>
        </w:tc>
        <w:tc>
          <w:tcPr>
            <w:tcW w:w="1518" w:type="dxa"/>
          </w:tcPr>
          <w:p w:rsidR="00AB4073" w:rsidRPr="0095569A" w:rsidRDefault="00AB4073" w:rsidP="0095569A">
            <w:pPr>
              <w:tabs>
                <w:tab w:val="center" w:pos="4320"/>
                <w:tab w:val="right" w:pos="8640"/>
              </w:tabs>
              <w:spacing w:before="0" w:after="0" w:line="240" w:lineRule="auto"/>
              <w:ind w:hanging="15"/>
              <w:jc w:val="center"/>
            </w:pPr>
            <w:proofErr w:type="spellStart"/>
            <w:r w:rsidRPr="0095569A">
              <w:t>gU</w:t>
            </w:r>
            <w:proofErr w:type="spellEnd"/>
            <w:r w:rsidRPr="0095569A">
              <w:t>/cm</w:t>
            </w:r>
            <w:r w:rsidRPr="0095569A">
              <w:rPr>
                <w:vertAlign w:val="superscript"/>
              </w:rPr>
              <w:t>3</w:t>
            </w:r>
          </w:p>
        </w:tc>
      </w:tr>
      <w:tr w:rsidR="00AB4073" w:rsidTr="00AB4073">
        <w:trPr>
          <w:jc w:val="center"/>
        </w:trPr>
        <w:tc>
          <w:tcPr>
            <w:tcW w:w="3348" w:type="dxa"/>
          </w:tcPr>
          <w:p w:rsidR="00AB4073" w:rsidRPr="0095569A" w:rsidRDefault="00AB4073" w:rsidP="0095569A">
            <w:pPr>
              <w:tabs>
                <w:tab w:val="center" w:pos="4320"/>
                <w:tab w:val="right" w:pos="8640"/>
              </w:tabs>
              <w:spacing w:before="0" w:after="0" w:line="240" w:lineRule="auto"/>
              <w:ind w:hanging="15"/>
            </w:pPr>
            <w:r w:rsidRPr="0095569A">
              <w:rPr>
                <w:vertAlign w:val="superscript"/>
              </w:rPr>
              <w:t>235</w:t>
            </w:r>
            <w:r w:rsidRPr="0095569A">
              <w:t>U Loading</w:t>
            </w:r>
          </w:p>
        </w:tc>
        <w:tc>
          <w:tcPr>
            <w:tcW w:w="1260" w:type="dxa"/>
          </w:tcPr>
          <w:p w:rsidR="00AB4073" w:rsidRPr="0095569A" w:rsidRDefault="00AB4073" w:rsidP="0095569A">
            <w:pPr>
              <w:tabs>
                <w:tab w:val="center" w:pos="4320"/>
                <w:tab w:val="right" w:pos="8640"/>
              </w:tabs>
              <w:spacing w:before="0" w:after="0" w:line="240" w:lineRule="auto"/>
              <w:ind w:hanging="15"/>
              <w:jc w:val="center"/>
            </w:pPr>
            <w:r w:rsidRPr="0095569A">
              <w:t>2.60</w:t>
            </w:r>
          </w:p>
        </w:tc>
        <w:tc>
          <w:tcPr>
            <w:tcW w:w="1260" w:type="dxa"/>
          </w:tcPr>
          <w:p w:rsidR="00AB4073" w:rsidRPr="0095569A" w:rsidRDefault="00AB4073" w:rsidP="0095569A">
            <w:pPr>
              <w:tabs>
                <w:tab w:val="center" w:pos="4320"/>
                <w:tab w:val="right" w:pos="8640"/>
              </w:tabs>
              <w:spacing w:before="0" w:after="0" w:line="240" w:lineRule="auto"/>
              <w:ind w:hanging="15"/>
              <w:jc w:val="center"/>
            </w:pPr>
            <w:r w:rsidRPr="0095569A">
              <w:t>6.80</w:t>
            </w:r>
          </w:p>
        </w:tc>
        <w:tc>
          <w:tcPr>
            <w:tcW w:w="1518" w:type="dxa"/>
          </w:tcPr>
          <w:p w:rsidR="00AB4073" w:rsidRPr="0095569A" w:rsidRDefault="00AB4073" w:rsidP="0095569A">
            <w:pPr>
              <w:tabs>
                <w:tab w:val="center" w:pos="4320"/>
                <w:tab w:val="right" w:pos="8640"/>
              </w:tabs>
              <w:spacing w:before="0" w:after="0" w:line="240" w:lineRule="auto"/>
              <w:ind w:hanging="15"/>
              <w:jc w:val="center"/>
            </w:pPr>
            <w:r w:rsidRPr="0095569A">
              <w:t>kg</w:t>
            </w:r>
          </w:p>
        </w:tc>
      </w:tr>
      <w:tr w:rsidR="00AB4073" w:rsidTr="00AB4073">
        <w:trPr>
          <w:jc w:val="center"/>
        </w:trPr>
        <w:tc>
          <w:tcPr>
            <w:tcW w:w="3348" w:type="dxa"/>
          </w:tcPr>
          <w:p w:rsidR="00AB4073" w:rsidRPr="0095569A" w:rsidRDefault="00AB4073" w:rsidP="0095569A">
            <w:pPr>
              <w:tabs>
                <w:tab w:val="center" w:pos="4320"/>
                <w:tab w:val="right" w:pos="8640"/>
              </w:tabs>
              <w:spacing w:before="0" w:after="0" w:line="240" w:lineRule="auto"/>
              <w:ind w:hanging="15"/>
            </w:pPr>
            <w:r w:rsidRPr="0095569A">
              <w:t>Burnable Poison in Element</w:t>
            </w:r>
          </w:p>
        </w:tc>
        <w:tc>
          <w:tcPr>
            <w:tcW w:w="1260" w:type="dxa"/>
          </w:tcPr>
          <w:p w:rsidR="00AB4073" w:rsidRPr="0095569A" w:rsidRDefault="00AB4073" w:rsidP="0095569A">
            <w:pPr>
              <w:tabs>
                <w:tab w:val="center" w:pos="4320"/>
                <w:tab w:val="right" w:pos="8640"/>
              </w:tabs>
              <w:spacing w:before="0" w:after="0" w:line="240" w:lineRule="auto"/>
              <w:ind w:hanging="15"/>
              <w:jc w:val="center"/>
            </w:pPr>
            <w:r w:rsidRPr="0095569A">
              <w:t>2.8</w:t>
            </w:r>
          </w:p>
        </w:tc>
        <w:tc>
          <w:tcPr>
            <w:tcW w:w="1260" w:type="dxa"/>
          </w:tcPr>
          <w:p w:rsidR="00AB4073" w:rsidRPr="0095569A" w:rsidRDefault="00AB4073" w:rsidP="0095569A">
            <w:pPr>
              <w:tabs>
                <w:tab w:val="center" w:pos="4320"/>
                <w:tab w:val="right" w:pos="8640"/>
              </w:tabs>
              <w:spacing w:before="0" w:after="0" w:line="240" w:lineRule="auto"/>
              <w:ind w:hanging="15"/>
              <w:jc w:val="center"/>
            </w:pPr>
            <w:r w:rsidRPr="0095569A">
              <w:t>0</w:t>
            </w:r>
          </w:p>
        </w:tc>
        <w:tc>
          <w:tcPr>
            <w:tcW w:w="1518" w:type="dxa"/>
          </w:tcPr>
          <w:p w:rsidR="00AB4073" w:rsidRPr="0095569A" w:rsidRDefault="00AB4073" w:rsidP="0095569A">
            <w:pPr>
              <w:tabs>
                <w:tab w:val="center" w:pos="4320"/>
                <w:tab w:val="right" w:pos="8640"/>
              </w:tabs>
              <w:spacing w:before="0" w:after="0" w:line="240" w:lineRule="auto"/>
              <w:ind w:hanging="15"/>
              <w:jc w:val="center"/>
            </w:pPr>
            <w:r w:rsidRPr="0095569A">
              <w:t xml:space="preserve">g </w:t>
            </w:r>
            <w:r w:rsidRPr="0095569A">
              <w:rPr>
                <w:vertAlign w:val="superscript"/>
              </w:rPr>
              <w:t>10</w:t>
            </w:r>
            <w:r w:rsidRPr="0095569A">
              <w:t>B</w:t>
            </w:r>
          </w:p>
        </w:tc>
      </w:tr>
      <w:tr w:rsidR="00AB4073" w:rsidTr="00AB4073">
        <w:trPr>
          <w:jc w:val="center"/>
        </w:trPr>
        <w:tc>
          <w:tcPr>
            <w:tcW w:w="3348" w:type="dxa"/>
          </w:tcPr>
          <w:p w:rsidR="00AB4073" w:rsidRPr="0095569A" w:rsidRDefault="00AB4073" w:rsidP="0095569A">
            <w:pPr>
              <w:tabs>
                <w:tab w:val="center" w:pos="4320"/>
                <w:tab w:val="right" w:pos="8640"/>
              </w:tabs>
              <w:spacing w:before="0" w:after="0" w:line="240" w:lineRule="auto"/>
              <w:ind w:hanging="15"/>
            </w:pPr>
            <w:r w:rsidRPr="0095569A">
              <w:t>Fuel Plate Thickness</w:t>
            </w:r>
          </w:p>
        </w:tc>
        <w:tc>
          <w:tcPr>
            <w:tcW w:w="1260" w:type="dxa"/>
          </w:tcPr>
          <w:p w:rsidR="00AB4073" w:rsidRPr="0095569A" w:rsidRDefault="00AB4073" w:rsidP="0095569A">
            <w:pPr>
              <w:tabs>
                <w:tab w:val="center" w:pos="4320"/>
                <w:tab w:val="right" w:pos="8640"/>
              </w:tabs>
              <w:spacing w:before="0" w:after="0" w:line="240" w:lineRule="auto"/>
              <w:ind w:hanging="15"/>
              <w:jc w:val="center"/>
            </w:pPr>
            <w:r w:rsidRPr="0095569A">
              <w:t>0.127</w:t>
            </w:r>
          </w:p>
        </w:tc>
        <w:tc>
          <w:tcPr>
            <w:tcW w:w="1260" w:type="dxa"/>
          </w:tcPr>
          <w:p w:rsidR="00AB4073" w:rsidRPr="0095569A" w:rsidRDefault="00AB4073" w:rsidP="0095569A">
            <w:pPr>
              <w:tabs>
                <w:tab w:val="center" w:pos="4320"/>
                <w:tab w:val="right" w:pos="8640"/>
              </w:tabs>
              <w:spacing w:before="0" w:after="0" w:line="240" w:lineRule="auto"/>
              <w:ind w:hanging="15"/>
              <w:jc w:val="center"/>
            </w:pPr>
            <w:r w:rsidRPr="0095569A">
              <w:t>0.127</w:t>
            </w:r>
          </w:p>
        </w:tc>
        <w:tc>
          <w:tcPr>
            <w:tcW w:w="1518" w:type="dxa"/>
          </w:tcPr>
          <w:p w:rsidR="00AB4073" w:rsidRPr="0095569A" w:rsidRDefault="00AB4073" w:rsidP="0095569A">
            <w:pPr>
              <w:tabs>
                <w:tab w:val="center" w:pos="4320"/>
                <w:tab w:val="right" w:pos="8640"/>
              </w:tabs>
              <w:spacing w:before="0" w:after="0" w:line="240" w:lineRule="auto"/>
              <w:ind w:hanging="15"/>
              <w:jc w:val="center"/>
            </w:pPr>
            <w:r w:rsidRPr="0095569A">
              <w:t>cm</w:t>
            </w:r>
          </w:p>
        </w:tc>
      </w:tr>
      <w:tr w:rsidR="00AB4073" w:rsidTr="00AB4073">
        <w:trPr>
          <w:jc w:val="center"/>
        </w:trPr>
        <w:tc>
          <w:tcPr>
            <w:tcW w:w="3348" w:type="dxa"/>
          </w:tcPr>
          <w:p w:rsidR="00AB4073" w:rsidRPr="0095569A" w:rsidRDefault="00AB4073" w:rsidP="0095569A">
            <w:pPr>
              <w:tabs>
                <w:tab w:val="center" w:pos="4320"/>
                <w:tab w:val="right" w:pos="8640"/>
              </w:tabs>
              <w:spacing w:before="0" w:after="0" w:line="240" w:lineRule="auto"/>
              <w:ind w:hanging="15"/>
            </w:pPr>
            <w:r w:rsidRPr="0095569A">
              <w:t>Coolant Channel Between Plates</w:t>
            </w:r>
          </w:p>
        </w:tc>
        <w:tc>
          <w:tcPr>
            <w:tcW w:w="1260" w:type="dxa"/>
          </w:tcPr>
          <w:p w:rsidR="00AB4073" w:rsidRPr="0095569A" w:rsidRDefault="00AB4073" w:rsidP="0095569A">
            <w:pPr>
              <w:tabs>
                <w:tab w:val="center" w:pos="4320"/>
                <w:tab w:val="right" w:pos="8640"/>
              </w:tabs>
              <w:spacing w:before="0" w:after="0" w:line="240" w:lineRule="auto"/>
              <w:ind w:hanging="15"/>
              <w:jc w:val="center"/>
            </w:pPr>
            <w:r w:rsidRPr="0095569A">
              <w:t>0.127</w:t>
            </w:r>
          </w:p>
        </w:tc>
        <w:tc>
          <w:tcPr>
            <w:tcW w:w="1260" w:type="dxa"/>
          </w:tcPr>
          <w:p w:rsidR="00AB4073" w:rsidRPr="0095569A" w:rsidRDefault="00AB4073" w:rsidP="0095569A">
            <w:pPr>
              <w:tabs>
                <w:tab w:val="center" w:pos="4320"/>
                <w:tab w:val="right" w:pos="8640"/>
              </w:tabs>
              <w:spacing w:before="0" w:after="0" w:line="240" w:lineRule="auto"/>
              <w:ind w:hanging="15"/>
              <w:jc w:val="center"/>
            </w:pPr>
            <w:r w:rsidRPr="0095569A">
              <w:t>0.127</w:t>
            </w:r>
          </w:p>
        </w:tc>
        <w:tc>
          <w:tcPr>
            <w:tcW w:w="1518" w:type="dxa"/>
          </w:tcPr>
          <w:p w:rsidR="00AB4073" w:rsidRPr="0095569A" w:rsidRDefault="00AB4073" w:rsidP="0095569A">
            <w:pPr>
              <w:tabs>
                <w:tab w:val="center" w:pos="4320"/>
                <w:tab w:val="right" w:pos="8640"/>
              </w:tabs>
              <w:spacing w:before="0" w:after="0" w:line="240" w:lineRule="auto"/>
              <w:ind w:hanging="15"/>
              <w:jc w:val="center"/>
            </w:pPr>
            <w:r w:rsidRPr="0095569A">
              <w:t>cm</w:t>
            </w:r>
          </w:p>
        </w:tc>
      </w:tr>
      <w:tr w:rsidR="00AB4073" w:rsidTr="00AB4073">
        <w:trPr>
          <w:jc w:val="center"/>
        </w:trPr>
        <w:tc>
          <w:tcPr>
            <w:tcW w:w="3348" w:type="dxa"/>
          </w:tcPr>
          <w:p w:rsidR="00AB4073" w:rsidRPr="0095569A" w:rsidRDefault="00AB4073" w:rsidP="0095569A">
            <w:pPr>
              <w:tabs>
                <w:tab w:val="center" w:pos="4320"/>
                <w:tab w:val="right" w:pos="8640"/>
              </w:tabs>
              <w:spacing w:before="0" w:after="0" w:line="240" w:lineRule="auto"/>
              <w:ind w:hanging="15"/>
            </w:pPr>
            <w:r w:rsidRPr="0095569A">
              <w:t>Minimum Al Clad Thickness</w:t>
            </w:r>
          </w:p>
        </w:tc>
        <w:tc>
          <w:tcPr>
            <w:tcW w:w="1260" w:type="dxa"/>
          </w:tcPr>
          <w:p w:rsidR="00AB4073" w:rsidRPr="0095569A" w:rsidRDefault="00AB4073" w:rsidP="0095569A">
            <w:pPr>
              <w:tabs>
                <w:tab w:val="center" w:pos="4320"/>
                <w:tab w:val="right" w:pos="8640"/>
              </w:tabs>
              <w:spacing w:before="0" w:after="0" w:line="240" w:lineRule="auto"/>
              <w:ind w:hanging="15"/>
              <w:jc w:val="center"/>
            </w:pPr>
            <w:r w:rsidRPr="0095569A">
              <w:t>0.25</w:t>
            </w:r>
          </w:p>
        </w:tc>
        <w:tc>
          <w:tcPr>
            <w:tcW w:w="1260" w:type="dxa"/>
          </w:tcPr>
          <w:p w:rsidR="00AB4073" w:rsidRPr="0095569A" w:rsidRDefault="00AB4073" w:rsidP="0095569A">
            <w:pPr>
              <w:tabs>
                <w:tab w:val="center" w:pos="4320"/>
                <w:tab w:val="right" w:pos="8640"/>
              </w:tabs>
              <w:spacing w:before="0" w:after="0" w:line="240" w:lineRule="auto"/>
              <w:ind w:hanging="15"/>
              <w:jc w:val="center"/>
            </w:pPr>
            <w:r w:rsidRPr="0095569A">
              <w:t>0.25</w:t>
            </w:r>
          </w:p>
        </w:tc>
        <w:tc>
          <w:tcPr>
            <w:tcW w:w="1518" w:type="dxa"/>
          </w:tcPr>
          <w:p w:rsidR="00AB4073" w:rsidRPr="0095569A" w:rsidRDefault="00AB4073" w:rsidP="0095569A">
            <w:pPr>
              <w:tabs>
                <w:tab w:val="center" w:pos="4320"/>
                <w:tab w:val="right" w:pos="8640"/>
              </w:tabs>
              <w:spacing w:before="0" w:after="0" w:line="240" w:lineRule="auto"/>
              <w:ind w:hanging="15"/>
              <w:jc w:val="center"/>
            </w:pPr>
            <w:r w:rsidRPr="0095569A">
              <w:t>mm</w:t>
            </w:r>
          </w:p>
        </w:tc>
      </w:tr>
      <w:tr w:rsidR="00AB4073" w:rsidTr="00AB4073">
        <w:trPr>
          <w:jc w:val="center"/>
        </w:trPr>
        <w:tc>
          <w:tcPr>
            <w:tcW w:w="3348" w:type="dxa"/>
          </w:tcPr>
          <w:p w:rsidR="00AB4073" w:rsidRPr="0095569A" w:rsidRDefault="00AB4073" w:rsidP="0095569A">
            <w:pPr>
              <w:tabs>
                <w:tab w:val="center" w:pos="4320"/>
                <w:tab w:val="right" w:pos="8640"/>
              </w:tabs>
              <w:spacing w:before="0" w:after="0" w:line="240" w:lineRule="auto"/>
              <w:ind w:hanging="15"/>
            </w:pPr>
            <w:r w:rsidRPr="0095569A">
              <w:t>Fuel Plate Width</w:t>
            </w:r>
          </w:p>
        </w:tc>
        <w:tc>
          <w:tcPr>
            <w:tcW w:w="1260" w:type="dxa"/>
          </w:tcPr>
          <w:p w:rsidR="00AB4073" w:rsidRPr="0095569A" w:rsidRDefault="00AB4073" w:rsidP="0095569A">
            <w:pPr>
              <w:tabs>
                <w:tab w:val="center" w:pos="4320"/>
                <w:tab w:val="right" w:pos="8640"/>
              </w:tabs>
              <w:spacing w:before="0" w:after="0" w:line="240" w:lineRule="auto"/>
              <w:ind w:hanging="15"/>
              <w:jc w:val="center"/>
            </w:pPr>
            <w:r w:rsidRPr="0095569A">
              <w:t>8.1</w:t>
            </w:r>
          </w:p>
        </w:tc>
        <w:tc>
          <w:tcPr>
            <w:tcW w:w="1260" w:type="dxa"/>
          </w:tcPr>
          <w:p w:rsidR="00AB4073" w:rsidRPr="0095569A" w:rsidRDefault="00AB4073" w:rsidP="0095569A">
            <w:pPr>
              <w:tabs>
                <w:tab w:val="center" w:pos="4320"/>
                <w:tab w:val="right" w:pos="8640"/>
              </w:tabs>
              <w:spacing w:before="0" w:after="0" w:line="240" w:lineRule="auto"/>
              <w:ind w:hanging="15"/>
              <w:jc w:val="center"/>
            </w:pPr>
            <w:r w:rsidRPr="0095569A">
              <w:t>7.3</w:t>
            </w:r>
          </w:p>
        </w:tc>
        <w:tc>
          <w:tcPr>
            <w:tcW w:w="1518" w:type="dxa"/>
          </w:tcPr>
          <w:p w:rsidR="00AB4073" w:rsidRPr="0095569A" w:rsidRDefault="00AB4073" w:rsidP="0095569A">
            <w:pPr>
              <w:tabs>
                <w:tab w:val="center" w:pos="4320"/>
                <w:tab w:val="right" w:pos="8640"/>
              </w:tabs>
              <w:spacing w:before="0" w:after="0" w:line="240" w:lineRule="auto"/>
              <w:ind w:hanging="15"/>
              <w:jc w:val="center"/>
            </w:pPr>
            <w:r w:rsidRPr="0095569A">
              <w:t>cm</w:t>
            </w:r>
          </w:p>
        </w:tc>
      </w:tr>
      <w:tr w:rsidR="00AB4073" w:rsidTr="00AB4073">
        <w:trPr>
          <w:jc w:val="center"/>
        </w:trPr>
        <w:tc>
          <w:tcPr>
            <w:tcW w:w="3348" w:type="dxa"/>
          </w:tcPr>
          <w:p w:rsidR="00AB4073" w:rsidRPr="0095569A" w:rsidRDefault="00AB4073" w:rsidP="0095569A">
            <w:pPr>
              <w:tabs>
                <w:tab w:val="center" w:pos="4320"/>
                <w:tab w:val="right" w:pos="8640"/>
              </w:tabs>
              <w:spacing w:before="0" w:after="0" w:line="240" w:lineRule="auto"/>
              <w:ind w:hanging="15"/>
            </w:pPr>
            <w:r w:rsidRPr="0095569A">
              <w:t>Coolant and Moderator</w:t>
            </w:r>
          </w:p>
        </w:tc>
        <w:tc>
          <w:tcPr>
            <w:tcW w:w="2520" w:type="dxa"/>
            <w:gridSpan w:val="2"/>
          </w:tcPr>
          <w:p w:rsidR="00AB4073" w:rsidRPr="0095569A" w:rsidRDefault="00AB4073" w:rsidP="0095569A">
            <w:pPr>
              <w:tabs>
                <w:tab w:val="center" w:pos="4320"/>
                <w:tab w:val="right" w:pos="8640"/>
              </w:tabs>
              <w:spacing w:before="0" w:after="0" w:line="240" w:lineRule="auto"/>
              <w:ind w:hanging="15"/>
              <w:jc w:val="center"/>
            </w:pPr>
            <w:r w:rsidRPr="0095569A">
              <w:t>H</w:t>
            </w:r>
            <w:r w:rsidRPr="0095569A">
              <w:rPr>
                <w:vertAlign w:val="subscript"/>
              </w:rPr>
              <w:t>2</w:t>
            </w:r>
            <w:r w:rsidRPr="0095569A">
              <w:t>O</w:t>
            </w:r>
          </w:p>
        </w:tc>
        <w:tc>
          <w:tcPr>
            <w:tcW w:w="1518" w:type="dxa"/>
          </w:tcPr>
          <w:p w:rsidR="00AB4073" w:rsidRPr="0095569A" w:rsidRDefault="00AB4073" w:rsidP="0095569A">
            <w:pPr>
              <w:tabs>
                <w:tab w:val="center" w:pos="4320"/>
                <w:tab w:val="right" w:pos="8640"/>
              </w:tabs>
              <w:spacing w:before="0" w:after="0" w:line="240" w:lineRule="auto"/>
              <w:ind w:hanging="15"/>
              <w:jc w:val="center"/>
            </w:pPr>
            <w:r w:rsidRPr="0095569A">
              <w:t>-</w:t>
            </w:r>
          </w:p>
        </w:tc>
      </w:tr>
      <w:tr w:rsidR="00AB4073" w:rsidTr="00AB4073">
        <w:trPr>
          <w:jc w:val="center"/>
        </w:trPr>
        <w:tc>
          <w:tcPr>
            <w:tcW w:w="3348" w:type="dxa"/>
          </w:tcPr>
          <w:p w:rsidR="00AB4073" w:rsidRPr="0095569A" w:rsidRDefault="00AB4073" w:rsidP="0095569A">
            <w:pPr>
              <w:tabs>
                <w:tab w:val="center" w:pos="4320"/>
                <w:tab w:val="right" w:pos="8640"/>
              </w:tabs>
              <w:spacing w:before="0" w:after="0" w:line="240" w:lineRule="auto"/>
              <w:ind w:hanging="15"/>
            </w:pPr>
            <w:r w:rsidRPr="0095569A">
              <w:t>Fuel Cycle Length</w:t>
            </w:r>
          </w:p>
        </w:tc>
        <w:tc>
          <w:tcPr>
            <w:tcW w:w="2520" w:type="dxa"/>
            <w:gridSpan w:val="2"/>
          </w:tcPr>
          <w:p w:rsidR="00AB4073" w:rsidRPr="0095569A" w:rsidRDefault="00AB4073" w:rsidP="0095569A">
            <w:pPr>
              <w:tabs>
                <w:tab w:val="center" w:pos="4320"/>
                <w:tab w:val="right" w:pos="8640"/>
              </w:tabs>
              <w:spacing w:before="0" w:after="0" w:line="240" w:lineRule="auto"/>
              <w:ind w:hanging="15"/>
              <w:jc w:val="center"/>
            </w:pPr>
            <w:r w:rsidRPr="0095569A">
              <w:t>21-26</w:t>
            </w:r>
          </w:p>
        </w:tc>
        <w:tc>
          <w:tcPr>
            <w:tcW w:w="1518" w:type="dxa"/>
          </w:tcPr>
          <w:p w:rsidR="00AB4073" w:rsidRPr="0095569A" w:rsidRDefault="00AB4073" w:rsidP="0095569A">
            <w:pPr>
              <w:tabs>
                <w:tab w:val="center" w:pos="4320"/>
                <w:tab w:val="right" w:pos="8640"/>
              </w:tabs>
              <w:spacing w:before="0" w:after="0" w:line="240" w:lineRule="auto"/>
              <w:ind w:hanging="15"/>
              <w:jc w:val="center"/>
            </w:pPr>
            <w:r w:rsidRPr="0095569A">
              <w:t>days</w:t>
            </w:r>
          </w:p>
        </w:tc>
      </w:tr>
      <w:tr w:rsidR="00AB4073" w:rsidTr="00AB4073">
        <w:trPr>
          <w:jc w:val="center"/>
        </w:trPr>
        <w:tc>
          <w:tcPr>
            <w:tcW w:w="3348" w:type="dxa"/>
          </w:tcPr>
          <w:p w:rsidR="00AB4073" w:rsidRPr="0095569A" w:rsidRDefault="00AB4073" w:rsidP="0095569A">
            <w:pPr>
              <w:tabs>
                <w:tab w:val="center" w:pos="4320"/>
                <w:tab w:val="right" w:pos="8640"/>
              </w:tabs>
              <w:spacing w:before="0" w:after="0" w:line="240" w:lineRule="auto"/>
              <w:ind w:hanging="15"/>
            </w:pPr>
            <w:r w:rsidRPr="0095569A">
              <w:t>Coolant Inlet Temperature</w:t>
            </w:r>
          </w:p>
        </w:tc>
        <w:tc>
          <w:tcPr>
            <w:tcW w:w="2520" w:type="dxa"/>
            <w:gridSpan w:val="2"/>
          </w:tcPr>
          <w:p w:rsidR="00AB4073" w:rsidRPr="0095569A" w:rsidRDefault="00AB4073" w:rsidP="0095569A">
            <w:pPr>
              <w:tabs>
                <w:tab w:val="center" w:pos="4320"/>
                <w:tab w:val="right" w:pos="8640"/>
              </w:tabs>
              <w:spacing w:before="0" w:after="0" w:line="240" w:lineRule="auto"/>
              <w:ind w:hanging="15"/>
              <w:jc w:val="center"/>
            </w:pPr>
            <w:r w:rsidRPr="0095569A">
              <w:t>120</w:t>
            </w:r>
          </w:p>
        </w:tc>
        <w:tc>
          <w:tcPr>
            <w:tcW w:w="1518" w:type="dxa"/>
          </w:tcPr>
          <w:p w:rsidR="00AB4073" w:rsidRPr="0095569A" w:rsidRDefault="00AB4073" w:rsidP="0095569A">
            <w:pPr>
              <w:tabs>
                <w:tab w:val="center" w:pos="4320"/>
                <w:tab w:val="right" w:pos="8640"/>
              </w:tabs>
              <w:spacing w:before="0" w:after="0" w:line="240" w:lineRule="auto"/>
              <w:ind w:hanging="15"/>
              <w:jc w:val="center"/>
            </w:pPr>
            <w:r w:rsidRPr="0095569A">
              <w:t>°F</w:t>
            </w:r>
          </w:p>
        </w:tc>
      </w:tr>
      <w:tr w:rsidR="00AB4073" w:rsidTr="00AB4073">
        <w:trPr>
          <w:jc w:val="center"/>
        </w:trPr>
        <w:tc>
          <w:tcPr>
            <w:tcW w:w="3348" w:type="dxa"/>
          </w:tcPr>
          <w:p w:rsidR="00AB4073" w:rsidRPr="0095569A" w:rsidRDefault="00AB4073" w:rsidP="0095569A">
            <w:pPr>
              <w:tabs>
                <w:tab w:val="center" w:pos="4320"/>
                <w:tab w:val="right" w:pos="8640"/>
              </w:tabs>
              <w:spacing w:before="0" w:after="0" w:line="240" w:lineRule="auto"/>
              <w:ind w:hanging="15"/>
            </w:pPr>
            <w:r w:rsidRPr="0095569A">
              <w:t>Coolant Outlet Temperature</w:t>
            </w:r>
          </w:p>
        </w:tc>
        <w:tc>
          <w:tcPr>
            <w:tcW w:w="2520" w:type="dxa"/>
            <w:gridSpan w:val="2"/>
          </w:tcPr>
          <w:p w:rsidR="00AB4073" w:rsidRPr="0095569A" w:rsidRDefault="00AB4073" w:rsidP="0095569A">
            <w:pPr>
              <w:tabs>
                <w:tab w:val="center" w:pos="4320"/>
                <w:tab w:val="right" w:pos="8640"/>
              </w:tabs>
              <w:spacing w:before="0" w:after="0" w:line="240" w:lineRule="auto"/>
              <w:ind w:hanging="15"/>
              <w:jc w:val="center"/>
            </w:pPr>
            <w:r w:rsidRPr="0095569A">
              <w:t>155 – 185</w:t>
            </w:r>
          </w:p>
        </w:tc>
        <w:tc>
          <w:tcPr>
            <w:tcW w:w="1518" w:type="dxa"/>
          </w:tcPr>
          <w:p w:rsidR="00AB4073" w:rsidRPr="0095569A" w:rsidRDefault="00AB4073" w:rsidP="0095569A">
            <w:pPr>
              <w:tabs>
                <w:tab w:val="center" w:pos="4320"/>
                <w:tab w:val="right" w:pos="8640"/>
              </w:tabs>
              <w:spacing w:before="0" w:after="0" w:line="240" w:lineRule="auto"/>
              <w:ind w:hanging="15"/>
              <w:jc w:val="center"/>
            </w:pPr>
            <w:r w:rsidRPr="0095569A">
              <w:t>°F</w:t>
            </w:r>
          </w:p>
        </w:tc>
      </w:tr>
      <w:tr w:rsidR="00AB4073" w:rsidTr="00AB4073">
        <w:trPr>
          <w:jc w:val="center"/>
        </w:trPr>
        <w:tc>
          <w:tcPr>
            <w:tcW w:w="3348" w:type="dxa"/>
          </w:tcPr>
          <w:p w:rsidR="00AB4073" w:rsidRPr="0095569A" w:rsidRDefault="00AB4073" w:rsidP="0095569A">
            <w:pPr>
              <w:tabs>
                <w:tab w:val="center" w:pos="4320"/>
                <w:tab w:val="right" w:pos="8640"/>
              </w:tabs>
              <w:spacing w:before="0" w:after="0" w:line="240" w:lineRule="auto"/>
              <w:ind w:hanging="15"/>
            </w:pPr>
            <w:r w:rsidRPr="0095569A">
              <w:t>Fuel Plate Centerline Temperature</w:t>
            </w:r>
          </w:p>
        </w:tc>
        <w:tc>
          <w:tcPr>
            <w:tcW w:w="2520" w:type="dxa"/>
            <w:gridSpan w:val="2"/>
          </w:tcPr>
          <w:p w:rsidR="00AB4073" w:rsidRPr="0095569A" w:rsidRDefault="00AB4073" w:rsidP="0095569A">
            <w:pPr>
              <w:tabs>
                <w:tab w:val="center" w:pos="4320"/>
                <w:tab w:val="right" w:pos="8640"/>
              </w:tabs>
              <w:spacing w:before="0" w:after="0" w:line="240" w:lineRule="auto"/>
              <w:ind w:hanging="15"/>
              <w:jc w:val="center"/>
            </w:pPr>
            <w:r w:rsidRPr="0095569A">
              <w:t>323</w:t>
            </w:r>
          </w:p>
        </w:tc>
        <w:tc>
          <w:tcPr>
            <w:tcW w:w="1518" w:type="dxa"/>
          </w:tcPr>
          <w:p w:rsidR="00AB4073" w:rsidRPr="0095569A" w:rsidRDefault="00AB4073" w:rsidP="0095569A">
            <w:pPr>
              <w:tabs>
                <w:tab w:val="center" w:pos="4320"/>
                <w:tab w:val="right" w:pos="8640"/>
              </w:tabs>
              <w:spacing w:before="0" w:after="0" w:line="240" w:lineRule="auto"/>
              <w:ind w:hanging="15"/>
              <w:jc w:val="center"/>
            </w:pPr>
            <w:r w:rsidRPr="0095569A">
              <w:t>°F</w:t>
            </w:r>
          </w:p>
        </w:tc>
      </w:tr>
      <w:tr w:rsidR="00AB4073" w:rsidTr="00AB4073">
        <w:trPr>
          <w:jc w:val="center"/>
        </w:trPr>
        <w:tc>
          <w:tcPr>
            <w:tcW w:w="3348" w:type="dxa"/>
          </w:tcPr>
          <w:p w:rsidR="00AB4073" w:rsidRPr="0095569A" w:rsidRDefault="00AB4073" w:rsidP="0095569A">
            <w:pPr>
              <w:tabs>
                <w:tab w:val="center" w:pos="4320"/>
                <w:tab w:val="right" w:pos="8640"/>
              </w:tabs>
              <w:spacing w:before="0" w:after="0" w:line="240" w:lineRule="auto"/>
              <w:ind w:hanging="15"/>
            </w:pPr>
            <w:r w:rsidRPr="0095569A">
              <w:t>Average Flow Rate</w:t>
            </w:r>
          </w:p>
        </w:tc>
        <w:tc>
          <w:tcPr>
            <w:tcW w:w="2520" w:type="dxa"/>
            <w:gridSpan w:val="2"/>
          </w:tcPr>
          <w:p w:rsidR="00AB4073" w:rsidRPr="0095569A" w:rsidRDefault="00AB4073" w:rsidP="0095569A">
            <w:pPr>
              <w:tabs>
                <w:tab w:val="center" w:pos="4320"/>
                <w:tab w:val="right" w:pos="8640"/>
              </w:tabs>
              <w:spacing w:before="0" w:after="0" w:line="240" w:lineRule="auto"/>
              <w:ind w:hanging="15"/>
              <w:jc w:val="center"/>
            </w:pPr>
            <w:r w:rsidRPr="0095569A">
              <w:t>16,800</w:t>
            </w:r>
          </w:p>
        </w:tc>
        <w:tc>
          <w:tcPr>
            <w:tcW w:w="1518" w:type="dxa"/>
          </w:tcPr>
          <w:p w:rsidR="00AB4073" w:rsidRPr="0095569A" w:rsidRDefault="00AB4073" w:rsidP="0095569A">
            <w:pPr>
              <w:tabs>
                <w:tab w:val="center" w:pos="4320"/>
                <w:tab w:val="right" w:pos="8640"/>
              </w:tabs>
              <w:spacing w:before="0" w:after="0" w:line="240" w:lineRule="auto"/>
              <w:ind w:hanging="15"/>
              <w:jc w:val="center"/>
            </w:pPr>
            <w:proofErr w:type="spellStart"/>
            <w:r w:rsidRPr="0095569A">
              <w:t>gpm</w:t>
            </w:r>
            <w:proofErr w:type="spellEnd"/>
          </w:p>
        </w:tc>
      </w:tr>
      <w:tr w:rsidR="00AB4073" w:rsidTr="00AB4073">
        <w:trPr>
          <w:jc w:val="center"/>
        </w:trPr>
        <w:tc>
          <w:tcPr>
            <w:tcW w:w="3348" w:type="dxa"/>
          </w:tcPr>
          <w:p w:rsidR="00AB4073" w:rsidRPr="0095569A" w:rsidRDefault="00AB4073" w:rsidP="0095569A">
            <w:pPr>
              <w:tabs>
                <w:tab w:val="center" w:pos="4320"/>
                <w:tab w:val="right" w:pos="8640"/>
              </w:tabs>
              <w:spacing w:before="0" w:after="0" w:line="240" w:lineRule="auto"/>
              <w:ind w:hanging="15"/>
            </w:pPr>
            <w:r w:rsidRPr="0095569A">
              <w:t>Pressure at Inlet</w:t>
            </w:r>
          </w:p>
        </w:tc>
        <w:tc>
          <w:tcPr>
            <w:tcW w:w="2520" w:type="dxa"/>
            <w:gridSpan w:val="2"/>
          </w:tcPr>
          <w:p w:rsidR="00AB4073" w:rsidRPr="0095569A" w:rsidRDefault="00AB4073" w:rsidP="0095569A">
            <w:pPr>
              <w:tabs>
                <w:tab w:val="center" w:pos="4320"/>
                <w:tab w:val="right" w:pos="8640"/>
              </w:tabs>
              <w:spacing w:before="0" w:after="0" w:line="240" w:lineRule="auto"/>
              <w:ind w:hanging="15"/>
              <w:jc w:val="center"/>
            </w:pPr>
            <w:r w:rsidRPr="0095569A">
              <w:t>468</w:t>
            </w:r>
          </w:p>
        </w:tc>
        <w:tc>
          <w:tcPr>
            <w:tcW w:w="1518" w:type="dxa"/>
          </w:tcPr>
          <w:p w:rsidR="00AB4073" w:rsidRPr="0095569A" w:rsidRDefault="00AB4073" w:rsidP="0095569A">
            <w:pPr>
              <w:tabs>
                <w:tab w:val="center" w:pos="4320"/>
                <w:tab w:val="right" w:pos="8640"/>
              </w:tabs>
              <w:spacing w:before="0" w:after="0" w:line="240" w:lineRule="auto"/>
              <w:ind w:hanging="15"/>
              <w:jc w:val="center"/>
            </w:pPr>
            <w:r w:rsidRPr="0095569A">
              <w:t>psig</w:t>
            </w:r>
          </w:p>
        </w:tc>
      </w:tr>
    </w:tbl>
    <w:p w:rsidR="00033A8E" w:rsidRDefault="00033A8E" w:rsidP="00033A8E">
      <w:pPr>
        <w:tabs>
          <w:tab w:val="left" w:pos="360"/>
        </w:tabs>
      </w:pPr>
    </w:p>
    <w:p w:rsidR="00033A8E" w:rsidRPr="00C06370" w:rsidRDefault="00C06370" w:rsidP="00C06370">
      <w:pPr>
        <w:pStyle w:val="Caption"/>
      </w:pPr>
      <w:bookmarkStart w:id="89" w:name="_Ref285532193"/>
      <w:bookmarkStart w:id="90" w:name="_Toc295818263"/>
      <w:proofErr w:type="gramStart"/>
      <w:r>
        <w:t xml:space="preserve">Table </w:t>
      </w:r>
      <w:r w:rsidR="007511FA">
        <w:fldChar w:fldCharType="begin"/>
      </w:r>
      <w:r w:rsidR="00AE17F8">
        <w:instrText xml:space="preserve"> STYLEREF 1 \s </w:instrText>
      </w:r>
      <w:r w:rsidR="007511FA">
        <w:fldChar w:fldCharType="separate"/>
      </w:r>
      <w:r w:rsidR="00D5167B">
        <w:rPr>
          <w:noProof/>
        </w:rPr>
        <w:t>2</w:t>
      </w:r>
      <w:r w:rsidR="007511FA">
        <w:fldChar w:fldCharType="end"/>
      </w:r>
      <w:r w:rsidR="00DE5151">
        <w:t>.</w:t>
      </w:r>
      <w:proofErr w:type="gramEnd"/>
      <w:r w:rsidR="007511FA">
        <w:fldChar w:fldCharType="begin"/>
      </w:r>
      <w:r w:rsidR="00C43F40">
        <w:instrText xml:space="preserve"> SEQ Table \* ARABIC \s 1 </w:instrText>
      </w:r>
      <w:r w:rsidR="007511FA">
        <w:fldChar w:fldCharType="separate"/>
      </w:r>
      <w:r w:rsidR="00D5167B">
        <w:rPr>
          <w:noProof/>
        </w:rPr>
        <w:t>2</w:t>
      </w:r>
      <w:r w:rsidR="007511FA">
        <w:fldChar w:fldCharType="end"/>
      </w:r>
      <w:bookmarkEnd w:id="89"/>
      <w:r w:rsidR="00033A8E" w:rsidRPr="00C06370">
        <w:t>.  Radial boundaries of core components</w:t>
      </w:r>
      <w:bookmarkEnd w:id="90"/>
    </w:p>
    <w:tbl>
      <w:tblPr>
        <w:tblStyle w:val="TableGrid"/>
        <w:tblW w:w="0" w:type="auto"/>
        <w:jc w:val="center"/>
        <w:tblLook w:val="04A0"/>
      </w:tblPr>
      <w:tblGrid>
        <w:gridCol w:w="2160"/>
        <w:gridCol w:w="1961"/>
        <w:gridCol w:w="1818"/>
      </w:tblGrid>
      <w:tr w:rsidR="00033A8E" w:rsidTr="00AB4073">
        <w:trPr>
          <w:jc w:val="center"/>
        </w:trPr>
        <w:tc>
          <w:tcPr>
            <w:tcW w:w="2160" w:type="dxa"/>
          </w:tcPr>
          <w:p w:rsidR="00033A8E" w:rsidRPr="0095569A" w:rsidRDefault="00033A8E" w:rsidP="0095569A">
            <w:pPr>
              <w:tabs>
                <w:tab w:val="left" w:pos="360"/>
              </w:tabs>
              <w:spacing w:before="0" w:after="0" w:line="240" w:lineRule="auto"/>
              <w:ind w:firstLine="0"/>
              <w:jc w:val="center"/>
              <w:rPr>
                <w:b/>
              </w:rPr>
            </w:pPr>
            <w:r w:rsidRPr="0095569A">
              <w:rPr>
                <w:b/>
              </w:rPr>
              <w:t>Region</w:t>
            </w:r>
          </w:p>
        </w:tc>
        <w:tc>
          <w:tcPr>
            <w:tcW w:w="1961" w:type="dxa"/>
          </w:tcPr>
          <w:p w:rsidR="00033A8E" w:rsidRPr="0095569A" w:rsidRDefault="00033A8E" w:rsidP="0095569A">
            <w:pPr>
              <w:tabs>
                <w:tab w:val="left" w:pos="360"/>
              </w:tabs>
              <w:spacing w:before="0" w:after="0" w:line="240" w:lineRule="auto"/>
              <w:ind w:firstLine="0"/>
              <w:jc w:val="center"/>
              <w:rPr>
                <w:b/>
              </w:rPr>
            </w:pPr>
            <w:r w:rsidRPr="0095569A">
              <w:rPr>
                <w:b/>
              </w:rPr>
              <w:t>Inner Radius (cm)</w:t>
            </w:r>
          </w:p>
        </w:tc>
        <w:tc>
          <w:tcPr>
            <w:tcW w:w="1818" w:type="dxa"/>
          </w:tcPr>
          <w:p w:rsidR="00033A8E" w:rsidRPr="0095569A" w:rsidRDefault="00033A8E" w:rsidP="0095569A">
            <w:pPr>
              <w:tabs>
                <w:tab w:val="left" w:pos="360"/>
              </w:tabs>
              <w:spacing w:before="0" w:after="0" w:line="240" w:lineRule="auto"/>
              <w:ind w:firstLine="0"/>
              <w:jc w:val="center"/>
              <w:rPr>
                <w:b/>
              </w:rPr>
            </w:pPr>
            <w:r w:rsidRPr="0095569A">
              <w:rPr>
                <w:b/>
              </w:rPr>
              <w:t>Outer Radius (cm)</w:t>
            </w:r>
          </w:p>
        </w:tc>
      </w:tr>
      <w:tr w:rsidR="00033A8E" w:rsidTr="00AB4073">
        <w:trPr>
          <w:jc w:val="center"/>
        </w:trPr>
        <w:tc>
          <w:tcPr>
            <w:tcW w:w="2160" w:type="dxa"/>
          </w:tcPr>
          <w:p w:rsidR="00033A8E" w:rsidRPr="0095569A" w:rsidRDefault="00033A8E" w:rsidP="0095569A">
            <w:pPr>
              <w:tabs>
                <w:tab w:val="left" w:pos="360"/>
              </w:tabs>
              <w:spacing w:before="0" w:after="0" w:line="240" w:lineRule="auto"/>
              <w:ind w:firstLine="0"/>
            </w:pPr>
            <w:r w:rsidRPr="0095569A">
              <w:t>Flux Trap</w:t>
            </w:r>
          </w:p>
        </w:tc>
        <w:tc>
          <w:tcPr>
            <w:tcW w:w="1961" w:type="dxa"/>
          </w:tcPr>
          <w:p w:rsidR="00033A8E" w:rsidRPr="0095569A" w:rsidRDefault="00033A8E" w:rsidP="0095569A">
            <w:pPr>
              <w:tabs>
                <w:tab w:val="left" w:pos="360"/>
              </w:tabs>
              <w:spacing w:before="0" w:after="0" w:line="240" w:lineRule="auto"/>
              <w:ind w:firstLine="0"/>
              <w:jc w:val="center"/>
            </w:pPr>
            <w:r w:rsidRPr="0095569A">
              <w:t>0</w:t>
            </w:r>
          </w:p>
        </w:tc>
        <w:tc>
          <w:tcPr>
            <w:tcW w:w="1818" w:type="dxa"/>
          </w:tcPr>
          <w:p w:rsidR="00033A8E" w:rsidRPr="0095569A" w:rsidRDefault="00033A8E" w:rsidP="0095569A">
            <w:pPr>
              <w:tabs>
                <w:tab w:val="left" w:pos="360"/>
              </w:tabs>
              <w:spacing w:before="0" w:after="0" w:line="240" w:lineRule="auto"/>
              <w:ind w:firstLine="0"/>
              <w:jc w:val="center"/>
            </w:pPr>
            <w:r w:rsidRPr="0095569A">
              <w:t>6.43</w:t>
            </w:r>
          </w:p>
        </w:tc>
      </w:tr>
      <w:tr w:rsidR="00033A8E" w:rsidTr="00AB4073">
        <w:trPr>
          <w:jc w:val="center"/>
        </w:trPr>
        <w:tc>
          <w:tcPr>
            <w:tcW w:w="2160" w:type="dxa"/>
          </w:tcPr>
          <w:p w:rsidR="00033A8E" w:rsidRPr="0095569A" w:rsidRDefault="00033A8E" w:rsidP="0095569A">
            <w:pPr>
              <w:tabs>
                <w:tab w:val="left" w:pos="360"/>
              </w:tabs>
              <w:spacing w:before="0" w:after="0" w:line="240" w:lineRule="auto"/>
              <w:ind w:firstLine="0"/>
            </w:pPr>
            <w:r w:rsidRPr="0095569A">
              <w:t>IFE Side Plate</w:t>
            </w:r>
          </w:p>
        </w:tc>
        <w:tc>
          <w:tcPr>
            <w:tcW w:w="1961" w:type="dxa"/>
          </w:tcPr>
          <w:p w:rsidR="00033A8E" w:rsidRPr="0095569A" w:rsidRDefault="00033A8E" w:rsidP="0095569A">
            <w:pPr>
              <w:tabs>
                <w:tab w:val="left" w:pos="360"/>
              </w:tabs>
              <w:spacing w:before="0" w:after="0" w:line="240" w:lineRule="auto"/>
              <w:ind w:firstLine="0"/>
              <w:jc w:val="center"/>
            </w:pPr>
            <w:r w:rsidRPr="0095569A">
              <w:t>6.43</w:t>
            </w:r>
          </w:p>
        </w:tc>
        <w:tc>
          <w:tcPr>
            <w:tcW w:w="1818" w:type="dxa"/>
          </w:tcPr>
          <w:p w:rsidR="00033A8E" w:rsidRPr="0095569A" w:rsidRDefault="00033A8E" w:rsidP="0095569A">
            <w:pPr>
              <w:tabs>
                <w:tab w:val="left" w:pos="360"/>
              </w:tabs>
              <w:spacing w:before="0" w:after="0" w:line="240" w:lineRule="auto"/>
              <w:ind w:firstLine="0"/>
              <w:jc w:val="center"/>
            </w:pPr>
            <w:r w:rsidRPr="0095569A">
              <w:t>13.45</w:t>
            </w:r>
          </w:p>
        </w:tc>
      </w:tr>
      <w:tr w:rsidR="00033A8E" w:rsidTr="00AB4073">
        <w:trPr>
          <w:jc w:val="center"/>
        </w:trPr>
        <w:tc>
          <w:tcPr>
            <w:tcW w:w="2160" w:type="dxa"/>
          </w:tcPr>
          <w:p w:rsidR="00033A8E" w:rsidRPr="0095569A" w:rsidRDefault="00033A8E" w:rsidP="0095569A">
            <w:pPr>
              <w:tabs>
                <w:tab w:val="left" w:pos="360"/>
              </w:tabs>
              <w:spacing w:before="0" w:after="0" w:line="240" w:lineRule="auto"/>
              <w:ind w:firstLine="0"/>
            </w:pPr>
            <w:r w:rsidRPr="0095569A">
              <w:t>IFE Active Element</w:t>
            </w:r>
          </w:p>
        </w:tc>
        <w:tc>
          <w:tcPr>
            <w:tcW w:w="1961" w:type="dxa"/>
          </w:tcPr>
          <w:p w:rsidR="00033A8E" w:rsidRPr="0095569A" w:rsidRDefault="00033A8E" w:rsidP="0095569A">
            <w:pPr>
              <w:tabs>
                <w:tab w:val="left" w:pos="360"/>
              </w:tabs>
              <w:spacing w:before="0" w:after="0" w:line="240" w:lineRule="auto"/>
              <w:ind w:firstLine="0"/>
              <w:jc w:val="center"/>
            </w:pPr>
            <w:r w:rsidRPr="0095569A">
              <w:t>7.14</w:t>
            </w:r>
          </w:p>
        </w:tc>
        <w:tc>
          <w:tcPr>
            <w:tcW w:w="1818" w:type="dxa"/>
          </w:tcPr>
          <w:p w:rsidR="00033A8E" w:rsidRPr="0095569A" w:rsidRDefault="00033A8E" w:rsidP="0095569A">
            <w:pPr>
              <w:tabs>
                <w:tab w:val="left" w:pos="360"/>
              </w:tabs>
              <w:spacing w:before="0" w:after="0" w:line="240" w:lineRule="auto"/>
              <w:ind w:firstLine="0"/>
              <w:jc w:val="center"/>
            </w:pPr>
            <w:r w:rsidRPr="0095569A">
              <w:t>12.60</w:t>
            </w:r>
          </w:p>
        </w:tc>
      </w:tr>
      <w:tr w:rsidR="00033A8E" w:rsidTr="00AB4073">
        <w:trPr>
          <w:jc w:val="center"/>
        </w:trPr>
        <w:tc>
          <w:tcPr>
            <w:tcW w:w="2160" w:type="dxa"/>
          </w:tcPr>
          <w:p w:rsidR="00033A8E" w:rsidRPr="0095569A" w:rsidRDefault="00033A8E" w:rsidP="0095569A">
            <w:pPr>
              <w:tabs>
                <w:tab w:val="left" w:pos="360"/>
              </w:tabs>
              <w:spacing w:before="0" w:after="0" w:line="240" w:lineRule="auto"/>
              <w:ind w:firstLine="0"/>
            </w:pPr>
            <w:r w:rsidRPr="0095569A">
              <w:t>OFE Side Plate</w:t>
            </w:r>
          </w:p>
        </w:tc>
        <w:tc>
          <w:tcPr>
            <w:tcW w:w="1961" w:type="dxa"/>
          </w:tcPr>
          <w:p w:rsidR="00033A8E" w:rsidRPr="0095569A" w:rsidRDefault="00033A8E" w:rsidP="0095569A">
            <w:pPr>
              <w:tabs>
                <w:tab w:val="left" w:pos="360"/>
              </w:tabs>
              <w:spacing w:before="0" w:after="0" w:line="240" w:lineRule="auto"/>
              <w:ind w:firstLine="0"/>
              <w:jc w:val="center"/>
            </w:pPr>
            <w:r w:rsidRPr="0095569A">
              <w:t>14.29</w:t>
            </w:r>
          </w:p>
        </w:tc>
        <w:tc>
          <w:tcPr>
            <w:tcW w:w="1818" w:type="dxa"/>
          </w:tcPr>
          <w:p w:rsidR="00033A8E" w:rsidRPr="0095569A" w:rsidRDefault="00033A8E" w:rsidP="0095569A">
            <w:pPr>
              <w:tabs>
                <w:tab w:val="left" w:pos="360"/>
              </w:tabs>
              <w:spacing w:before="0" w:after="0" w:line="240" w:lineRule="auto"/>
              <w:ind w:firstLine="0"/>
              <w:jc w:val="center"/>
            </w:pPr>
            <w:r w:rsidRPr="0095569A">
              <w:t>21.76</w:t>
            </w:r>
          </w:p>
        </w:tc>
      </w:tr>
      <w:tr w:rsidR="00033A8E" w:rsidTr="00AB4073">
        <w:trPr>
          <w:jc w:val="center"/>
        </w:trPr>
        <w:tc>
          <w:tcPr>
            <w:tcW w:w="2160" w:type="dxa"/>
          </w:tcPr>
          <w:p w:rsidR="00033A8E" w:rsidRPr="0095569A" w:rsidRDefault="00033A8E" w:rsidP="0095569A">
            <w:pPr>
              <w:tabs>
                <w:tab w:val="left" w:pos="360"/>
              </w:tabs>
              <w:spacing w:before="0" w:after="0" w:line="240" w:lineRule="auto"/>
              <w:ind w:firstLine="0"/>
            </w:pPr>
            <w:r w:rsidRPr="0095569A">
              <w:t>OFE Active Element</w:t>
            </w:r>
          </w:p>
        </w:tc>
        <w:tc>
          <w:tcPr>
            <w:tcW w:w="1961" w:type="dxa"/>
          </w:tcPr>
          <w:p w:rsidR="00033A8E" w:rsidRPr="0095569A" w:rsidRDefault="00033A8E" w:rsidP="0095569A">
            <w:pPr>
              <w:tabs>
                <w:tab w:val="left" w:pos="360"/>
              </w:tabs>
              <w:spacing w:before="0" w:after="0" w:line="240" w:lineRule="auto"/>
              <w:ind w:firstLine="0"/>
              <w:jc w:val="center"/>
            </w:pPr>
            <w:r w:rsidRPr="0095569A">
              <w:t>15.13</w:t>
            </w:r>
          </w:p>
        </w:tc>
        <w:tc>
          <w:tcPr>
            <w:tcW w:w="1818" w:type="dxa"/>
          </w:tcPr>
          <w:p w:rsidR="00033A8E" w:rsidRPr="0095569A" w:rsidRDefault="00033A8E" w:rsidP="0095569A">
            <w:pPr>
              <w:tabs>
                <w:tab w:val="left" w:pos="360"/>
              </w:tabs>
              <w:spacing w:before="0" w:after="0" w:line="240" w:lineRule="auto"/>
              <w:ind w:firstLine="0"/>
              <w:jc w:val="center"/>
            </w:pPr>
            <w:r w:rsidRPr="0095569A">
              <w:t>20.98</w:t>
            </w:r>
          </w:p>
        </w:tc>
      </w:tr>
      <w:tr w:rsidR="00033A8E" w:rsidTr="00AB4073">
        <w:trPr>
          <w:jc w:val="center"/>
        </w:trPr>
        <w:tc>
          <w:tcPr>
            <w:tcW w:w="2160" w:type="dxa"/>
          </w:tcPr>
          <w:p w:rsidR="00033A8E" w:rsidRPr="0095569A" w:rsidRDefault="00033A8E" w:rsidP="0095569A">
            <w:pPr>
              <w:tabs>
                <w:tab w:val="left" w:pos="360"/>
              </w:tabs>
              <w:spacing w:before="0" w:after="0" w:line="240" w:lineRule="auto"/>
              <w:ind w:firstLine="0"/>
            </w:pPr>
            <w:r w:rsidRPr="0095569A">
              <w:t>Control Elements</w:t>
            </w:r>
          </w:p>
        </w:tc>
        <w:tc>
          <w:tcPr>
            <w:tcW w:w="1961" w:type="dxa"/>
          </w:tcPr>
          <w:p w:rsidR="00033A8E" w:rsidRPr="0095569A" w:rsidRDefault="00033A8E" w:rsidP="0095569A">
            <w:pPr>
              <w:tabs>
                <w:tab w:val="left" w:pos="360"/>
              </w:tabs>
              <w:spacing w:before="0" w:after="0" w:line="240" w:lineRule="auto"/>
              <w:ind w:firstLine="0"/>
              <w:jc w:val="center"/>
            </w:pPr>
            <w:r w:rsidRPr="0095569A">
              <w:t>21.76</w:t>
            </w:r>
          </w:p>
        </w:tc>
        <w:tc>
          <w:tcPr>
            <w:tcW w:w="1818" w:type="dxa"/>
          </w:tcPr>
          <w:p w:rsidR="00033A8E" w:rsidRPr="0095569A" w:rsidRDefault="00033A8E" w:rsidP="0095569A">
            <w:pPr>
              <w:tabs>
                <w:tab w:val="left" w:pos="360"/>
              </w:tabs>
              <w:spacing w:before="0" w:after="0" w:line="240" w:lineRule="auto"/>
              <w:ind w:firstLine="0"/>
              <w:jc w:val="center"/>
            </w:pPr>
            <w:r w:rsidRPr="0095569A">
              <w:t>23.97</w:t>
            </w:r>
          </w:p>
        </w:tc>
      </w:tr>
      <w:tr w:rsidR="00033A8E" w:rsidTr="00AB4073">
        <w:trPr>
          <w:jc w:val="center"/>
        </w:trPr>
        <w:tc>
          <w:tcPr>
            <w:tcW w:w="2160" w:type="dxa"/>
          </w:tcPr>
          <w:p w:rsidR="00033A8E" w:rsidRPr="0095569A" w:rsidRDefault="00033A8E" w:rsidP="0095569A">
            <w:pPr>
              <w:tabs>
                <w:tab w:val="left" w:pos="360"/>
              </w:tabs>
              <w:spacing w:before="0" w:after="0" w:line="240" w:lineRule="auto"/>
              <w:ind w:firstLine="0"/>
            </w:pPr>
            <w:r w:rsidRPr="0095569A">
              <w:t>Removable Reflector</w:t>
            </w:r>
          </w:p>
        </w:tc>
        <w:tc>
          <w:tcPr>
            <w:tcW w:w="1961" w:type="dxa"/>
          </w:tcPr>
          <w:p w:rsidR="00033A8E" w:rsidRPr="0095569A" w:rsidRDefault="00033A8E" w:rsidP="0095569A">
            <w:pPr>
              <w:tabs>
                <w:tab w:val="left" w:pos="360"/>
              </w:tabs>
              <w:spacing w:before="0" w:after="0" w:line="240" w:lineRule="auto"/>
              <w:ind w:firstLine="0"/>
              <w:jc w:val="center"/>
            </w:pPr>
            <w:r w:rsidRPr="0095569A">
              <w:t>23.97</w:t>
            </w:r>
          </w:p>
        </w:tc>
        <w:tc>
          <w:tcPr>
            <w:tcW w:w="1818" w:type="dxa"/>
          </w:tcPr>
          <w:p w:rsidR="00033A8E" w:rsidRPr="0095569A" w:rsidRDefault="00033A8E" w:rsidP="0095569A">
            <w:pPr>
              <w:tabs>
                <w:tab w:val="left" w:pos="360"/>
              </w:tabs>
              <w:spacing w:before="0" w:after="0" w:line="240" w:lineRule="auto"/>
              <w:ind w:firstLine="0"/>
              <w:jc w:val="center"/>
            </w:pPr>
            <w:r w:rsidRPr="0095569A">
              <w:t>30.17</w:t>
            </w:r>
          </w:p>
        </w:tc>
      </w:tr>
      <w:tr w:rsidR="00033A8E" w:rsidTr="00AB4073">
        <w:trPr>
          <w:jc w:val="center"/>
        </w:trPr>
        <w:tc>
          <w:tcPr>
            <w:tcW w:w="2160" w:type="dxa"/>
          </w:tcPr>
          <w:p w:rsidR="00033A8E" w:rsidRPr="0095569A" w:rsidRDefault="00033A8E" w:rsidP="0095569A">
            <w:pPr>
              <w:tabs>
                <w:tab w:val="left" w:pos="360"/>
              </w:tabs>
              <w:spacing w:before="0" w:after="0" w:line="240" w:lineRule="auto"/>
              <w:ind w:firstLine="0"/>
            </w:pPr>
            <w:r w:rsidRPr="0095569A">
              <w:t>Permanent Reflector</w:t>
            </w:r>
          </w:p>
        </w:tc>
        <w:tc>
          <w:tcPr>
            <w:tcW w:w="1961" w:type="dxa"/>
          </w:tcPr>
          <w:p w:rsidR="00033A8E" w:rsidRPr="0095569A" w:rsidRDefault="00033A8E" w:rsidP="0095569A">
            <w:pPr>
              <w:tabs>
                <w:tab w:val="left" w:pos="360"/>
              </w:tabs>
              <w:spacing w:before="0" w:after="0" w:line="240" w:lineRule="auto"/>
              <w:ind w:firstLine="0"/>
              <w:jc w:val="center"/>
            </w:pPr>
            <w:r w:rsidRPr="0095569A">
              <w:t>30.17</w:t>
            </w:r>
          </w:p>
        </w:tc>
        <w:tc>
          <w:tcPr>
            <w:tcW w:w="1818" w:type="dxa"/>
          </w:tcPr>
          <w:p w:rsidR="00033A8E" w:rsidRPr="0095569A" w:rsidRDefault="00033A8E" w:rsidP="0095569A">
            <w:pPr>
              <w:tabs>
                <w:tab w:val="left" w:pos="360"/>
              </w:tabs>
              <w:spacing w:before="0" w:after="0" w:line="240" w:lineRule="auto"/>
              <w:ind w:firstLine="0"/>
              <w:jc w:val="center"/>
            </w:pPr>
            <w:r w:rsidRPr="0095569A">
              <w:t>54.61</w:t>
            </w:r>
          </w:p>
        </w:tc>
      </w:tr>
      <w:tr w:rsidR="00033A8E" w:rsidTr="00AB4073">
        <w:trPr>
          <w:jc w:val="center"/>
        </w:trPr>
        <w:tc>
          <w:tcPr>
            <w:tcW w:w="2160" w:type="dxa"/>
          </w:tcPr>
          <w:p w:rsidR="00033A8E" w:rsidRPr="0095569A" w:rsidRDefault="00033A8E" w:rsidP="0095569A">
            <w:pPr>
              <w:tabs>
                <w:tab w:val="left" w:pos="360"/>
              </w:tabs>
              <w:spacing w:before="0" w:after="0" w:line="240" w:lineRule="auto"/>
              <w:ind w:firstLine="0"/>
            </w:pPr>
            <w:r w:rsidRPr="0095569A">
              <w:t>Water Reflector</w:t>
            </w:r>
          </w:p>
        </w:tc>
        <w:tc>
          <w:tcPr>
            <w:tcW w:w="1961" w:type="dxa"/>
          </w:tcPr>
          <w:p w:rsidR="00033A8E" w:rsidRPr="0095569A" w:rsidRDefault="00033A8E" w:rsidP="0095569A">
            <w:pPr>
              <w:tabs>
                <w:tab w:val="left" w:pos="360"/>
              </w:tabs>
              <w:spacing w:before="0" w:after="0" w:line="240" w:lineRule="auto"/>
              <w:ind w:firstLine="0"/>
              <w:jc w:val="center"/>
            </w:pPr>
            <w:r w:rsidRPr="0095569A">
              <w:t>54.61</w:t>
            </w:r>
          </w:p>
        </w:tc>
        <w:tc>
          <w:tcPr>
            <w:tcW w:w="1818" w:type="dxa"/>
          </w:tcPr>
          <w:p w:rsidR="00033A8E" w:rsidRPr="0095569A" w:rsidRDefault="00033A8E" w:rsidP="0095569A">
            <w:pPr>
              <w:tabs>
                <w:tab w:val="left" w:pos="360"/>
              </w:tabs>
              <w:spacing w:before="0" w:after="0" w:line="240" w:lineRule="auto"/>
              <w:ind w:firstLine="0"/>
              <w:jc w:val="center"/>
            </w:pPr>
            <w:r w:rsidRPr="0095569A">
              <w:t>119.38</w:t>
            </w:r>
          </w:p>
        </w:tc>
      </w:tr>
      <w:tr w:rsidR="00033A8E" w:rsidTr="00AB4073">
        <w:trPr>
          <w:jc w:val="center"/>
        </w:trPr>
        <w:tc>
          <w:tcPr>
            <w:tcW w:w="2160" w:type="dxa"/>
          </w:tcPr>
          <w:p w:rsidR="00033A8E" w:rsidRPr="0095569A" w:rsidRDefault="00033A8E" w:rsidP="0095569A">
            <w:pPr>
              <w:tabs>
                <w:tab w:val="left" w:pos="360"/>
              </w:tabs>
              <w:spacing w:before="0" w:after="0" w:line="240" w:lineRule="auto"/>
              <w:ind w:firstLine="0"/>
            </w:pPr>
            <w:r w:rsidRPr="0095569A">
              <w:t>Pressure Vessel</w:t>
            </w:r>
          </w:p>
        </w:tc>
        <w:tc>
          <w:tcPr>
            <w:tcW w:w="1961" w:type="dxa"/>
          </w:tcPr>
          <w:p w:rsidR="00033A8E" w:rsidRPr="0095569A" w:rsidRDefault="00033A8E" w:rsidP="0095569A">
            <w:pPr>
              <w:tabs>
                <w:tab w:val="left" w:pos="360"/>
              </w:tabs>
              <w:spacing w:before="0" w:after="0" w:line="240" w:lineRule="auto"/>
              <w:ind w:firstLine="0"/>
              <w:jc w:val="center"/>
            </w:pPr>
            <w:r w:rsidRPr="0095569A">
              <w:t>119.38</w:t>
            </w:r>
          </w:p>
        </w:tc>
        <w:tc>
          <w:tcPr>
            <w:tcW w:w="1818" w:type="dxa"/>
          </w:tcPr>
          <w:p w:rsidR="00033A8E" w:rsidRPr="0095569A" w:rsidRDefault="00033A8E" w:rsidP="0095569A">
            <w:pPr>
              <w:tabs>
                <w:tab w:val="left" w:pos="360"/>
              </w:tabs>
              <w:spacing w:before="0" w:after="0" w:line="240" w:lineRule="auto"/>
              <w:ind w:firstLine="0"/>
              <w:jc w:val="center"/>
            </w:pPr>
            <w:r w:rsidRPr="0095569A">
              <w:t>121.92</w:t>
            </w:r>
          </w:p>
        </w:tc>
      </w:tr>
    </w:tbl>
    <w:p w:rsidR="00A35723" w:rsidRDefault="00A35723" w:rsidP="004F42F4">
      <w:pPr>
        <w:ind w:firstLine="0"/>
      </w:pPr>
      <w:r>
        <w:br w:type="page"/>
      </w:r>
    </w:p>
    <w:p w:rsidR="00A35723" w:rsidRDefault="00A35723" w:rsidP="00AA149C">
      <w:pPr>
        <w:pStyle w:val="Heading1"/>
      </w:pPr>
      <w:bookmarkStart w:id="91" w:name="_Toc295818104"/>
      <w:r>
        <w:lastRenderedPageBreak/>
        <w:t>Description of Computer Codes</w:t>
      </w:r>
      <w:bookmarkEnd w:id="91"/>
    </w:p>
    <w:p w:rsidR="00BB7840" w:rsidRDefault="00BB7840" w:rsidP="00081010">
      <w:r>
        <w:t>Due to the complexity of the research presented in this manuscript, s</w:t>
      </w:r>
      <w:r w:rsidR="00A35723">
        <w:t xml:space="preserve">everal computer codes were utilized </w:t>
      </w:r>
      <w:r>
        <w:t>for computational simulations and calculations</w:t>
      </w:r>
      <w:r w:rsidR="00A35723">
        <w:t xml:space="preserve">.  This chapter </w:t>
      </w:r>
      <w:r>
        <w:t xml:space="preserve">briefly </w:t>
      </w:r>
      <w:r w:rsidR="00A35723">
        <w:t xml:space="preserve">describes the </w:t>
      </w:r>
      <w:r w:rsidR="00081010">
        <w:t xml:space="preserve">pertinent </w:t>
      </w:r>
      <w:r w:rsidR="00A35723">
        <w:t xml:space="preserve">computer codes </w:t>
      </w:r>
      <w:r>
        <w:t>that were employed</w:t>
      </w:r>
      <w:r w:rsidR="00A35723">
        <w:t xml:space="preserve"> for </w:t>
      </w:r>
      <w:r>
        <w:t xml:space="preserve">the </w:t>
      </w:r>
      <w:r w:rsidR="00A35723">
        <w:t xml:space="preserve">calculations </w:t>
      </w:r>
      <w:r>
        <w:t>described in the following chapters.</w:t>
      </w:r>
      <w:r w:rsidR="00A35723">
        <w:t xml:space="preserve">  </w:t>
      </w:r>
      <w:r w:rsidR="00081010">
        <w:t>The models developed for the studies presented herein are also described in this chapter.</w:t>
      </w:r>
    </w:p>
    <w:p w:rsidR="008C2185" w:rsidRDefault="008C2185" w:rsidP="00BB7840"/>
    <w:p w:rsidR="008C2185" w:rsidRDefault="008C2185" w:rsidP="00AA149C">
      <w:pPr>
        <w:pStyle w:val="Heading2"/>
      </w:pPr>
      <w:bookmarkStart w:id="92" w:name="_Toc295818105"/>
      <w:r>
        <w:t>MCNP5</w:t>
      </w:r>
      <w:bookmarkEnd w:id="92"/>
    </w:p>
    <w:p w:rsidR="00061236" w:rsidRDefault="00061236" w:rsidP="00061236">
      <w:pPr>
        <w:autoSpaceDE w:val="0"/>
        <w:autoSpaceDN w:val="0"/>
        <w:adjustRightInd w:val="0"/>
      </w:pPr>
      <w:r>
        <w:t xml:space="preserve">The Monte Carlo N-Particle code, commonly referred to as </w:t>
      </w:r>
      <w:r w:rsidR="00081010">
        <w:t>MCNP</w:t>
      </w:r>
      <w:r>
        <w:t>,</w:t>
      </w:r>
      <w:r w:rsidR="00081010">
        <w:t xml:space="preserve"> is a three-dimensional general-purpose code that was developed and is maintained by Los Al</w:t>
      </w:r>
      <w:r w:rsidR="008D6A4C">
        <w:t xml:space="preserve">amos National Laboratory (LANL) </w:t>
      </w:r>
      <w:r w:rsidR="007511FA">
        <w:fldChar w:fldCharType="begin"/>
      </w:r>
      <w:r w:rsidR="00C67546">
        <w:instrText xml:space="preserve"> REF _Ref285636602 \n \h </w:instrText>
      </w:r>
      <w:r w:rsidR="007511FA">
        <w:fldChar w:fldCharType="separate"/>
      </w:r>
      <w:r w:rsidR="00D5167B">
        <w:t>[50]</w:t>
      </w:r>
      <w:r w:rsidR="007511FA">
        <w:fldChar w:fldCharType="end"/>
      </w:r>
      <w:r w:rsidR="008D6A4C">
        <w:t>.</w:t>
      </w:r>
      <w:r w:rsidR="00081010">
        <w:t xml:space="preserve">  MCNP can be used to simulate neutron, photon, electron, or coupled neutron/photon/electron transport.  MCNP is typically used in areas such as nuclear criticality safety, fission and fusion reactor design, decontamination and decommissioning, radiation protection/shielding, </w:t>
      </w:r>
      <w:proofErr w:type="spellStart"/>
      <w:r w:rsidR="00081010">
        <w:t>dosimetry</w:t>
      </w:r>
      <w:proofErr w:type="spellEnd"/>
      <w:r w:rsidR="00081010">
        <w:t xml:space="preserve">, radiography, and medical physics. </w:t>
      </w:r>
      <w:r>
        <w:t xml:space="preserve"> </w:t>
      </w:r>
      <w:r w:rsidRPr="004E6777">
        <w:t>The latest version of MCNP, MCNP5, is used throughout this study</w:t>
      </w:r>
      <w:r w:rsidR="00B862DF">
        <w:t xml:space="preserve"> to simulate neutron transport to calculate </w:t>
      </w:r>
      <w:r w:rsidR="00B2458B">
        <w:t xml:space="preserve">neutron density distributions and </w:t>
      </w:r>
      <w:r w:rsidR="00B862DF">
        <w:t>effective multiplication factors</w:t>
      </w:r>
      <w:r w:rsidRPr="004E6777">
        <w:t>.</w:t>
      </w:r>
    </w:p>
    <w:p w:rsidR="00061236" w:rsidRDefault="00061236" w:rsidP="00061236">
      <w:pPr>
        <w:autoSpaceDE w:val="0"/>
        <w:autoSpaceDN w:val="0"/>
        <w:adjustRightInd w:val="0"/>
      </w:pPr>
      <w:r>
        <w:t xml:space="preserve">MCNP uses the Monte Carlo technique for particle (neutron, photon, or electron) transport calculations.  </w:t>
      </w:r>
      <w:r w:rsidR="000E21A9">
        <w:t xml:space="preserve">Probability distributions are used in order to solve the </w:t>
      </w:r>
      <w:r w:rsidR="00B2458B">
        <w:t>t</w:t>
      </w:r>
      <w:r w:rsidR="000E21A9">
        <w:t xml:space="preserve">ransport equation </w:t>
      </w:r>
      <w:r w:rsidR="007511FA">
        <w:fldChar w:fldCharType="begin"/>
      </w:r>
      <w:r w:rsidR="00C06370">
        <w:instrText xml:space="preserve"> REF _Ref285532292 \h </w:instrText>
      </w:r>
      <w:r w:rsidR="007511FA">
        <w:fldChar w:fldCharType="separate"/>
      </w:r>
      <w:proofErr w:type="spellStart"/>
      <w:r w:rsidR="00D5167B" w:rsidRPr="008B3E95">
        <w:t>Equation</w:t>
      </w:r>
      <w:proofErr w:type="spellEnd"/>
      <w:r w:rsidR="00D5167B" w:rsidRPr="008B3E95">
        <w:t xml:space="preserve"> </w:t>
      </w:r>
      <w:r w:rsidR="00D5167B">
        <w:rPr>
          <w:noProof/>
        </w:rPr>
        <w:t>3</w:t>
      </w:r>
      <w:r w:rsidR="00D5167B">
        <w:t>.</w:t>
      </w:r>
      <w:r w:rsidR="00D5167B">
        <w:rPr>
          <w:noProof/>
        </w:rPr>
        <w:t>1</w:t>
      </w:r>
      <w:r w:rsidR="007511FA">
        <w:fldChar w:fldCharType="end"/>
      </w:r>
      <w:r w:rsidR="000E21A9">
        <w:t>).  Particles of interest, which in these studies ar</w:t>
      </w:r>
      <w:r w:rsidR="0015312F">
        <w:t>e neutrons, are tracked from their</w:t>
      </w:r>
      <w:r w:rsidR="000E21A9">
        <w:t xml:space="preserve"> birth </w:t>
      </w:r>
      <w:r w:rsidR="0015312F">
        <w:t>until</w:t>
      </w:r>
      <w:r w:rsidR="000E21A9">
        <w:t xml:space="preserve"> </w:t>
      </w:r>
      <w:r w:rsidR="0015312F">
        <w:t>their</w:t>
      </w:r>
      <w:r w:rsidR="000E21A9">
        <w:t xml:space="preserve"> death.  Continuous energy cross section data are utilized for randomly sampling the probability distributions to determine the pertinent physics parameters such as the type of interaction (absorption, scatter, fission, etc.), the energy of the neutron after a scattering interaction, the number of neutrons and the energies of each neutrons emitted following a fission interaction, </w:t>
      </w:r>
      <w:r w:rsidR="00B862DF">
        <w:t>the loss of a neutron due to leakage, the capture of a neutron if it is absorbed, and etc.</w:t>
      </w:r>
    </w:p>
    <w:p w:rsidR="000E21A9" w:rsidRDefault="007511FA" w:rsidP="003E77A1">
      <w:pPr>
        <w:autoSpaceDE w:val="0"/>
        <w:autoSpaceDN w:val="0"/>
        <w:adjustRightInd w:val="0"/>
        <w:ind w:firstLine="0"/>
      </w:pPr>
      <m:oMathPara>
        <m:oMath>
          <m:f>
            <m:fPr>
              <m:ctrlPr>
                <w:rPr>
                  <w:rFonts w:ascii="Cambria Math" w:hAnsi="Cambria Math"/>
                  <w:i/>
                </w:rPr>
              </m:ctrlPr>
            </m:fPr>
            <m:num>
              <m:r>
                <w:rPr>
                  <w:rFonts w:ascii="Cambria Math" w:hAnsi="Cambria Math"/>
                </w:rPr>
                <m:t>1</m:t>
              </m:r>
            </m:num>
            <m:den>
              <m:r>
                <w:rPr>
                  <w:rFonts w:ascii="Cambria Math" w:hAnsi="Cambria Math"/>
                </w:rPr>
                <m:t>v</m:t>
              </m:r>
            </m:den>
          </m:f>
          <m:f>
            <m:fPr>
              <m:ctrlPr>
                <w:rPr>
                  <w:rFonts w:ascii="Cambria Math" w:hAnsi="Cambria Math"/>
                  <w:i/>
                </w:rPr>
              </m:ctrlPr>
            </m:fPr>
            <m:num>
              <m:r>
                <w:rPr>
                  <w:rFonts w:ascii="Cambria Math" w:hAnsi="Cambria Math"/>
                </w:rPr>
                <m:t>∂φ</m:t>
              </m:r>
              <m:d>
                <m:dPr>
                  <m:ctrlPr>
                    <w:rPr>
                      <w:rFonts w:ascii="Cambria Math" w:hAnsi="Cambria Math"/>
                      <w:i/>
                    </w:rPr>
                  </m:ctrlPr>
                </m:dPr>
                <m:e>
                  <m:r>
                    <m:rPr>
                      <m:sty m:val="bi"/>
                    </m:rPr>
                    <w:rPr>
                      <w:rFonts w:ascii="Cambria Math" w:hAnsi="Cambria Math"/>
                    </w:rPr>
                    <m:t>r</m:t>
                  </m:r>
                  <m:r>
                    <w:rPr>
                      <w:rFonts w:ascii="Cambria Math" w:hAnsi="Cambria Math"/>
                    </w:rPr>
                    <m:t>,E,</m:t>
                  </m:r>
                  <m:acc>
                    <m:accPr>
                      <m:ctrlPr>
                        <w:rPr>
                          <w:rFonts w:ascii="Cambria Math" w:hAnsi="Cambria Math"/>
                          <w:b/>
                        </w:rPr>
                      </m:ctrlPr>
                    </m:accPr>
                    <m:e>
                      <m:r>
                        <m:rPr>
                          <m:sty m:val="b"/>
                        </m:rPr>
                        <w:rPr>
                          <w:rFonts w:ascii="Cambria Math" w:hAnsi="Cambria Math"/>
                        </w:rPr>
                        <m:t>Ω</m:t>
                      </m:r>
                    </m:e>
                  </m:acc>
                  <m:r>
                    <w:rPr>
                      <w:rFonts w:ascii="Cambria Math" w:hAnsi="Cambria Math"/>
                    </w:rPr>
                    <m:t>,t</m:t>
                  </m:r>
                </m:e>
              </m:d>
            </m:num>
            <m:den>
              <m:r>
                <w:rPr>
                  <w:rFonts w:ascii="Cambria Math" w:hAnsi="Cambria Math"/>
                </w:rPr>
                <m:t>dt</m:t>
              </m:r>
            </m:den>
          </m:f>
          <m:r>
            <w:rPr>
              <w:rFonts w:ascii="Cambria Math" w:hAnsi="Cambria Math"/>
            </w:rPr>
            <m:t>+</m:t>
          </m:r>
          <m:acc>
            <m:accPr>
              <m:ctrlPr>
                <w:rPr>
                  <w:rFonts w:ascii="Cambria Math" w:hAnsi="Cambria Math"/>
                  <w:b/>
                </w:rPr>
              </m:ctrlPr>
            </m:accPr>
            <m:e>
              <m:r>
                <m:rPr>
                  <m:sty m:val="b"/>
                </m:rPr>
                <w:rPr>
                  <w:rFonts w:ascii="Cambria Math" w:hAnsi="Cambria Math"/>
                </w:rPr>
                <m:t>Ω</m:t>
              </m:r>
            </m:e>
          </m:acc>
          <m:r>
            <m:rPr>
              <m:sty m:val="p"/>
            </m:rPr>
            <w:rPr>
              <w:rFonts w:ascii="Cambria Math" w:hAnsi="Cambria Math"/>
            </w:rPr>
            <m:t>∇</m:t>
          </m:r>
          <m:r>
            <w:rPr>
              <w:rFonts w:ascii="Cambria Math" w:hAnsi="Cambria Math"/>
            </w:rPr>
            <m:t>φ</m:t>
          </m:r>
          <m:d>
            <m:dPr>
              <m:ctrlPr>
                <w:rPr>
                  <w:rFonts w:ascii="Cambria Math" w:hAnsi="Cambria Math"/>
                  <w:i/>
                </w:rPr>
              </m:ctrlPr>
            </m:dPr>
            <m:e>
              <m:r>
                <m:rPr>
                  <m:sty m:val="bi"/>
                </m:rPr>
                <w:rPr>
                  <w:rFonts w:ascii="Cambria Math" w:hAnsi="Cambria Math"/>
                </w:rPr>
                <m:t>r</m:t>
              </m:r>
              <m:r>
                <w:rPr>
                  <w:rFonts w:ascii="Cambria Math" w:hAnsi="Cambria Math"/>
                </w:rPr>
                <m:t>,E,</m:t>
              </m:r>
              <m:acc>
                <m:accPr>
                  <m:ctrlPr>
                    <w:rPr>
                      <w:rFonts w:ascii="Cambria Math" w:hAnsi="Cambria Math"/>
                      <w:b/>
                    </w:rPr>
                  </m:ctrlPr>
                </m:accPr>
                <m:e>
                  <m:r>
                    <m:rPr>
                      <m:sty m:val="b"/>
                    </m:rPr>
                    <w:rPr>
                      <w:rFonts w:ascii="Cambria Math" w:hAnsi="Cambria Math"/>
                    </w:rPr>
                    <m:t>Ω</m:t>
                  </m:r>
                </m:e>
              </m:acc>
              <m:r>
                <w:rPr>
                  <w:rFonts w:ascii="Cambria Math" w:hAnsi="Cambria Math"/>
                </w:rPr>
                <m:t>,t</m:t>
              </m:r>
            </m:e>
          </m:d>
          <m:r>
            <w:rPr>
              <w:rFonts w:ascii="Cambria Math" w:hAnsi="Cambria Math"/>
            </w:rPr>
            <m:t>+</m:t>
          </m:r>
          <m:sSub>
            <m:sSubPr>
              <m:ctrlPr>
                <w:rPr>
                  <w:rFonts w:ascii="Cambria Math" w:hAnsi="Cambria Math"/>
                  <w:i/>
                </w:rPr>
              </m:ctrlPr>
            </m:sSubPr>
            <m:e>
              <m:r>
                <m:rPr>
                  <m:sty m:val="p"/>
                </m:rPr>
                <w:rPr>
                  <w:rFonts w:ascii="Cambria Math" w:hAnsi="Cambria Math"/>
                </w:rPr>
                <m:t>Σ</m:t>
              </m:r>
            </m:e>
            <m:sub>
              <m:r>
                <w:rPr>
                  <w:rFonts w:ascii="Cambria Math" w:hAnsi="Cambria Math"/>
                </w:rPr>
                <m:t>t</m:t>
              </m:r>
            </m:sub>
          </m:sSub>
          <m:d>
            <m:dPr>
              <m:ctrlPr>
                <w:rPr>
                  <w:rFonts w:ascii="Cambria Math" w:hAnsi="Cambria Math"/>
                  <w:i/>
                </w:rPr>
              </m:ctrlPr>
            </m:dPr>
            <m:e>
              <m:r>
                <m:rPr>
                  <m:sty m:val="bi"/>
                </m:rPr>
                <w:rPr>
                  <w:rFonts w:ascii="Cambria Math" w:hAnsi="Cambria Math"/>
                </w:rPr>
                <m:t>r</m:t>
              </m:r>
              <m:r>
                <w:rPr>
                  <w:rFonts w:ascii="Cambria Math" w:hAnsi="Cambria Math"/>
                </w:rPr>
                <m:t>,E</m:t>
              </m:r>
            </m:e>
          </m:d>
          <m:r>
            <w:rPr>
              <w:rFonts w:ascii="Cambria Math" w:hAnsi="Cambria Math"/>
            </w:rPr>
            <m:t>φ</m:t>
          </m:r>
          <m:d>
            <m:dPr>
              <m:ctrlPr>
                <w:rPr>
                  <w:rFonts w:ascii="Cambria Math" w:hAnsi="Cambria Math"/>
                  <w:i/>
                </w:rPr>
              </m:ctrlPr>
            </m:dPr>
            <m:e>
              <m:r>
                <m:rPr>
                  <m:sty m:val="bi"/>
                </m:rPr>
                <w:rPr>
                  <w:rFonts w:ascii="Cambria Math" w:hAnsi="Cambria Math"/>
                </w:rPr>
                <m:t>r</m:t>
              </m:r>
              <m:r>
                <w:rPr>
                  <w:rFonts w:ascii="Cambria Math" w:hAnsi="Cambria Math"/>
                </w:rPr>
                <m:t>,E,</m:t>
              </m:r>
              <m:acc>
                <m:accPr>
                  <m:ctrlPr>
                    <w:rPr>
                      <w:rFonts w:ascii="Cambria Math" w:hAnsi="Cambria Math"/>
                      <w:b/>
                    </w:rPr>
                  </m:ctrlPr>
                </m:accPr>
                <m:e>
                  <m:r>
                    <m:rPr>
                      <m:sty m:val="b"/>
                    </m:rPr>
                    <w:rPr>
                      <w:rFonts w:ascii="Cambria Math" w:hAnsi="Cambria Math"/>
                    </w:rPr>
                    <m:t>Ω</m:t>
                  </m:r>
                </m:e>
              </m:acc>
              <m:r>
                <w:rPr>
                  <w:rFonts w:ascii="Cambria Math" w:hAnsi="Cambria Math"/>
                </w:rPr>
                <m:t>,t</m:t>
              </m:r>
            </m:e>
          </m:d>
          <m:r>
            <w:rPr>
              <w:rFonts w:ascii="Cambria Math" w:hAnsi="Cambria Math"/>
            </w:rPr>
            <m:t>=</m:t>
          </m:r>
          <m:nary>
            <m:naryPr>
              <m:limLoc m:val="undOvr"/>
              <m:ctrlPr>
                <w:rPr>
                  <w:rFonts w:ascii="Cambria Math" w:hAnsi="Cambria Math"/>
                  <w:i/>
                </w:rPr>
              </m:ctrlPr>
            </m:naryPr>
            <m:sub>
              <m:r>
                <w:rPr>
                  <w:rFonts w:ascii="Cambria Math" w:hAnsi="Cambria Math"/>
                </w:rPr>
                <m:t>0</m:t>
              </m:r>
            </m:sub>
            <m:sup>
              <m:r>
                <w:rPr>
                  <w:rFonts w:ascii="Cambria Math" w:hAnsi="Cambria Math"/>
                </w:rPr>
                <m:t>∞</m:t>
              </m:r>
            </m:sup>
            <m:e>
              <m:r>
                <w:rPr>
                  <w:rFonts w:ascii="Cambria Math" w:hAnsi="Cambria Math"/>
                </w:rPr>
                <m:t>d</m:t>
              </m:r>
              <m:sSup>
                <m:sSupPr>
                  <m:ctrlPr>
                    <w:rPr>
                      <w:rFonts w:ascii="Cambria Math" w:hAnsi="Cambria Math"/>
                      <w:i/>
                    </w:rPr>
                  </m:ctrlPr>
                </m:sSupPr>
                <m:e>
                  <m:r>
                    <w:rPr>
                      <w:rFonts w:ascii="Cambria Math" w:hAnsi="Cambria Math"/>
                    </w:rPr>
                    <m:t>E</m:t>
                  </m:r>
                </m:e>
                <m:sup>
                  <m:r>
                    <w:rPr>
                      <w:rFonts w:ascii="Cambria Math" w:hAnsi="Cambria Math"/>
                    </w:rPr>
                    <m:t>'</m:t>
                  </m:r>
                </m:sup>
              </m:sSup>
              <m:nary>
                <m:naryPr>
                  <m:limLoc m:val="subSup"/>
                  <m:ctrlPr>
                    <w:rPr>
                      <w:rFonts w:ascii="Cambria Math" w:hAnsi="Cambria Math"/>
                      <w:i/>
                    </w:rPr>
                  </m:ctrlPr>
                </m:naryPr>
                <m:sub>
                  <m:r>
                    <w:rPr>
                      <w:rFonts w:ascii="Cambria Math" w:hAnsi="Cambria Math"/>
                    </w:rPr>
                    <m:t>4π</m:t>
                  </m:r>
                </m:sub>
                <m:sup/>
                <m:e>
                  <m:r>
                    <w:rPr>
                      <w:rFonts w:ascii="Cambria Math" w:hAnsi="Cambria Math"/>
                    </w:rPr>
                    <m:t>d</m:t>
                  </m:r>
                  <m:sSup>
                    <m:sSupPr>
                      <m:ctrlPr>
                        <w:rPr>
                          <w:rFonts w:ascii="Cambria Math" w:hAnsi="Cambria Math"/>
                          <w:i/>
                        </w:rPr>
                      </m:ctrlPr>
                    </m:sSupPr>
                    <m:e>
                      <m:acc>
                        <m:accPr>
                          <m:ctrlPr>
                            <w:rPr>
                              <w:rFonts w:ascii="Cambria Math" w:hAnsi="Cambria Math"/>
                              <w:b/>
                            </w:rPr>
                          </m:ctrlPr>
                        </m:accPr>
                        <m:e>
                          <m:r>
                            <m:rPr>
                              <m:sty m:val="b"/>
                            </m:rPr>
                            <w:rPr>
                              <w:rFonts w:ascii="Cambria Math" w:hAnsi="Cambria Math"/>
                            </w:rPr>
                            <m:t>Ω</m:t>
                          </m:r>
                        </m:e>
                      </m:acc>
                    </m:e>
                    <m:sup>
                      <m:r>
                        <w:rPr>
                          <w:rFonts w:ascii="Cambria Math" w:hAnsi="Cambria Math"/>
                        </w:rPr>
                        <m:t>'</m:t>
                      </m:r>
                    </m:sup>
                  </m:sSup>
                  <m:sSub>
                    <m:sSubPr>
                      <m:ctrlPr>
                        <w:rPr>
                          <w:rFonts w:ascii="Cambria Math" w:hAnsi="Cambria Math"/>
                          <w:i/>
                        </w:rPr>
                      </m:ctrlPr>
                    </m:sSubPr>
                    <m:e>
                      <m:r>
                        <m:rPr>
                          <m:sty m:val="p"/>
                        </m:rPr>
                        <w:rPr>
                          <w:rFonts w:ascii="Cambria Math" w:hAnsi="Cambria Math"/>
                        </w:rPr>
                        <m:t>Σ</m:t>
                      </m:r>
                    </m:e>
                    <m:sub>
                      <m:r>
                        <w:rPr>
                          <w:rFonts w:ascii="Cambria Math" w:hAnsi="Cambria Math"/>
                        </w:rPr>
                        <m:t>s</m:t>
                      </m:r>
                    </m:sub>
                  </m:sSub>
                  <m:d>
                    <m:dPr>
                      <m:ctrlPr>
                        <w:rPr>
                          <w:rFonts w:ascii="Cambria Math" w:hAnsi="Cambria Math"/>
                          <w:i/>
                        </w:rPr>
                      </m:ctrlPr>
                    </m:dPr>
                    <m:e>
                      <m:sSup>
                        <m:sSupPr>
                          <m:ctrlPr>
                            <w:rPr>
                              <w:rFonts w:ascii="Cambria Math" w:hAnsi="Cambria Math"/>
                              <w:i/>
                            </w:rPr>
                          </m:ctrlPr>
                        </m:sSupPr>
                        <m:e>
                          <m:r>
                            <w:rPr>
                              <w:rFonts w:ascii="Cambria Math" w:hAnsi="Cambria Math"/>
                            </w:rPr>
                            <m:t>E</m:t>
                          </m:r>
                        </m:e>
                        <m:sup>
                          <m:r>
                            <w:rPr>
                              <w:rFonts w:ascii="Cambria Math" w:hAnsi="Cambria Math"/>
                            </w:rPr>
                            <m:t>'</m:t>
                          </m:r>
                        </m:sup>
                      </m:sSup>
                      <m:r>
                        <w:rPr>
                          <w:rFonts w:ascii="Cambria Math" w:hAnsi="Cambria Math"/>
                        </w:rPr>
                        <m:t>→E,</m:t>
                      </m:r>
                      <m:sSup>
                        <m:sSupPr>
                          <m:ctrlPr>
                            <w:rPr>
                              <w:rFonts w:ascii="Cambria Math" w:hAnsi="Cambria Math"/>
                              <w:i/>
                            </w:rPr>
                          </m:ctrlPr>
                        </m:sSupPr>
                        <m:e>
                          <m:acc>
                            <m:accPr>
                              <m:ctrlPr>
                                <w:rPr>
                                  <w:rFonts w:ascii="Cambria Math" w:hAnsi="Cambria Math"/>
                                  <w:b/>
                                </w:rPr>
                              </m:ctrlPr>
                            </m:accPr>
                            <m:e>
                              <m:r>
                                <m:rPr>
                                  <m:sty m:val="b"/>
                                </m:rPr>
                                <w:rPr>
                                  <w:rFonts w:ascii="Cambria Math" w:hAnsi="Cambria Math"/>
                                </w:rPr>
                                <m:t>Ω</m:t>
                              </m:r>
                            </m:e>
                          </m:acc>
                        </m:e>
                        <m:sup>
                          <m:r>
                            <w:rPr>
                              <w:rFonts w:ascii="Cambria Math" w:hAnsi="Cambria Math"/>
                            </w:rPr>
                            <m:t>'</m:t>
                          </m:r>
                        </m:sup>
                      </m:sSup>
                      <m:r>
                        <w:rPr>
                          <w:rFonts w:ascii="Cambria Math" w:hAnsi="Cambria Math"/>
                        </w:rPr>
                        <m:t>→</m:t>
                      </m:r>
                      <m:acc>
                        <m:accPr>
                          <m:ctrlPr>
                            <w:rPr>
                              <w:rFonts w:ascii="Cambria Math" w:hAnsi="Cambria Math"/>
                              <w:b/>
                            </w:rPr>
                          </m:ctrlPr>
                        </m:accPr>
                        <m:e>
                          <m:r>
                            <m:rPr>
                              <m:sty m:val="b"/>
                            </m:rPr>
                            <w:rPr>
                              <w:rFonts w:ascii="Cambria Math" w:hAnsi="Cambria Math"/>
                            </w:rPr>
                            <m:t>Ω</m:t>
                          </m:r>
                        </m:e>
                      </m:acc>
                    </m:e>
                  </m:d>
                  <m:r>
                    <w:rPr>
                      <w:rFonts w:ascii="Cambria Math" w:hAnsi="Cambria Math"/>
                    </w:rPr>
                    <m:t>φ</m:t>
                  </m:r>
                  <m:d>
                    <m:dPr>
                      <m:ctrlPr>
                        <w:rPr>
                          <w:rFonts w:ascii="Cambria Math" w:hAnsi="Cambria Math"/>
                          <w:i/>
                        </w:rPr>
                      </m:ctrlPr>
                    </m:dPr>
                    <m:e>
                      <m:r>
                        <m:rPr>
                          <m:sty m:val="bi"/>
                        </m:rPr>
                        <w:rPr>
                          <w:rFonts w:ascii="Cambria Math" w:hAnsi="Cambria Math"/>
                        </w:rPr>
                        <m:t>r</m:t>
                      </m:r>
                      <m:r>
                        <w:rPr>
                          <w:rFonts w:ascii="Cambria Math" w:hAnsi="Cambria Math"/>
                        </w:rPr>
                        <m:t>,E,</m:t>
                      </m:r>
                      <m:acc>
                        <m:accPr>
                          <m:ctrlPr>
                            <w:rPr>
                              <w:rFonts w:ascii="Cambria Math" w:hAnsi="Cambria Math"/>
                              <w:b/>
                            </w:rPr>
                          </m:ctrlPr>
                        </m:accPr>
                        <m:e>
                          <m:r>
                            <m:rPr>
                              <m:sty m:val="b"/>
                            </m:rPr>
                            <w:rPr>
                              <w:rFonts w:ascii="Cambria Math" w:hAnsi="Cambria Math"/>
                            </w:rPr>
                            <m:t>Ω</m:t>
                          </m:r>
                        </m:e>
                      </m:acc>
                      <m:r>
                        <w:rPr>
                          <w:rFonts w:ascii="Cambria Math" w:hAnsi="Cambria Math"/>
                        </w:rPr>
                        <m:t>,t</m:t>
                      </m:r>
                    </m:e>
                  </m:d>
                </m:e>
              </m:nary>
              <m:r>
                <w:rPr>
                  <w:rFonts w:ascii="Cambria Math" w:hAnsi="Cambria Math"/>
                </w:rPr>
                <m:t>+S</m:t>
              </m:r>
              <m:d>
                <m:dPr>
                  <m:ctrlPr>
                    <w:rPr>
                      <w:rFonts w:ascii="Cambria Math" w:hAnsi="Cambria Math"/>
                      <w:i/>
                    </w:rPr>
                  </m:ctrlPr>
                </m:dPr>
                <m:e>
                  <m:r>
                    <m:rPr>
                      <m:sty m:val="bi"/>
                    </m:rPr>
                    <w:rPr>
                      <w:rFonts w:ascii="Cambria Math" w:hAnsi="Cambria Math"/>
                    </w:rPr>
                    <m:t>r</m:t>
                  </m:r>
                  <m:r>
                    <w:rPr>
                      <w:rFonts w:ascii="Cambria Math" w:hAnsi="Cambria Math"/>
                    </w:rPr>
                    <m:t>,E,</m:t>
                  </m:r>
                  <m:acc>
                    <m:accPr>
                      <m:ctrlPr>
                        <w:rPr>
                          <w:rFonts w:ascii="Cambria Math" w:hAnsi="Cambria Math"/>
                          <w:b/>
                        </w:rPr>
                      </m:ctrlPr>
                    </m:accPr>
                    <m:e>
                      <m:r>
                        <m:rPr>
                          <m:sty m:val="b"/>
                        </m:rPr>
                        <w:rPr>
                          <w:rFonts w:ascii="Cambria Math" w:hAnsi="Cambria Math"/>
                        </w:rPr>
                        <m:t>Ω</m:t>
                      </m:r>
                    </m:e>
                  </m:acc>
                  <m:r>
                    <w:rPr>
                      <w:rFonts w:ascii="Cambria Math" w:hAnsi="Cambria Math"/>
                    </w:rPr>
                    <m:t>,t</m:t>
                  </m:r>
                </m:e>
              </m:d>
            </m:e>
          </m:nary>
        </m:oMath>
      </m:oMathPara>
    </w:p>
    <w:p w:rsidR="000E21A9" w:rsidRDefault="00C06370" w:rsidP="003E77A1">
      <w:pPr>
        <w:pStyle w:val="Caption"/>
      </w:pPr>
      <w:bookmarkStart w:id="93" w:name="_Ref285532292"/>
      <w:proofErr w:type="gramStart"/>
      <w:r w:rsidRPr="008B3E95">
        <w:t xml:space="preserve">Equation </w:t>
      </w:r>
      <w:r w:rsidR="007511FA">
        <w:fldChar w:fldCharType="begin"/>
      </w:r>
      <w:r w:rsidR="00AE17F8">
        <w:instrText xml:space="preserve"> STYLEREF 1 \s </w:instrText>
      </w:r>
      <w:r w:rsidR="007511FA">
        <w:fldChar w:fldCharType="separate"/>
      </w:r>
      <w:r w:rsidR="00D5167B">
        <w:rPr>
          <w:noProof/>
        </w:rPr>
        <w:t>3</w:t>
      </w:r>
      <w:r w:rsidR="007511FA">
        <w:fldChar w:fldCharType="end"/>
      </w:r>
      <w:r w:rsidR="00220B7D">
        <w:t>.</w:t>
      </w:r>
      <w:proofErr w:type="gramEnd"/>
      <w:r w:rsidR="007511FA">
        <w:fldChar w:fldCharType="begin"/>
      </w:r>
      <w:r w:rsidR="00220B7D">
        <w:instrText xml:space="preserve"> SEQ Equation \* ARABIC \s 1 </w:instrText>
      </w:r>
      <w:r w:rsidR="007511FA">
        <w:fldChar w:fldCharType="separate"/>
      </w:r>
      <w:r w:rsidR="00D5167B">
        <w:rPr>
          <w:noProof/>
        </w:rPr>
        <w:t>1</w:t>
      </w:r>
      <w:r w:rsidR="007511FA">
        <w:fldChar w:fldCharType="end"/>
      </w:r>
      <w:bookmarkEnd w:id="93"/>
    </w:p>
    <w:p w:rsidR="005C0180" w:rsidRPr="005C0180" w:rsidRDefault="005C0180" w:rsidP="005C0180"/>
    <w:p w:rsidR="00B2458B" w:rsidRDefault="00081010" w:rsidP="00061236">
      <w:pPr>
        <w:autoSpaceDE w:val="0"/>
        <w:autoSpaceDN w:val="0"/>
        <w:adjustRightInd w:val="0"/>
      </w:pPr>
      <w:r>
        <w:t xml:space="preserve">MCNP utilizes three-dimensional geometry and has powerful source modeling capabilities. </w:t>
      </w:r>
      <w:r w:rsidRPr="004E6777">
        <w:t xml:space="preserve">The code treats an arbitrary three-dimensional configuration of materials in geometric cells bounded by first- and second-degree surfaces and fourth-degree elliptical </w:t>
      </w:r>
      <w:proofErr w:type="spellStart"/>
      <w:r w:rsidRPr="004E6777">
        <w:t>tori</w:t>
      </w:r>
      <w:proofErr w:type="spellEnd"/>
      <w:r>
        <w:t xml:space="preserve">.  </w:t>
      </w:r>
      <w:r w:rsidR="00B2458B">
        <w:t>C</w:t>
      </w:r>
      <w:r w:rsidR="000E21A9">
        <w:t>ells</w:t>
      </w:r>
      <w:r>
        <w:t xml:space="preserve"> are constructed by </w:t>
      </w:r>
      <w:r w:rsidR="000E21A9">
        <w:t xml:space="preserve">defining surfaces and then </w:t>
      </w:r>
      <w:r w:rsidR="00B2458B">
        <w:t>bounding each</w:t>
      </w:r>
      <w:r>
        <w:t xml:space="preserve"> </w:t>
      </w:r>
      <w:r w:rsidR="00B2458B">
        <w:t xml:space="preserve">cell with a set of </w:t>
      </w:r>
      <w:r>
        <w:t>surfaces.</w:t>
      </w:r>
    </w:p>
    <w:p w:rsidR="00081010" w:rsidRPr="00AD02B9" w:rsidRDefault="00B2458B" w:rsidP="00061236">
      <w:pPr>
        <w:autoSpaceDE w:val="0"/>
        <w:autoSpaceDN w:val="0"/>
        <w:adjustRightInd w:val="0"/>
      </w:pPr>
      <w:r>
        <w:t>Historically</w:t>
      </w:r>
      <w:r w:rsidR="008703E3">
        <w:t xml:space="preserve">, the deterministic approach has been used to solve the transport equation.  However, deterministic solutions rely on many approximations.  Due to the advances in computational power over the years, Monte Carlo techniques have been widely adapted because of their advantages over deterministic approaches.  The two biggest advantages of using Monte Carlo methods include modeling more complex geometry and simulating transport via probability distributions.  </w:t>
      </w:r>
    </w:p>
    <w:p w:rsidR="008C2185" w:rsidRPr="008C2185" w:rsidRDefault="008C2185" w:rsidP="008C2185"/>
    <w:p w:rsidR="008C2185" w:rsidRPr="008C2185" w:rsidRDefault="008C2185" w:rsidP="00AA149C">
      <w:pPr>
        <w:pStyle w:val="Heading2"/>
      </w:pPr>
      <w:bookmarkStart w:id="94" w:name="_Ref279074028"/>
      <w:bookmarkStart w:id="95" w:name="_Toc295818106"/>
      <w:r>
        <w:t>ORIGE</w:t>
      </w:r>
      <w:r w:rsidR="00734EB7">
        <w:t>N</w:t>
      </w:r>
      <w:bookmarkEnd w:id="94"/>
      <w:bookmarkEnd w:id="95"/>
    </w:p>
    <w:p w:rsidR="008C2185" w:rsidRDefault="00734EB7" w:rsidP="00CE2546">
      <w:r>
        <w:t xml:space="preserve">The Oak Ridge Isotope </w:t>
      </w:r>
      <w:proofErr w:type="spellStart"/>
      <w:r>
        <w:t>GEN</w:t>
      </w:r>
      <w:r w:rsidR="008703E3">
        <w:t>eration</w:t>
      </w:r>
      <w:proofErr w:type="spellEnd"/>
      <w:r w:rsidR="008703E3">
        <w:t xml:space="preserve"> </w:t>
      </w:r>
      <w:r>
        <w:t>code (</w:t>
      </w:r>
      <w:r w:rsidR="008703E3">
        <w:t>ORIGEN</w:t>
      </w:r>
      <w:r>
        <w:t>)</w:t>
      </w:r>
      <w:r w:rsidR="008703E3">
        <w:t xml:space="preserve"> </w:t>
      </w:r>
      <w:r>
        <w:t xml:space="preserve">is </w:t>
      </w:r>
      <w:proofErr w:type="gramStart"/>
      <w:r>
        <w:t>a point</w:t>
      </w:r>
      <w:proofErr w:type="gramEnd"/>
      <w:r>
        <w:t xml:space="preserve"> depletion</w:t>
      </w:r>
      <w:r w:rsidR="00CE2546">
        <w:t xml:space="preserve"> (zero dimensional)</w:t>
      </w:r>
      <w:r>
        <w:t xml:space="preserve"> and decay code that is used for burnup calculations.  ORIGEN solves the </w:t>
      </w:r>
      <w:r w:rsidR="00CE2546">
        <w:t xml:space="preserve">matrix exponential method to solve </w:t>
      </w:r>
      <w:r>
        <w:t xml:space="preserve">nuclear depletion and decay equations to calculate time-dependent nuclide compositions of materials and can thus be used to simulate nuclear fuel cycles.  The ORNL Chemical Technology Division wrote the ORIGEN code in the late 1960s and early 1970s </w:t>
      </w:r>
      <w:r w:rsidR="00CD5664">
        <w:t xml:space="preserve">primarily </w:t>
      </w:r>
      <w:r>
        <w:t xml:space="preserve">to calculate the buildup and decay of nuclides in nuclear </w:t>
      </w:r>
      <w:r w:rsidR="00CD5664">
        <w:t>fuels and cladding.</w:t>
      </w:r>
    </w:p>
    <w:p w:rsidR="00CE2546" w:rsidRDefault="004C7566" w:rsidP="00CD5664">
      <w:r>
        <w:lastRenderedPageBreak/>
        <w:t>Two versions of ORIGEN are used throughout these studies, ORIGEN 2.2</w:t>
      </w:r>
      <w:r w:rsidR="00C67546">
        <w:t xml:space="preserve"> </w:t>
      </w:r>
      <w:r w:rsidR="007511FA">
        <w:fldChar w:fldCharType="begin"/>
      </w:r>
      <w:r w:rsidR="00C67546">
        <w:instrText xml:space="preserve"> REF _Ref285636616 \n \h </w:instrText>
      </w:r>
      <w:r w:rsidR="007511FA">
        <w:fldChar w:fldCharType="separate"/>
      </w:r>
      <w:r w:rsidR="00D5167B">
        <w:t>[51]</w:t>
      </w:r>
      <w:r w:rsidR="007511FA">
        <w:fldChar w:fldCharType="end"/>
      </w:r>
      <w:r w:rsidR="008D6A4C">
        <w:t xml:space="preserve"> </w:t>
      </w:r>
      <w:r>
        <w:t>and ORIGEN-S</w:t>
      </w:r>
      <w:r w:rsidR="008D6A4C">
        <w:t xml:space="preserve"> </w:t>
      </w:r>
      <w:r w:rsidR="007511FA">
        <w:fldChar w:fldCharType="begin"/>
      </w:r>
      <w:r w:rsidR="00C67546">
        <w:instrText xml:space="preserve"> REF _Ref285636626 \n \h </w:instrText>
      </w:r>
      <w:r w:rsidR="007511FA">
        <w:fldChar w:fldCharType="separate"/>
      </w:r>
      <w:r w:rsidR="00D5167B">
        <w:t>[52]</w:t>
      </w:r>
      <w:r w:rsidR="007511FA">
        <w:fldChar w:fldCharType="end"/>
      </w:r>
      <w:r>
        <w:t xml:space="preserve">.  ORIGEN 2.2 was released in 2002, but is no longer supported </w:t>
      </w:r>
      <w:r w:rsidR="00F64D2C">
        <w:t>at ORNL</w:t>
      </w:r>
      <w:r>
        <w:t xml:space="preserve">.  </w:t>
      </w:r>
      <w:r w:rsidR="00CE2546">
        <w:t>The input necessary to run ORIGEN</w:t>
      </w:r>
      <w:r w:rsidR="00F64D2C">
        <w:t xml:space="preserve"> 2.2</w:t>
      </w:r>
      <w:r w:rsidR="00CE2546">
        <w:t xml:space="preserve"> includes the initial compositions </w:t>
      </w:r>
      <w:r w:rsidR="00904F73">
        <w:t>of</w:t>
      </w:r>
      <w:r w:rsidR="00CE2546">
        <w:t xml:space="preserve"> each material, the initial amount of each material, the one-group microscopic cross section data for each isotope</w:t>
      </w:r>
      <w:r w:rsidR="00F64D2C">
        <w:t xml:space="preserve"> in the material</w:t>
      </w:r>
      <w:r w:rsidR="00CE2546">
        <w:t>, the material feed rates, the material removal rates, the length of the irradiation and decay periods, and the flux or power of the irradiation period</w:t>
      </w:r>
      <w:r w:rsidR="00F64D2C">
        <w:t>s</w:t>
      </w:r>
      <w:r w:rsidR="00CE2546">
        <w:t>.</w:t>
      </w:r>
    </w:p>
    <w:p w:rsidR="004C7566" w:rsidRDefault="004C7566" w:rsidP="00CD5664">
      <w:r>
        <w:t>ORIGEN-S</w:t>
      </w:r>
      <w:r w:rsidR="003132C4">
        <w:t xml:space="preserve"> </w:t>
      </w:r>
      <w:r>
        <w:t>is the most recent version of ORIGEN</w:t>
      </w:r>
      <w:r w:rsidR="00F64D2C">
        <w:t xml:space="preserve"> and is currently supported at ORNL.  T</w:t>
      </w:r>
      <w:r>
        <w:t xml:space="preserve">he primary </w:t>
      </w:r>
      <w:r w:rsidR="00F64D2C">
        <w:t>objective</w:t>
      </w:r>
      <w:r>
        <w:t xml:space="preserve"> of th</w:t>
      </w:r>
      <w:r w:rsidR="003132C4">
        <w:t xml:space="preserve">is release was to be able to utilize multi-energy-group neutron cross sections and flux to calculate nuclide compositions, decay heat source terms, and radiation source spectra and strengths.  </w:t>
      </w:r>
      <w:r w:rsidR="00CD5664">
        <w:t xml:space="preserve">ORIGEN-S is widely used in the nuclear industry to study reactors, processing plants, spent fuel, burnup credit, decay heat, and environmental assessments. </w:t>
      </w:r>
      <w:r w:rsidR="003132C4">
        <w:t xml:space="preserve">ORIGEN-S can be </w:t>
      </w:r>
      <w:r w:rsidR="00F64D2C">
        <w:t>run</w:t>
      </w:r>
      <w:r w:rsidR="003132C4">
        <w:t xml:space="preserve"> as a standalone code or within the SCALE code system.  The biggest advantage of ORIGEN-S over ORIGEN 2.2 is the improved cross section </w:t>
      </w:r>
      <w:r w:rsidR="00F64D2C">
        <w:t xml:space="preserve">and fission product yield </w:t>
      </w:r>
      <w:r w:rsidR="003132C4">
        <w:t>data</w:t>
      </w:r>
      <w:r w:rsidR="00F64D2C">
        <w:t>.</w:t>
      </w:r>
    </w:p>
    <w:p w:rsidR="004C7566" w:rsidRDefault="004C7566" w:rsidP="00CD5664">
      <w:r>
        <w:t xml:space="preserve">The matrix exponential method </w:t>
      </w:r>
      <w:r w:rsidR="00074597">
        <w:t xml:space="preserve">is used to determine the </w:t>
      </w:r>
      <w:r>
        <w:t xml:space="preserve">time-dependent formulation, destruction, and decay </w:t>
      </w:r>
      <w:r w:rsidR="00074597">
        <w:t xml:space="preserve">rates, which are used to calculate the time-dependent nuclide concentrations.  The </w:t>
      </w:r>
      <w:r w:rsidR="006D5F26">
        <w:t>general equation governing the time rate of change for a particular nuclide, N</w:t>
      </w:r>
      <w:r w:rsidR="006D5F26">
        <w:rPr>
          <w:vertAlign w:val="subscript"/>
        </w:rPr>
        <w:t>i</w:t>
      </w:r>
      <w:r w:rsidR="006D5F26">
        <w:t>, is shown in</w:t>
      </w:r>
      <w:r w:rsidR="005C0180">
        <w:t xml:space="preserve"> </w:t>
      </w:r>
      <w:r w:rsidR="007511FA">
        <w:fldChar w:fldCharType="begin"/>
      </w:r>
      <w:r w:rsidR="005C0180">
        <w:instrText xml:space="preserve"> REF _Ref285532661 \h </w:instrText>
      </w:r>
      <w:r w:rsidR="007511FA">
        <w:fldChar w:fldCharType="separate"/>
      </w:r>
      <w:r w:rsidR="00D5167B" w:rsidRPr="008B3E95">
        <w:t xml:space="preserve">Equation </w:t>
      </w:r>
      <w:r w:rsidR="00D5167B">
        <w:rPr>
          <w:noProof/>
        </w:rPr>
        <w:t>3</w:t>
      </w:r>
      <w:r w:rsidR="00D5167B">
        <w:t>.</w:t>
      </w:r>
      <w:r w:rsidR="00D5167B">
        <w:rPr>
          <w:noProof/>
        </w:rPr>
        <w:t>2</w:t>
      </w:r>
      <w:r w:rsidR="007511FA">
        <w:fldChar w:fldCharType="end"/>
      </w:r>
      <w:r w:rsidR="006D5F26">
        <w:t xml:space="preserve"> and the rate of change in terms of radioactive disinte</w:t>
      </w:r>
      <w:r w:rsidR="00CD5664">
        <w:t xml:space="preserve">gration and neutron absorption </w:t>
      </w:r>
      <w:r w:rsidR="005F11AD">
        <w:t xml:space="preserve">is shown in </w:t>
      </w:r>
      <w:r w:rsidR="007511FA">
        <w:fldChar w:fldCharType="begin"/>
      </w:r>
      <w:r w:rsidR="005C0180">
        <w:instrText xml:space="preserve"> REF _Ref285532669 \h </w:instrText>
      </w:r>
      <w:r w:rsidR="007511FA">
        <w:fldChar w:fldCharType="separate"/>
      </w:r>
      <w:r w:rsidR="00D5167B" w:rsidRPr="008B3E95">
        <w:t xml:space="preserve">Equation </w:t>
      </w:r>
      <w:r w:rsidR="00D5167B">
        <w:rPr>
          <w:noProof/>
        </w:rPr>
        <w:t>3</w:t>
      </w:r>
      <w:r w:rsidR="00D5167B">
        <w:t>.</w:t>
      </w:r>
      <w:r w:rsidR="00D5167B">
        <w:rPr>
          <w:noProof/>
        </w:rPr>
        <w:t>3</w:t>
      </w:r>
      <w:r w:rsidR="007511FA">
        <w:fldChar w:fldCharType="end"/>
      </w:r>
      <w:r w:rsidR="005F11AD">
        <w:t>.</w:t>
      </w:r>
      <w:r w:rsidR="00767A99">
        <w:t xml:space="preserve">  The flux presented in </w:t>
      </w:r>
      <w:r w:rsidR="007511FA">
        <w:fldChar w:fldCharType="begin"/>
      </w:r>
      <w:r w:rsidR="005C0180">
        <w:instrText xml:space="preserve"> REF _Ref285532669 \h </w:instrText>
      </w:r>
      <w:r w:rsidR="007511FA">
        <w:fldChar w:fldCharType="separate"/>
      </w:r>
      <w:r w:rsidR="00D5167B" w:rsidRPr="008B3E95">
        <w:t xml:space="preserve">Equation </w:t>
      </w:r>
      <w:r w:rsidR="00D5167B">
        <w:rPr>
          <w:noProof/>
        </w:rPr>
        <w:t>3</w:t>
      </w:r>
      <w:r w:rsidR="00D5167B">
        <w:t>.</w:t>
      </w:r>
      <w:r w:rsidR="00D5167B">
        <w:rPr>
          <w:noProof/>
        </w:rPr>
        <w:t>3</w:t>
      </w:r>
      <w:r w:rsidR="007511FA">
        <w:fldChar w:fldCharType="end"/>
      </w:r>
      <w:r w:rsidR="005C0180">
        <w:t xml:space="preserve"> </w:t>
      </w:r>
      <w:r w:rsidR="00767A99">
        <w:t>is the space-energy-averaged neutron flux and the cross sections are flux-weighted average cross sections.</w:t>
      </w:r>
    </w:p>
    <w:p w:rsidR="008B3E95" w:rsidRDefault="008B3E95" w:rsidP="00CD5664"/>
    <w:p w:rsidR="008B3E95" w:rsidRPr="0015312F" w:rsidRDefault="007511FA" w:rsidP="00C80D7A">
      <w:pPr>
        <w:pStyle w:val="Caption"/>
        <w:rPr>
          <w:rFonts w:eastAsiaTheme="minorEastAsia"/>
          <w:b w:val="0"/>
        </w:rPr>
      </w:pPr>
      <m:oMathPara>
        <m:oMath>
          <m:f>
            <m:fPr>
              <m:ctrlPr>
                <w:rPr>
                  <w:rFonts w:ascii="Cambria Math" w:hAnsi="Cambria Math"/>
                  <w:b w:val="0"/>
                  <w:bCs w:val="0"/>
                  <w:i/>
                  <w:sz w:val="22"/>
                  <w:szCs w:val="22"/>
                </w:rPr>
              </m:ctrlPr>
            </m:fPr>
            <m:num>
              <m:r>
                <m:rPr>
                  <m:sty m:val="bi"/>
                </m:rPr>
                <w:rPr>
                  <w:rFonts w:ascii="Cambria Math" w:hAnsi="Cambria Math"/>
                  <w:sz w:val="22"/>
                  <w:szCs w:val="22"/>
                </w:rPr>
                <m:t>d</m:t>
              </m:r>
              <m:sSub>
                <m:sSubPr>
                  <m:ctrlPr>
                    <w:rPr>
                      <w:rFonts w:ascii="Cambria Math" w:hAnsi="Cambria Math"/>
                      <w:b w:val="0"/>
                      <w:bCs w:val="0"/>
                      <w:i/>
                      <w:sz w:val="22"/>
                      <w:szCs w:val="22"/>
                    </w:rPr>
                  </m:ctrlPr>
                </m:sSubPr>
                <m:e>
                  <m:r>
                    <m:rPr>
                      <m:sty m:val="bi"/>
                    </m:rPr>
                    <w:rPr>
                      <w:rFonts w:ascii="Cambria Math" w:hAnsi="Cambria Math"/>
                      <w:sz w:val="22"/>
                      <w:szCs w:val="22"/>
                    </w:rPr>
                    <m:t>N</m:t>
                  </m:r>
                </m:e>
                <m:sub>
                  <m:r>
                    <m:rPr>
                      <m:sty m:val="bi"/>
                    </m:rPr>
                    <w:rPr>
                      <w:rFonts w:ascii="Cambria Math" w:hAnsi="Cambria Math"/>
                      <w:sz w:val="22"/>
                      <w:szCs w:val="22"/>
                    </w:rPr>
                    <m:t>i</m:t>
                  </m:r>
                </m:sub>
              </m:sSub>
            </m:num>
            <m:den>
              <m:r>
                <m:rPr>
                  <m:sty m:val="bi"/>
                </m:rPr>
                <w:rPr>
                  <w:rFonts w:ascii="Cambria Math" w:hAnsi="Cambria Math"/>
                  <w:sz w:val="22"/>
                  <w:szCs w:val="22"/>
                </w:rPr>
                <m:t>dt</m:t>
              </m:r>
            </m:den>
          </m:f>
          <m:r>
            <m:rPr>
              <m:sty m:val="bi"/>
            </m:rPr>
            <w:rPr>
              <w:rFonts w:ascii="Cambria Math" w:eastAsiaTheme="minorEastAsia" w:hAnsi="Cambria Math"/>
              <w:sz w:val="22"/>
              <w:szCs w:val="22"/>
            </w:rPr>
            <m:t>=Formation Rate-Destruction Rate-Decay Rate</m:t>
          </m:r>
        </m:oMath>
      </m:oMathPara>
    </w:p>
    <w:p w:rsidR="005C0180" w:rsidRDefault="006D5F26" w:rsidP="003E77A1">
      <w:pPr>
        <w:pStyle w:val="Caption"/>
      </w:pPr>
      <w:bookmarkStart w:id="96" w:name="_Ref285532661"/>
      <w:proofErr w:type="gramStart"/>
      <w:r w:rsidRPr="008B3E95">
        <w:t xml:space="preserve">Equation </w:t>
      </w:r>
      <w:r w:rsidR="007511FA">
        <w:fldChar w:fldCharType="begin"/>
      </w:r>
      <w:r w:rsidR="00AE17F8">
        <w:instrText xml:space="preserve"> STYLEREF 1 \s </w:instrText>
      </w:r>
      <w:r w:rsidR="007511FA">
        <w:fldChar w:fldCharType="separate"/>
      </w:r>
      <w:r w:rsidR="00D5167B">
        <w:rPr>
          <w:noProof/>
        </w:rPr>
        <w:t>3</w:t>
      </w:r>
      <w:r w:rsidR="007511FA">
        <w:fldChar w:fldCharType="end"/>
      </w:r>
      <w:r w:rsidR="00220B7D">
        <w:t>.</w:t>
      </w:r>
      <w:proofErr w:type="gramEnd"/>
      <w:r w:rsidR="007511FA">
        <w:fldChar w:fldCharType="begin"/>
      </w:r>
      <w:r w:rsidR="00220B7D">
        <w:instrText xml:space="preserve"> SEQ Equation \* ARABIC \s 1 </w:instrText>
      </w:r>
      <w:r w:rsidR="007511FA">
        <w:fldChar w:fldCharType="separate"/>
      </w:r>
      <w:r w:rsidR="00D5167B">
        <w:rPr>
          <w:noProof/>
        </w:rPr>
        <w:t>2</w:t>
      </w:r>
      <w:r w:rsidR="007511FA">
        <w:fldChar w:fldCharType="end"/>
      </w:r>
      <w:bookmarkEnd w:id="96"/>
    </w:p>
    <w:p w:rsidR="005C0180" w:rsidRDefault="005C0180" w:rsidP="003E77A1">
      <w:pPr>
        <w:ind w:firstLine="0"/>
        <w:rPr>
          <w:rFonts w:ascii="Times New Roman" w:hAnsi="Times New Roman"/>
          <w:sz w:val="20"/>
          <w:szCs w:val="18"/>
        </w:rPr>
      </w:pPr>
      <w:r>
        <w:br w:type="page"/>
      </w:r>
    </w:p>
    <w:p w:rsidR="008B3E95" w:rsidRPr="0015312F" w:rsidRDefault="007511FA" w:rsidP="003E77A1">
      <w:pPr>
        <w:pStyle w:val="Caption"/>
        <w:rPr>
          <w:rFonts w:eastAsiaTheme="minorEastAsia"/>
          <w:b w:val="0"/>
          <w:sz w:val="22"/>
          <w:szCs w:val="22"/>
        </w:rPr>
      </w:pPr>
      <m:oMathPara>
        <m:oMath>
          <m:f>
            <m:fPr>
              <m:ctrlPr>
                <w:rPr>
                  <w:rFonts w:ascii="Cambria Math" w:hAnsi="Cambria Math"/>
                  <w:b w:val="0"/>
                  <w:bCs w:val="0"/>
                  <w:i/>
                  <w:sz w:val="22"/>
                  <w:szCs w:val="22"/>
                </w:rPr>
              </m:ctrlPr>
            </m:fPr>
            <m:num>
              <m:r>
                <m:rPr>
                  <m:sty m:val="bi"/>
                </m:rPr>
                <w:rPr>
                  <w:rFonts w:ascii="Cambria Math" w:hAnsi="Cambria Math"/>
                  <w:sz w:val="22"/>
                  <w:szCs w:val="22"/>
                </w:rPr>
                <m:t>d</m:t>
              </m:r>
              <m:sSub>
                <m:sSubPr>
                  <m:ctrlPr>
                    <w:rPr>
                      <w:rFonts w:ascii="Cambria Math" w:hAnsi="Cambria Math"/>
                      <w:b w:val="0"/>
                      <w:bCs w:val="0"/>
                      <w:i/>
                      <w:sz w:val="22"/>
                      <w:szCs w:val="22"/>
                    </w:rPr>
                  </m:ctrlPr>
                </m:sSubPr>
                <m:e>
                  <m:r>
                    <m:rPr>
                      <m:sty m:val="bi"/>
                    </m:rPr>
                    <w:rPr>
                      <w:rFonts w:ascii="Cambria Math" w:hAnsi="Cambria Math"/>
                      <w:sz w:val="22"/>
                      <w:szCs w:val="22"/>
                    </w:rPr>
                    <m:t>N</m:t>
                  </m:r>
                </m:e>
                <m:sub>
                  <m:r>
                    <m:rPr>
                      <m:sty m:val="bi"/>
                    </m:rPr>
                    <w:rPr>
                      <w:rFonts w:ascii="Cambria Math" w:hAnsi="Cambria Math"/>
                      <w:sz w:val="22"/>
                      <w:szCs w:val="22"/>
                    </w:rPr>
                    <m:t>i</m:t>
                  </m:r>
                </m:sub>
              </m:sSub>
            </m:num>
            <m:den>
              <m:r>
                <m:rPr>
                  <m:sty m:val="bi"/>
                </m:rPr>
                <w:rPr>
                  <w:rFonts w:ascii="Cambria Math" w:hAnsi="Cambria Math"/>
                  <w:sz w:val="22"/>
                  <w:szCs w:val="22"/>
                </w:rPr>
                <m:t>dt</m:t>
              </m:r>
            </m:den>
          </m:f>
          <m:r>
            <m:rPr>
              <m:sty m:val="bi"/>
            </m:rPr>
            <w:rPr>
              <w:rFonts w:ascii="Cambria Math" w:eastAsiaTheme="minorEastAsia" w:hAnsi="Cambria Math"/>
              <w:sz w:val="22"/>
              <w:szCs w:val="22"/>
            </w:rPr>
            <m:t>=</m:t>
          </m:r>
          <m:nary>
            <m:naryPr>
              <m:chr m:val="∑"/>
              <m:limLoc m:val="undOvr"/>
              <m:supHide m:val="on"/>
              <m:ctrlPr>
                <w:rPr>
                  <w:rFonts w:ascii="Cambria Math" w:eastAsiaTheme="minorEastAsia" w:hAnsi="Cambria Math"/>
                  <w:b w:val="0"/>
                  <w:bCs w:val="0"/>
                  <w:sz w:val="22"/>
                  <w:szCs w:val="22"/>
                </w:rPr>
              </m:ctrlPr>
            </m:naryPr>
            <m:sub>
              <m:r>
                <m:rPr>
                  <m:sty m:val="b"/>
                </m:rPr>
                <w:rPr>
                  <w:rFonts w:ascii="Cambria Math" w:eastAsiaTheme="minorEastAsia" w:hAnsi="Cambria Math"/>
                  <w:sz w:val="22"/>
                  <w:szCs w:val="22"/>
                </w:rPr>
                <m:t>j</m:t>
              </m:r>
            </m:sub>
            <m:sup/>
            <m:e>
              <m:sSub>
                <m:sSubPr>
                  <m:ctrlPr>
                    <w:rPr>
                      <w:rFonts w:ascii="Cambria Math" w:eastAsiaTheme="minorEastAsia" w:hAnsi="Cambria Math"/>
                      <w:b w:val="0"/>
                      <w:bCs w:val="0"/>
                      <w:sz w:val="22"/>
                      <w:szCs w:val="22"/>
                    </w:rPr>
                  </m:ctrlPr>
                </m:sSubPr>
                <m:e>
                  <m:r>
                    <m:rPr>
                      <m:sty m:val="b"/>
                    </m:rPr>
                    <w:rPr>
                      <w:rFonts w:ascii="Cambria Math" w:eastAsiaTheme="minorEastAsia" w:hAnsi="Cambria Math"/>
                      <w:sz w:val="22"/>
                      <w:szCs w:val="22"/>
                    </w:rPr>
                    <m:t>γ</m:t>
                  </m:r>
                </m:e>
                <m:sub>
                  <m:r>
                    <m:rPr>
                      <m:sty m:val="b"/>
                    </m:rPr>
                    <w:rPr>
                      <w:rFonts w:ascii="Cambria Math" w:eastAsiaTheme="minorEastAsia" w:hAnsi="Cambria Math"/>
                      <w:sz w:val="22"/>
                      <w:szCs w:val="22"/>
                    </w:rPr>
                    <m:t>ji</m:t>
                  </m:r>
                </m:sub>
              </m:sSub>
              <m:sSub>
                <m:sSubPr>
                  <m:ctrlPr>
                    <w:rPr>
                      <w:rFonts w:ascii="Cambria Math" w:eastAsiaTheme="minorEastAsia" w:hAnsi="Cambria Math"/>
                      <w:b w:val="0"/>
                      <w:bCs w:val="0"/>
                      <w:sz w:val="22"/>
                      <w:szCs w:val="22"/>
                    </w:rPr>
                  </m:ctrlPr>
                </m:sSubPr>
                <m:e>
                  <m:r>
                    <m:rPr>
                      <m:sty m:val="b"/>
                    </m:rPr>
                    <w:rPr>
                      <w:rFonts w:ascii="Cambria Math" w:eastAsiaTheme="minorEastAsia" w:hAnsi="Cambria Math"/>
                      <w:sz w:val="22"/>
                      <w:szCs w:val="22"/>
                    </w:rPr>
                    <m:t>σ</m:t>
                  </m:r>
                </m:e>
                <m:sub>
                  <m:r>
                    <m:rPr>
                      <m:sty m:val="b"/>
                    </m:rPr>
                    <w:rPr>
                      <w:rFonts w:ascii="Cambria Math" w:eastAsiaTheme="minorEastAsia" w:hAnsi="Cambria Math"/>
                      <w:sz w:val="22"/>
                      <w:szCs w:val="22"/>
                    </w:rPr>
                    <m:t>f,j</m:t>
                  </m:r>
                </m:sub>
              </m:sSub>
              <m:sSub>
                <m:sSubPr>
                  <m:ctrlPr>
                    <w:rPr>
                      <w:rFonts w:ascii="Cambria Math" w:hAnsi="Cambria Math"/>
                      <w:b w:val="0"/>
                      <w:bCs w:val="0"/>
                      <w:sz w:val="22"/>
                      <w:szCs w:val="22"/>
                    </w:rPr>
                  </m:ctrlPr>
                </m:sSubPr>
                <m:e>
                  <m:r>
                    <m:rPr>
                      <m:sty m:val="b"/>
                    </m:rPr>
                    <w:rPr>
                      <w:rFonts w:ascii="Cambria Math" w:hAnsi="Cambria Math"/>
                      <w:sz w:val="22"/>
                      <w:szCs w:val="22"/>
                    </w:rPr>
                    <m:t>N</m:t>
                  </m:r>
                </m:e>
                <m:sub>
                  <m:r>
                    <m:rPr>
                      <m:sty m:val="b"/>
                    </m:rPr>
                    <w:rPr>
                      <w:rFonts w:ascii="Cambria Math" w:hAnsi="Cambria Math"/>
                      <w:sz w:val="22"/>
                      <w:szCs w:val="22"/>
                    </w:rPr>
                    <m:t>j</m:t>
                  </m:r>
                </m:sub>
              </m:sSub>
              <m:r>
                <m:rPr>
                  <m:sty m:val="b"/>
                </m:rPr>
                <w:rPr>
                  <w:rFonts w:ascii="Cambria Math" w:hAnsi="Cambria Math"/>
                  <w:sz w:val="22"/>
                  <w:szCs w:val="22"/>
                </w:rPr>
                <m:t>ϕ</m:t>
              </m:r>
            </m:e>
          </m:nary>
          <m:r>
            <m:rPr>
              <m:sty m:val="b"/>
            </m:rPr>
            <w:rPr>
              <w:rFonts w:ascii="Cambria Math" w:eastAsiaTheme="minorEastAsia" w:hAnsi="Cambria Math"/>
              <w:sz w:val="22"/>
              <w:szCs w:val="22"/>
            </w:rPr>
            <m:t>+</m:t>
          </m:r>
          <m:sSub>
            <m:sSubPr>
              <m:ctrlPr>
                <w:rPr>
                  <w:rFonts w:ascii="Cambria Math" w:eastAsiaTheme="minorEastAsia" w:hAnsi="Cambria Math"/>
                  <w:b w:val="0"/>
                  <w:bCs w:val="0"/>
                  <w:sz w:val="22"/>
                  <w:szCs w:val="22"/>
                </w:rPr>
              </m:ctrlPr>
            </m:sSubPr>
            <m:e>
              <m:r>
                <m:rPr>
                  <m:sty m:val="b"/>
                </m:rPr>
                <w:rPr>
                  <w:rFonts w:ascii="Cambria Math" w:eastAsiaTheme="minorEastAsia" w:hAnsi="Cambria Math"/>
                  <w:sz w:val="22"/>
                  <w:szCs w:val="22"/>
                </w:rPr>
                <m:t>σ</m:t>
              </m:r>
            </m:e>
            <m:sub>
              <m:r>
                <m:rPr>
                  <m:sty m:val="b"/>
                </m:rPr>
                <w:rPr>
                  <w:rFonts w:ascii="Cambria Math" w:eastAsiaTheme="minorEastAsia" w:hAnsi="Cambria Math"/>
                  <w:sz w:val="22"/>
                  <w:szCs w:val="22"/>
                </w:rPr>
                <m:t>c,i-1</m:t>
              </m:r>
            </m:sub>
          </m:sSub>
          <m:sSub>
            <m:sSubPr>
              <m:ctrlPr>
                <w:rPr>
                  <w:rFonts w:ascii="Cambria Math" w:hAnsi="Cambria Math"/>
                  <w:b w:val="0"/>
                  <w:bCs w:val="0"/>
                  <w:sz w:val="22"/>
                  <w:szCs w:val="22"/>
                </w:rPr>
              </m:ctrlPr>
            </m:sSubPr>
            <m:e>
              <m:r>
                <m:rPr>
                  <m:sty m:val="b"/>
                </m:rPr>
                <w:rPr>
                  <w:rFonts w:ascii="Cambria Math" w:hAnsi="Cambria Math"/>
                  <w:sz w:val="22"/>
                  <w:szCs w:val="22"/>
                </w:rPr>
                <m:t>N</m:t>
              </m:r>
            </m:e>
            <m:sub>
              <m:r>
                <m:rPr>
                  <m:sty m:val="b"/>
                </m:rPr>
                <w:rPr>
                  <w:rFonts w:ascii="Cambria Math" w:hAnsi="Cambria Math"/>
                  <w:sz w:val="22"/>
                  <w:szCs w:val="22"/>
                </w:rPr>
                <m:t>i-1</m:t>
              </m:r>
            </m:sub>
          </m:sSub>
          <m:r>
            <m:rPr>
              <m:sty m:val="b"/>
            </m:rPr>
            <w:rPr>
              <w:rFonts w:ascii="Cambria Math" w:hAnsi="Cambria Math"/>
              <w:sz w:val="22"/>
              <w:szCs w:val="22"/>
            </w:rPr>
            <m:t>ϕ+</m:t>
          </m:r>
          <m:sSubSup>
            <m:sSubSupPr>
              <m:ctrlPr>
                <w:rPr>
                  <w:rFonts w:ascii="Cambria Math" w:hAnsi="Cambria Math"/>
                  <w:b w:val="0"/>
                  <w:sz w:val="22"/>
                  <w:szCs w:val="22"/>
                </w:rPr>
              </m:ctrlPr>
            </m:sSubSupPr>
            <m:e>
              <m:r>
                <m:rPr>
                  <m:sty m:val="b"/>
                </m:rPr>
                <w:rPr>
                  <w:rFonts w:ascii="Cambria Math" w:hAnsi="Cambria Math"/>
                  <w:sz w:val="22"/>
                  <w:szCs w:val="22"/>
                </w:rPr>
                <m:t>λ</m:t>
              </m:r>
            </m:e>
            <m:sub>
              <m:r>
                <m:rPr>
                  <m:sty m:val="b"/>
                </m:rPr>
                <w:rPr>
                  <w:rFonts w:ascii="Cambria Math" w:hAnsi="Cambria Math"/>
                  <w:sz w:val="22"/>
                  <w:szCs w:val="22"/>
                </w:rPr>
                <m:t>i</m:t>
              </m:r>
            </m:sub>
            <m:sup>
              <m:r>
                <m:rPr>
                  <m:sty m:val="b"/>
                </m:rPr>
                <w:rPr>
                  <w:rFonts w:ascii="Cambria Math" w:hAnsi="Cambria Math"/>
                  <w:sz w:val="22"/>
                  <w:szCs w:val="22"/>
                </w:rPr>
                <m:t>'</m:t>
              </m:r>
            </m:sup>
          </m:sSubSup>
          <m:sSubSup>
            <m:sSubSupPr>
              <m:ctrlPr>
                <w:rPr>
                  <w:rFonts w:ascii="Cambria Math" w:hAnsi="Cambria Math"/>
                  <w:b w:val="0"/>
                  <w:sz w:val="22"/>
                  <w:szCs w:val="22"/>
                </w:rPr>
              </m:ctrlPr>
            </m:sSubSupPr>
            <m:e>
              <m:r>
                <m:rPr>
                  <m:sty m:val="b"/>
                </m:rPr>
                <w:rPr>
                  <w:rFonts w:ascii="Cambria Math" w:hAnsi="Cambria Math"/>
                  <w:sz w:val="22"/>
                  <w:szCs w:val="22"/>
                </w:rPr>
                <m:t>N</m:t>
              </m:r>
            </m:e>
            <m:sub>
              <m:r>
                <m:rPr>
                  <m:sty m:val="b"/>
                </m:rPr>
                <w:rPr>
                  <w:rFonts w:ascii="Cambria Math" w:hAnsi="Cambria Math"/>
                  <w:sz w:val="22"/>
                  <w:szCs w:val="22"/>
                </w:rPr>
                <m:t>i</m:t>
              </m:r>
            </m:sub>
            <m:sup>
              <m:r>
                <m:rPr>
                  <m:sty m:val="b"/>
                </m:rPr>
                <w:rPr>
                  <w:rFonts w:ascii="Cambria Math" w:hAnsi="Cambria Math"/>
                  <w:sz w:val="22"/>
                  <w:szCs w:val="22"/>
                </w:rPr>
                <m:t>'</m:t>
              </m:r>
            </m:sup>
          </m:sSubSup>
          <m:r>
            <m:rPr>
              <m:sty m:val="b"/>
            </m:rPr>
            <w:rPr>
              <w:rFonts w:ascii="Cambria Math" w:eastAsiaTheme="minorEastAsia" w:hAnsi="Cambria Math"/>
              <w:sz w:val="22"/>
              <w:szCs w:val="22"/>
            </w:rPr>
            <m:t>-</m:t>
          </m:r>
          <m:sSub>
            <m:sSubPr>
              <m:ctrlPr>
                <w:rPr>
                  <w:rFonts w:ascii="Cambria Math" w:eastAsiaTheme="minorEastAsia" w:hAnsi="Cambria Math"/>
                  <w:b w:val="0"/>
                  <w:bCs w:val="0"/>
                  <w:sz w:val="22"/>
                  <w:szCs w:val="22"/>
                </w:rPr>
              </m:ctrlPr>
            </m:sSubPr>
            <m:e>
              <m:r>
                <m:rPr>
                  <m:sty m:val="b"/>
                </m:rPr>
                <w:rPr>
                  <w:rFonts w:ascii="Cambria Math" w:eastAsiaTheme="minorEastAsia" w:hAnsi="Cambria Math"/>
                  <w:sz w:val="22"/>
                  <w:szCs w:val="22"/>
                </w:rPr>
                <m:t>σ</m:t>
              </m:r>
            </m:e>
            <m:sub>
              <m:r>
                <m:rPr>
                  <m:sty m:val="b"/>
                </m:rPr>
                <w:rPr>
                  <w:rFonts w:ascii="Cambria Math" w:eastAsiaTheme="minorEastAsia" w:hAnsi="Cambria Math"/>
                  <w:sz w:val="22"/>
                  <w:szCs w:val="22"/>
                </w:rPr>
                <m:t>f,i</m:t>
              </m:r>
            </m:sub>
          </m:sSub>
          <m:sSub>
            <m:sSubPr>
              <m:ctrlPr>
                <w:rPr>
                  <w:rFonts w:ascii="Cambria Math" w:hAnsi="Cambria Math"/>
                  <w:b w:val="0"/>
                  <w:bCs w:val="0"/>
                  <w:sz w:val="22"/>
                  <w:szCs w:val="22"/>
                </w:rPr>
              </m:ctrlPr>
            </m:sSubPr>
            <m:e>
              <m:r>
                <m:rPr>
                  <m:sty m:val="b"/>
                </m:rPr>
                <w:rPr>
                  <w:rFonts w:ascii="Cambria Math" w:hAnsi="Cambria Math"/>
                  <w:sz w:val="22"/>
                  <w:szCs w:val="22"/>
                </w:rPr>
                <m:t>N</m:t>
              </m:r>
            </m:e>
            <m:sub>
              <m:r>
                <m:rPr>
                  <m:sty m:val="b"/>
                </m:rPr>
                <w:rPr>
                  <w:rFonts w:ascii="Cambria Math" w:hAnsi="Cambria Math"/>
                  <w:sz w:val="22"/>
                  <w:szCs w:val="22"/>
                </w:rPr>
                <m:t>i</m:t>
              </m:r>
            </m:sub>
          </m:sSub>
          <m:r>
            <m:rPr>
              <m:sty m:val="b"/>
            </m:rPr>
            <w:rPr>
              <w:rFonts w:ascii="Cambria Math" w:hAnsi="Cambria Math"/>
              <w:sz w:val="22"/>
              <w:szCs w:val="22"/>
            </w:rPr>
            <m:t>ϕ-</m:t>
          </m:r>
          <m:sSub>
            <m:sSubPr>
              <m:ctrlPr>
                <w:rPr>
                  <w:rFonts w:ascii="Cambria Math" w:eastAsiaTheme="minorEastAsia" w:hAnsi="Cambria Math"/>
                  <w:b w:val="0"/>
                  <w:bCs w:val="0"/>
                  <w:sz w:val="22"/>
                  <w:szCs w:val="22"/>
                </w:rPr>
              </m:ctrlPr>
            </m:sSubPr>
            <m:e>
              <m:r>
                <m:rPr>
                  <m:sty m:val="b"/>
                </m:rPr>
                <w:rPr>
                  <w:rFonts w:ascii="Cambria Math" w:eastAsiaTheme="minorEastAsia" w:hAnsi="Cambria Math"/>
                  <w:sz w:val="22"/>
                  <w:szCs w:val="22"/>
                </w:rPr>
                <m:t>σ</m:t>
              </m:r>
            </m:e>
            <m:sub>
              <m:r>
                <m:rPr>
                  <m:sty m:val="b"/>
                </m:rPr>
                <w:rPr>
                  <w:rFonts w:ascii="Cambria Math" w:eastAsiaTheme="minorEastAsia" w:hAnsi="Cambria Math"/>
                  <w:sz w:val="22"/>
                  <w:szCs w:val="22"/>
                </w:rPr>
                <m:t>c,i</m:t>
              </m:r>
            </m:sub>
          </m:sSub>
          <m:sSub>
            <m:sSubPr>
              <m:ctrlPr>
                <w:rPr>
                  <w:rFonts w:ascii="Cambria Math" w:hAnsi="Cambria Math"/>
                  <w:b w:val="0"/>
                  <w:bCs w:val="0"/>
                  <w:sz w:val="22"/>
                  <w:szCs w:val="22"/>
                </w:rPr>
              </m:ctrlPr>
            </m:sSubPr>
            <m:e>
              <m:r>
                <m:rPr>
                  <m:sty m:val="b"/>
                </m:rPr>
                <w:rPr>
                  <w:rFonts w:ascii="Cambria Math" w:hAnsi="Cambria Math"/>
                  <w:sz w:val="22"/>
                  <w:szCs w:val="22"/>
                </w:rPr>
                <m:t>N</m:t>
              </m:r>
            </m:e>
            <m:sub>
              <m:r>
                <m:rPr>
                  <m:sty m:val="b"/>
                </m:rPr>
                <w:rPr>
                  <w:rFonts w:ascii="Cambria Math" w:hAnsi="Cambria Math"/>
                  <w:sz w:val="22"/>
                  <w:szCs w:val="22"/>
                </w:rPr>
                <m:t>i</m:t>
              </m:r>
            </m:sub>
          </m:sSub>
          <m:r>
            <m:rPr>
              <m:sty m:val="b"/>
            </m:rPr>
            <w:rPr>
              <w:rFonts w:ascii="Cambria Math" w:hAnsi="Cambria Math"/>
              <w:sz w:val="22"/>
              <w:szCs w:val="22"/>
            </w:rPr>
            <m:t>ϕ-</m:t>
          </m:r>
          <m:sSub>
            <m:sSubPr>
              <m:ctrlPr>
                <w:rPr>
                  <w:rFonts w:ascii="Cambria Math" w:hAnsi="Cambria Math"/>
                  <w:b w:val="0"/>
                  <w:sz w:val="22"/>
                  <w:szCs w:val="22"/>
                </w:rPr>
              </m:ctrlPr>
            </m:sSubPr>
            <m:e>
              <m:r>
                <m:rPr>
                  <m:sty m:val="b"/>
                </m:rPr>
                <w:rPr>
                  <w:rFonts w:ascii="Cambria Math" w:hAnsi="Cambria Math"/>
                  <w:sz w:val="22"/>
                  <w:szCs w:val="22"/>
                </w:rPr>
                <m:t>λ</m:t>
              </m:r>
            </m:e>
            <m:sub>
              <m:r>
                <m:rPr>
                  <m:sty m:val="b"/>
                </m:rPr>
                <w:rPr>
                  <w:rFonts w:ascii="Cambria Math" w:hAnsi="Cambria Math"/>
                  <w:sz w:val="22"/>
                  <w:szCs w:val="22"/>
                </w:rPr>
                <m:t>i</m:t>
              </m:r>
            </m:sub>
          </m:sSub>
          <m:sSub>
            <m:sSubPr>
              <m:ctrlPr>
                <w:rPr>
                  <w:rFonts w:ascii="Cambria Math" w:hAnsi="Cambria Math"/>
                  <w:b w:val="0"/>
                  <w:sz w:val="22"/>
                  <w:szCs w:val="22"/>
                </w:rPr>
              </m:ctrlPr>
            </m:sSubPr>
            <m:e>
              <m:r>
                <m:rPr>
                  <m:sty m:val="b"/>
                </m:rPr>
                <w:rPr>
                  <w:rFonts w:ascii="Cambria Math" w:hAnsi="Cambria Math"/>
                  <w:sz w:val="22"/>
                  <w:szCs w:val="22"/>
                </w:rPr>
                <m:t>N</m:t>
              </m:r>
            </m:e>
            <m:sub>
              <m:r>
                <m:rPr>
                  <m:sty m:val="b"/>
                </m:rPr>
                <w:rPr>
                  <w:rFonts w:ascii="Cambria Math" w:hAnsi="Cambria Math"/>
                  <w:sz w:val="22"/>
                  <w:szCs w:val="22"/>
                </w:rPr>
                <m:t>i</m:t>
              </m:r>
            </m:sub>
          </m:sSub>
        </m:oMath>
      </m:oMathPara>
    </w:p>
    <w:p w:rsidR="008703E3" w:rsidRDefault="005F11AD" w:rsidP="003E77A1">
      <w:pPr>
        <w:pStyle w:val="Caption"/>
      </w:pPr>
      <w:bookmarkStart w:id="97" w:name="_Ref285532669"/>
      <w:proofErr w:type="gramStart"/>
      <w:r w:rsidRPr="008B3E95">
        <w:t xml:space="preserve">Equation </w:t>
      </w:r>
      <w:r w:rsidR="007511FA">
        <w:fldChar w:fldCharType="begin"/>
      </w:r>
      <w:r w:rsidR="00AE17F8">
        <w:instrText xml:space="preserve"> STYLEREF 1 \s </w:instrText>
      </w:r>
      <w:r w:rsidR="007511FA">
        <w:fldChar w:fldCharType="separate"/>
      </w:r>
      <w:r w:rsidR="00D5167B">
        <w:rPr>
          <w:noProof/>
        </w:rPr>
        <w:t>3</w:t>
      </w:r>
      <w:r w:rsidR="007511FA">
        <w:fldChar w:fldCharType="end"/>
      </w:r>
      <w:r w:rsidR="00220B7D">
        <w:t>.</w:t>
      </w:r>
      <w:proofErr w:type="gramEnd"/>
      <w:r w:rsidR="007511FA">
        <w:fldChar w:fldCharType="begin"/>
      </w:r>
      <w:r w:rsidR="00220B7D">
        <w:instrText xml:space="preserve"> SEQ Equation \* ARABIC \s 1 </w:instrText>
      </w:r>
      <w:r w:rsidR="007511FA">
        <w:fldChar w:fldCharType="separate"/>
      </w:r>
      <w:r w:rsidR="00D5167B">
        <w:rPr>
          <w:noProof/>
        </w:rPr>
        <w:t>3</w:t>
      </w:r>
      <w:r w:rsidR="007511FA">
        <w:fldChar w:fldCharType="end"/>
      </w:r>
      <w:bookmarkEnd w:id="97"/>
    </w:p>
    <w:p w:rsidR="005C0180" w:rsidRPr="005C0180" w:rsidRDefault="005C0180" w:rsidP="005C0180"/>
    <w:p w:rsidR="005F11AD" w:rsidRDefault="005F11AD" w:rsidP="00C06370">
      <w:pPr>
        <w:ind w:firstLine="0"/>
      </w:pPr>
      <w:r>
        <w:t>Where:</w:t>
      </w:r>
      <w:r>
        <w:tab/>
      </w:r>
      <w:r>
        <w:tab/>
      </w:r>
      <w:proofErr w:type="spellStart"/>
      <w:r>
        <w:t>i</w:t>
      </w:r>
      <w:proofErr w:type="spellEnd"/>
      <w:r w:rsidR="00767A99">
        <w:t xml:space="preserve"> </w:t>
      </w:r>
      <w:r>
        <w:t>=</w:t>
      </w:r>
      <w:r w:rsidR="00767A99">
        <w:t xml:space="preserve"> </w:t>
      </w:r>
      <w:r>
        <w:t>1</w:t>
      </w:r>
      <w:proofErr w:type="gramStart"/>
      <w:r>
        <w:t>, . . .,</w:t>
      </w:r>
      <w:proofErr w:type="gramEnd"/>
      <w:r>
        <w:t xml:space="preserve"> I</w:t>
      </w:r>
    </w:p>
    <w:p w:rsidR="005F11AD" w:rsidRDefault="005F11AD" w:rsidP="005F11AD">
      <w:r>
        <w:tab/>
      </w:r>
      <w:r>
        <w:tab/>
      </w:r>
      <w:proofErr w:type="gramStart"/>
      <w:r>
        <w:rPr>
          <w:rFonts w:cstheme="minorHAnsi"/>
        </w:rPr>
        <w:t>γ</w:t>
      </w:r>
      <w:proofErr w:type="gramEnd"/>
      <w:r>
        <w:t xml:space="preserve"> is the yield</w:t>
      </w:r>
    </w:p>
    <w:p w:rsidR="005F11AD" w:rsidRDefault="005F11AD" w:rsidP="005F11AD">
      <w:r>
        <w:tab/>
      </w:r>
      <w:r>
        <w:tab/>
      </w:r>
      <w:proofErr w:type="spellStart"/>
      <w:proofErr w:type="gramStart"/>
      <w:r>
        <w:rPr>
          <w:rFonts w:cstheme="minorHAnsi"/>
        </w:rPr>
        <w:t>σ</w:t>
      </w:r>
      <w:r>
        <w:rPr>
          <w:vertAlign w:val="subscript"/>
        </w:rPr>
        <w:t>f</w:t>
      </w:r>
      <w:proofErr w:type="spellEnd"/>
      <w:proofErr w:type="gramEnd"/>
      <w:r>
        <w:t xml:space="preserve"> is the microscopic fission cross section</w:t>
      </w:r>
    </w:p>
    <w:p w:rsidR="005F11AD" w:rsidRDefault="005F11AD" w:rsidP="005F11AD">
      <w:r>
        <w:tab/>
      </w:r>
      <w:r>
        <w:tab/>
      </w:r>
      <w:r>
        <w:rPr>
          <w:rFonts w:cstheme="minorHAnsi"/>
        </w:rPr>
        <w:t>ϕ</w:t>
      </w:r>
      <w:r>
        <w:t xml:space="preserve"> is the neutron flux</w:t>
      </w:r>
    </w:p>
    <w:p w:rsidR="005F11AD" w:rsidRDefault="005F11AD" w:rsidP="005F11AD">
      <w:r>
        <w:tab/>
      </w:r>
      <w:r>
        <w:tab/>
      </w:r>
      <w:proofErr w:type="spellStart"/>
      <w:proofErr w:type="gramStart"/>
      <w:r>
        <w:rPr>
          <w:rFonts w:cstheme="minorHAnsi"/>
        </w:rPr>
        <w:t>σ</w:t>
      </w:r>
      <w:r>
        <w:rPr>
          <w:vertAlign w:val="subscript"/>
        </w:rPr>
        <w:t>c</w:t>
      </w:r>
      <w:proofErr w:type="spellEnd"/>
      <w:proofErr w:type="gramEnd"/>
      <w:r>
        <w:t xml:space="preserve"> is the microscopic capture cross section</w:t>
      </w:r>
    </w:p>
    <w:p w:rsidR="005F11AD" w:rsidRDefault="005F11AD" w:rsidP="005F11AD">
      <w:r>
        <w:tab/>
      </w:r>
      <w:r>
        <w:tab/>
      </w:r>
      <w:proofErr w:type="gramStart"/>
      <w:r>
        <w:rPr>
          <w:rFonts w:cstheme="minorHAnsi"/>
        </w:rPr>
        <w:t>λ</w:t>
      </w:r>
      <w:proofErr w:type="gramEnd"/>
      <w:r>
        <w:t xml:space="preserve"> is the radioactive decay constant</w:t>
      </w:r>
    </w:p>
    <w:p w:rsidR="005F11AD" w:rsidRDefault="005F11AD" w:rsidP="005F11AD">
      <w:pPr>
        <w:rPr>
          <w:rFonts w:eastAsiaTheme="minorEastAsia"/>
        </w:rPr>
      </w:pPr>
      <w:r>
        <w:tab/>
      </w:r>
      <w:r>
        <w:tab/>
      </w:r>
      <m:oMath>
        <m:nary>
          <m:naryPr>
            <m:chr m:val="∑"/>
            <m:limLoc m:val="undOvr"/>
            <m:supHide m:val="on"/>
            <m:ctrlPr>
              <w:rPr>
                <w:rFonts w:ascii="Cambria Math" w:eastAsiaTheme="minorEastAsia" w:hAnsi="Cambria Math"/>
              </w:rPr>
            </m:ctrlPr>
          </m:naryPr>
          <m:sub>
            <m:r>
              <m:rPr>
                <m:sty m:val="p"/>
              </m:rPr>
              <w:rPr>
                <w:rFonts w:ascii="Cambria Math" w:eastAsiaTheme="minorEastAsia" w:hAnsi="Cambria Math"/>
              </w:rPr>
              <m:t>j</m:t>
            </m:r>
          </m:sub>
          <m:sup/>
          <m:e>
            <m:sSub>
              <m:sSubPr>
                <m:ctrlPr>
                  <w:rPr>
                    <w:rFonts w:ascii="Cambria Math" w:eastAsiaTheme="minorEastAsia" w:hAnsi="Cambria Math"/>
                  </w:rPr>
                </m:ctrlPr>
              </m:sSubPr>
              <m:e>
                <m:r>
                  <m:rPr>
                    <m:sty m:val="p"/>
                  </m:rPr>
                  <w:rPr>
                    <w:rFonts w:ascii="Cambria Math" w:eastAsiaTheme="minorEastAsia" w:hAnsi="Cambria Math"/>
                  </w:rPr>
                  <m:t>γ</m:t>
                </m:r>
              </m:e>
              <m:sub>
                <m:r>
                  <m:rPr>
                    <m:sty m:val="p"/>
                  </m:rPr>
                  <w:rPr>
                    <w:rFonts w:ascii="Cambria Math" w:eastAsiaTheme="minorEastAsia" w:hAnsi="Cambria Math"/>
                  </w:rPr>
                  <m:t>ji</m:t>
                </m:r>
              </m:sub>
            </m:sSub>
            <m:sSub>
              <m:sSubPr>
                <m:ctrlPr>
                  <w:rPr>
                    <w:rFonts w:ascii="Cambria Math" w:eastAsiaTheme="minorEastAsia" w:hAnsi="Cambria Math"/>
                  </w:rPr>
                </m:ctrlPr>
              </m:sSubPr>
              <m:e>
                <m:r>
                  <m:rPr>
                    <m:sty m:val="p"/>
                  </m:rPr>
                  <w:rPr>
                    <w:rFonts w:ascii="Cambria Math" w:eastAsiaTheme="minorEastAsia" w:hAnsi="Cambria Math"/>
                  </w:rPr>
                  <m:t>σ</m:t>
                </m:r>
              </m:e>
              <m:sub>
                <m:r>
                  <m:rPr>
                    <m:sty m:val="p"/>
                  </m:rPr>
                  <w:rPr>
                    <w:rFonts w:ascii="Cambria Math" w:eastAsiaTheme="minorEastAsia" w:hAnsi="Cambria Math"/>
                  </w:rPr>
                  <m:t>f,j</m:t>
                </m:r>
              </m:sub>
            </m:sSub>
            <m:sSub>
              <m:sSubPr>
                <m:ctrlPr>
                  <w:rPr>
                    <w:rFonts w:ascii="Cambria Math" w:hAnsi="Cambria Math"/>
                    <w:b/>
                    <w:bCs/>
                  </w:rPr>
                </m:ctrlPr>
              </m:sSubPr>
              <m:e>
                <m:r>
                  <m:rPr>
                    <m:sty m:val="p"/>
                  </m:rPr>
                  <w:rPr>
                    <w:rFonts w:ascii="Cambria Math" w:hAnsi="Cambria Math"/>
                  </w:rPr>
                  <m:t>N</m:t>
                </m:r>
              </m:e>
              <m:sub>
                <m:r>
                  <m:rPr>
                    <m:sty m:val="p"/>
                  </m:rPr>
                  <w:rPr>
                    <w:rFonts w:ascii="Cambria Math" w:hAnsi="Cambria Math"/>
                  </w:rPr>
                  <m:t>j</m:t>
                </m:r>
              </m:sub>
            </m:sSub>
            <m:r>
              <m:rPr>
                <m:sty m:val="p"/>
              </m:rPr>
              <w:rPr>
                <w:rFonts w:ascii="Cambria Math" w:hAnsi="Cambria Math"/>
              </w:rPr>
              <m:t>ϕ</m:t>
            </m:r>
          </m:e>
        </m:nary>
      </m:oMath>
      <w:r>
        <w:rPr>
          <w:rFonts w:eastAsiaTheme="minorEastAsia"/>
        </w:rPr>
        <w:t xml:space="preserve"> </w:t>
      </w:r>
      <w:proofErr w:type="gramStart"/>
      <w:r>
        <w:rPr>
          <w:rFonts w:eastAsiaTheme="minorEastAsia"/>
        </w:rPr>
        <w:t>is</w:t>
      </w:r>
      <w:proofErr w:type="gramEnd"/>
      <w:r>
        <w:rPr>
          <w:rFonts w:eastAsiaTheme="minorEastAsia"/>
        </w:rPr>
        <w:t xml:space="preserve"> the yield rate of N</w:t>
      </w:r>
      <w:proofErr w:type="spellStart"/>
      <w:r>
        <w:rPr>
          <w:rFonts w:eastAsiaTheme="minorEastAsia"/>
          <w:vertAlign w:val="subscript"/>
        </w:rPr>
        <w:t>i</w:t>
      </w:r>
      <w:proofErr w:type="spellEnd"/>
      <w:r>
        <w:rPr>
          <w:rFonts w:eastAsiaTheme="minorEastAsia"/>
        </w:rPr>
        <w:t xml:space="preserve"> due to the fission of all nuclides </w:t>
      </w:r>
      <w:proofErr w:type="spellStart"/>
      <w:r>
        <w:rPr>
          <w:rFonts w:eastAsiaTheme="minorEastAsia"/>
        </w:rPr>
        <w:t>N</w:t>
      </w:r>
      <w:r>
        <w:rPr>
          <w:rFonts w:eastAsiaTheme="minorEastAsia"/>
          <w:vertAlign w:val="subscript"/>
        </w:rPr>
        <w:t>j</w:t>
      </w:r>
      <w:proofErr w:type="spellEnd"/>
    </w:p>
    <w:p w:rsidR="00767A99" w:rsidRPr="00767A99" w:rsidRDefault="00767A99" w:rsidP="005F11AD">
      <w:pPr>
        <w:rPr>
          <w:rFonts w:eastAsiaTheme="minorEastAsia"/>
          <w:bCs/>
        </w:rPr>
      </w:pPr>
      <w:r>
        <w:rPr>
          <w:rFonts w:eastAsiaTheme="minorEastAsia"/>
        </w:rPr>
        <w:tab/>
      </w:r>
      <w:r>
        <w:rPr>
          <w:rFonts w:eastAsiaTheme="minorEastAsia"/>
        </w:rPr>
        <w:tab/>
      </w:r>
      <m:oMath>
        <m:sSub>
          <m:sSubPr>
            <m:ctrlPr>
              <w:rPr>
                <w:rFonts w:ascii="Cambria Math" w:eastAsiaTheme="minorEastAsia" w:hAnsi="Cambria Math"/>
              </w:rPr>
            </m:ctrlPr>
          </m:sSubPr>
          <m:e>
            <m:r>
              <m:rPr>
                <m:sty m:val="p"/>
              </m:rPr>
              <w:rPr>
                <w:rFonts w:ascii="Cambria Math" w:eastAsiaTheme="minorEastAsia" w:hAnsi="Cambria Math"/>
              </w:rPr>
              <m:t>σ</m:t>
            </m:r>
          </m:e>
          <m:sub>
            <m:r>
              <m:rPr>
                <m:sty m:val="p"/>
              </m:rPr>
              <w:rPr>
                <w:rFonts w:ascii="Cambria Math" w:eastAsiaTheme="minorEastAsia" w:hAnsi="Cambria Math"/>
              </w:rPr>
              <m:t>c,i-1</m:t>
            </m:r>
          </m:sub>
        </m:sSub>
        <m:sSub>
          <m:sSubPr>
            <m:ctrlPr>
              <w:rPr>
                <w:rFonts w:ascii="Cambria Math" w:hAnsi="Cambria Math"/>
                <w:b/>
                <w:bCs/>
              </w:rPr>
            </m:ctrlPr>
          </m:sSubPr>
          <m:e>
            <m:r>
              <m:rPr>
                <m:sty m:val="p"/>
              </m:rPr>
              <w:rPr>
                <w:rFonts w:ascii="Cambria Math" w:hAnsi="Cambria Math"/>
              </w:rPr>
              <m:t>N</m:t>
            </m:r>
          </m:e>
          <m:sub>
            <m:r>
              <m:rPr>
                <m:sty m:val="p"/>
              </m:rPr>
              <w:rPr>
                <w:rFonts w:ascii="Cambria Math" w:hAnsi="Cambria Math"/>
              </w:rPr>
              <m:t>i-1</m:t>
            </m:r>
          </m:sub>
        </m:sSub>
        <m:r>
          <m:rPr>
            <m:sty m:val="p"/>
          </m:rPr>
          <w:rPr>
            <w:rFonts w:ascii="Cambria Math" w:hAnsi="Cambria Math"/>
          </w:rPr>
          <m:t>ϕ</m:t>
        </m:r>
      </m:oMath>
      <w:r>
        <w:rPr>
          <w:rFonts w:eastAsiaTheme="minorEastAsia"/>
          <w:bCs/>
        </w:rPr>
        <w:t xml:space="preserve"> </w:t>
      </w:r>
      <w:proofErr w:type="gramStart"/>
      <w:r>
        <w:rPr>
          <w:rFonts w:eastAsiaTheme="minorEastAsia"/>
          <w:bCs/>
        </w:rPr>
        <w:t>is</w:t>
      </w:r>
      <w:proofErr w:type="gramEnd"/>
      <w:r>
        <w:rPr>
          <w:rFonts w:eastAsiaTheme="minorEastAsia"/>
          <w:bCs/>
        </w:rPr>
        <w:t xml:space="preserve"> the rate of transmutation into N</w:t>
      </w:r>
      <w:proofErr w:type="spellStart"/>
      <w:r>
        <w:rPr>
          <w:rFonts w:eastAsiaTheme="minorEastAsia"/>
          <w:bCs/>
          <w:vertAlign w:val="subscript"/>
        </w:rPr>
        <w:t>i</w:t>
      </w:r>
      <w:proofErr w:type="spellEnd"/>
      <w:r>
        <w:rPr>
          <w:rFonts w:eastAsiaTheme="minorEastAsia"/>
          <w:bCs/>
        </w:rPr>
        <w:t xml:space="preserve"> due to radioactive neutron capture by N</w:t>
      </w:r>
      <w:r>
        <w:rPr>
          <w:rFonts w:eastAsiaTheme="minorEastAsia"/>
          <w:bCs/>
          <w:vertAlign w:val="subscript"/>
        </w:rPr>
        <w:t>i-1</w:t>
      </w:r>
    </w:p>
    <w:p w:rsidR="00767A99" w:rsidRDefault="00767A99" w:rsidP="005F11AD">
      <w:pPr>
        <w:rPr>
          <w:rFonts w:eastAsiaTheme="minorEastAsia"/>
          <w:bCs/>
        </w:rPr>
      </w:pPr>
      <w:r>
        <w:rPr>
          <w:rFonts w:eastAsiaTheme="minorEastAsia"/>
          <w:bCs/>
          <w:vertAlign w:val="subscript"/>
        </w:rPr>
        <w:tab/>
      </w:r>
      <w:r>
        <w:rPr>
          <w:rFonts w:eastAsiaTheme="minorEastAsia"/>
          <w:bCs/>
          <w:vertAlign w:val="subscript"/>
        </w:rPr>
        <w:tab/>
      </w:r>
      <m:oMath>
        <m:sSubSup>
          <m:sSubSupPr>
            <m:ctrlPr>
              <w:rPr>
                <w:rFonts w:ascii="Cambria Math" w:hAnsi="Cambria Math"/>
                <w:bCs/>
              </w:rPr>
            </m:ctrlPr>
          </m:sSubSupPr>
          <m:e>
            <m:r>
              <m:rPr>
                <m:sty m:val="p"/>
              </m:rPr>
              <w:rPr>
                <w:rFonts w:ascii="Cambria Math" w:hAnsi="Cambria Math"/>
              </w:rPr>
              <m:t>λ</m:t>
            </m:r>
          </m:e>
          <m:sub>
            <m:r>
              <m:rPr>
                <m:sty m:val="p"/>
              </m:rPr>
              <w:rPr>
                <w:rFonts w:ascii="Cambria Math" w:hAnsi="Cambria Math"/>
              </w:rPr>
              <m:t>i</m:t>
            </m:r>
          </m:sub>
          <m:sup>
            <m:r>
              <m:rPr>
                <m:sty m:val="p"/>
              </m:rPr>
              <w:rPr>
                <w:rFonts w:ascii="Cambria Math" w:hAnsi="Cambria Math"/>
              </w:rPr>
              <m:t>'</m:t>
            </m:r>
          </m:sup>
        </m:sSubSup>
        <m:sSubSup>
          <m:sSubSupPr>
            <m:ctrlPr>
              <w:rPr>
                <w:rFonts w:ascii="Cambria Math" w:hAnsi="Cambria Math"/>
                <w:bCs/>
              </w:rPr>
            </m:ctrlPr>
          </m:sSubSupPr>
          <m:e>
            <m:r>
              <m:rPr>
                <m:sty m:val="p"/>
              </m:rPr>
              <w:rPr>
                <w:rFonts w:ascii="Cambria Math" w:hAnsi="Cambria Math"/>
              </w:rPr>
              <m:t>N</m:t>
            </m:r>
          </m:e>
          <m:sub>
            <m:r>
              <m:rPr>
                <m:sty m:val="p"/>
              </m:rPr>
              <w:rPr>
                <w:rFonts w:ascii="Cambria Math" w:hAnsi="Cambria Math"/>
              </w:rPr>
              <m:t>i</m:t>
            </m:r>
          </m:sub>
          <m:sup>
            <m:r>
              <m:rPr>
                <m:sty m:val="p"/>
              </m:rPr>
              <w:rPr>
                <w:rFonts w:ascii="Cambria Math" w:hAnsi="Cambria Math"/>
              </w:rPr>
              <m:t>'</m:t>
            </m:r>
          </m:sup>
        </m:sSubSup>
      </m:oMath>
      <w:r>
        <w:rPr>
          <w:rFonts w:eastAsiaTheme="minorEastAsia"/>
          <w:bCs/>
        </w:rPr>
        <w:t xml:space="preserve"> </w:t>
      </w:r>
      <w:proofErr w:type="gramStart"/>
      <w:r>
        <w:rPr>
          <w:rFonts w:eastAsiaTheme="minorEastAsia"/>
          <w:bCs/>
        </w:rPr>
        <w:t>is</w:t>
      </w:r>
      <w:proofErr w:type="gramEnd"/>
      <w:r>
        <w:rPr>
          <w:rFonts w:eastAsiaTheme="minorEastAsia"/>
          <w:bCs/>
        </w:rPr>
        <w:t xml:space="preserve"> the rate of formation of N</w:t>
      </w:r>
      <w:proofErr w:type="spellStart"/>
      <w:r>
        <w:rPr>
          <w:rFonts w:eastAsiaTheme="minorEastAsia"/>
          <w:bCs/>
          <w:vertAlign w:val="subscript"/>
        </w:rPr>
        <w:t>i</w:t>
      </w:r>
      <w:proofErr w:type="spellEnd"/>
      <w:r>
        <w:rPr>
          <w:rFonts w:eastAsiaTheme="minorEastAsia"/>
          <w:bCs/>
        </w:rPr>
        <w:t xml:space="preserve"> due to the radioactive decay of N</w:t>
      </w:r>
      <w:r>
        <w:rPr>
          <w:rFonts w:eastAsiaTheme="minorEastAsia"/>
          <w:bCs/>
          <w:vertAlign w:val="subscript"/>
        </w:rPr>
        <w:t>i</w:t>
      </w:r>
      <w:r>
        <w:rPr>
          <w:rFonts w:eastAsiaTheme="minorEastAsia"/>
          <w:bCs/>
        </w:rPr>
        <w:t>’</w:t>
      </w:r>
    </w:p>
    <w:p w:rsidR="00767A99" w:rsidRDefault="00767A99" w:rsidP="005F11AD">
      <w:pPr>
        <w:rPr>
          <w:rFonts w:eastAsiaTheme="minorEastAsia"/>
          <w:bCs/>
        </w:rPr>
      </w:pPr>
      <w:r>
        <w:rPr>
          <w:rFonts w:eastAsiaTheme="minorEastAsia"/>
          <w:bCs/>
        </w:rPr>
        <w:tab/>
      </w:r>
      <w:r>
        <w:rPr>
          <w:rFonts w:eastAsiaTheme="minorEastAsia"/>
          <w:bCs/>
        </w:rPr>
        <w:tab/>
      </w:r>
      <m:oMath>
        <m:sSub>
          <m:sSubPr>
            <m:ctrlPr>
              <w:rPr>
                <w:rFonts w:ascii="Cambria Math" w:eastAsiaTheme="minorEastAsia" w:hAnsi="Cambria Math"/>
              </w:rPr>
            </m:ctrlPr>
          </m:sSubPr>
          <m:e>
            <m:r>
              <m:rPr>
                <m:sty m:val="p"/>
              </m:rPr>
              <w:rPr>
                <w:rFonts w:ascii="Cambria Math" w:eastAsiaTheme="minorEastAsia" w:hAnsi="Cambria Math"/>
              </w:rPr>
              <m:t>σ</m:t>
            </m:r>
          </m:e>
          <m:sub>
            <m:r>
              <m:rPr>
                <m:sty m:val="p"/>
              </m:rPr>
              <w:rPr>
                <w:rFonts w:ascii="Cambria Math" w:eastAsiaTheme="minorEastAsia" w:hAnsi="Cambria Math"/>
              </w:rPr>
              <m:t>f,i</m:t>
            </m:r>
          </m:sub>
        </m:sSub>
        <m:sSub>
          <m:sSubPr>
            <m:ctrlPr>
              <w:rPr>
                <w:rFonts w:ascii="Cambria Math" w:hAnsi="Cambria Math"/>
                <w:b/>
                <w:bCs/>
              </w:rPr>
            </m:ctrlPr>
          </m:sSubPr>
          <m:e>
            <m:r>
              <m:rPr>
                <m:sty m:val="p"/>
              </m:rPr>
              <w:rPr>
                <w:rFonts w:ascii="Cambria Math" w:hAnsi="Cambria Math"/>
              </w:rPr>
              <m:t>N</m:t>
            </m:r>
          </m:e>
          <m:sub>
            <m:r>
              <m:rPr>
                <m:sty m:val="p"/>
              </m:rPr>
              <w:rPr>
                <w:rFonts w:ascii="Cambria Math" w:hAnsi="Cambria Math"/>
              </w:rPr>
              <m:t>i</m:t>
            </m:r>
          </m:sub>
        </m:sSub>
        <m:r>
          <m:rPr>
            <m:sty m:val="p"/>
          </m:rPr>
          <w:rPr>
            <w:rFonts w:ascii="Cambria Math" w:hAnsi="Cambria Math"/>
          </w:rPr>
          <m:t>ϕ</m:t>
        </m:r>
      </m:oMath>
      <w:r>
        <w:rPr>
          <w:rFonts w:eastAsiaTheme="minorEastAsia"/>
          <w:bCs/>
        </w:rPr>
        <w:t xml:space="preserve"> </w:t>
      </w:r>
      <w:proofErr w:type="gramStart"/>
      <w:r>
        <w:rPr>
          <w:rFonts w:eastAsiaTheme="minorEastAsia"/>
          <w:bCs/>
        </w:rPr>
        <w:t>is</w:t>
      </w:r>
      <w:proofErr w:type="gramEnd"/>
      <w:r>
        <w:rPr>
          <w:rFonts w:eastAsiaTheme="minorEastAsia"/>
          <w:bCs/>
        </w:rPr>
        <w:t xml:space="preserve"> the destruction rate of N</w:t>
      </w:r>
      <w:proofErr w:type="spellStart"/>
      <w:r>
        <w:rPr>
          <w:rFonts w:eastAsiaTheme="minorEastAsia"/>
          <w:bCs/>
          <w:vertAlign w:val="subscript"/>
        </w:rPr>
        <w:t>i</w:t>
      </w:r>
      <w:proofErr w:type="spellEnd"/>
      <w:r>
        <w:rPr>
          <w:rFonts w:eastAsiaTheme="minorEastAsia"/>
          <w:bCs/>
        </w:rPr>
        <w:t xml:space="preserve"> due to fission</w:t>
      </w:r>
    </w:p>
    <w:p w:rsidR="00767A99" w:rsidRDefault="00767A99" w:rsidP="005F11AD">
      <w:pPr>
        <w:rPr>
          <w:rFonts w:eastAsiaTheme="minorEastAsia"/>
          <w:bCs/>
        </w:rPr>
      </w:pPr>
      <w:r>
        <w:rPr>
          <w:rFonts w:eastAsiaTheme="minorEastAsia"/>
          <w:bCs/>
        </w:rPr>
        <w:tab/>
      </w:r>
      <w:r>
        <w:rPr>
          <w:rFonts w:eastAsiaTheme="minorEastAsia"/>
          <w:bCs/>
        </w:rPr>
        <w:tab/>
      </w:r>
      <m:oMath>
        <m:sSub>
          <m:sSubPr>
            <m:ctrlPr>
              <w:rPr>
                <w:rFonts w:ascii="Cambria Math" w:eastAsiaTheme="minorEastAsia" w:hAnsi="Cambria Math"/>
              </w:rPr>
            </m:ctrlPr>
          </m:sSubPr>
          <m:e>
            <m:r>
              <m:rPr>
                <m:sty m:val="p"/>
              </m:rPr>
              <w:rPr>
                <w:rFonts w:ascii="Cambria Math" w:eastAsiaTheme="minorEastAsia" w:hAnsi="Cambria Math"/>
              </w:rPr>
              <m:t>σ</m:t>
            </m:r>
          </m:e>
          <m:sub>
            <m:r>
              <m:rPr>
                <m:sty m:val="p"/>
              </m:rPr>
              <w:rPr>
                <w:rFonts w:ascii="Cambria Math" w:eastAsiaTheme="minorEastAsia" w:hAnsi="Cambria Math"/>
              </w:rPr>
              <m:t>c,i</m:t>
            </m:r>
          </m:sub>
        </m:sSub>
        <m:sSub>
          <m:sSubPr>
            <m:ctrlPr>
              <w:rPr>
                <w:rFonts w:ascii="Cambria Math" w:hAnsi="Cambria Math"/>
                <w:b/>
                <w:bCs/>
              </w:rPr>
            </m:ctrlPr>
          </m:sSubPr>
          <m:e>
            <m:r>
              <m:rPr>
                <m:sty m:val="p"/>
              </m:rPr>
              <w:rPr>
                <w:rFonts w:ascii="Cambria Math" w:hAnsi="Cambria Math"/>
              </w:rPr>
              <m:t>N</m:t>
            </m:r>
          </m:e>
          <m:sub>
            <m:r>
              <m:rPr>
                <m:sty m:val="p"/>
              </m:rPr>
              <w:rPr>
                <w:rFonts w:ascii="Cambria Math" w:hAnsi="Cambria Math"/>
              </w:rPr>
              <m:t>i</m:t>
            </m:r>
          </m:sub>
        </m:sSub>
        <m:r>
          <m:rPr>
            <m:sty m:val="p"/>
          </m:rPr>
          <w:rPr>
            <w:rFonts w:ascii="Cambria Math" w:hAnsi="Cambria Math"/>
          </w:rPr>
          <m:t>ϕ</m:t>
        </m:r>
      </m:oMath>
      <w:r>
        <w:rPr>
          <w:rFonts w:eastAsiaTheme="minorEastAsia"/>
          <w:bCs/>
        </w:rPr>
        <w:t xml:space="preserve"> </w:t>
      </w:r>
      <w:proofErr w:type="gramStart"/>
      <w:r>
        <w:rPr>
          <w:rFonts w:eastAsiaTheme="minorEastAsia"/>
          <w:bCs/>
        </w:rPr>
        <w:t>is</w:t>
      </w:r>
      <w:proofErr w:type="gramEnd"/>
      <w:r>
        <w:rPr>
          <w:rFonts w:eastAsiaTheme="minorEastAsia"/>
          <w:bCs/>
        </w:rPr>
        <w:t xml:space="preserve"> the destruction rate due to all forms of neutron absorption other than fission</w:t>
      </w:r>
    </w:p>
    <w:p w:rsidR="00767A99" w:rsidRDefault="00767A99" w:rsidP="005F11AD">
      <w:pPr>
        <w:rPr>
          <w:rFonts w:eastAsiaTheme="minorEastAsia"/>
          <w:bCs/>
          <w:vertAlign w:val="subscript"/>
        </w:rPr>
      </w:pPr>
      <w:r>
        <w:rPr>
          <w:rFonts w:eastAsiaTheme="minorEastAsia"/>
          <w:bCs/>
        </w:rPr>
        <w:tab/>
      </w:r>
      <w:r>
        <w:rPr>
          <w:rFonts w:eastAsiaTheme="minorEastAsia"/>
          <w:bCs/>
        </w:rPr>
        <w:tab/>
      </w:r>
      <m:oMath>
        <m:sSub>
          <m:sSubPr>
            <m:ctrlPr>
              <w:rPr>
                <w:rFonts w:ascii="Cambria Math" w:hAnsi="Cambria Math"/>
                <w:bCs/>
              </w:rPr>
            </m:ctrlPr>
          </m:sSubPr>
          <m:e>
            <m:r>
              <m:rPr>
                <m:sty m:val="p"/>
              </m:rPr>
              <w:rPr>
                <w:rFonts w:ascii="Cambria Math" w:hAnsi="Cambria Math"/>
              </w:rPr>
              <m:t>λ</m:t>
            </m:r>
          </m:e>
          <m:sub>
            <m:r>
              <m:rPr>
                <m:sty m:val="p"/>
              </m:rPr>
              <w:rPr>
                <w:rFonts w:ascii="Cambria Math" w:hAnsi="Cambria Math"/>
              </w:rPr>
              <m:t>i</m:t>
            </m:r>
          </m:sub>
        </m:sSub>
        <m:sSub>
          <m:sSubPr>
            <m:ctrlPr>
              <w:rPr>
                <w:rFonts w:ascii="Cambria Math" w:hAnsi="Cambria Math"/>
                <w:bCs/>
              </w:rPr>
            </m:ctrlPr>
          </m:sSubPr>
          <m:e>
            <m:r>
              <m:rPr>
                <m:sty m:val="p"/>
              </m:rPr>
              <w:rPr>
                <w:rFonts w:ascii="Cambria Math" w:hAnsi="Cambria Math"/>
              </w:rPr>
              <m:t>N</m:t>
            </m:r>
          </m:e>
          <m:sub>
            <m:r>
              <m:rPr>
                <m:sty m:val="p"/>
              </m:rPr>
              <w:rPr>
                <w:rFonts w:ascii="Cambria Math" w:hAnsi="Cambria Math"/>
              </w:rPr>
              <m:t>i</m:t>
            </m:r>
          </m:sub>
        </m:sSub>
      </m:oMath>
      <w:r>
        <w:rPr>
          <w:rFonts w:eastAsiaTheme="minorEastAsia"/>
          <w:bCs/>
        </w:rPr>
        <w:t xml:space="preserve"> </w:t>
      </w:r>
      <w:proofErr w:type="gramStart"/>
      <w:r>
        <w:rPr>
          <w:rFonts w:eastAsiaTheme="minorEastAsia"/>
          <w:bCs/>
        </w:rPr>
        <w:t>is</w:t>
      </w:r>
      <w:proofErr w:type="gramEnd"/>
      <w:r>
        <w:rPr>
          <w:rFonts w:eastAsiaTheme="minorEastAsia"/>
          <w:bCs/>
        </w:rPr>
        <w:t xml:space="preserve"> the radioactive decay rate of N</w:t>
      </w:r>
      <w:proofErr w:type="spellStart"/>
      <w:r>
        <w:rPr>
          <w:rFonts w:eastAsiaTheme="minorEastAsia"/>
          <w:bCs/>
          <w:vertAlign w:val="subscript"/>
        </w:rPr>
        <w:t>i</w:t>
      </w:r>
      <w:proofErr w:type="spellEnd"/>
    </w:p>
    <w:p w:rsidR="005C0180" w:rsidRPr="00767A99" w:rsidRDefault="005C0180" w:rsidP="005F11AD">
      <w:pPr>
        <w:rPr>
          <w:rFonts w:eastAsiaTheme="minorEastAsia"/>
          <w:bCs/>
        </w:rPr>
      </w:pPr>
    </w:p>
    <w:p w:rsidR="005C0180" w:rsidRDefault="007511FA" w:rsidP="005C0180">
      <w:r>
        <w:fldChar w:fldCharType="begin"/>
      </w:r>
      <w:r w:rsidR="005C0180">
        <w:instrText xml:space="preserve"> REF _Ref285532669 \h </w:instrText>
      </w:r>
      <w:r>
        <w:fldChar w:fldCharType="separate"/>
      </w:r>
      <w:r w:rsidR="00D5167B" w:rsidRPr="008B3E95">
        <w:t xml:space="preserve">Equation </w:t>
      </w:r>
      <w:r w:rsidR="00D5167B">
        <w:rPr>
          <w:noProof/>
        </w:rPr>
        <w:t>3</w:t>
      </w:r>
      <w:r w:rsidR="00D5167B">
        <w:t>.</w:t>
      </w:r>
      <w:r w:rsidR="00D5167B">
        <w:rPr>
          <w:noProof/>
        </w:rPr>
        <w:t>3</w:t>
      </w:r>
      <w:r>
        <w:fldChar w:fldCharType="end"/>
      </w:r>
      <w:r w:rsidR="00767A99">
        <w:t xml:space="preserve"> can be written in matrix notation</w:t>
      </w:r>
      <w:r w:rsidR="00C97CDA">
        <w:t xml:space="preserve"> form</w:t>
      </w:r>
      <w:r w:rsidR="00767A99">
        <w:t xml:space="preserve"> (</w:t>
      </w:r>
      <w:r>
        <w:fldChar w:fldCharType="begin"/>
      </w:r>
      <w:r w:rsidR="005C0180">
        <w:instrText xml:space="preserve"> REF _Ref285532971 \h </w:instrText>
      </w:r>
      <w:r>
        <w:fldChar w:fldCharType="separate"/>
      </w:r>
      <w:r w:rsidR="00D5167B" w:rsidRPr="005C0180">
        <w:t xml:space="preserve">Equation </w:t>
      </w:r>
      <w:r w:rsidR="00D5167B">
        <w:rPr>
          <w:noProof/>
        </w:rPr>
        <w:t>3</w:t>
      </w:r>
      <w:r w:rsidR="00D5167B">
        <w:t>.</w:t>
      </w:r>
      <w:r w:rsidR="00D5167B">
        <w:rPr>
          <w:noProof/>
        </w:rPr>
        <w:t>4</w:t>
      </w:r>
      <w:r>
        <w:fldChar w:fldCharType="end"/>
      </w:r>
      <w:r w:rsidR="00767A99">
        <w:t xml:space="preserve">) </w:t>
      </w:r>
      <w:r w:rsidR="00C97CDA">
        <w:t xml:space="preserve">since it is composed of a coupled set of linear first-order differential equations.  </w:t>
      </w:r>
      <w:r w:rsidR="00CD5664">
        <w:t>The N vector i</w:t>
      </w:r>
      <w:r w:rsidR="00C97CDA">
        <w:t xml:space="preserve">n </w:t>
      </w:r>
      <w:r>
        <w:fldChar w:fldCharType="begin"/>
      </w:r>
      <w:r w:rsidR="005C0180">
        <w:instrText xml:space="preserve"> REF _Ref285532971 \h </w:instrText>
      </w:r>
      <w:r>
        <w:fldChar w:fldCharType="separate"/>
      </w:r>
      <w:r w:rsidR="00D5167B" w:rsidRPr="005C0180">
        <w:t xml:space="preserve">Equation </w:t>
      </w:r>
      <w:r w:rsidR="00D5167B">
        <w:rPr>
          <w:noProof/>
        </w:rPr>
        <w:t>3</w:t>
      </w:r>
      <w:r w:rsidR="00D5167B">
        <w:t>.</w:t>
      </w:r>
      <w:r w:rsidR="00D5167B">
        <w:rPr>
          <w:noProof/>
        </w:rPr>
        <w:t>4</w:t>
      </w:r>
      <w:r>
        <w:fldChar w:fldCharType="end"/>
      </w:r>
      <w:r w:rsidR="00E51DC4">
        <w:t xml:space="preserve"> is composed of the nuclide concentrations and the A matrix is the transition matrix that c</w:t>
      </w:r>
      <w:r w:rsidR="005C0180">
        <w:t>ontains the rate coefficients.</w:t>
      </w:r>
      <w:r w:rsidR="005C0180">
        <w:br w:type="page"/>
      </w:r>
    </w:p>
    <w:p w:rsidR="005C0180" w:rsidRPr="00050B54" w:rsidRDefault="007511FA" w:rsidP="005C0180">
      <w:pPr>
        <w:pStyle w:val="Caption"/>
        <w:rPr>
          <w:b w:val="0"/>
        </w:rPr>
      </w:pPr>
      <m:oMathPara>
        <m:oMath>
          <m:acc>
            <m:accPr>
              <m:chr m:val="̇"/>
              <m:ctrlPr>
                <w:rPr>
                  <w:rFonts w:ascii="Cambria Math" w:hAnsi="Cambria Math"/>
                  <w:b w:val="0"/>
                  <w:bCs w:val="0"/>
                  <w:i/>
                  <w:sz w:val="22"/>
                  <w:szCs w:val="22"/>
                </w:rPr>
              </m:ctrlPr>
            </m:accPr>
            <m:e>
              <m:bar>
                <m:barPr>
                  <m:ctrlPr>
                    <w:rPr>
                      <w:rFonts w:ascii="Cambria Math" w:hAnsi="Cambria Math"/>
                      <w:b w:val="0"/>
                      <w:bCs w:val="0"/>
                      <w:i/>
                      <w:sz w:val="22"/>
                      <w:szCs w:val="22"/>
                    </w:rPr>
                  </m:ctrlPr>
                </m:barPr>
                <m:e>
                  <m:r>
                    <m:rPr>
                      <m:sty m:val="bi"/>
                    </m:rPr>
                    <w:rPr>
                      <w:rFonts w:ascii="Cambria Math" w:hAnsi="Cambria Math"/>
                      <w:sz w:val="22"/>
                      <w:szCs w:val="22"/>
                    </w:rPr>
                    <m:t>N</m:t>
                  </m:r>
                </m:e>
              </m:bar>
            </m:e>
          </m:acc>
          <m:r>
            <m:rPr>
              <m:sty m:val="bi"/>
            </m:rPr>
            <w:rPr>
              <w:rFonts w:ascii="Cambria Math" w:eastAsiaTheme="minorEastAsia" w:hAnsi="Cambria Math"/>
              <w:sz w:val="22"/>
              <w:szCs w:val="22"/>
            </w:rPr>
            <m:t xml:space="preserve">= </m:t>
          </m:r>
          <m:bar>
            <m:barPr>
              <m:ctrlPr>
                <w:rPr>
                  <w:rFonts w:ascii="Cambria Math" w:eastAsiaTheme="minorEastAsia" w:hAnsi="Cambria Math"/>
                  <w:b w:val="0"/>
                  <w:bCs w:val="0"/>
                  <w:i/>
                  <w:sz w:val="22"/>
                  <w:szCs w:val="22"/>
                </w:rPr>
              </m:ctrlPr>
            </m:barPr>
            <m:e>
              <m:bar>
                <m:barPr>
                  <m:ctrlPr>
                    <w:rPr>
                      <w:rFonts w:ascii="Cambria Math" w:eastAsiaTheme="minorEastAsia" w:hAnsi="Cambria Math"/>
                      <w:b w:val="0"/>
                      <w:bCs w:val="0"/>
                      <w:i/>
                      <w:sz w:val="22"/>
                      <w:szCs w:val="22"/>
                    </w:rPr>
                  </m:ctrlPr>
                </m:barPr>
                <m:e>
                  <m:r>
                    <m:rPr>
                      <m:sty m:val="bi"/>
                    </m:rPr>
                    <w:rPr>
                      <w:rFonts w:ascii="Cambria Math" w:eastAsiaTheme="minorEastAsia" w:hAnsi="Cambria Math"/>
                      <w:sz w:val="22"/>
                      <w:szCs w:val="22"/>
                    </w:rPr>
                    <m:t>A</m:t>
                  </m:r>
                </m:e>
              </m:bar>
            </m:e>
          </m:bar>
          <m:r>
            <m:rPr>
              <m:sty m:val="bi"/>
            </m:rPr>
            <w:rPr>
              <w:rFonts w:ascii="Cambria Math" w:eastAsiaTheme="minorEastAsia" w:hAnsi="Cambria Math"/>
              <w:sz w:val="22"/>
              <w:szCs w:val="22"/>
            </w:rPr>
            <m:t xml:space="preserve"> </m:t>
          </m:r>
          <m:bar>
            <m:barPr>
              <m:ctrlPr>
                <w:rPr>
                  <w:rFonts w:ascii="Cambria Math" w:eastAsiaTheme="minorEastAsia" w:hAnsi="Cambria Math"/>
                  <w:b w:val="0"/>
                  <w:bCs w:val="0"/>
                  <w:i/>
                  <w:sz w:val="22"/>
                  <w:szCs w:val="22"/>
                </w:rPr>
              </m:ctrlPr>
            </m:barPr>
            <m:e>
              <m:r>
                <m:rPr>
                  <m:sty m:val="bi"/>
                </m:rPr>
                <w:rPr>
                  <w:rFonts w:ascii="Cambria Math" w:eastAsiaTheme="minorEastAsia" w:hAnsi="Cambria Math"/>
                  <w:sz w:val="22"/>
                  <w:szCs w:val="22"/>
                </w:rPr>
                <m:t>N</m:t>
              </m:r>
            </m:e>
          </m:bar>
        </m:oMath>
      </m:oMathPara>
    </w:p>
    <w:p w:rsidR="005F11AD" w:rsidRDefault="00E51DC4" w:rsidP="005C0180">
      <w:pPr>
        <w:pStyle w:val="Caption"/>
      </w:pPr>
      <w:bookmarkStart w:id="98" w:name="_Ref285532971"/>
      <w:proofErr w:type="gramStart"/>
      <w:r w:rsidRPr="005C0180">
        <w:t xml:space="preserve">Equation </w:t>
      </w:r>
      <w:r w:rsidR="007511FA">
        <w:fldChar w:fldCharType="begin"/>
      </w:r>
      <w:r w:rsidR="00AE17F8">
        <w:instrText xml:space="preserve"> STYLEREF 1 \s </w:instrText>
      </w:r>
      <w:r w:rsidR="007511FA">
        <w:fldChar w:fldCharType="separate"/>
      </w:r>
      <w:r w:rsidR="00D5167B">
        <w:rPr>
          <w:noProof/>
        </w:rPr>
        <w:t>3</w:t>
      </w:r>
      <w:r w:rsidR="007511FA">
        <w:fldChar w:fldCharType="end"/>
      </w:r>
      <w:r w:rsidR="00220B7D">
        <w:t>.</w:t>
      </w:r>
      <w:proofErr w:type="gramEnd"/>
      <w:r w:rsidR="007511FA">
        <w:fldChar w:fldCharType="begin"/>
      </w:r>
      <w:r w:rsidR="00220B7D">
        <w:instrText xml:space="preserve"> SEQ Equation \* ARABIC \s 1 </w:instrText>
      </w:r>
      <w:r w:rsidR="007511FA">
        <w:fldChar w:fldCharType="separate"/>
      </w:r>
      <w:r w:rsidR="00D5167B">
        <w:rPr>
          <w:noProof/>
        </w:rPr>
        <w:t>4</w:t>
      </w:r>
      <w:r w:rsidR="007511FA">
        <w:fldChar w:fldCharType="end"/>
      </w:r>
      <w:bookmarkEnd w:id="98"/>
    </w:p>
    <w:p w:rsidR="005C0180" w:rsidRPr="005C0180" w:rsidRDefault="005C0180" w:rsidP="005C0180"/>
    <w:p w:rsidR="00E51DC4" w:rsidRDefault="00E51DC4" w:rsidP="005C0180">
      <w:r>
        <w:t xml:space="preserve">The known solution to </w:t>
      </w:r>
      <w:r w:rsidR="007511FA">
        <w:fldChar w:fldCharType="begin"/>
      </w:r>
      <w:r w:rsidR="003E77A1">
        <w:instrText xml:space="preserve"> REF _Ref285532971 \h </w:instrText>
      </w:r>
      <w:r w:rsidR="007511FA">
        <w:fldChar w:fldCharType="separate"/>
      </w:r>
      <w:r w:rsidR="00D5167B" w:rsidRPr="005C0180">
        <w:t xml:space="preserve">Equation </w:t>
      </w:r>
      <w:r w:rsidR="00D5167B">
        <w:rPr>
          <w:noProof/>
        </w:rPr>
        <w:t>3</w:t>
      </w:r>
      <w:r w:rsidR="00D5167B">
        <w:t>.</w:t>
      </w:r>
      <w:r w:rsidR="00D5167B">
        <w:rPr>
          <w:noProof/>
        </w:rPr>
        <w:t>4</w:t>
      </w:r>
      <w:r w:rsidR="007511FA">
        <w:fldChar w:fldCharType="end"/>
      </w:r>
      <w:r w:rsidR="003E77A1">
        <w:t xml:space="preserve"> </w:t>
      </w:r>
      <w:r>
        <w:t xml:space="preserve">is shown in </w:t>
      </w:r>
      <w:r w:rsidR="007511FA">
        <w:fldChar w:fldCharType="begin"/>
      </w:r>
      <w:r w:rsidR="003E77A1">
        <w:instrText xml:space="preserve"> REF _Ref285533150 \h </w:instrText>
      </w:r>
      <w:r w:rsidR="007511FA">
        <w:fldChar w:fldCharType="separate"/>
      </w:r>
      <w:r w:rsidR="00D5167B" w:rsidRPr="003E77A1">
        <w:t xml:space="preserve">Equation </w:t>
      </w:r>
      <w:r w:rsidR="00D5167B">
        <w:rPr>
          <w:noProof/>
        </w:rPr>
        <w:t>3</w:t>
      </w:r>
      <w:r w:rsidR="00D5167B">
        <w:t>.</w:t>
      </w:r>
      <w:r w:rsidR="00D5167B">
        <w:rPr>
          <w:noProof/>
        </w:rPr>
        <w:t>5</w:t>
      </w:r>
      <w:r w:rsidR="007511FA">
        <w:fldChar w:fldCharType="end"/>
      </w:r>
      <w:r w:rsidR="003E77A1">
        <w:t xml:space="preserve"> </w:t>
      </w:r>
      <w:r>
        <w:t>where the N</w:t>
      </w:r>
      <w:r>
        <w:rPr>
          <w:vertAlign w:val="subscript"/>
        </w:rPr>
        <w:t>o</w:t>
      </w:r>
      <w:r>
        <w:t xml:space="preserve"> vector contains the initial nuclide concentrations.  The matrix expo</w:t>
      </w:r>
      <w:r w:rsidR="003E77A1">
        <w:t xml:space="preserve">nential function shown in </w:t>
      </w:r>
      <w:r w:rsidR="007511FA">
        <w:fldChar w:fldCharType="begin"/>
      </w:r>
      <w:r w:rsidR="003E77A1">
        <w:instrText xml:space="preserve"> REF _Ref285533161 \h </w:instrText>
      </w:r>
      <w:r w:rsidR="007511FA">
        <w:fldChar w:fldCharType="separate"/>
      </w:r>
      <w:r w:rsidR="00D5167B" w:rsidRPr="003E77A1">
        <w:t xml:space="preserve">Equation </w:t>
      </w:r>
      <w:r w:rsidR="00D5167B">
        <w:rPr>
          <w:noProof/>
        </w:rPr>
        <w:t>3</w:t>
      </w:r>
      <w:r w:rsidR="00D5167B">
        <w:t>.</w:t>
      </w:r>
      <w:r w:rsidR="00D5167B">
        <w:rPr>
          <w:noProof/>
        </w:rPr>
        <w:t>6</w:t>
      </w:r>
      <w:r w:rsidR="007511FA">
        <w:fldChar w:fldCharType="end"/>
      </w:r>
      <w:r>
        <w:t xml:space="preserve"> can be ins</w:t>
      </w:r>
      <w:r w:rsidR="00CD5664">
        <w:t xml:space="preserve">erted into </w:t>
      </w:r>
      <w:r w:rsidR="007511FA">
        <w:fldChar w:fldCharType="begin"/>
      </w:r>
      <w:r w:rsidR="003E77A1">
        <w:instrText xml:space="preserve"> REF _Ref285533150 \h </w:instrText>
      </w:r>
      <w:r w:rsidR="007511FA">
        <w:fldChar w:fldCharType="separate"/>
      </w:r>
      <w:r w:rsidR="00D5167B" w:rsidRPr="003E77A1">
        <w:t xml:space="preserve">Equation </w:t>
      </w:r>
      <w:r w:rsidR="00D5167B">
        <w:rPr>
          <w:noProof/>
        </w:rPr>
        <w:t>3</w:t>
      </w:r>
      <w:r w:rsidR="00D5167B">
        <w:t>.</w:t>
      </w:r>
      <w:r w:rsidR="00D5167B">
        <w:rPr>
          <w:noProof/>
        </w:rPr>
        <w:t>5</w:t>
      </w:r>
      <w:r w:rsidR="007511FA">
        <w:fldChar w:fldCharType="end"/>
      </w:r>
      <w:r w:rsidR="003E77A1">
        <w:t xml:space="preserve"> </w:t>
      </w:r>
      <w:r w:rsidR="00CD5664">
        <w:t xml:space="preserve">to form the </w:t>
      </w:r>
      <w:r>
        <w:t>matrix exponential method</w:t>
      </w:r>
      <w:r w:rsidR="00CD5664">
        <w:t xml:space="preserve">.  For more detail on the matrix exponential method see </w:t>
      </w:r>
      <w:r w:rsidR="007511FA">
        <w:rPr>
          <w:highlight w:val="yellow"/>
        </w:rPr>
        <w:fldChar w:fldCharType="begin"/>
      </w:r>
      <w:r w:rsidR="00C67546">
        <w:instrText xml:space="preserve"> REF _Ref285636626 \n \h </w:instrText>
      </w:r>
      <w:r w:rsidR="007511FA">
        <w:rPr>
          <w:highlight w:val="yellow"/>
        </w:rPr>
      </w:r>
      <w:r w:rsidR="007511FA">
        <w:rPr>
          <w:highlight w:val="yellow"/>
        </w:rPr>
        <w:fldChar w:fldCharType="separate"/>
      </w:r>
      <w:r w:rsidR="00D5167B">
        <w:t>[52]</w:t>
      </w:r>
      <w:r w:rsidR="007511FA">
        <w:rPr>
          <w:highlight w:val="yellow"/>
        </w:rPr>
        <w:fldChar w:fldCharType="end"/>
      </w:r>
      <w:r w:rsidR="00CD5664">
        <w:t>.</w:t>
      </w:r>
    </w:p>
    <w:p w:rsidR="003E77A1" w:rsidRPr="00050B54" w:rsidRDefault="00E51DC4" w:rsidP="003E77A1">
      <w:pPr>
        <w:pStyle w:val="Caption"/>
        <w:jc w:val="both"/>
        <w:rPr>
          <w:b w:val="0"/>
        </w:rPr>
      </w:pPr>
      <m:oMathPara>
        <m:oMath>
          <m:r>
            <m:rPr>
              <m:sty m:val="bi"/>
            </m:rPr>
            <w:rPr>
              <w:rFonts w:ascii="Cambria Math" w:eastAsiaTheme="minorEastAsia" w:hAnsi="Cambria Math"/>
              <w:sz w:val="22"/>
              <w:szCs w:val="22"/>
            </w:rPr>
            <m:t xml:space="preserve"> </m:t>
          </m:r>
          <m:bar>
            <m:barPr>
              <m:ctrlPr>
                <w:rPr>
                  <w:rFonts w:ascii="Cambria Math" w:eastAsiaTheme="minorEastAsia" w:hAnsi="Cambria Math"/>
                  <w:b w:val="0"/>
                  <w:bCs w:val="0"/>
                  <w:i/>
                  <w:sz w:val="22"/>
                  <w:szCs w:val="22"/>
                </w:rPr>
              </m:ctrlPr>
            </m:barPr>
            <m:e>
              <m:r>
                <m:rPr>
                  <m:sty m:val="bi"/>
                </m:rPr>
                <w:rPr>
                  <w:rFonts w:ascii="Cambria Math" w:eastAsiaTheme="minorEastAsia" w:hAnsi="Cambria Math"/>
                  <w:sz w:val="22"/>
                  <w:szCs w:val="22"/>
                </w:rPr>
                <m:t>N</m:t>
              </m:r>
            </m:e>
          </m:bar>
          <m:r>
            <m:rPr>
              <m:sty m:val="bi"/>
            </m:rPr>
            <w:rPr>
              <w:rFonts w:ascii="Cambria Math" w:eastAsiaTheme="minorEastAsia" w:hAnsi="Cambria Math"/>
              <w:sz w:val="22"/>
              <w:szCs w:val="22"/>
            </w:rPr>
            <m:t>=</m:t>
          </m:r>
          <m:sSub>
            <m:sSubPr>
              <m:ctrlPr>
                <w:rPr>
                  <w:rFonts w:ascii="Cambria Math" w:eastAsiaTheme="minorEastAsia" w:hAnsi="Cambria Math"/>
                  <w:b w:val="0"/>
                  <w:bCs w:val="0"/>
                  <w:i/>
                  <w:sz w:val="22"/>
                  <w:szCs w:val="22"/>
                </w:rPr>
              </m:ctrlPr>
            </m:sSubPr>
            <m:e>
              <m:bar>
                <m:barPr>
                  <m:ctrlPr>
                    <w:rPr>
                      <w:rFonts w:ascii="Cambria Math" w:eastAsiaTheme="minorEastAsia" w:hAnsi="Cambria Math"/>
                      <w:b w:val="0"/>
                      <w:bCs w:val="0"/>
                      <w:i/>
                      <w:sz w:val="22"/>
                      <w:szCs w:val="22"/>
                    </w:rPr>
                  </m:ctrlPr>
                </m:barPr>
                <m:e>
                  <m:r>
                    <m:rPr>
                      <m:sty m:val="bi"/>
                    </m:rPr>
                    <w:rPr>
                      <w:rFonts w:ascii="Cambria Math" w:eastAsiaTheme="minorEastAsia" w:hAnsi="Cambria Math"/>
                      <w:sz w:val="22"/>
                      <w:szCs w:val="22"/>
                    </w:rPr>
                    <m:t>N</m:t>
                  </m:r>
                </m:e>
              </m:bar>
            </m:e>
            <m:sub>
              <m:r>
                <m:rPr>
                  <m:sty m:val="bi"/>
                </m:rPr>
                <w:rPr>
                  <w:rFonts w:ascii="Cambria Math" w:eastAsiaTheme="minorEastAsia" w:hAnsi="Cambria Math"/>
                  <w:sz w:val="22"/>
                  <w:szCs w:val="22"/>
                </w:rPr>
                <m:t>o</m:t>
              </m:r>
            </m:sub>
          </m:sSub>
          <m:sSup>
            <m:sSupPr>
              <m:ctrlPr>
                <w:rPr>
                  <w:rFonts w:ascii="Cambria Math" w:eastAsiaTheme="minorEastAsia" w:hAnsi="Cambria Math"/>
                  <w:b w:val="0"/>
                  <w:bCs w:val="0"/>
                  <w:i/>
                  <w:sz w:val="22"/>
                  <w:szCs w:val="22"/>
                </w:rPr>
              </m:ctrlPr>
            </m:sSupPr>
            <m:e>
              <m:r>
                <m:rPr>
                  <m:sty m:val="bi"/>
                </m:rPr>
                <w:rPr>
                  <w:rFonts w:ascii="Cambria Math" w:eastAsiaTheme="minorEastAsia" w:hAnsi="Cambria Math"/>
                  <w:sz w:val="22"/>
                  <w:szCs w:val="22"/>
                </w:rPr>
                <m:t>e</m:t>
              </m:r>
            </m:e>
            <m:sup>
              <m:d>
                <m:dPr>
                  <m:ctrlPr>
                    <w:rPr>
                      <w:rFonts w:ascii="Cambria Math" w:eastAsiaTheme="minorEastAsia" w:hAnsi="Cambria Math"/>
                      <w:b w:val="0"/>
                      <w:bCs w:val="0"/>
                      <w:i/>
                      <w:sz w:val="22"/>
                      <w:szCs w:val="22"/>
                    </w:rPr>
                  </m:ctrlPr>
                </m:dPr>
                <m:e>
                  <m:bar>
                    <m:barPr>
                      <m:ctrlPr>
                        <w:rPr>
                          <w:rFonts w:ascii="Cambria Math" w:eastAsiaTheme="minorEastAsia" w:hAnsi="Cambria Math"/>
                          <w:b w:val="0"/>
                          <w:bCs w:val="0"/>
                          <w:i/>
                          <w:sz w:val="22"/>
                          <w:szCs w:val="22"/>
                        </w:rPr>
                      </m:ctrlPr>
                    </m:barPr>
                    <m:e>
                      <m:bar>
                        <m:barPr>
                          <m:ctrlPr>
                            <w:rPr>
                              <w:rFonts w:ascii="Cambria Math" w:eastAsiaTheme="minorEastAsia" w:hAnsi="Cambria Math"/>
                              <w:b w:val="0"/>
                              <w:bCs w:val="0"/>
                              <w:i/>
                              <w:sz w:val="22"/>
                              <w:szCs w:val="22"/>
                            </w:rPr>
                          </m:ctrlPr>
                        </m:barPr>
                        <m:e>
                          <m:r>
                            <m:rPr>
                              <m:sty m:val="bi"/>
                            </m:rPr>
                            <w:rPr>
                              <w:rFonts w:ascii="Cambria Math" w:eastAsiaTheme="minorEastAsia" w:hAnsi="Cambria Math"/>
                              <w:sz w:val="22"/>
                              <w:szCs w:val="22"/>
                            </w:rPr>
                            <m:t>A</m:t>
                          </m:r>
                        </m:e>
                      </m:bar>
                    </m:e>
                  </m:bar>
                  <m:r>
                    <m:rPr>
                      <m:sty m:val="bi"/>
                    </m:rPr>
                    <w:rPr>
                      <w:rFonts w:ascii="Cambria Math" w:eastAsiaTheme="minorEastAsia" w:hAnsi="Cambria Math"/>
                      <w:sz w:val="22"/>
                      <w:szCs w:val="22"/>
                    </w:rPr>
                    <m:t>t</m:t>
                  </m:r>
                </m:e>
              </m:d>
            </m:sup>
          </m:sSup>
        </m:oMath>
      </m:oMathPara>
    </w:p>
    <w:p w:rsidR="00E51DC4" w:rsidRPr="003E77A1" w:rsidRDefault="00E51DC4" w:rsidP="003E77A1">
      <w:pPr>
        <w:pStyle w:val="Caption"/>
      </w:pPr>
      <w:bookmarkStart w:id="99" w:name="_Ref285533150"/>
      <w:proofErr w:type="gramStart"/>
      <w:r w:rsidRPr="003E77A1">
        <w:t xml:space="preserve">Equation </w:t>
      </w:r>
      <w:r w:rsidR="007511FA">
        <w:fldChar w:fldCharType="begin"/>
      </w:r>
      <w:r w:rsidR="00AE17F8">
        <w:instrText xml:space="preserve"> STYLEREF 1 \s </w:instrText>
      </w:r>
      <w:r w:rsidR="007511FA">
        <w:fldChar w:fldCharType="separate"/>
      </w:r>
      <w:r w:rsidR="00D5167B">
        <w:rPr>
          <w:noProof/>
        </w:rPr>
        <w:t>3</w:t>
      </w:r>
      <w:r w:rsidR="007511FA">
        <w:fldChar w:fldCharType="end"/>
      </w:r>
      <w:r w:rsidR="00220B7D">
        <w:t>.</w:t>
      </w:r>
      <w:proofErr w:type="gramEnd"/>
      <w:r w:rsidR="007511FA">
        <w:fldChar w:fldCharType="begin"/>
      </w:r>
      <w:r w:rsidR="00220B7D">
        <w:instrText xml:space="preserve"> SEQ Equation \* ARABIC \s 1 </w:instrText>
      </w:r>
      <w:r w:rsidR="007511FA">
        <w:fldChar w:fldCharType="separate"/>
      </w:r>
      <w:r w:rsidR="00D5167B">
        <w:rPr>
          <w:noProof/>
        </w:rPr>
        <w:t>5</w:t>
      </w:r>
      <w:r w:rsidR="007511FA">
        <w:fldChar w:fldCharType="end"/>
      </w:r>
      <w:bookmarkEnd w:id="99"/>
    </w:p>
    <w:p w:rsidR="003E77A1" w:rsidRPr="003E77A1" w:rsidRDefault="003E77A1" w:rsidP="003E77A1"/>
    <w:p w:rsidR="003E77A1" w:rsidRPr="00050B54" w:rsidRDefault="007511FA" w:rsidP="003E77A1">
      <w:pPr>
        <w:pStyle w:val="Caption"/>
        <w:jc w:val="both"/>
        <w:rPr>
          <w:b w:val="0"/>
        </w:rPr>
      </w:pPr>
      <m:oMathPara>
        <m:oMath>
          <m:sSup>
            <m:sSupPr>
              <m:ctrlPr>
                <w:rPr>
                  <w:rFonts w:ascii="Cambria Math" w:eastAsiaTheme="minorEastAsia" w:hAnsi="Cambria Math"/>
                  <w:b w:val="0"/>
                  <w:bCs w:val="0"/>
                  <w:i/>
                  <w:sz w:val="22"/>
                  <w:szCs w:val="22"/>
                </w:rPr>
              </m:ctrlPr>
            </m:sSupPr>
            <m:e>
              <m:r>
                <m:rPr>
                  <m:sty m:val="bi"/>
                </m:rPr>
                <w:rPr>
                  <w:rFonts w:ascii="Cambria Math" w:eastAsiaTheme="minorEastAsia" w:hAnsi="Cambria Math"/>
                  <w:sz w:val="22"/>
                  <w:szCs w:val="22"/>
                </w:rPr>
                <m:t>e</m:t>
              </m:r>
            </m:e>
            <m:sup>
              <m:d>
                <m:dPr>
                  <m:ctrlPr>
                    <w:rPr>
                      <w:rFonts w:ascii="Cambria Math" w:eastAsiaTheme="minorEastAsia" w:hAnsi="Cambria Math"/>
                      <w:b w:val="0"/>
                      <w:bCs w:val="0"/>
                      <w:i/>
                      <w:sz w:val="22"/>
                      <w:szCs w:val="22"/>
                    </w:rPr>
                  </m:ctrlPr>
                </m:dPr>
                <m:e>
                  <m:bar>
                    <m:barPr>
                      <m:ctrlPr>
                        <w:rPr>
                          <w:rFonts w:ascii="Cambria Math" w:eastAsiaTheme="minorEastAsia" w:hAnsi="Cambria Math"/>
                          <w:b w:val="0"/>
                          <w:bCs w:val="0"/>
                          <w:i/>
                          <w:sz w:val="22"/>
                          <w:szCs w:val="22"/>
                        </w:rPr>
                      </m:ctrlPr>
                    </m:barPr>
                    <m:e>
                      <m:bar>
                        <m:barPr>
                          <m:ctrlPr>
                            <w:rPr>
                              <w:rFonts w:ascii="Cambria Math" w:eastAsiaTheme="minorEastAsia" w:hAnsi="Cambria Math"/>
                              <w:b w:val="0"/>
                              <w:bCs w:val="0"/>
                              <w:i/>
                              <w:sz w:val="22"/>
                              <w:szCs w:val="22"/>
                            </w:rPr>
                          </m:ctrlPr>
                        </m:barPr>
                        <m:e>
                          <m:r>
                            <m:rPr>
                              <m:sty m:val="bi"/>
                            </m:rPr>
                            <w:rPr>
                              <w:rFonts w:ascii="Cambria Math" w:eastAsiaTheme="minorEastAsia" w:hAnsi="Cambria Math"/>
                              <w:sz w:val="22"/>
                              <w:szCs w:val="22"/>
                            </w:rPr>
                            <m:t>A</m:t>
                          </m:r>
                        </m:e>
                      </m:bar>
                    </m:e>
                  </m:bar>
                  <m:r>
                    <m:rPr>
                      <m:sty m:val="bi"/>
                    </m:rPr>
                    <w:rPr>
                      <w:rFonts w:ascii="Cambria Math" w:eastAsiaTheme="minorEastAsia" w:hAnsi="Cambria Math"/>
                      <w:sz w:val="22"/>
                      <w:szCs w:val="22"/>
                    </w:rPr>
                    <m:t>t</m:t>
                  </m:r>
                </m:e>
              </m:d>
            </m:sup>
          </m:sSup>
          <m:r>
            <m:rPr>
              <m:sty m:val="bi"/>
            </m:rPr>
            <w:rPr>
              <w:rFonts w:ascii="Cambria Math" w:eastAsiaTheme="minorEastAsia" w:hAnsi="Cambria Math"/>
              <w:sz w:val="22"/>
              <w:szCs w:val="22"/>
            </w:rPr>
            <m:t>=</m:t>
          </m:r>
          <m:nary>
            <m:naryPr>
              <m:chr m:val="∑"/>
              <m:limLoc m:val="subSup"/>
              <m:ctrlPr>
                <w:rPr>
                  <w:rFonts w:ascii="Cambria Math" w:eastAsiaTheme="minorEastAsia" w:hAnsi="Cambria Math"/>
                  <w:b w:val="0"/>
                  <w:bCs w:val="0"/>
                  <w:i/>
                  <w:sz w:val="22"/>
                  <w:szCs w:val="22"/>
                </w:rPr>
              </m:ctrlPr>
            </m:naryPr>
            <m:sub>
              <m:r>
                <m:rPr>
                  <m:sty m:val="bi"/>
                </m:rPr>
                <w:rPr>
                  <w:rFonts w:ascii="Cambria Math" w:eastAsiaTheme="minorEastAsia" w:hAnsi="Cambria Math"/>
                  <w:sz w:val="22"/>
                  <w:szCs w:val="22"/>
                </w:rPr>
                <m:t>m=0</m:t>
              </m:r>
            </m:sub>
            <m:sup>
              <m:r>
                <m:rPr>
                  <m:sty m:val="bi"/>
                </m:rPr>
                <w:rPr>
                  <w:rFonts w:ascii="Cambria Math" w:eastAsiaTheme="minorEastAsia" w:hAnsi="Cambria Math"/>
                  <w:sz w:val="22"/>
                  <w:szCs w:val="22"/>
                </w:rPr>
                <m:t>∞</m:t>
              </m:r>
            </m:sup>
            <m:e>
              <m:f>
                <m:fPr>
                  <m:ctrlPr>
                    <w:rPr>
                      <w:rFonts w:ascii="Cambria Math" w:eastAsiaTheme="minorEastAsia" w:hAnsi="Cambria Math"/>
                      <w:b w:val="0"/>
                      <w:bCs w:val="0"/>
                      <w:i/>
                      <w:sz w:val="22"/>
                      <w:szCs w:val="22"/>
                    </w:rPr>
                  </m:ctrlPr>
                </m:fPr>
                <m:num>
                  <m:sSup>
                    <m:sSupPr>
                      <m:ctrlPr>
                        <w:rPr>
                          <w:rFonts w:ascii="Cambria Math" w:eastAsiaTheme="minorEastAsia" w:hAnsi="Cambria Math"/>
                          <w:b w:val="0"/>
                          <w:bCs w:val="0"/>
                          <w:i/>
                          <w:sz w:val="22"/>
                          <w:szCs w:val="22"/>
                        </w:rPr>
                      </m:ctrlPr>
                    </m:sSupPr>
                    <m:e>
                      <m:d>
                        <m:dPr>
                          <m:ctrlPr>
                            <w:rPr>
                              <w:rFonts w:ascii="Cambria Math" w:eastAsiaTheme="minorEastAsia" w:hAnsi="Cambria Math"/>
                              <w:b w:val="0"/>
                              <w:bCs w:val="0"/>
                              <w:i/>
                              <w:sz w:val="22"/>
                              <w:szCs w:val="22"/>
                            </w:rPr>
                          </m:ctrlPr>
                        </m:dPr>
                        <m:e>
                          <m:bar>
                            <m:barPr>
                              <m:ctrlPr>
                                <w:rPr>
                                  <w:rFonts w:ascii="Cambria Math" w:eastAsiaTheme="minorEastAsia" w:hAnsi="Cambria Math"/>
                                  <w:b w:val="0"/>
                                  <w:bCs w:val="0"/>
                                  <w:i/>
                                  <w:sz w:val="22"/>
                                  <w:szCs w:val="22"/>
                                </w:rPr>
                              </m:ctrlPr>
                            </m:barPr>
                            <m:e>
                              <m:bar>
                                <m:barPr>
                                  <m:ctrlPr>
                                    <w:rPr>
                                      <w:rFonts w:ascii="Cambria Math" w:eastAsiaTheme="minorEastAsia" w:hAnsi="Cambria Math"/>
                                      <w:b w:val="0"/>
                                      <w:bCs w:val="0"/>
                                      <w:i/>
                                      <w:sz w:val="22"/>
                                      <w:szCs w:val="22"/>
                                    </w:rPr>
                                  </m:ctrlPr>
                                </m:barPr>
                                <m:e>
                                  <m:r>
                                    <m:rPr>
                                      <m:sty m:val="bi"/>
                                    </m:rPr>
                                    <w:rPr>
                                      <w:rFonts w:ascii="Cambria Math" w:eastAsiaTheme="minorEastAsia" w:hAnsi="Cambria Math"/>
                                      <w:sz w:val="22"/>
                                      <w:szCs w:val="22"/>
                                    </w:rPr>
                                    <m:t>A</m:t>
                                  </m:r>
                                </m:e>
                              </m:bar>
                            </m:e>
                          </m:bar>
                          <m:r>
                            <m:rPr>
                              <m:sty m:val="bi"/>
                            </m:rPr>
                            <w:rPr>
                              <w:rFonts w:ascii="Cambria Math" w:eastAsiaTheme="minorEastAsia" w:hAnsi="Cambria Math"/>
                              <w:sz w:val="22"/>
                              <w:szCs w:val="22"/>
                            </w:rPr>
                            <m:t>t</m:t>
                          </m:r>
                        </m:e>
                      </m:d>
                    </m:e>
                    <m:sup>
                      <m:r>
                        <m:rPr>
                          <m:sty m:val="bi"/>
                        </m:rPr>
                        <w:rPr>
                          <w:rFonts w:ascii="Cambria Math" w:eastAsiaTheme="minorEastAsia" w:hAnsi="Cambria Math"/>
                          <w:sz w:val="22"/>
                          <w:szCs w:val="22"/>
                        </w:rPr>
                        <m:t>m</m:t>
                      </m:r>
                    </m:sup>
                  </m:sSup>
                </m:num>
                <m:den>
                  <m:r>
                    <m:rPr>
                      <m:sty m:val="bi"/>
                    </m:rPr>
                    <w:rPr>
                      <w:rFonts w:ascii="Cambria Math" w:eastAsiaTheme="minorEastAsia" w:hAnsi="Cambria Math"/>
                      <w:sz w:val="22"/>
                      <w:szCs w:val="22"/>
                    </w:rPr>
                    <m:t>m!</m:t>
                  </m:r>
                </m:den>
              </m:f>
            </m:e>
          </m:nary>
        </m:oMath>
      </m:oMathPara>
    </w:p>
    <w:p w:rsidR="00E51DC4" w:rsidRPr="003E77A1" w:rsidRDefault="00E51DC4" w:rsidP="003E77A1">
      <w:pPr>
        <w:pStyle w:val="Caption"/>
      </w:pPr>
      <w:bookmarkStart w:id="100" w:name="_Ref285533161"/>
      <w:proofErr w:type="gramStart"/>
      <w:r w:rsidRPr="003E77A1">
        <w:t xml:space="preserve">Equation </w:t>
      </w:r>
      <w:r w:rsidR="007511FA">
        <w:fldChar w:fldCharType="begin"/>
      </w:r>
      <w:r w:rsidR="00AE17F8">
        <w:instrText xml:space="preserve"> STYLEREF 1 \s </w:instrText>
      </w:r>
      <w:r w:rsidR="007511FA">
        <w:fldChar w:fldCharType="separate"/>
      </w:r>
      <w:r w:rsidR="00D5167B">
        <w:rPr>
          <w:noProof/>
        </w:rPr>
        <w:t>3</w:t>
      </w:r>
      <w:r w:rsidR="007511FA">
        <w:fldChar w:fldCharType="end"/>
      </w:r>
      <w:r w:rsidR="00220B7D">
        <w:t>.</w:t>
      </w:r>
      <w:proofErr w:type="gramEnd"/>
      <w:r w:rsidR="007511FA">
        <w:fldChar w:fldCharType="begin"/>
      </w:r>
      <w:r w:rsidR="00220B7D">
        <w:instrText xml:space="preserve"> SEQ Equation \* ARABIC \s 1 </w:instrText>
      </w:r>
      <w:r w:rsidR="007511FA">
        <w:fldChar w:fldCharType="separate"/>
      </w:r>
      <w:r w:rsidR="00D5167B">
        <w:rPr>
          <w:noProof/>
        </w:rPr>
        <w:t>6</w:t>
      </w:r>
      <w:r w:rsidR="007511FA">
        <w:fldChar w:fldCharType="end"/>
      </w:r>
      <w:bookmarkEnd w:id="100"/>
    </w:p>
    <w:p w:rsidR="005C0180" w:rsidRPr="005C0180" w:rsidRDefault="005C0180" w:rsidP="005C0180"/>
    <w:p w:rsidR="008C2185" w:rsidRDefault="008C2185" w:rsidP="00AA149C">
      <w:pPr>
        <w:pStyle w:val="Heading2"/>
      </w:pPr>
      <w:bookmarkStart w:id="101" w:name="_Toc295818107"/>
      <w:r>
        <w:t>ALEPH</w:t>
      </w:r>
      <w:bookmarkEnd w:id="101"/>
    </w:p>
    <w:p w:rsidR="00DA6D67" w:rsidRDefault="00180AB2" w:rsidP="00180AB2">
      <w:r>
        <w:t>ALEPH</w:t>
      </w:r>
      <w:r w:rsidR="00C67546">
        <w:t xml:space="preserve"> </w:t>
      </w:r>
      <w:r w:rsidR="007511FA">
        <w:fldChar w:fldCharType="begin"/>
      </w:r>
      <w:r w:rsidR="00C67546">
        <w:instrText xml:space="preserve"> REF _Ref285636647 \n \h </w:instrText>
      </w:r>
      <w:r w:rsidR="007511FA">
        <w:fldChar w:fldCharType="separate"/>
      </w:r>
      <w:r w:rsidR="00D5167B">
        <w:t>[53]</w:t>
      </w:r>
      <w:r w:rsidR="007511FA">
        <w:fldChar w:fldCharType="end"/>
      </w:r>
      <w:r>
        <w:t xml:space="preserve"> is a generic Monte Carlo depletion tool that was developed and is maintained at the </w:t>
      </w:r>
      <w:proofErr w:type="spellStart"/>
      <w:r w:rsidRPr="00180AB2">
        <w:rPr>
          <w:rFonts w:cstheme="minorHAnsi"/>
          <w:color w:val="000000"/>
        </w:rPr>
        <w:t>Studiecentrum</w:t>
      </w:r>
      <w:proofErr w:type="spellEnd"/>
      <w:r w:rsidRPr="00180AB2">
        <w:rPr>
          <w:rFonts w:cstheme="minorHAnsi"/>
          <w:color w:val="000000"/>
        </w:rPr>
        <w:t xml:space="preserve"> </w:t>
      </w:r>
      <w:proofErr w:type="spellStart"/>
      <w:r w:rsidRPr="00180AB2">
        <w:rPr>
          <w:rFonts w:cstheme="minorHAnsi"/>
          <w:color w:val="000000"/>
        </w:rPr>
        <w:t>voor</w:t>
      </w:r>
      <w:proofErr w:type="spellEnd"/>
      <w:r w:rsidRPr="00180AB2">
        <w:rPr>
          <w:rFonts w:cstheme="minorHAnsi"/>
          <w:color w:val="000000"/>
        </w:rPr>
        <w:t xml:space="preserve"> </w:t>
      </w:r>
      <w:proofErr w:type="spellStart"/>
      <w:r w:rsidRPr="00180AB2">
        <w:rPr>
          <w:rFonts w:cstheme="minorHAnsi"/>
          <w:color w:val="000000"/>
        </w:rPr>
        <w:t>Kernenergie</w:t>
      </w:r>
      <w:proofErr w:type="spellEnd"/>
      <w:r w:rsidRPr="00180AB2">
        <w:rPr>
          <w:rFonts w:cstheme="minorHAnsi"/>
          <w:color w:val="000000"/>
        </w:rPr>
        <w:t xml:space="preserve"> - Centre </w:t>
      </w:r>
      <w:proofErr w:type="spellStart"/>
      <w:r w:rsidRPr="00180AB2">
        <w:rPr>
          <w:rFonts w:cstheme="minorHAnsi"/>
          <w:color w:val="000000"/>
        </w:rPr>
        <w:t>d'Etude</w:t>
      </w:r>
      <w:proofErr w:type="spellEnd"/>
      <w:r w:rsidRPr="00180AB2">
        <w:rPr>
          <w:rFonts w:cstheme="minorHAnsi"/>
          <w:color w:val="000000"/>
        </w:rPr>
        <w:t xml:space="preserve"> de </w:t>
      </w:r>
      <w:proofErr w:type="spellStart"/>
      <w:r w:rsidRPr="00180AB2">
        <w:rPr>
          <w:rFonts w:cstheme="minorHAnsi"/>
          <w:color w:val="000000"/>
        </w:rPr>
        <w:t>l'énergie</w:t>
      </w:r>
      <w:proofErr w:type="spellEnd"/>
      <w:r w:rsidRPr="00180AB2">
        <w:rPr>
          <w:rFonts w:cstheme="minorHAnsi"/>
          <w:color w:val="000000"/>
        </w:rPr>
        <w:t xml:space="preserve"> </w:t>
      </w:r>
      <w:proofErr w:type="spellStart"/>
      <w:r w:rsidRPr="00180AB2">
        <w:rPr>
          <w:rFonts w:cstheme="minorHAnsi"/>
          <w:color w:val="000000"/>
        </w:rPr>
        <w:t>Nucléaire</w:t>
      </w:r>
      <w:proofErr w:type="spellEnd"/>
      <w:r>
        <w:t xml:space="preserve"> (SCK-CEN), which is the Belgian Nuclear Research Center.  ALEPH is an interface code between NJOY 99.90, ORIGEN 2.2, and any version of MCNP</w:t>
      </w:r>
      <w:r w:rsidR="00DC46CE">
        <w:t xml:space="preserve"> or MCNPX</w:t>
      </w:r>
      <w:r>
        <w:t xml:space="preserve">.  </w:t>
      </w:r>
      <w:r w:rsidR="003A5C4A">
        <w:t>NJOY is used for preparing cross section libraries</w:t>
      </w:r>
      <w:r w:rsidR="00DA6D67">
        <w:t>, ORIGEN</w:t>
      </w:r>
      <w:r w:rsidR="00EC2E9B">
        <w:t xml:space="preserve"> 2.2</w:t>
      </w:r>
      <w:r w:rsidR="00DA6D67">
        <w:t xml:space="preserve"> is used for depletion calculations and </w:t>
      </w:r>
      <w:r w:rsidR="009005A3">
        <w:t>MCNP is used for transport calculations.</w:t>
      </w:r>
    </w:p>
    <w:p w:rsidR="00EC2E9B" w:rsidRDefault="00DA6D67" w:rsidP="00180AB2">
      <w:r>
        <w:t xml:space="preserve">Transport calculations are performed via MCNP and continuous-energy nuclear data </w:t>
      </w:r>
      <w:r w:rsidR="009005A3">
        <w:t>in order to generate</w:t>
      </w:r>
      <w:r w:rsidR="00180AB2">
        <w:t xml:space="preserve"> </w:t>
      </w:r>
      <w:r w:rsidR="00493490">
        <w:t>a very</w:t>
      </w:r>
      <w:r w:rsidR="009005A3">
        <w:t xml:space="preserve"> fine multi-energy-group spectrum.  A very fine energy structure of 43,000 groups is used to correctly account for the resonance self-shielding effects, especially those associated with </w:t>
      </w:r>
      <w:r w:rsidR="009005A3">
        <w:rPr>
          <w:vertAlign w:val="superscript"/>
        </w:rPr>
        <w:t>238</w:t>
      </w:r>
      <w:r w:rsidR="009005A3">
        <w:t xml:space="preserve">U.  This </w:t>
      </w:r>
      <w:r w:rsidR="009005A3">
        <w:lastRenderedPageBreak/>
        <w:t xml:space="preserve">group structure is used to create the effective </w:t>
      </w:r>
      <w:r>
        <w:t xml:space="preserve">one-group </w:t>
      </w:r>
      <w:r w:rsidR="00493490">
        <w:t>collaps</w:t>
      </w:r>
      <w:r>
        <w:t>ed cross sections</w:t>
      </w:r>
      <w:r w:rsidR="00EC2E9B">
        <w:t xml:space="preserve"> needed for the ORIGEN 2.2 calculations.</w:t>
      </w:r>
      <w:r w:rsidR="00DC46CE">
        <w:t xml:space="preserve">  </w:t>
      </w:r>
      <w:r w:rsidR="00DC46CE" w:rsidRPr="00B47C49">
        <w:t xml:space="preserve">These cross sections are obtained by weighting available </w:t>
      </w:r>
      <w:proofErr w:type="spellStart"/>
      <w:r w:rsidR="00DC46CE" w:rsidRPr="00B47C49">
        <w:t>pointwise</w:t>
      </w:r>
      <w:proofErr w:type="spellEnd"/>
      <w:r w:rsidR="00DC46CE" w:rsidRPr="00B47C49">
        <w:t xml:space="preserve"> c</w:t>
      </w:r>
      <w:r w:rsidR="00DC46CE">
        <w:t xml:space="preserve">ross section data with the MCNP </w:t>
      </w:r>
      <w:r w:rsidR="00DC46CE" w:rsidRPr="00B47C49">
        <w:t xml:space="preserve">calculated fine-group flux.  The </w:t>
      </w:r>
      <w:proofErr w:type="spellStart"/>
      <w:r w:rsidR="00DC46CE" w:rsidRPr="00B47C49">
        <w:t>pointwise</w:t>
      </w:r>
      <w:proofErr w:type="spellEnd"/>
      <w:r w:rsidR="00DC46CE" w:rsidRPr="00B47C49">
        <w:t xml:space="preserve"> cross section data are consistent with the cross section data used in the MCNP transport calculation since they are both pre-computed based on the same ENDF/B data files that are generated by NJOY.</w:t>
      </w:r>
      <w:r w:rsidR="00EC2E9B">
        <w:t xml:space="preserve">  This process is known as the multi-group binning approach.</w:t>
      </w:r>
    </w:p>
    <w:p w:rsidR="00493490" w:rsidRDefault="00EC2E9B" w:rsidP="00180AB2">
      <w:r>
        <w:t xml:space="preserve">ORIGEN 2.2 as described in the previous section is a point depletion code that performs evolution calculations.  An input file is created for every zone occupied by a material being depleted these materials can be depleted by a constant flux irradiation, a constant power irradiation, or simply by radioactive decay.  After the depletion calculations are completed, ALEPH passes on the new material compositions to build a new MCNP input file and the process repeats until </w:t>
      </w:r>
      <w:r w:rsidR="00E70C2E">
        <w:t>the last irradiation</w:t>
      </w:r>
      <w:r w:rsidR="00DC46CE">
        <w:t xml:space="preserve"> or decay step has finished.  A user-defined fractional absorption criterion typically 0.9999 is used to truncate the number of isotopes calculated by ORIGEN and passed on to the new MCNP input.  </w:t>
      </w:r>
      <w:r w:rsidR="00DC46CE" w:rsidRPr="00A13E33">
        <w:t>ALEPH calculates the total absorpti</w:t>
      </w:r>
      <w:r w:rsidR="00DC46CE">
        <w:t>on of every nuclide and only those</w:t>
      </w:r>
      <w:r w:rsidR="00DC46CE" w:rsidRPr="00A13E33">
        <w:t xml:space="preserve"> nuclides that contribute to 99.99% of </w:t>
      </w:r>
      <w:r w:rsidR="00DC46CE">
        <w:t xml:space="preserve">all </w:t>
      </w:r>
      <w:r w:rsidR="00DC46CE" w:rsidRPr="00A13E33">
        <w:t>absorption</w:t>
      </w:r>
      <w:r w:rsidR="00DC46CE">
        <w:t>s</w:t>
      </w:r>
      <w:r w:rsidR="00DC46CE" w:rsidRPr="00A13E33">
        <w:t xml:space="preserve"> plus all of the initial user spe</w:t>
      </w:r>
      <w:r w:rsidR="00DC46CE">
        <w:t>cified nuclides are included in the material composition</w:t>
      </w:r>
      <w:r w:rsidR="00DC46CE" w:rsidRPr="00A13E33">
        <w:t>.</w:t>
      </w:r>
    </w:p>
    <w:p w:rsidR="003E77A1" w:rsidRDefault="00E70C2E" w:rsidP="003E77A1">
      <w:r>
        <w:t xml:space="preserve">The ALEPH input </w:t>
      </w:r>
      <w:r w:rsidRPr="00E9482C">
        <w:t>file consists of the ALEPH code options as well as the MCNP input file.  The ma</w:t>
      </w:r>
      <w:r>
        <w:t xml:space="preserve">jor ALEPH inputs outlines the </w:t>
      </w:r>
      <w:r w:rsidRPr="00E9482C">
        <w:t xml:space="preserve">materials to be burned, the libraries and executables to be utilized, the </w:t>
      </w:r>
      <w:r>
        <w:t xml:space="preserve">energy </w:t>
      </w:r>
      <w:r w:rsidRPr="00E9482C">
        <w:t>group structure, and the irradiation history.</w:t>
      </w:r>
      <w:r>
        <w:t xml:space="preserve">  The temperature and/or the density of any of the materials may be changed and the materials in any cell can be replaced with another user-defined material at any time step</w:t>
      </w:r>
      <w:r w:rsidR="00C47F68">
        <w:t xml:space="preserve"> to allow for reloading, simulating heating effects in water, and etc</w:t>
      </w:r>
      <w:r>
        <w:t>.  Also, geometry changes can be made at any time step through the use of</w:t>
      </w:r>
      <w:r w:rsidR="00DC46CE">
        <w:t xml:space="preserve"> surface</w:t>
      </w:r>
      <w:r>
        <w:t xml:space="preserve"> transformation cards and thus control rod movement can be simulated</w:t>
      </w:r>
      <w:r w:rsidR="00DC46CE">
        <w:t xml:space="preserve"> during the irradiation period</w:t>
      </w:r>
      <w:r>
        <w:t xml:space="preserve"> which is very advantageous</w:t>
      </w:r>
      <w:r w:rsidR="00DC46CE">
        <w:t xml:space="preserve"> since the flux in a core is dependent on the control rod </w:t>
      </w:r>
      <w:r w:rsidR="00C47F68">
        <w:t>position</w:t>
      </w:r>
      <w:r w:rsidR="008C3BF8">
        <w:t>.</w:t>
      </w:r>
      <w:r w:rsidR="003E77A1">
        <w:br w:type="page"/>
      </w:r>
    </w:p>
    <w:p w:rsidR="008C2185" w:rsidRDefault="008C2185" w:rsidP="00AA149C">
      <w:pPr>
        <w:pStyle w:val="Heading2"/>
      </w:pPr>
      <w:bookmarkStart w:id="102" w:name="_Toc295818108"/>
      <w:r>
        <w:lastRenderedPageBreak/>
        <w:t>VESTA</w:t>
      </w:r>
      <w:bookmarkEnd w:id="102"/>
    </w:p>
    <w:p w:rsidR="00EB13F7" w:rsidRDefault="00C47F68" w:rsidP="00C47F68">
      <w:pPr>
        <w:rPr>
          <w:rFonts w:cstheme="minorHAnsi"/>
        </w:rPr>
      </w:pPr>
      <w:r>
        <w:t>VESTA</w:t>
      </w:r>
      <w:r w:rsidR="00C67546">
        <w:t xml:space="preserve"> </w:t>
      </w:r>
      <w:r w:rsidR="007511FA">
        <w:fldChar w:fldCharType="begin"/>
      </w:r>
      <w:r w:rsidR="00C67546">
        <w:instrText xml:space="preserve"> REF _Ref285636657 \n \h </w:instrText>
      </w:r>
      <w:r w:rsidR="007511FA">
        <w:fldChar w:fldCharType="separate"/>
      </w:r>
      <w:r w:rsidR="00D5167B">
        <w:t>[54]</w:t>
      </w:r>
      <w:r w:rsidR="007511FA">
        <w:fldChar w:fldCharType="end"/>
      </w:r>
      <w:r>
        <w:t xml:space="preserve"> is a generic Monte Carlo depletion </w:t>
      </w:r>
      <w:r w:rsidRPr="00C47F68">
        <w:rPr>
          <w:rFonts w:cstheme="minorHAnsi"/>
        </w:rPr>
        <w:t xml:space="preserve">tool that was developed and is maintained at </w:t>
      </w:r>
      <w:proofErr w:type="spellStart"/>
      <w:r w:rsidRPr="00C47F68">
        <w:rPr>
          <w:rFonts w:cstheme="minorHAnsi"/>
          <w:color w:val="000000"/>
        </w:rPr>
        <w:t>L'Institut</w:t>
      </w:r>
      <w:proofErr w:type="spellEnd"/>
      <w:r w:rsidRPr="00C47F68">
        <w:rPr>
          <w:rFonts w:cstheme="minorHAnsi"/>
          <w:color w:val="000000"/>
        </w:rPr>
        <w:t xml:space="preserve"> de Radioprotection </w:t>
      </w:r>
      <w:proofErr w:type="gramStart"/>
      <w:r w:rsidRPr="00C47F68">
        <w:rPr>
          <w:rFonts w:cstheme="minorHAnsi"/>
          <w:color w:val="000000"/>
        </w:rPr>
        <w:t>et</w:t>
      </w:r>
      <w:proofErr w:type="gramEnd"/>
      <w:r w:rsidRPr="00C47F68">
        <w:rPr>
          <w:rFonts w:cstheme="minorHAnsi"/>
          <w:color w:val="000000"/>
        </w:rPr>
        <w:t xml:space="preserve"> de </w:t>
      </w:r>
      <w:proofErr w:type="spellStart"/>
      <w:r w:rsidRPr="00C47F68">
        <w:rPr>
          <w:rFonts w:cstheme="minorHAnsi"/>
          <w:color w:val="000000"/>
        </w:rPr>
        <w:t>Sûreté</w:t>
      </w:r>
      <w:proofErr w:type="spellEnd"/>
      <w:r w:rsidRPr="00C47F68">
        <w:rPr>
          <w:rFonts w:cstheme="minorHAnsi"/>
          <w:color w:val="000000"/>
        </w:rPr>
        <w:t xml:space="preserve"> </w:t>
      </w:r>
      <w:proofErr w:type="spellStart"/>
      <w:r w:rsidRPr="00C47F68">
        <w:rPr>
          <w:rFonts w:cstheme="minorHAnsi"/>
          <w:color w:val="000000"/>
        </w:rPr>
        <w:t>Nucléaire</w:t>
      </w:r>
      <w:proofErr w:type="spellEnd"/>
      <w:r w:rsidRPr="00C47F68">
        <w:rPr>
          <w:rFonts w:cstheme="minorHAnsi"/>
        </w:rPr>
        <w:t xml:space="preserve"> (</w:t>
      </w:r>
      <w:r>
        <w:rPr>
          <w:rFonts w:cstheme="minorHAnsi"/>
        </w:rPr>
        <w:t>IRSN), the French Institute for Radiological Protection and Nuclear Safety</w:t>
      </w:r>
      <w:r w:rsidRPr="00C47F68">
        <w:rPr>
          <w:rFonts w:cstheme="minorHAnsi"/>
        </w:rPr>
        <w:t xml:space="preserve">.  </w:t>
      </w:r>
      <w:r>
        <w:rPr>
          <w:rFonts w:cstheme="minorHAnsi"/>
        </w:rPr>
        <w:t xml:space="preserve">VESTA </w:t>
      </w:r>
      <w:r w:rsidR="00EB13F7">
        <w:rPr>
          <w:rFonts w:cstheme="minorHAnsi"/>
        </w:rPr>
        <w:t>was written by the same code developer who wrote the ALEPH code and is very similar in theory and application as ALEPH, which is described in detail in the previous section.</w:t>
      </w:r>
    </w:p>
    <w:p w:rsidR="00324072" w:rsidRDefault="00EB13F7" w:rsidP="00C47F68">
      <w:pPr>
        <w:rPr>
          <w:rFonts w:cstheme="minorHAnsi"/>
        </w:rPr>
      </w:pPr>
      <w:r>
        <w:rPr>
          <w:rFonts w:cstheme="minorHAnsi"/>
        </w:rPr>
        <w:t>VESTA is a generic evolution interface code that couples</w:t>
      </w:r>
      <w:r w:rsidR="00324072">
        <w:rPr>
          <w:rFonts w:cstheme="minorHAnsi"/>
        </w:rPr>
        <w:t xml:space="preserve"> NJOY 99.90, ORIGEN </w:t>
      </w:r>
      <w:proofErr w:type="gramStart"/>
      <w:r w:rsidR="00324072">
        <w:rPr>
          <w:rFonts w:cstheme="minorHAnsi"/>
        </w:rPr>
        <w:t>2.2,</w:t>
      </w:r>
      <w:proofErr w:type="gramEnd"/>
      <w:r w:rsidR="00324072">
        <w:rPr>
          <w:rFonts w:cstheme="minorHAnsi"/>
        </w:rPr>
        <w:t xml:space="preserve"> and either</w:t>
      </w:r>
      <w:r>
        <w:rPr>
          <w:rFonts w:cstheme="minorHAnsi"/>
        </w:rPr>
        <w:t xml:space="preserve"> MCNP or MCNPX to ORIGEN 2.2.  </w:t>
      </w:r>
      <w:r w:rsidR="00324072">
        <w:rPr>
          <w:rFonts w:cstheme="minorHAnsi"/>
        </w:rPr>
        <w:t xml:space="preserve">The VESTA input file is composed of two parts, the VESTA specific inputs and the MCNP file.  The calculation flow is similar to that of ALEPH such that MCNP </w:t>
      </w:r>
      <w:r w:rsidR="00636C26">
        <w:rPr>
          <w:rFonts w:cstheme="minorHAnsi"/>
        </w:rPr>
        <w:t>performs a steady-state transport calculation</w:t>
      </w:r>
      <w:r w:rsidR="00324072">
        <w:rPr>
          <w:rFonts w:cstheme="minorHAnsi"/>
        </w:rPr>
        <w:t xml:space="preserve"> </w:t>
      </w:r>
      <w:r w:rsidR="00636C26">
        <w:rPr>
          <w:rFonts w:cstheme="minorHAnsi"/>
        </w:rPr>
        <w:t>to create</w:t>
      </w:r>
      <w:r w:rsidR="00324072">
        <w:rPr>
          <w:rFonts w:cstheme="minorHAnsi"/>
        </w:rPr>
        <w:t xml:space="preserve"> a very fine multi-group energy structure, which is used to calculate the </w:t>
      </w:r>
      <w:r w:rsidR="00636C26">
        <w:rPr>
          <w:rFonts w:cstheme="minorHAnsi"/>
        </w:rPr>
        <w:t xml:space="preserve">spectral- and spatial-averaged </w:t>
      </w:r>
      <w:r w:rsidR="00324072">
        <w:rPr>
          <w:rFonts w:cstheme="minorHAnsi"/>
        </w:rPr>
        <w:t>one-group cross sections required by ORIGEN 2.2.</w:t>
      </w:r>
      <w:r w:rsidR="006C09B0">
        <w:rPr>
          <w:rFonts w:cstheme="minorHAnsi"/>
        </w:rPr>
        <w:t xml:space="preserve">  Thus, the multi-group binning approach is also applied to VESTA.</w:t>
      </w:r>
      <w:r w:rsidR="00324072">
        <w:rPr>
          <w:rFonts w:cstheme="minorHAnsi"/>
        </w:rPr>
        <w:t xml:space="preserve">  ORIGEN 2.2 then performs evolution calculations</w:t>
      </w:r>
      <w:r w:rsidR="00636C26">
        <w:rPr>
          <w:rFonts w:cstheme="minorHAnsi"/>
        </w:rPr>
        <w:t xml:space="preserve"> for every depletion zone based on the data derived from the MCNP calculation.</w:t>
      </w:r>
      <w:r w:rsidR="00324072">
        <w:rPr>
          <w:rFonts w:cstheme="minorHAnsi"/>
        </w:rPr>
        <w:t xml:space="preserve"> </w:t>
      </w:r>
      <w:r w:rsidR="00636C26">
        <w:rPr>
          <w:rFonts w:cstheme="minorHAnsi"/>
        </w:rPr>
        <w:t xml:space="preserve"> Then, a</w:t>
      </w:r>
      <w:r w:rsidR="00324072">
        <w:rPr>
          <w:rFonts w:cstheme="minorHAnsi"/>
        </w:rPr>
        <w:t xml:space="preserve"> new MCNP input file is constructed with the new material compositions</w:t>
      </w:r>
      <w:r w:rsidR="00636C26">
        <w:rPr>
          <w:rFonts w:cstheme="minorHAnsi"/>
        </w:rPr>
        <w:t xml:space="preserve"> truncated via the user-defined fraction absorption criterion and any user-defined updates</w:t>
      </w:r>
      <w:r w:rsidR="00324072">
        <w:rPr>
          <w:rFonts w:cstheme="minorHAnsi"/>
        </w:rPr>
        <w:t xml:space="preserve"> such as material temperatures</w:t>
      </w:r>
      <w:r w:rsidR="00636C26">
        <w:rPr>
          <w:rFonts w:cstheme="minorHAnsi"/>
        </w:rPr>
        <w:t xml:space="preserve"> changes</w:t>
      </w:r>
      <w:r w:rsidR="00324072">
        <w:rPr>
          <w:rFonts w:cstheme="minorHAnsi"/>
        </w:rPr>
        <w:t>, material densities</w:t>
      </w:r>
      <w:r w:rsidR="00636C26">
        <w:rPr>
          <w:rFonts w:cstheme="minorHAnsi"/>
        </w:rPr>
        <w:t xml:space="preserve"> changes</w:t>
      </w:r>
      <w:r w:rsidR="00324072">
        <w:rPr>
          <w:rFonts w:cstheme="minorHAnsi"/>
        </w:rPr>
        <w:t xml:space="preserve">, </w:t>
      </w:r>
      <w:r w:rsidR="00636C26">
        <w:rPr>
          <w:rFonts w:cstheme="minorHAnsi"/>
        </w:rPr>
        <w:t>or geometry changes</w:t>
      </w:r>
      <w:r w:rsidR="00324072">
        <w:rPr>
          <w:rFonts w:cstheme="minorHAnsi"/>
        </w:rPr>
        <w:t>.</w:t>
      </w:r>
      <w:r w:rsidR="00636C26">
        <w:rPr>
          <w:rFonts w:cstheme="minorHAnsi"/>
        </w:rPr>
        <w:t xml:space="preserve">  This process repeats </w:t>
      </w:r>
      <w:r w:rsidR="00062ED0">
        <w:rPr>
          <w:rFonts w:cstheme="minorHAnsi"/>
        </w:rPr>
        <w:t>until the entire irradiation history has been modeled.</w:t>
      </w:r>
    </w:p>
    <w:p w:rsidR="006C09B0" w:rsidRDefault="006C09B0" w:rsidP="00C47F68">
      <w:pPr>
        <w:rPr>
          <w:rFonts w:cstheme="minorHAnsi"/>
        </w:rPr>
      </w:pPr>
      <w:r>
        <w:rPr>
          <w:rFonts w:cstheme="minorHAnsi"/>
        </w:rPr>
        <w:t>VESTA uses a predictor only approach by default and thus the activation cross section data calculated at the beginning of a time step is used for the entire step.  However, VESTA has the option t</w:t>
      </w:r>
      <w:r w:rsidR="003E77A1">
        <w:rPr>
          <w:rFonts w:cstheme="minorHAnsi"/>
        </w:rPr>
        <w:t>o use predictor-corrector or</w:t>
      </w:r>
      <w:r>
        <w:rPr>
          <w:rFonts w:cstheme="minorHAnsi"/>
        </w:rPr>
        <w:t xml:space="preserve"> predictor-</w:t>
      </w:r>
      <w:proofErr w:type="spellStart"/>
      <w:r>
        <w:rPr>
          <w:rFonts w:cstheme="minorHAnsi"/>
        </w:rPr>
        <w:t>middlestep</w:t>
      </w:r>
      <w:proofErr w:type="spellEnd"/>
      <w:r>
        <w:rPr>
          <w:rFonts w:cstheme="minorHAnsi"/>
        </w:rPr>
        <w:t xml:space="preserve"> algorithms.  These</w:t>
      </w:r>
      <w:r w:rsidR="00636C26">
        <w:rPr>
          <w:rFonts w:cstheme="minorHAnsi"/>
        </w:rPr>
        <w:t xml:space="preserve"> algorithms</w:t>
      </w:r>
      <w:r>
        <w:rPr>
          <w:rFonts w:cstheme="minorHAnsi"/>
        </w:rPr>
        <w:t xml:space="preserve"> can be used to improve the results of the depletion calculations </w:t>
      </w:r>
      <w:r w:rsidR="00062ED0">
        <w:rPr>
          <w:rFonts w:cstheme="minorHAnsi"/>
        </w:rPr>
        <w:t xml:space="preserve">for long time steps </w:t>
      </w:r>
      <w:r w:rsidR="00876225">
        <w:rPr>
          <w:rFonts w:cstheme="minorHAnsi"/>
        </w:rPr>
        <w:t>where spectral changes may occur and impact the evolution calculation.</w:t>
      </w:r>
    </w:p>
    <w:p w:rsidR="00324072" w:rsidRDefault="00324072" w:rsidP="00C47F68">
      <w:pPr>
        <w:rPr>
          <w:rFonts w:cstheme="minorHAnsi"/>
        </w:rPr>
      </w:pPr>
      <w:r>
        <w:rPr>
          <w:rFonts w:cstheme="minorHAnsi"/>
        </w:rPr>
        <w:t>VESTA allows for constant power or constant flux irradiations and decay</w:t>
      </w:r>
      <w:r w:rsidR="006C09B0">
        <w:rPr>
          <w:rFonts w:cstheme="minorHAnsi"/>
        </w:rPr>
        <w:t xml:space="preserve">.  The constant power irradiations can be defined as the total power of the system, the values of the power for every burnable </w:t>
      </w:r>
      <w:r w:rsidR="006C09B0">
        <w:rPr>
          <w:rFonts w:cstheme="minorHAnsi"/>
        </w:rPr>
        <w:lastRenderedPageBreak/>
        <w:t>material, the power for a specific burnable material, or the power for a set of burnable materials.  Constant flux irradiation steps can be applied by defining the flux values for every burnable material or the flux value for a specific burnable material or by normalizing the flux distributions.</w:t>
      </w:r>
      <w:r w:rsidR="00755E3D">
        <w:rPr>
          <w:rFonts w:cstheme="minorHAnsi"/>
        </w:rPr>
        <w:t xml:space="preserve">  MCNP </w:t>
      </w:r>
      <w:r w:rsidR="00D8502A">
        <w:rPr>
          <w:rFonts w:cstheme="minorHAnsi"/>
        </w:rPr>
        <w:t>is used to calculate</w:t>
      </w:r>
      <w:r w:rsidR="00755E3D">
        <w:rPr>
          <w:rFonts w:cstheme="minorHAnsi"/>
        </w:rPr>
        <w:t xml:space="preserve"> the relative flux distribution and then VESTA </w:t>
      </w:r>
      <w:r w:rsidR="00D8502A">
        <w:rPr>
          <w:rFonts w:cstheme="minorHAnsi"/>
        </w:rPr>
        <w:t>uses it to calculate the absolute flux and power levels and then distributes the power production over the burnable materials.</w:t>
      </w:r>
    </w:p>
    <w:p w:rsidR="00FC4476" w:rsidRDefault="00FC4476" w:rsidP="00C47F68">
      <w:pPr>
        <w:rPr>
          <w:rFonts w:cstheme="minorHAnsi"/>
        </w:rPr>
      </w:pPr>
    </w:p>
    <w:p w:rsidR="008C2185" w:rsidRDefault="008C2185" w:rsidP="00AA149C">
      <w:pPr>
        <w:pStyle w:val="Heading2"/>
      </w:pPr>
      <w:bookmarkStart w:id="103" w:name="_Toc295818109"/>
      <w:r>
        <w:t>SCALE</w:t>
      </w:r>
      <w:bookmarkEnd w:id="103"/>
    </w:p>
    <w:p w:rsidR="00BD1CB6" w:rsidRDefault="00BD1CB6" w:rsidP="00B95F78">
      <w:r>
        <w:t>The Standardized Computer Analyses fo</w:t>
      </w:r>
      <w:r w:rsidR="00C67546">
        <w:t xml:space="preserve">r Licensing Evaluation (SCALE) </w:t>
      </w:r>
      <w:r w:rsidR="007511FA">
        <w:fldChar w:fldCharType="begin"/>
      </w:r>
      <w:r w:rsidR="00C67546">
        <w:instrText xml:space="preserve"> REF _Ref285636676 \n \h </w:instrText>
      </w:r>
      <w:r w:rsidR="007511FA">
        <w:fldChar w:fldCharType="separate"/>
      </w:r>
      <w:r w:rsidR="00D5167B">
        <w:t>[55]</w:t>
      </w:r>
      <w:r w:rsidR="007511FA">
        <w:fldChar w:fldCharType="end"/>
      </w:r>
      <w:r>
        <w:t xml:space="preserve"> modular code system was developed and is maintained at the Oak Ridge National Laboratory</w:t>
      </w:r>
      <w:r w:rsidR="00781ED6">
        <w:t xml:space="preserve"> under a joint sponsorship with the U. S. Nuclear Regulatory Commission and the Department of Energy.</w:t>
      </w:r>
      <w:r>
        <w:t xml:space="preserve"> </w:t>
      </w:r>
      <w:r w:rsidR="00781ED6">
        <w:t xml:space="preserve"> The </w:t>
      </w:r>
      <w:r>
        <w:t xml:space="preserve">SCALE </w:t>
      </w:r>
      <w:r w:rsidR="00781ED6">
        <w:t xml:space="preserve">system consists of well-established computer codes (also referred to as functional modules) and methods within standard analysis sequences which are utilized for reactor physics, criticality safety, radiation shielding, </w:t>
      </w:r>
      <w:r w:rsidR="00B95F78">
        <w:t xml:space="preserve">cross section processing, </w:t>
      </w:r>
      <w:r w:rsidR="00781ED6">
        <w:t xml:space="preserve">radiation source term, spent fuel characterization, and sensitivity/uncertainty analyses. </w:t>
      </w:r>
      <w:r>
        <w:t xml:space="preserve"> </w:t>
      </w:r>
      <w:r w:rsidR="008322A8">
        <w:t xml:space="preserve">An input is constructed for the control module corresponding to the analytical sequence associated with the type of analysis.  The sequences are automated </w:t>
      </w:r>
      <w:r w:rsidR="00B95F78">
        <w:t>and thus the data needed to execute the functional modules are derived from the control module</w:t>
      </w:r>
      <w:r w:rsidR="008322A8">
        <w:t xml:space="preserve"> input</w:t>
      </w:r>
      <w:r w:rsidR="00B95F78">
        <w:t xml:space="preserve"> and are used to prepare the input for the functional module and execute it.  The functional modules can either be coupled via the control modules or can be executed as stand-alone calculations.  Some of the control modules and functional modules in the SCALE</w:t>
      </w:r>
      <w:r w:rsidR="00661B0F">
        <w:t xml:space="preserve"> 6.0</w:t>
      </w:r>
      <w:r w:rsidR="00B95F78">
        <w:t xml:space="preserve"> system</w:t>
      </w:r>
      <w:r w:rsidR="00661B0F">
        <w:t>, which is the version of SCALE used in these studies,</w:t>
      </w:r>
      <w:r w:rsidR="00B95F78">
        <w:t xml:space="preserve"> are described in the following paragraphs.</w:t>
      </w:r>
    </w:p>
    <w:p w:rsidR="008C3BF8" w:rsidRDefault="008C3BF8" w:rsidP="00B95F78"/>
    <w:p w:rsidR="008C2185" w:rsidRDefault="008C2185" w:rsidP="00AA149C">
      <w:pPr>
        <w:pStyle w:val="Heading3"/>
      </w:pPr>
      <w:bookmarkStart w:id="104" w:name="_Toc295818110"/>
      <w:r>
        <w:t>CSAS</w:t>
      </w:r>
      <w:bookmarkEnd w:id="104"/>
    </w:p>
    <w:p w:rsidR="008C2185" w:rsidRDefault="00B95F78" w:rsidP="00FC5C40">
      <w:r>
        <w:t>Criticality Safety Analysis Sequ</w:t>
      </w:r>
      <w:r w:rsidR="000A1EA4">
        <w:t>ence (</w:t>
      </w:r>
      <w:r>
        <w:t>CSAS</w:t>
      </w:r>
      <w:r w:rsidR="000A1EA4">
        <w:t>)</w:t>
      </w:r>
      <w:r>
        <w:t xml:space="preserve"> </w:t>
      </w:r>
      <w:r w:rsidR="000A1EA4">
        <w:t xml:space="preserve">is a </w:t>
      </w:r>
      <w:r>
        <w:t>control module</w:t>
      </w:r>
      <w:r w:rsidR="000A1EA4">
        <w:t xml:space="preserve"> in the SCALE code system that is used for criticality calculations.  The SCALE 6.0 system supports CSAS5</w:t>
      </w:r>
      <w:r w:rsidR="00C67546">
        <w:t xml:space="preserve"> </w:t>
      </w:r>
      <w:r w:rsidR="007511FA">
        <w:fldChar w:fldCharType="begin"/>
      </w:r>
      <w:r w:rsidR="00C67546">
        <w:instrText xml:space="preserve"> REF _Ref285636685 \n \h </w:instrText>
      </w:r>
      <w:r w:rsidR="007511FA">
        <w:fldChar w:fldCharType="separate"/>
      </w:r>
      <w:r w:rsidR="00D5167B">
        <w:t>[56]</w:t>
      </w:r>
      <w:r w:rsidR="007511FA">
        <w:fldChar w:fldCharType="end"/>
      </w:r>
      <w:r w:rsidR="000A1EA4">
        <w:t xml:space="preserve"> and CSAS6 </w:t>
      </w:r>
      <w:r w:rsidR="007511FA">
        <w:fldChar w:fldCharType="begin"/>
      </w:r>
      <w:r w:rsidR="00C67546">
        <w:instrText xml:space="preserve"> REF _Ref285636692 \n \h </w:instrText>
      </w:r>
      <w:r w:rsidR="007511FA">
        <w:fldChar w:fldCharType="separate"/>
      </w:r>
      <w:r w:rsidR="00D5167B">
        <w:t>[57]</w:t>
      </w:r>
      <w:r w:rsidR="007511FA">
        <w:fldChar w:fldCharType="end"/>
      </w:r>
      <w:r w:rsidR="00BC25A7">
        <w:t xml:space="preserve"> </w:t>
      </w:r>
      <w:r w:rsidR="000A1EA4">
        <w:t xml:space="preserve">both of </w:t>
      </w:r>
      <w:r w:rsidR="000A1EA4">
        <w:lastRenderedPageBreak/>
        <w:t>which provide automated, problem-dependent cross section processing for effective multiplication factor calculations</w:t>
      </w:r>
      <w:r w:rsidR="00FC5C40">
        <w:t xml:space="preserve"> for three-dimensional systems</w:t>
      </w:r>
      <w:r w:rsidR="000A1EA4">
        <w:t xml:space="preserve">.  CSAS5 utilizes the KENO </w:t>
      </w:r>
      <w:proofErr w:type="spellStart"/>
      <w:r w:rsidR="000A1EA4">
        <w:t>V.a</w:t>
      </w:r>
      <w:proofErr w:type="spellEnd"/>
      <w:r w:rsidR="000A1EA4">
        <w:t xml:space="preserve"> functional module and CSAS6 uses KENO-VI</w:t>
      </w:r>
      <w:r w:rsidR="00FC5C40">
        <w:t xml:space="preserve"> for geometry modeling and transport calculations</w:t>
      </w:r>
      <w:r w:rsidR="000A1EA4">
        <w:t xml:space="preserve">.  </w:t>
      </w:r>
    </w:p>
    <w:p w:rsidR="00FC5C40" w:rsidRDefault="00E00022" w:rsidP="00FC5C40">
      <w:r>
        <w:t xml:space="preserve">Continuous or </w:t>
      </w:r>
      <w:proofErr w:type="spellStart"/>
      <w:r>
        <w:t>multigroup</w:t>
      </w:r>
      <w:proofErr w:type="spellEnd"/>
      <w:r>
        <w:t xml:space="preserve"> energy calculations can be performed</w:t>
      </w:r>
      <w:r w:rsidR="00FC5C40">
        <w:t xml:space="preserve"> in KENO</w:t>
      </w:r>
      <w:r>
        <w:t xml:space="preserve">.  If </w:t>
      </w:r>
      <w:r w:rsidR="00FC5C40">
        <w:t xml:space="preserve">a </w:t>
      </w:r>
      <w:r>
        <w:t>continuous energy</w:t>
      </w:r>
      <w:r w:rsidR="00FC5C40">
        <w:t xml:space="preserve"> calculation is performed then the continuous energy cross sections specified in the input are used, but if a </w:t>
      </w:r>
      <w:proofErr w:type="spellStart"/>
      <w:r w:rsidR="00FC5C40">
        <w:t>multigroup</w:t>
      </w:r>
      <w:proofErr w:type="spellEnd"/>
      <w:r w:rsidR="00FC5C40">
        <w:t xml:space="preserve"> energy calculation is performed then KENO uses the problem-dependent processed cross sections.  The CSAS control module employs the BONAMI functional module in the calculation sequence to provide resonance corrected cross sections in the unresolved resonance range while the resonance-corrected cross sections in the resolved resonance range are provided by NITAWL or WORKER, CENTRM, and PMC.</w:t>
      </w:r>
    </w:p>
    <w:p w:rsidR="00FC5C40" w:rsidRDefault="00FC5C40" w:rsidP="00FC5C40">
      <w:r>
        <w:t xml:space="preserve">BONAMI processes cross sections in the unresolved resonance range via the </w:t>
      </w:r>
      <w:proofErr w:type="spellStart"/>
      <w:r>
        <w:t>Bondarenko</w:t>
      </w:r>
      <w:proofErr w:type="spellEnd"/>
      <w:r>
        <w:t xml:space="preserve"> method and the cross sections in the unresolved range are processed by NITAWL, which uses the </w:t>
      </w:r>
      <w:proofErr w:type="spellStart"/>
      <w:r>
        <w:t>Nordheim</w:t>
      </w:r>
      <w:proofErr w:type="spellEnd"/>
      <w:r>
        <w:t xml:space="preserve"> integral method, or the</w:t>
      </w:r>
      <w:r w:rsidR="00595B0D">
        <w:t xml:space="preserve"> </w:t>
      </w:r>
      <w:r>
        <w:t>WORKER, CENTRM</w:t>
      </w:r>
      <w:r w:rsidR="00595B0D">
        <w:t>,</w:t>
      </w:r>
      <w:r>
        <w:t xml:space="preserve"> and PMC</w:t>
      </w:r>
      <w:r w:rsidR="00595B0D">
        <w:t xml:space="preserve"> combination to collapses </w:t>
      </w:r>
      <w:proofErr w:type="spellStart"/>
      <w:r w:rsidR="00595B0D">
        <w:t>pointwise</w:t>
      </w:r>
      <w:proofErr w:type="spellEnd"/>
      <w:r w:rsidR="00595B0D">
        <w:t xml:space="preserve"> continuous energy cross sections by means of the problem-dependent </w:t>
      </w:r>
      <w:proofErr w:type="spellStart"/>
      <w:r w:rsidR="00595B0D">
        <w:t>pointwise</w:t>
      </w:r>
      <w:proofErr w:type="spellEnd"/>
      <w:r w:rsidR="00595B0D">
        <w:t xml:space="preserve"> continuous neutron flux.</w:t>
      </w:r>
    </w:p>
    <w:p w:rsidR="008C3BF8" w:rsidRDefault="008C3BF8" w:rsidP="00FC5C40"/>
    <w:p w:rsidR="008C2185" w:rsidRDefault="008C2185" w:rsidP="00AA149C">
      <w:pPr>
        <w:pStyle w:val="Heading3"/>
      </w:pPr>
      <w:bookmarkStart w:id="105" w:name="_Toc295818111"/>
      <w:r>
        <w:t>KENO</w:t>
      </w:r>
      <w:bookmarkEnd w:id="105"/>
    </w:p>
    <w:p w:rsidR="005A30C5" w:rsidRPr="005A30C5" w:rsidRDefault="00595B0D" w:rsidP="00661B0F">
      <w:r>
        <w:t xml:space="preserve">Two versions of </w:t>
      </w:r>
      <w:r w:rsidR="00B0068E">
        <w:t xml:space="preserve">the KENO three-dimensional Monte Carlo transport code </w:t>
      </w:r>
      <w:r>
        <w:t xml:space="preserve">are supported in SCALE 6.0, KENO </w:t>
      </w:r>
      <w:proofErr w:type="spellStart"/>
      <w:r>
        <w:t>V.a</w:t>
      </w:r>
      <w:proofErr w:type="spellEnd"/>
      <w:r w:rsidR="00C67546">
        <w:t xml:space="preserve"> </w:t>
      </w:r>
      <w:r w:rsidR="007511FA">
        <w:fldChar w:fldCharType="begin"/>
      </w:r>
      <w:r w:rsidR="00C67546">
        <w:instrText xml:space="preserve"> REF _Ref285636701 \n \h </w:instrText>
      </w:r>
      <w:r w:rsidR="007511FA">
        <w:fldChar w:fldCharType="separate"/>
      </w:r>
      <w:r w:rsidR="00D5167B">
        <w:t>[58]</w:t>
      </w:r>
      <w:r w:rsidR="007511FA">
        <w:fldChar w:fldCharType="end"/>
      </w:r>
      <w:r>
        <w:t xml:space="preserve"> and KENO-VI</w:t>
      </w:r>
      <w:r w:rsidR="00C67546">
        <w:t xml:space="preserve"> </w:t>
      </w:r>
      <w:r w:rsidR="007511FA">
        <w:fldChar w:fldCharType="begin"/>
      </w:r>
      <w:r w:rsidR="00C67546">
        <w:instrText xml:space="preserve"> REF _Ref285636709 \n \h </w:instrText>
      </w:r>
      <w:r w:rsidR="007511FA">
        <w:fldChar w:fldCharType="separate"/>
      </w:r>
      <w:r w:rsidR="00D5167B">
        <w:t>[59]</w:t>
      </w:r>
      <w:r w:rsidR="007511FA">
        <w:fldChar w:fldCharType="end"/>
      </w:r>
      <w:r>
        <w:t xml:space="preserve">.  </w:t>
      </w:r>
      <w:r w:rsidR="00B0068E">
        <w:t xml:space="preserve">The </w:t>
      </w:r>
      <w:r>
        <w:t xml:space="preserve">KENO </w:t>
      </w:r>
      <w:r w:rsidR="00B0068E">
        <w:t>functional can be used wi</w:t>
      </w:r>
      <w:r w:rsidR="00C1102C">
        <w:t xml:space="preserve">thin the CSAS, </w:t>
      </w:r>
      <w:r w:rsidR="00B0068E">
        <w:t>TRITON</w:t>
      </w:r>
      <w:r w:rsidR="00C1102C">
        <w:t>, and TSUNAMI</w:t>
      </w:r>
      <w:r w:rsidR="00B0068E">
        <w:t xml:space="preserve"> sequences or can be deployed as a stand-alone code.  </w:t>
      </w:r>
      <w:r w:rsidR="00174AA9">
        <w:t>The primary functions of KENO are to perform effective multiplication factor calculations and to provide energy- and spatially-dependent fluxes, absorptions, and fissions; energy</w:t>
      </w:r>
      <w:r w:rsidR="00C1102C">
        <w:t>-dependent leakage terms;</w:t>
      </w:r>
      <w:r w:rsidR="00174AA9">
        <w:t xml:space="preserve"> and</w:t>
      </w:r>
      <w:r w:rsidR="00C1102C">
        <w:t xml:space="preserve"> neutron</w:t>
      </w:r>
      <w:r w:rsidR="00174AA9">
        <w:t xml:space="preserve"> lifetime</w:t>
      </w:r>
      <w:r w:rsidR="00C1102C">
        <w:t>,</w:t>
      </w:r>
      <w:r w:rsidR="00174AA9">
        <w:t xml:space="preserve"> generation time</w:t>
      </w:r>
      <w:r w:rsidR="00C1102C">
        <w:t>, average energy, and mean-free-path</w:t>
      </w:r>
      <w:r w:rsidR="00174AA9">
        <w:t xml:space="preserve"> data. </w:t>
      </w:r>
      <w:r w:rsidR="00C1102C">
        <w:t xml:space="preserve"> </w:t>
      </w:r>
      <w:r w:rsidR="002C6C33">
        <w:t>K</w:t>
      </w:r>
      <w:r w:rsidR="00C1102C">
        <w:t xml:space="preserve">ENO uses either continuous energy or </w:t>
      </w:r>
      <w:proofErr w:type="spellStart"/>
      <w:r w:rsidR="00C1102C">
        <w:t>multigroup</w:t>
      </w:r>
      <w:proofErr w:type="spellEnd"/>
      <w:r w:rsidR="00C1102C">
        <w:t xml:space="preserve"> cross section data</w:t>
      </w:r>
      <w:r w:rsidR="002C6C33">
        <w:t xml:space="preserve"> </w:t>
      </w:r>
      <w:r w:rsidR="00C1102C">
        <w:t>to solve the t</w:t>
      </w:r>
      <w:r w:rsidR="002C6C33">
        <w:t>ransport equation (</w:t>
      </w:r>
      <w:r w:rsidR="007511FA">
        <w:fldChar w:fldCharType="begin"/>
      </w:r>
      <w:r w:rsidR="003E77A1">
        <w:instrText xml:space="preserve"> REF _Ref285532292 \h </w:instrText>
      </w:r>
      <w:r w:rsidR="007511FA">
        <w:fldChar w:fldCharType="separate"/>
      </w:r>
      <w:r w:rsidR="00D5167B" w:rsidRPr="008B3E95">
        <w:t xml:space="preserve">Equation </w:t>
      </w:r>
      <w:r w:rsidR="00D5167B">
        <w:rPr>
          <w:noProof/>
        </w:rPr>
        <w:t>3</w:t>
      </w:r>
      <w:r w:rsidR="00D5167B">
        <w:t>.</w:t>
      </w:r>
      <w:r w:rsidR="00D5167B">
        <w:rPr>
          <w:noProof/>
        </w:rPr>
        <w:t>1</w:t>
      </w:r>
      <w:r w:rsidR="007511FA">
        <w:fldChar w:fldCharType="end"/>
      </w:r>
      <w:r w:rsidR="00C1102C">
        <w:t xml:space="preserve">).  </w:t>
      </w:r>
      <w:r w:rsidR="005A30C5">
        <w:t xml:space="preserve">Both of these versions contain a </w:t>
      </w:r>
      <w:proofErr w:type="spellStart"/>
      <w:r w:rsidR="005A30C5">
        <w:t>P</w:t>
      </w:r>
      <w:r w:rsidR="005A30C5">
        <w:rPr>
          <w:vertAlign w:val="subscript"/>
        </w:rPr>
        <w:t>n</w:t>
      </w:r>
      <w:proofErr w:type="spellEnd"/>
      <w:r w:rsidR="005A30C5">
        <w:t xml:space="preserve"> scattering </w:t>
      </w:r>
      <w:r w:rsidR="005A30C5">
        <w:lastRenderedPageBreak/>
        <w:t xml:space="preserve">model in the cross sections, a procedure for matching lethargy boundaries between </w:t>
      </w:r>
      <w:proofErr w:type="spellStart"/>
      <w:r w:rsidR="005A30C5">
        <w:t>albedos</w:t>
      </w:r>
      <w:proofErr w:type="spellEnd"/>
      <w:r w:rsidR="005A30C5">
        <w:t xml:space="preserve"> and cross sections to extent the usefulness of the </w:t>
      </w:r>
      <w:proofErr w:type="spellStart"/>
      <w:r w:rsidR="005A30C5">
        <w:t>albedo</w:t>
      </w:r>
      <w:proofErr w:type="spellEnd"/>
      <w:r w:rsidR="005A30C5">
        <w:t xml:space="preserve"> feature, and restart capabilities.</w:t>
      </w:r>
    </w:p>
    <w:p w:rsidR="00174AA9" w:rsidRDefault="00B0068E" w:rsidP="00661B0F">
      <w:r>
        <w:t>The KENO</w:t>
      </w:r>
      <w:r w:rsidR="00174AA9">
        <w:t xml:space="preserve"> programs offer versatile three-dimensional geometry capabilities.  KENO </w:t>
      </w:r>
      <w:proofErr w:type="spellStart"/>
      <w:r w:rsidR="00174AA9">
        <w:t>V.a</w:t>
      </w:r>
      <w:proofErr w:type="spellEnd"/>
      <w:r w:rsidR="00174AA9">
        <w:t xml:space="preserve"> allows for systems to be modeled from cub</w:t>
      </w:r>
      <w:r w:rsidR="002C6C33">
        <w:t>oids</w:t>
      </w:r>
      <w:r w:rsidR="00174AA9">
        <w:t xml:space="preserve">, rectangular parallelepipeds, cylinders, spheres, hemispheres, and </w:t>
      </w:r>
      <w:proofErr w:type="spellStart"/>
      <w:r w:rsidR="00174AA9">
        <w:t>hemicylinders</w:t>
      </w:r>
      <w:proofErr w:type="spellEnd"/>
      <w:r w:rsidR="00174AA9">
        <w:t>.</w:t>
      </w:r>
      <w:r w:rsidR="00C1102C">
        <w:t xml:space="preserve">  </w:t>
      </w:r>
      <w:r w:rsidR="00174AA9">
        <w:t xml:space="preserve">The geometry is built by </w:t>
      </w:r>
      <w:r w:rsidR="00C1102C">
        <w:t xml:space="preserve">constructing </w:t>
      </w:r>
      <w:r w:rsidR="002C6C33">
        <w:t>units</w:t>
      </w:r>
      <w:r w:rsidR="00C1102C">
        <w:t xml:space="preserve">, which can be used to create arrays or lattices.  </w:t>
      </w:r>
      <w:r w:rsidR="002C6C33">
        <w:t xml:space="preserve">Units and arrays can be placed at any desired location within a geometry through the use of the </w:t>
      </w:r>
      <w:proofErr w:type="gramStart"/>
      <w:r w:rsidR="002C6C33">
        <w:t>hole</w:t>
      </w:r>
      <w:proofErr w:type="gramEnd"/>
      <w:r w:rsidR="002C6C33">
        <w:t xml:space="preserve"> option.  The drawback to KENO </w:t>
      </w:r>
      <w:proofErr w:type="spellStart"/>
      <w:r w:rsidR="002C6C33">
        <w:t>V.a</w:t>
      </w:r>
      <w:proofErr w:type="spellEnd"/>
      <w:r w:rsidR="002C6C33">
        <w:t xml:space="preserve"> geometry is that units and arrays cannot intersect any geometry region and must be “wholly” contained within a region.</w:t>
      </w:r>
    </w:p>
    <w:p w:rsidR="00B0068E" w:rsidRDefault="005A30C5" w:rsidP="00661B0F">
      <w:r>
        <w:t xml:space="preserve">All of the features employed in KENO </w:t>
      </w:r>
      <w:proofErr w:type="spellStart"/>
      <w:r>
        <w:t>V.a</w:t>
      </w:r>
      <w:proofErr w:type="spellEnd"/>
      <w:r>
        <w:t xml:space="preserve"> are contained in KENO-VI, but KENO-VI has a more flexible and powerful geometry packaged referred to as the SCALE Generalized Geometry Package (SGGP).  The SGGP allows for modeling any volume that can be constructed using quadratic equations, geometry intersections, body rotations, and hexagonal and dodecahedra arrays.  Although, the KENO-VI geometry package is more powerful than that used in KENO </w:t>
      </w:r>
      <w:proofErr w:type="spellStart"/>
      <w:r>
        <w:t>V.a</w:t>
      </w:r>
      <w:proofErr w:type="spellEnd"/>
      <w:r>
        <w:t>, the added features r</w:t>
      </w:r>
      <w:r w:rsidR="00355EDD">
        <w:t>esult in much longer run times.</w:t>
      </w:r>
    </w:p>
    <w:p w:rsidR="008C3BF8" w:rsidRDefault="008C3BF8" w:rsidP="00661B0F"/>
    <w:p w:rsidR="008C2185" w:rsidRDefault="008C2185" w:rsidP="00AA149C">
      <w:pPr>
        <w:pStyle w:val="Heading3"/>
      </w:pPr>
      <w:bookmarkStart w:id="106" w:name="_Toc295818112"/>
      <w:r>
        <w:t>ORIGEN-S</w:t>
      </w:r>
      <w:bookmarkEnd w:id="106"/>
    </w:p>
    <w:p w:rsidR="0064534F" w:rsidRDefault="0064534F" w:rsidP="0064534F">
      <w:r>
        <w:t xml:space="preserve">See Section </w:t>
      </w:r>
      <w:r w:rsidR="007511FA">
        <w:fldChar w:fldCharType="begin"/>
      </w:r>
      <w:r>
        <w:instrText xml:space="preserve"> REF _Ref279074028 \w \h </w:instrText>
      </w:r>
      <w:r w:rsidR="007511FA">
        <w:fldChar w:fldCharType="separate"/>
      </w:r>
      <w:r w:rsidR="00D5167B">
        <w:t>3.2</w:t>
      </w:r>
      <w:r w:rsidR="007511FA">
        <w:fldChar w:fldCharType="end"/>
      </w:r>
      <w:r>
        <w:t>.</w:t>
      </w:r>
    </w:p>
    <w:p w:rsidR="008C3BF8" w:rsidRDefault="008C3BF8" w:rsidP="0064534F"/>
    <w:p w:rsidR="008C2185" w:rsidRDefault="008C2185" w:rsidP="00AA149C">
      <w:pPr>
        <w:pStyle w:val="Heading3"/>
      </w:pPr>
      <w:bookmarkStart w:id="107" w:name="_Toc295818113"/>
      <w:r>
        <w:t>TRITON</w:t>
      </w:r>
      <w:bookmarkEnd w:id="107"/>
    </w:p>
    <w:p w:rsidR="00B4792D" w:rsidRDefault="00B322F0" w:rsidP="000E4A16">
      <w:r>
        <w:t>The TRITON</w:t>
      </w:r>
      <w:r w:rsidR="00C67546">
        <w:t xml:space="preserve"> </w:t>
      </w:r>
      <w:r w:rsidR="007511FA">
        <w:fldChar w:fldCharType="begin"/>
      </w:r>
      <w:r w:rsidR="00C67546">
        <w:instrText xml:space="preserve"> REF _Ref285636727 \n \h </w:instrText>
      </w:r>
      <w:r w:rsidR="007511FA">
        <w:fldChar w:fldCharType="separate"/>
      </w:r>
      <w:r w:rsidR="00D5167B">
        <w:t>[60]</w:t>
      </w:r>
      <w:r w:rsidR="007511FA">
        <w:fldChar w:fldCharType="end"/>
      </w:r>
      <w:r w:rsidR="003E77A1">
        <w:t xml:space="preserve"> </w:t>
      </w:r>
      <w:r>
        <w:t xml:space="preserve">control module </w:t>
      </w:r>
      <w:r w:rsidR="00661B0F">
        <w:t xml:space="preserve">performs two-dimensional and three-dimensional depletion calculations and is therefore </w:t>
      </w:r>
      <w:r w:rsidR="00B4792D">
        <w:t xml:space="preserve">primarily </w:t>
      </w:r>
      <w:r w:rsidR="00661B0F">
        <w:t xml:space="preserve">utilized for fuel cycle analyses.  </w:t>
      </w:r>
      <w:r>
        <w:t>The TRITON sequence couple</w:t>
      </w:r>
      <w:r w:rsidR="00661B0F">
        <w:t>s</w:t>
      </w:r>
      <w:r>
        <w:t xml:space="preserve"> either of the KENO Monte Carlo codes</w:t>
      </w:r>
      <w:r w:rsidR="00A72FAC">
        <w:t xml:space="preserve"> (three-dimensional configuration)</w:t>
      </w:r>
      <w:r>
        <w:t xml:space="preserve"> or the NEWT discrete ordinates </w:t>
      </w:r>
      <w:r>
        <w:lastRenderedPageBreak/>
        <w:t xml:space="preserve">code </w:t>
      </w:r>
      <w:r w:rsidR="00A72FAC">
        <w:t xml:space="preserve">(two-dimensional configuration) </w:t>
      </w:r>
      <w:r w:rsidR="00661B0F">
        <w:t>and the ORIGEN-S depletion code.</w:t>
      </w:r>
      <w:r w:rsidR="00A72FAC">
        <w:t xml:space="preserve">  </w:t>
      </w:r>
      <w:r w:rsidR="00F76EAE">
        <w:t>TRITON can be used for problem-</w:t>
      </w:r>
      <w:r w:rsidR="00B4792D">
        <w:t>specific</w:t>
      </w:r>
      <w:r w:rsidR="00F76EAE">
        <w:t xml:space="preserve"> cross section pro</w:t>
      </w:r>
      <w:r w:rsidR="003F0990">
        <w:t>cessing</w:t>
      </w:r>
      <w:r w:rsidR="00B4792D">
        <w:t xml:space="preserve"> as well as dep</w:t>
      </w:r>
      <w:r w:rsidR="009860AE">
        <w:t>letion and decay calculations.</w:t>
      </w:r>
    </w:p>
    <w:p w:rsidR="003F0990" w:rsidRDefault="0048388B" w:rsidP="000E4A16">
      <w:r>
        <w:t xml:space="preserve">In order to perform depletion calculations, transport calculations are repeated in an iterative sequence alternating with depletion calculations to update burnup-dependent isotopic cross sections and inventories.  </w:t>
      </w:r>
      <w:r w:rsidR="00A72FAC">
        <w:t>If NEWT is used within TRITON, it is used to calculate the weighted</w:t>
      </w:r>
      <w:r w:rsidR="008C3BF8">
        <w:t>,</w:t>
      </w:r>
      <w:r w:rsidR="00A72FAC">
        <w:t xml:space="preserve"> burnup-dependent</w:t>
      </w:r>
      <w:r w:rsidR="008C3BF8">
        <w:t xml:space="preserve">, three-group </w:t>
      </w:r>
      <w:r w:rsidR="00A72FAC">
        <w:t>cross sections</w:t>
      </w:r>
      <w:r w:rsidR="00F76EAE">
        <w:t xml:space="preserve"> and the localized fluxes.  </w:t>
      </w:r>
      <w:r>
        <w:t>COUPLE is used to</w:t>
      </w:r>
      <w:r w:rsidR="00A72FAC">
        <w:t xml:space="preserve"> update </w:t>
      </w:r>
      <w:r>
        <w:t xml:space="preserve">the </w:t>
      </w:r>
      <w:r w:rsidR="00A72FAC">
        <w:t xml:space="preserve">ORIGEN-S libraries and </w:t>
      </w:r>
      <w:r>
        <w:t>ORIGEN-S is</w:t>
      </w:r>
      <w:r w:rsidR="00F76EAE">
        <w:t xml:space="preserve"> used to perform multi-region burnup calculations</w:t>
      </w:r>
      <w:r w:rsidR="00A72FAC">
        <w:t>.</w:t>
      </w:r>
      <w:r w:rsidR="00F76EAE">
        <w:t xml:space="preserve">  </w:t>
      </w:r>
      <w:r w:rsidR="003F0990">
        <w:t xml:space="preserve">When invoking the KENO based sequence, the stochastic three-dimensional approach is used to calculate </w:t>
      </w:r>
      <w:r w:rsidR="000E4A16">
        <w:t xml:space="preserve">fluxes and </w:t>
      </w:r>
      <w:r w:rsidR="008C3BF8">
        <w:t xml:space="preserve">KMART is used to </w:t>
      </w:r>
      <w:r w:rsidR="000E4A16">
        <w:t xml:space="preserve">prepare </w:t>
      </w:r>
      <w:r w:rsidR="008C3BF8">
        <w:t xml:space="preserve">the three-group </w:t>
      </w:r>
      <w:r w:rsidR="003F0990">
        <w:t xml:space="preserve">cross sections required by </w:t>
      </w:r>
      <w:r w:rsidR="008C3BF8">
        <w:t xml:space="preserve">COUPLE and </w:t>
      </w:r>
      <w:r w:rsidR="003F0990">
        <w:t>ORIGEN-S</w:t>
      </w:r>
      <w:r w:rsidR="000E4A16">
        <w:t>, which is again used</w:t>
      </w:r>
      <w:r w:rsidR="003F0990">
        <w:t xml:space="preserve"> to perform multi-material depletion calculations.</w:t>
      </w:r>
      <w:r>
        <w:t xml:space="preserve">  The predictor-corrector approach is used in TRITON</w:t>
      </w:r>
      <w:r w:rsidR="000E4A16">
        <w:t xml:space="preserve"> to update the burnup- and spatially-dependent flux since the flux is dependent on the cross sections that are changing with burnup.</w:t>
      </w:r>
    </w:p>
    <w:p w:rsidR="00F76EAE" w:rsidRDefault="00F76EAE" w:rsidP="000E4A16">
      <w:r>
        <w:t xml:space="preserve">The cross section processing scheme </w:t>
      </w:r>
      <w:r w:rsidR="003F0990">
        <w:t>in TRITON is similar to that</w:t>
      </w:r>
      <w:r>
        <w:t xml:space="preserve"> employed in CSAS</w:t>
      </w:r>
      <w:r w:rsidR="003F0990">
        <w:t xml:space="preserve">, which is described </w:t>
      </w:r>
      <w:r>
        <w:t>in previous paragraphs</w:t>
      </w:r>
      <w:r w:rsidR="003F0990">
        <w:t>.</w:t>
      </w:r>
      <w:r>
        <w:t xml:space="preserve">  </w:t>
      </w:r>
      <w:r w:rsidR="00B4792D">
        <w:t xml:space="preserve">BONAMI is always used to process the cross sections in the unresolved resonance energy range </w:t>
      </w:r>
      <w:r w:rsidR="0048388B">
        <w:t xml:space="preserve">and the cross sections in the resolved resonance range are processed by the CRAWDAD, WORKER, CENTRM, and PMC sequence; by NITAWL, or by using the </w:t>
      </w:r>
      <w:proofErr w:type="spellStart"/>
      <w:r w:rsidR="0048388B">
        <w:t>Bondarenko</w:t>
      </w:r>
      <w:proofErr w:type="spellEnd"/>
      <w:r w:rsidR="0048388B">
        <w:t xml:space="preserve"> factor applied by BONAMI rather than processing the cross sections in the resolved resonance range. </w:t>
      </w:r>
    </w:p>
    <w:p w:rsidR="008C3BF8" w:rsidRDefault="008C3BF8" w:rsidP="000E4A16"/>
    <w:p w:rsidR="008C2185" w:rsidRDefault="008C2185" w:rsidP="00AA149C">
      <w:pPr>
        <w:pStyle w:val="Heading3"/>
      </w:pPr>
      <w:bookmarkStart w:id="108" w:name="_Toc295818114"/>
      <w:r>
        <w:t>NEWT</w:t>
      </w:r>
      <w:bookmarkEnd w:id="108"/>
    </w:p>
    <w:p w:rsidR="008C5338" w:rsidRDefault="008C5338" w:rsidP="00D8410C">
      <w:r>
        <w:t>NEWT</w:t>
      </w:r>
      <w:r w:rsidR="00646BC2">
        <w:t xml:space="preserve"> (New ESC-based Weighting Transport code)</w:t>
      </w:r>
      <w:r w:rsidR="003E77A1">
        <w:t xml:space="preserve"> </w:t>
      </w:r>
      <w:r w:rsidR="007511FA">
        <w:fldChar w:fldCharType="begin"/>
      </w:r>
      <w:r w:rsidR="00C67546">
        <w:instrText xml:space="preserve"> REF _Ref285636736 \n \h </w:instrText>
      </w:r>
      <w:r w:rsidR="007511FA">
        <w:fldChar w:fldCharType="separate"/>
      </w:r>
      <w:r w:rsidR="00D5167B">
        <w:t>[61]</w:t>
      </w:r>
      <w:r w:rsidR="007511FA">
        <w:fldChar w:fldCharType="end"/>
      </w:r>
      <w:r>
        <w:t xml:space="preserve"> is a</w:t>
      </w:r>
      <w:r w:rsidR="00A72FAC">
        <w:t xml:space="preserve"> </w:t>
      </w:r>
      <w:r w:rsidR="00646BC2">
        <w:t>two-dimensional</w:t>
      </w:r>
      <w:r>
        <w:t xml:space="preserve"> discrete-ordinates </w:t>
      </w:r>
      <w:r w:rsidR="00C0748E">
        <w:t xml:space="preserve">solver that provides a solution for multi-group </w:t>
      </w:r>
      <w:r w:rsidR="00D8410C">
        <w:t xml:space="preserve">transport </w:t>
      </w:r>
      <w:r w:rsidR="00C0748E">
        <w:t>calculations.  NEWT</w:t>
      </w:r>
      <w:r>
        <w:t xml:space="preserve"> </w:t>
      </w:r>
      <w:r w:rsidR="00D8410C">
        <w:t>can be</w:t>
      </w:r>
      <w:r>
        <w:t xml:space="preserve"> run within </w:t>
      </w:r>
      <w:r w:rsidR="00D8410C">
        <w:t xml:space="preserve">the </w:t>
      </w:r>
      <w:r>
        <w:t>SCALE</w:t>
      </w:r>
      <w:r w:rsidR="00D8410C">
        <w:t xml:space="preserve"> sequence or as a stand-alone program</w:t>
      </w:r>
      <w:r>
        <w:t>.  NEWT</w:t>
      </w:r>
      <w:r w:rsidR="00646BC2">
        <w:t xml:space="preserve"> performs two-dimensional </w:t>
      </w:r>
      <w:r>
        <w:t xml:space="preserve">neutron transport calculations and utilizes the Extended Step Characteristic (ESC) approach for spatial discretization on an </w:t>
      </w:r>
      <w:r>
        <w:lastRenderedPageBreak/>
        <w:t>arbitrary mesh structure.  The primary function</w:t>
      </w:r>
      <w:r w:rsidR="00646BC2">
        <w:t>s</w:t>
      </w:r>
      <w:r>
        <w:t xml:space="preserve"> of NEWT </w:t>
      </w:r>
      <w:r w:rsidR="00646BC2">
        <w:t>are</w:t>
      </w:r>
      <w:r>
        <w:t xml:space="preserve"> to calculate spatial flux distributions within nuclear system</w:t>
      </w:r>
      <w:r w:rsidR="00646BC2">
        <w:t>s</w:t>
      </w:r>
      <w:r>
        <w:t xml:space="preserve"> and </w:t>
      </w:r>
      <w:r w:rsidR="00D8410C">
        <w:t xml:space="preserve">to prepare </w:t>
      </w:r>
      <w:r w:rsidR="00A72FAC">
        <w:t xml:space="preserve">collapsed </w:t>
      </w:r>
      <w:r w:rsidR="00D8410C">
        <w:t>cross sections.  The</w:t>
      </w:r>
      <w:r>
        <w:t xml:space="preserve"> cross sections can be </w:t>
      </w:r>
      <w:r w:rsidR="00D8410C">
        <w:t>used to</w:t>
      </w:r>
      <w:r w:rsidR="00646BC2">
        <w:t xml:space="preserve"> simply</w:t>
      </w:r>
      <w:r w:rsidR="00D8410C">
        <w:t xml:space="preserve"> execute NEWT, can be </w:t>
      </w:r>
      <w:r>
        <w:t>supplied to ORIGEN-S</w:t>
      </w:r>
      <w:r w:rsidR="00646BC2">
        <w:t xml:space="preserve"> via the TRITON sequence</w:t>
      </w:r>
      <w:r>
        <w:t xml:space="preserve"> for depletion calculations</w:t>
      </w:r>
      <w:r w:rsidR="00D8410C">
        <w:t>,</w:t>
      </w:r>
      <w:r>
        <w:t xml:space="preserve"> or can be extracted from the output for use in </w:t>
      </w:r>
      <w:r w:rsidR="00D8410C">
        <w:t xml:space="preserve">other </w:t>
      </w:r>
      <w:r>
        <w:t>application</w:t>
      </w:r>
      <w:r w:rsidR="00D8410C">
        <w:t>s</w:t>
      </w:r>
      <w:r>
        <w:t>.</w:t>
      </w:r>
      <w:r w:rsidR="00CD2CE0">
        <w:t xml:space="preserve">  NEWT can also be used to calculate effective multiplication factors, forward and </w:t>
      </w:r>
      <w:proofErr w:type="spellStart"/>
      <w:r w:rsidR="00CD2CE0">
        <w:t>adjoint</w:t>
      </w:r>
      <w:proofErr w:type="spellEnd"/>
      <w:r w:rsidR="00CD2CE0">
        <w:t xml:space="preserve"> flux solutions, discontinuity factors, diffusion coefficients,</w:t>
      </w:r>
      <w:r w:rsidR="003E77A1">
        <w:t xml:space="preserve"> delayed neutron data, and etc.</w:t>
      </w:r>
    </w:p>
    <w:p w:rsidR="00C0748E" w:rsidRDefault="00646BC2" w:rsidP="00D8410C">
      <w:r>
        <w:t xml:space="preserve">Discrete-ordinates is a deterministic approach to solving the transport equation and is better suited for solving problems where differential quantities such as the energy- and spatially-dependent neutron flux are desired, in comparison to stochastic (Monte Carlo) techniques as previous described.  </w:t>
      </w:r>
      <w:r w:rsidR="00CD2CE0">
        <w:t>Discrete-ord</w:t>
      </w:r>
      <w:r w:rsidR="00C14D60">
        <w:t>inates approaches are derived f</w:t>
      </w:r>
      <w:r w:rsidR="00CD2CE0">
        <w:t>o</w:t>
      </w:r>
      <w:r w:rsidR="00C14D60">
        <w:t>r</w:t>
      </w:r>
      <w:r w:rsidR="00CD2CE0">
        <w:t>m</w:t>
      </w:r>
      <w:r>
        <w:t xml:space="preserve">s the </w:t>
      </w:r>
      <w:proofErr w:type="spellStart"/>
      <w:r>
        <w:t>integrodifferential</w:t>
      </w:r>
      <w:proofErr w:type="spellEnd"/>
      <w:r>
        <w:t xml:space="preserve"> form of the Boltzmann transport equation in which a finite-difference grid and a number of discrete directions in space are used to </w:t>
      </w:r>
      <w:r w:rsidR="00CD2CE0">
        <w:t>treat the space-, t</w:t>
      </w:r>
      <w:r w:rsidR="003E77A1">
        <w:t>ime-, and energy-dependencies.</w:t>
      </w:r>
    </w:p>
    <w:p w:rsidR="00646BC2" w:rsidRDefault="0009626B" w:rsidP="00D8410C">
      <w:r>
        <w:t xml:space="preserve">A course-mesh finite-difference acceleration (CMFD) approach has been added to NEWT to speed up the source-iteration approach which can be slow to converge.  The iteration scheme uses inner iterations to solve the spatial fluxes in each energy group to generate updated source terms and outer iterations use the source terms to converge all groups.   </w:t>
      </w:r>
      <w:r w:rsidR="00C0748E">
        <w:t>NEWT uses</w:t>
      </w:r>
      <w:r w:rsidR="00CD2CE0">
        <w:t xml:space="preserve"> ESC </w:t>
      </w:r>
      <w:r w:rsidR="00C0748E">
        <w:t xml:space="preserve">discretization to calculate transport between sides within each computation cell.  The computational cells are developed in </w:t>
      </w:r>
      <w:r>
        <w:t xml:space="preserve">the form of arbitrary polygons that can accurately represent </w:t>
      </w:r>
      <w:proofErr w:type="spellStart"/>
      <w:r>
        <w:t>nonorthogonal</w:t>
      </w:r>
      <w:proofErr w:type="spellEnd"/>
      <w:r>
        <w:t xml:space="preserve"> systems.</w:t>
      </w:r>
    </w:p>
    <w:p w:rsidR="00D8410C" w:rsidRDefault="00D8410C" w:rsidP="008C5338"/>
    <w:p w:rsidR="008C2185" w:rsidRDefault="008C2185" w:rsidP="00AA149C">
      <w:pPr>
        <w:pStyle w:val="Heading2"/>
      </w:pPr>
      <w:bookmarkStart w:id="109" w:name="_Toc295818115"/>
      <w:r>
        <w:t>PARET</w:t>
      </w:r>
      <w:bookmarkEnd w:id="109"/>
    </w:p>
    <w:p w:rsidR="00525143" w:rsidRDefault="00126E66" w:rsidP="00525143">
      <w:r>
        <w:t>The Program for the Analysis of Reactor Transients code (PARET)</w:t>
      </w:r>
      <w:r w:rsidR="00C67546">
        <w:t xml:space="preserve">, </w:t>
      </w:r>
      <w:r w:rsidR="007511FA">
        <w:fldChar w:fldCharType="begin"/>
      </w:r>
      <w:r w:rsidR="00C67546">
        <w:instrText xml:space="preserve"> REF _Ref285636753 \n \h </w:instrText>
      </w:r>
      <w:r w:rsidR="007511FA">
        <w:fldChar w:fldCharType="separate"/>
      </w:r>
      <w:r w:rsidR="00D5167B">
        <w:t>[62]</w:t>
      </w:r>
      <w:r w:rsidR="007511FA">
        <w:fldChar w:fldCharType="end"/>
      </w:r>
      <w:r w:rsidR="00C67546">
        <w:t xml:space="preserve"> and </w:t>
      </w:r>
      <w:r w:rsidR="007511FA">
        <w:fldChar w:fldCharType="begin"/>
      </w:r>
      <w:r w:rsidR="00C67546">
        <w:instrText xml:space="preserve"> REF _Ref285636759 \n \h </w:instrText>
      </w:r>
      <w:r w:rsidR="007511FA">
        <w:fldChar w:fldCharType="separate"/>
      </w:r>
      <w:r w:rsidR="00D5167B">
        <w:t>[63]</w:t>
      </w:r>
      <w:r w:rsidR="007511FA">
        <w:fldChar w:fldCharType="end"/>
      </w:r>
      <w:r w:rsidR="00C67546">
        <w:t>,</w:t>
      </w:r>
      <w:r w:rsidR="003E77A1">
        <w:t xml:space="preserve"> </w:t>
      </w:r>
      <w:r>
        <w:t xml:space="preserve">is a computer code that </w:t>
      </w:r>
      <w:r w:rsidR="00525143">
        <w:t>couples</w:t>
      </w:r>
      <w:r>
        <w:t xml:space="preserve"> the neutronic-hydrodynamic-heat transfer equations for</w:t>
      </w:r>
      <w:r w:rsidR="00525143">
        <w:t xml:space="preserve"> research reactors with</w:t>
      </w:r>
      <w:r>
        <w:t xml:space="preserve"> plate</w:t>
      </w:r>
      <w:r w:rsidR="002C2FEB">
        <w:t>-type (flat</w:t>
      </w:r>
      <w:r w:rsidR="00525143">
        <w:t>) and pin-</w:t>
      </w:r>
      <w:r>
        <w:t xml:space="preserve">type </w:t>
      </w:r>
      <w:r w:rsidR="00525143">
        <w:t>fuel elements</w:t>
      </w:r>
      <w:r>
        <w:t>.  The code can be used to study the both steady state and transient behaviors</w:t>
      </w:r>
      <w:r w:rsidR="00525143">
        <w:t xml:space="preserve"> and was developed to predict consequences of nondestructive accidents</w:t>
      </w:r>
      <w:r>
        <w:t>.  PARET</w:t>
      </w:r>
      <w:r w:rsidRPr="00E73D91">
        <w:t xml:space="preserve"> uses point </w:t>
      </w:r>
      <w:r w:rsidRPr="00E73D91">
        <w:lastRenderedPageBreak/>
        <w:t xml:space="preserve">reactor kinetics </w:t>
      </w:r>
      <w:r>
        <w:t>so solve</w:t>
      </w:r>
      <w:r w:rsidRPr="00E73D91">
        <w:t xml:space="preserve"> the n</w:t>
      </w:r>
      <w:r w:rsidR="00525143">
        <w:t>eutronic aspect of the analysis.  M</w:t>
      </w:r>
      <w:r w:rsidRPr="00E73D91">
        <w:t>ultiple</w:t>
      </w:r>
      <w:r w:rsidR="00525143">
        <w:t xml:space="preserve"> heat transfer,</w:t>
      </w:r>
      <w:r w:rsidRPr="00E73D91">
        <w:t xml:space="preserve"> laminar</w:t>
      </w:r>
      <w:r w:rsidR="00525143">
        <w:t xml:space="preserve"> flow,</w:t>
      </w:r>
      <w:r w:rsidRPr="00E73D91">
        <w:t xml:space="preserve"> and turbulent </w:t>
      </w:r>
      <w:r w:rsidR="00525143">
        <w:t xml:space="preserve">flow </w:t>
      </w:r>
      <w:r w:rsidRPr="00E73D91">
        <w:t xml:space="preserve">correlations </w:t>
      </w:r>
      <w:r w:rsidR="00525143">
        <w:t>are provided for the heat transfer and hydrodynamic aspects of the problem</w:t>
      </w:r>
      <w:r w:rsidRPr="00E73D91">
        <w:t xml:space="preserve">. </w:t>
      </w:r>
      <w:r w:rsidR="00525143">
        <w:t xml:space="preserve"> </w:t>
      </w:r>
      <w:r w:rsidRPr="00E73D91">
        <w:t>The user has the capability to select the appropriate correlation</w:t>
      </w:r>
      <w:r w:rsidR="00525143">
        <w:t>s</w:t>
      </w:r>
      <w:r w:rsidRPr="00E73D91">
        <w:t xml:space="preserve"> based on the operational parame</w:t>
      </w:r>
      <w:r>
        <w:t>ters and the range of</w:t>
      </w:r>
      <w:r w:rsidRPr="00E73D91">
        <w:t xml:space="preserve"> data available for the analysis.</w:t>
      </w:r>
    </w:p>
    <w:p w:rsidR="00525143" w:rsidRDefault="00525143" w:rsidP="00525143">
      <w:r>
        <w:t xml:space="preserve">The reactor core can be modeled </w:t>
      </w:r>
      <w:r w:rsidR="00656EA8">
        <w:t>by a set of nested tubes, flat plates in slab geometry, or with round fuel rods and constructed with up to 50 channels</w:t>
      </w:r>
      <w:r w:rsidR="00C94594">
        <w:t xml:space="preserve"> and 19 axial sections</w:t>
      </w:r>
      <w:r w:rsidR="00656EA8">
        <w:t xml:space="preserve">.  Each channel may have different power generation, coolant flow, and hydraulic parameters.  </w:t>
      </w:r>
      <w:r w:rsidR="00C94594">
        <w:t>One-dimensional heat transfer and hydrodynamics solutions are solved for and point (zero dimensions) reactor kinetics solutions are solved for.</w:t>
      </w:r>
      <w:r w:rsidR="00B679E7" w:rsidRPr="00B679E7">
        <w:t xml:space="preserve"> </w:t>
      </w:r>
      <w:r w:rsidR="00B679E7">
        <w:t>Since there is no thermal coupling between channels each channel is effectively indepe</w:t>
      </w:r>
      <w:r w:rsidR="003E77A1">
        <w:t>ndent regarding heat transfer.</w:t>
      </w:r>
    </w:p>
    <w:p w:rsidR="00126E66" w:rsidRDefault="00C94594" w:rsidP="004C47B8">
      <w:r>
        <w:t xml:space="preserve">The major code inputs include the physical dimensions of the reactor, fluid flow parameters, initial system pressure, </w:t>
      </w:r>
      <w:proofErr w:type="gramStart"/>
      <w:r>
        <w:t>thermal</w:t>
      </w:r>
      <w:proofErr w:type="gramEnd"/>
      <w:r>
        <w:t xml:space="preserve"> </w:t>
      </w:r>
      <w:r w:rsidR="00B679E7">
        <w:t>properties of the fuel and clad, inlet moderator parameters, delayed neutron information, reactivity coefficients, initial reactor power, local neutron flux ratios, external reactivity or core power as a function of time.  The major output includes the elapsed time, the core power, the total energy generated, the total reactivity, the moderator temperature and mass velocity, the clad surface temperature, and the fuel centerline and surface temperatures.</w:t>
      </w:r>
    </w:p>
    <w:p w:rsidR="003E77A1" w:rsidRDefault="003E77A1" w:rsidP="004C47B8"/>
    <w:p w:rsidR="008C2185" w:rsidRDefault="008C2185" w:rsidP="00AA149C">
      <w:pPr>
        <w:pStyle w:val="Heading2"/>
      </w:pPr>
      <w:bookmarkStart w:id="110" w:name="_Toc295818116"/>
      <w:r>
        <w:t>COMSOL</w:t>
      </w:r>
      <w:bookmarkEnd w:id="110"/>
    </w:p>
    <w:p w:rsidR="008C2185" w:rsidRDefault="00893860" w:rsidP="00893860">
      <w:r>
        <w:t xml:space="preserve">COMSOL Multiphysics is a software package that uses the finite element method for spatial discretization to solve physics-based systems of PDEs and/or ODEs.  </w:t>
      </w:r>
      <w:r w:rsidR="008D6A4C">
        <w:t>In these studies, both version 3.5</w:t>
      </w:r>
      <w:r w:rsidR="00C67546">
        <w:t xml:space="preserve"> </w:t>
      </w:r>
      <w:r w:rsidR="007511FA">
        <w:fldChar w:fldCharType="begin"/>
      </w:r>
      <w:r w:rsidR="00C67546">
        <w:instrText xml:space="preserve"> REF _Ref285636781 \n \h </w:instrText>
      </w:r>
      <w:r w:rsidR="007511FA">
        <w:fldChar w:fldCharType="separate"/>
      </w:r>
      <w:r w:rsidR="00D5167B">
        <w:t>[64]</w:t>
      </w:r>
      <w:r w:rsidR="007511FA">
        <w:fldChar w:fldCharType="end"/>
      </w:r>
      <w:r w:rsidR="008D6A4C">
        <w:t xml:space="preserve"> and version 4</w:t>
      </w:r>
      <w:r w:rsidR="00C67546">
        <w:t xml:space="preserve"> </w:t>
      </w:r>
      <w:r w:rsidR="007511FA">
        <w:fldChar w:fldCharType="begin"/>
      </w:r>
      <w:r w:rsidR="00C67546">
        <w:instrText xml:space="preserve"> REF _Ref285636789 \n \h </w:instrText>
      </w:r>
      <w:r w:rsidR="007511FA">
        <w:fldChar w:fldCharType="separate"/>
      </w:r>
      <w:r w:rsidR="00D5167B">
        <w:t>[65]</w:t>
      </w:r>
      <w:r w:rsidR="007511FA">
        <w:fldChar w:fldCharType="end"/>
      </w:r>
      <w:r w:rsidR="008D6A4C">
        <w:t xml:space="preserve"> are utilized.  </w:t>
      </w:r>
      <w:r>
        <w:t xml:space="preserve">Steady-state and time-dependent </w:t>
      </w:r>
      <w:proofErr w:type="spellStart"/>
      <w:r>
        <w:t>multiphysics</w:t>
      </w:r>
      <w:proofErr w:type="spellEnd"/>
      <w:r>
        <w:t xml:space="preserve"> simulations can be set up using the predefined (i.e. built-in) physics/engineering modules or by specifying a system of user-specific PDEs.  Additional built-in modules can be modified to the user’s needs through equation based </w:t>
      </w:r>
      <w:r>
        <w:lastRenderedPageBreak/>
        <w:t>modeling capabilities and can be coupled together with other modules, with user defined PDEs, or with external coding through a MATLAB interface; all of which makes COMSOL a versatile simulation tool.</w:t>
      </w:r>
      <w:r w:rsidR="008C2185">
        <w:br w:type="page"/>
      </w:r>
    </w:p>
    <w:p w:rsidR="008C2185" w:rsidRDefault="008C2185" w:rsidP="00AA149C">
      <w:pPr>
        <w:pStyle w:val="Heading1"/>
      </w:pPr>
      <w:bookmarkStart w:id="111" w:name="_Toc295818117"/>
      <w:r>
        <w:lastRenderedPageBreak/>
        <w:t>Power Distributions and Critical Experiments</w:t>
      </w:r>
      <w:bookmarkEnd w:id="111"/>
    </w:p>
    <w:p w:rsidR="00F96A99" w:rsidRPr="00F96A99" w:rsidRDefault="00F96A99" w:rsidP="00F96A99">
      <w:r w:rsidRPr="00F96A99">
        <w:t xml:space="preserve">The purpose of this </w:t>
      </w:r>
      <w:r>
        <w:t>chapter</w:t>
      </w:r>
      <w:r w:rsidRPr="00F96A99">
        <w:t xml:space="preserve"> is to validate a methodology for calculating the power density within the HFIR core interior using </w:t>
      </w:r>
      <w:r>
        <w:t>MCNP</w:t>
      </w:r>
      <w:r w:rsidRPr="00F96A99">
        <w:t>.</w:t>
      </w:r>
      <w:r>
        <w:t xml:space="preserve">  The core power distribution is one of the key inputs for thermal hydraulic and reactor kinetic analyses</w:t>
      </w:r>
      <w:r w:rsidR="00BC4BD6">
        <w:t>.  This validation study was also performed because MCNP is currently being used in the LEU conversion studies and this validation will be used to assess the range of applicability for the LEU studies.</w:t>
      </w:r>
      <w:r>
        <w:t xml:space="preserve"> </w:t>
      </w:r>
      <w:r w:rsidRPr="00F96A99">
        <w:t xml:space="preserve"> Monte Carlo methods are currently being utilized for</w:t>
      </w:r>
      <w:r w:rsidRPr="00F96A99">
        <w:rPr>
          <w:bCs/>
          <w:iCs/>
        </w:rPr>
        <w:t xml:space="preserve"> studies including fuel operating parameters, enrichment-related safety analyses, and fuel performance in regard to converting the fuel of the HFIR. </w:t>
      </w:r>
      <w:r w:rsidR="00BC4BD6">
        <w:rPr>
          <w:bCs/>
          <w:iCs/>
        </w:rPr>
        <w:t xml:space="preserve"> </w:t>
      </w:r>
      <w:r w:rsidRPr="00F96A99">
        <w:t>The methods have been validated for the prediction of flux values in the reactor target, reflector, and beam tubes, but this study focuses on the prediction of the power density profile in the reactor core.</w:t>
      </w:r>
    </w:p>
    <w:p w:rsidR="00F96A99" w:rsidRPr="00F96A99" w:rsidRDefault="00F96A99" w:rsidP="00BC4BD6">
      <w:r w:rsidRPr="00F96A99">
        <w:t xml:space="preserve">In order to validate MCNP via power density comparisons, a set of experimentally measured results were utilized. </w:t>
      </w:r>
      <w:r w:rsidR="00BC4BD6">
        <w:t xml:space="preserve"> </w:t>
      </w:r>
      <w:r w:rsidRPr="00F96A99">
        <w:t>Tables A.1 and A.2 in</w:t>
      </w:r>
      <w:r w:rsidR="00C67546">
        <w:t xml:space="preserve"> </w:t>
      </w:r>
      <w:r w:rsidR="007511FA">
        <w:fldChar w:fldCharType="begin"/>
      </w:r>
      <w:r w:rsidR="00C67546">
        <w:instrText xml:space="preserve"> REF _Ref285636804 \n \h </w:instrText>
      </w:r>
      <w:r w:rsidR="007511FA">
        <w:fldChar w:fldCharType="separate"/>
      </w:r>
      <w:r w:rsidR="00D5167B">
        <w:t>[66]</w:t>
      </w:r>
      <w:r w:rsidR="007511FA">
        <w:fldChar w:fldCharType="end"/>
      </w:r>
      <w:r w:rsidRPr="00F96A99">
        <w:t xml:space="preserve"> provides two data sets of relative power densities that were obtained during the HFIRCE-3 experiments. </w:t>
      </w:r>
      <w:r w:rsidR="00BC4BD6">
        <w:t xml:space="preserve"> </w:t>
      </w:r>
      <w:r w:rsidRPr="00F96A99">
        <w:t xml:space="preserve">The core conditions corresponding to each of the two experiments are different and therefore provide two unique scenarios to model. </w:t>
      </w:r>
      <w:r w:rsidR="00BC4BD6">
        <w:t xml:space="preserve"> </w:t>
      </w:r>
      <w:r w:rsidRPr="00F96A99">
        <w:t xml:space="preserve">The data in Table A.1 was obtained for clean core conditions in which no boron was present in the moderator and the control </w:t>
      </w:r>
      <w:r w:rsidR="00BC4BD6">
        <w:t>elements</w:t>
      </w:r>
      <w:r w:rsidRPr="00F96A99">
        <w:t xml:space="preserve"> were at a symmetrical position of 44.536 cm (17.534 inches) withdrawn with respect to the core axial midplane.  This core configuration simulates beginning-of-life conditions in the HFIR. </w:t>
      </w:r>
      <w:r w:rsidR="00BC4BD6">
        <w:t xml:space="preserve"> </w:t>
      </w:r>
      <w:r w:rsidRPr="00F96A99">
        <w:t>The set of data listed in Table</w:t>
      </w:r>
      <w:r w:rsidR="00BC4BD6">
        <w:t xml:space="preserve"> </w:t>
      </w:r>
      <w:r w:rsidRPr="00F96A99">
        <w:t xml:space="preserve">A.2 was measured under fully poisoned core conditions in which 1.35 grams of boron per liter of moderator was present and the control </w:t>
      </w:r>
      <w:r w:rsidR="00BC4BD6">
        <w:t>elements</w:t>
      </w:r>
      <w:r w:rsidRPr="00F96A99">
        <w:t xml:space="preserve"> were fully withdrawn. </w:t>
      </w:r>
      <w:r w:rsidR="00BC4BD6">
        <w:t xml:space="preserve"> </w:t>
      </w:r>
      <w:r w:rsidRPr="00F96A99">
        <w:t>This core configuration simulates end-of-life conditions in the HFIR in which the control and safety elements are fully withdrawn and the boron in the coolant is used to simulate the poisoning effect of fission products and loss of reactivity due to fuel consumption during the cycle.</w:t>
      </w:r>
    </w:p>
    <w:p w:rsidR="00F96A99" w:rsidRPr="00F96A99" w:rsidRDefault="00F96A99" w:rsidP="00BC4BD6">
      <w:r w:rsidRPr="00F96A99">
        <w:t>In the past, diffusion codes</w:t>
      </w:r>
      <w:r w:rsidR="005D73E4">
        <w:t xml:space="preserve"> such as BOLD VENTURE and DORT</w:t>
      </w:r>
      <w:r w:rsidR="00C67546">
        <w:t xml:space="preserve">; </w:t>
      </w:r>
      <w:r w:rsidR="007511FA">
        <w:fldChar w:fldCharType="begin"/>
      </w:r>
      <w:r w:rsidR="00C67546">
        <w:instrText xml:space="preserve"> REF _Ref285636322 \n \h </w:instrText>
      </w:r>
      <w:r w:rsidR="007511FA">
        <w:fldChar w:fldCharType="separate"/>
      </w:r>
      <w:r w:rsidR="00D5167B">
        <w:t>[26]</w:t>
      </w:r>
      <w:r w:rsidR="007511FA">
        <w:fldChar w:fldCharType="end"/>
      </w:r>
      <w:r w:rsidR="00C67546">
        <w:t xml:space="preserve">, </w:t>
      </w:r>
      <w:r w:rsidR="007511FA">
        <w:fldChar w:fldCharType="begin"/>
      </w:r>
      <w:r w:rsidR="00C67546">
        <w:instrText xml:space="preserve"> REF _Ref285636847 \n \h </w:instrText>
      </w:r>
      <w:r w:rsidR="007511FA">
        <w:fldChar w:fldCharType="separate"/>
      </w:r>
      <w:r w:rsidR="00D5167B">
        <w:t>[67]</w:t>
      </w:r>
      <w:r w:rsidR="007511FA">
        <w:fldChar w:fldCharType="end"/>
      </w:r>
      <w:r w:rsidR="00C67546">
        <w:t xml:space="preserve">, and </w:t>
      </w:r>
      <w:r w:rsidR="007511FA">
        <w:fldChar w:fldCharType="begin"/>
      </w:r>
      <w:r w:rsidR="00C67546">
        <w:instrText xml:space="preserve"> REF _Ref285636853 \n \h </w:instrText>
      </w:r>
      <w:r w:rsidR="007511FA">
        <w:fldChar w:fldCharType="separate"/>
      </w:r>
      <w:r w:rsidR="00D5167B">
        <w:t>[68]</w:t>
      </w:r>
      <w:r w:rsidR="007511FA">
        <w:fldChar w:fldCharType="end"/>
      </w:r>
      <w:r w:rsidR="00C67546">
        <w:t>;</w:t>
      </w:r>
      <w:r w:rsidR="005D73E4">
        <w:t xml:space="preserve"> </w:t>
      </w:r>
      <w:r w:rsidRPr="00F96A99">
        <w:t xml:space="preserve">have been used to calculate power densities in the reactor core, but these models were simplified representations of the reactor and were two-dimensional (2-D). </w:t>
      </w:r>
      <w:r w:rsidR="00BC4BD6">
        <w:t xml:space="preserve"> </w:t>
      </w:r>
      <w:r w:rsidRPr="00F96A99">
        <w:t xml:space="preserve">Also, all of the previous power density calculations have </w:t>
      </w:r>
      <w:r w:rsidRPr="00F96A99">
        <w:lastRenderedPageBreak/>
        <w:t>been compared to data interpolated from and fitted to the measured results reported.</w:t>
      </w:r>
      <w:r w:rsidR="00BC4BD6">
        <w:t xml:space="preserve"> </w:t>
      </w:r>
      <w:r w:rsidRPr="00F96A99">
        <w:t xml:space="preserve"> This study focuses on using a transport code rather than a diffusion code, using a detailed 3-D geometry of the reactor rather than </w:t>
      </w:r>
      <w:proofErr w:type="gramStart"/>
      <w:r w:rsidRPr="00F96A99">
        <w:t>a simplified</w:t>
      </w:r>
      <w:proofErr w:type="gramEnd"/>
      <w:r w:rsidRPr="00F96A99">
        <w:t xml:space="preserve"> 2-D geometry, and calculating power densities to be directly compared to the measured results rather than to data interpolated and extrapolated from these measured values. </w:t>
      </w:r>
      <w:r w:rsidR="00BC4BD6">
        <w:t xml:space="preserve"> </w:t>
      </w:r>
      <w:r w:rsidRPr="00F96A99">
        <w:t>The Monte Carlo method, examined here, coupled with continuous point energy data for neutron cross sections, should provide the most accurate computational model possibl</w:t>
      </w:r>
      <w:r w:rsidR="00BC4BD6">
        <w:t>e of the critical experiments.</w:t>
      </w:r>
    </w:p>
    <w:p w:rsidR="008C2185" w:rsidRDefault="008C2185" w:rsidP="008C2185"/>
    <w:p w:rsidR="008C2185" w:rsidRDefault="00BC4BD6" w:rsidP="00AA149C">
      <w:pPr>
        <w:pStyle w:val="Heading2"/>
      </w:pPr>
      <w:bookmarkStart w:id="112" w:name="_Toc295818118"/>
      <w:r>
        <w:t>Background of Critical Experiments</w:t>
      </w:r>
      <w:bookmarkEnd w:id="112"/>
      <w:r>
        <w:t xml:space="preserve"> </w:t>
      </w:r>
    </w:p>
    <w:p w:rsidR="008C2185" w:rsidRPr="00BC4BD6" w:rsidRDefault="00BC4BD6" w:rsidP="004207C6">
      <w:r w:rsidRPr="00BC4BD6">
        <w:t xml:space="preserve">Before HFIR operated at full power, four sets of critical experiments were conducted in order to finalize the design. </w:t>
      </w:r>
      <w:r>
        <w:t xml:space="preserve"> </w:t>
      </w:r>
      <w:r w:rsidRPr="00BC4BD6">
        <w:t>This study focuses on the third set of experiments, HFIRCE-3, which produced power distribution data among numerous other physics parameters.</w:t>
      </w:r>
      <w:r>
        <w:t xml:space="preserve"> </w:t>
      </w:r>
      <w:r w:rsidRPr="00BC4BD6">
        <w:t xml:space="preserve"> The major differences between the critical experiment cores include the amount of </w:t>
      </w:r>
      <w:r w:rsidRPr="00BC4BD6">
        <w:rPr>
          <w:vertAlign w:val="superscript"/>
        </w:rPr>
        <w:t>235</w:t>
      </w:r>
      <w:r w:rsidRPr="00BC4BD6">
        <w:t xml:space="preserve">U in the fuel elements, the amount of </w:t>
      </w:r>
      <w:r w:rsidRPr="00BC4BD6">
        <w:rPr>
          <w:vertAlign w:val="superscript"/>
        </w:rPr>
        <w:t>10</w:t>
      </w:r>
      <w:r w:rsidRPr="00BC4BD6">
        <w:t xml:space="preserve">B in the inner fuel element, and the material and region lengths of the components of the control elements. </w:t>
      </w:r>
      <w:r>
        <w:t xml:space="preserve"> </w:t>
      </w:r>
      <w:r w:rsidRPr="00BC4BD6">
        <w:t xml:space="preserve">The original amount of </w:t>
      </w:r>
      <w:r w:rsidRPr="00BC4BD6">
        <w:rPr>
          <w:vertAlign w:val="superscript"/>
        </w:rPr>
        <w:t>235</w:t>
      </w:r>
      <w:r w:rsidRPr="00BC4BD6">
        <w:t xml:space="preserve">U and </w:t>
      </w:r>
      <w:r w:rsidRPr="00BC4BD6">
        <w:rPr>
          <w:vertAlign w:val="superscript"/>
        </w:rPr>
        <w:t>10</w:t>
      </w:r>
      <w:r w:rsidRPr="00BC4BD6">
        <w:t xml:space="preserve">B in the HFIRCE-3 </w:t>
      </w:r>
      <w:proofErr w:type="spellStart"/>
      <w:r w:rsidRPr="00BC4BD6">
        <w:t>core</w:t>
      </w:r>
      <w:proofErr w:type="spellEnd"/>
      <w:r w:rsidRPr="00BC4BD6">
        <w:t xml:space="preserve"> was 9.4 kg and 2.12 g</w:t>
      </w:r>
      <w:r>
        <w:t>,</w:t>
      </w:r>
      <w:r w:rsidRPr="00BC4BD6">
        <w:t xml:space="preserve"> respectively, but due to control element upgrades, the amount of </w:t>
      </w:r>
      <w:r w:rsidRPr="00BC4BD6">
        <w:rPr>
          <w:vertAlign w:val="superscript"/>
        </w:rPr>
        <w:t>10</w:t>
      </w:r>
      <w:r w:rsidRPr="00BC4BD6">
        <w:t xml:space="preserve">B was revised to 2.80 g. </w:t>
      </w:r>
      <w:r>
        <w:t xml:space="preserve"> </w:t>
      </w:r>
      <w:r w:rsidRPr="00BC4BD6">
        <w:t xml:space="preserve">A summary of the </w:t>
      </w:r>
      <w:r w:rsidRPr="00BC4BD6">
        <w:rPr>
          <w:vertAlign w:val="superscript"/>
        </w:rPr>
        <w:t>235</w:t>
      </w:r>
      <w:r w:rsidRPr="00BC4BD6">
        <w:t xml:space="preserve">U and </w:t>
      </w:r>
      <w:r w:rsidRPr="00BC4BD6">
        <w:rPr>
          <w:vertAlign w:val="superscript"/>
        </w:rPr>
        <w:t>10</w:t>
      </w:r>
      <w:r w:rsidRPr="00BC4BD6">
        <w:t>B loadings, as well as the control elements utilized in the critical experiments is listed in</w:t>
      </w:r>
      <w:r w:rsidR="003E77A1">
        <w:t xml:space="preserve"> </w:t>
      </w:r>
      <w:r w:rsidR="007511FA">
        <w:fldChar w:fldCharType="begin"/>
      </w:r>
      <w:r w:rsidR="003E77A1">
        <w:instrText xml:space="preserve"> REF _Ref285534319 \h </w:instrText>
      </w:r>
      <w:r w:rsidR="007511FA">
        <w:fldChar w:fldCharType="separate"/>
      </w:r>
      <w:r w:rsidR="00D5167B">
        <w:t xml:space="preserve">Table </w:t>
      </w:r>
      <w:r w:rsidR="00D5167B">
        <w:rPr>
          <w:noProof/>
        </w:rPr>
        <w:t>4</w:t>
      </w:r>
      <w:r w:rsidR="00D5167B">
        <w:t>.</w:t>
      </w:r>
      <w:r w:rsidR="00D5167B">
        <w:rPr>
          <w:noProof/>
        </w:rPr>
        <w:t>1</w:t>
      </w:r>
      <w:r w:rsidR="007511FA">
        <w:fldChar w:fldCharType="end"/>
      </w:r>
      <w:r w:rsidRPr="00BC4BD6">
        <w:t>.</w:t>
      </w:r>
    </w:p>
    <w:p w:rsidR="00BC4BD6" w:rsidRPr="00BC4BD6" w:rsidRDefault="003E77A1" w:rsidP="003E77A1">
      <w:pPr>
        <w:pStyle w:val="Caption"/>
      </w:pPr>
      <w:bookmarkStart w:id="113" w:name="_Ref285534319"/>
      <w:bookmarkStart w:id="114" w:name="_Toc295818264"/>
      <w:proofErr w:type="gramStart"/>
      <w:r>
        <w:t xml:space="preserve">Table </w:t>
      </w:r>
      <w:r w:rsidR="007511FA">
        <w:fldChar w:fldCharType="begin"/>
      </w:r>
      <w:r w:rsidR="00AE17F8">
        <w:instrText xml:space="preserve"> STYLEREF 1 \s </w:instrText>
      </w:r>
      <w:r w:rsidR="007511FA">
        <w:fldChar w:fldCharType="separate"/>
      </w:r>
      <w:r w:rsidR="00D5167B">
        <w:rPr>
          <w:noProof/>
        </w:rPr>
        <w:t>4</w:t>
      </w:r>
      <w:r w:rsidR="007511FA">
        <w:fldChar w:fldCharType="end"/>
      </w:r>
      <w:r w:rsidR="00DE5151">
        <w:t>.</w:t>
      </w:r>
      <w:proofErr w:type="gramEnd"/>
      <w:r w:rsidR="007511FA">
        <w:fldChar w:fldCharType="begin"/>
      </w:r>
      <w:r w:rsidR="00C43F40">
        <w:instrText xml:space="preserve"> SEQ Table \* ARABIC \s 1 </w:instrText>
      </w:r>
      <w:r w:rsidR="007511FA">
        <w:fldChar w:fldCharType="separate"/>
      </w:r>
      <w:r w:rsidR="00D5167B">
        <w:rPr>
          <w:noProof/>
        </w:rPr>
        <w:t>1</w:t>
      </w:r>
      <w:r w:rsidR="007511FA">
        <w:fldChar w:fldCharType="end"/>
      </w:r>
      <w:bookmarkEnd w:id="113"/>
      <w:r w:rsidR="00BC4BD6">
        <w:t xml:space="preserve">.  </w:t>
      </w:r>
      <w:proofErr w:type="gramStart"/>
      <w:r w:rsidR="00BC4BD6">
        <w:t>Summary of critical experiments.</w:t>
      </w:r>
      <w:bookmarkEnd w:id="114"/>
      <w:proofErr w:type="gramEnd"/>
    </w:p>
    <w:tbl>
      <w:tblPr>
        <w:tblStyle w:val="TableGrid"/>
        <w:tblW w:w="4121" w:type="pct"/>
        <w:jc w:val="center"/>
        <w:tblLook w:val="04A0"/>
      </w:tblPr>
      <w:tblGrid>
        <w:gridCol w:w="1552"/>
        <w:gridCol w:w="2043"/>
        <w:gridCol w:w="1989"/>
        <w:gridCol w:w="2309"/>
      </w:tblGrid>
      <w:tr w:rsidR="00BC4BD6" w:rsidRPr="00B65CB1" w:rsidTr="00355EDD">
        <w:trPr>
          <w:jc w:val="center"/>
        </w:trPr>
        <w:tc>
          <w:tcPr>
            <w:tcW w:w="983" w:type="pct"/>
          </w:tcPr>
          <w:p w:rsidR="00BC4BD6" w:rsidRPr="00355EDD" w:rsidRDefault="00BC4BD6" w:rsidP="003E77A1">
            <w:pPr>
              <w:autoSpaceDE w:val="0"/>
              <w:autoSpaceDN w:val="0"/>
              <w:adjustRightInd w:val="0"/>
              <w:spacing w:before="0" w:after="0" w:line="240" w:lineRule="auto"/>
              <w:ind w:firstLine="0"/>
              <w:jc w:val="center"/>
            </w:pPr>
            <w:r w:rsidRPr="00355EDD">
              <w:rPr>
                <w:b/>
                <w:bCs/>
              </w:rPr>
              <w:t>Experiment</w:t>
            </w:r>
          </w:p>
        </w:tc>
        <w:tc>
          <w:tcPr>
            <w:tcW w:w="1294" w:type="pct"/>
          </w:tcPr>
          <w:p w:rsidR="00BC4BD6" w:rsidRPr="00355EDD" w:rsidRDefault="00BC4BD6" w:rsidP="003E77A1">
            <w:pPr>
              <w:autoSpaceDE w:val="0"/>
              <w:autoSpaceDN w:val="0"/>
              <w:adjustRightInd w:val="0"/>
              <w:spacing w:before="0" w:after="0" w:line="240" w:lineRule="auto"/>
              <w:ind w:firstLine="0"/>
              <w:jc w:val="center"/>
              <w:rPr>
                <w:b/>
              </w:rPr>
            </w:pPr>
            <w:r w:rsidRPr="00355EDD">
              <w:rPr>
                <w:b/>
                <w:vertAlign w:val="superscript"/>
              </w:rPr>
              <w:t>235</w:t>
            </w:r>
            <w:r w:rsidRPr="00355EDD">
              <w:rPr>
                <w:b/>
              </w:rPr>
              <w:t>U</w:t>
            </w:r>
            <w:r w:rsidRPr="00355EDD">
              <w:rPr>
                <w:b/>
                <w:bCs/>
              </w:rPr>
              <w:t xml:space="preserve"> loading (kg)</w:t>
            </w:r>
          </w:p>
        </w:tc>
        <w:tc>
          <w:tcPr>
            <w:tcW w:w="1260" w:type="pct"/>
          </w:tcPr>
          <w:p w:rsidR="00BC4BD6" w:rsidRPr="00355EDD" w:rsidRDefault="00BC4BD6" w:rsidP="003E77A1">
            <w:pPr>
              <w:autoSpaceDE w:val="0"/>
              <w:autoSpaceDN w:val="0"/>
              <w:adjustRightInd w:val="0"/>
              <w:spacing w:before="0" w:after="0" w:line="240" w:lineRule="auto"/>
              <w:ind w:firstLine="0"/>
              <w:jc w:val="center"/>
              <w:rPr>
                <w:b/>
              </w:rPr>
            </w:pPr>
            <w:r w:rsidRPr="00355EDD">
              <w:rPr>
                <w:b/>
                <w:vertAlign w:val="superscript"/>
              </w:rPr>
              <w:t>10</w:t>
            </w:r>
            <w:r w:rsidRPr="00355EDD">
              <w:rPr>
                <w:b/>
              </w:rPr>
              <w:t>B</w:t>
            </w:r>
            <w:r w:rsidRPr="00355EDD">
              <w:rPr>
                <w:b/>
                <w:bCs/>
              </w:rPr>
              <w:t xml:space="preserve"> </w:t>
            </w:r>
            <w:proofErr w:type="spellStart"/>
            <w:r w:rsidRPr="00355EDD">
              <w:rPr>
                <w:b/>
                <w:bCs/>
              </w:rPr>
              <w:t>Loading</w:t>
            </w:r>
            <w:r w:rsidRPr="00355EDD">
              <w:rPr>
                <w:b/>
                <w:bCs/>
                <w:vertAlign w:val="superscript"/>
              </w:rPr>
              <w:t>a</w:t>
            </w:r>
            <w:proofErr w:type="spellEnd"/>
            <w:r w:rsidRPr="00355EDD">
              <w:rPr>
                <w:b/>
                <w:bCs/>
              </w:rPr>
              <w:t xml:space="preserve"> (g)</w:t>
            </w:r>
          </w:p>
        </w:tc>
        <w:tc>
          <w:tcPr>
            <w:tcW w:w="1463" w:type="pct"/>
          </w:tcPr>
          <w:p w:rsidR="00BC4BD6" w:rsidRPr="00355EDD" w:rsidRDefault="00BC4BD6" w:rsidP="003E77A1">
            <w:pPr>
              <w:autoSpaceDE w:val="0"/>
              <w:autoSpaceDN w:val="0"/>
              <w:adjustRightInd w:val="0"/>
              <w:spacing w:before="0" w:after="0" w:line="240" w:lineRule="auto"/>
              <w:ind w:firstLine="0"/>
              <w:jc w:val="center"/>
            </w:pPr>
            <w:r w:rsidRPr="00355EDD">
              <w:rPr>
                <w:b/>
                <w:bCs/>
              </w:rPr>
              <w:t xml:space="preserve">Control </w:t>
            </w:r>
            <w:proofErr w:type="spellStart"/>
            <w:r w:rsidRPr="00355EDD">
              <w:rPr>
                <w:b/>
                <w:bCs/>
              </w:rPr>
              <w:t>elements</w:t>
            </w:r>
            <w:r w:rsidRPr="00355EDD">
              <w:rPr>
                <w:b/>
                <w:bCs/>
                <w:vertAlign w:val="superscript"/>
              </w:rPr>
              <w:t>b</w:t>
            </w:r>
            <w:proofErr w:type="spellEnd"/>
          </w:p>
        </w:tc>
      </w:tr>
      <w:tr w:rsidR="00BC4BD6" w:rsidRPr="00B65CB1" w:rsidTr="00355EDD">
        <w:trPr>
          <w:jc w:val="center"/>
        </w:trPr>
        <w:tc>
          <w:tcPr>
            <w:tcW w:w="983" w:type="pct"/>
          </w:tcPr>
          <w:p w:rsidR="00BC4BD6" w:rsidRPr="00355EDD" w:rsidRDefault="00BC4BD6" w:rsidP="003E77A1">
            <w:pPr>
              <w:autoSpaceDE w:val="0"/>
              <w:autoSpaceDN w:val="0"/>
              <w:adjustRightInd w:val="0"/>
              <w:spacing w:before="0" w:after="0" w:line="240" w:lineRule="auto"/>
              <w:ind w:firstLine="0"/>
              <w:jc w:val="center"/>
            </w:pPr>
            <w:r w:rsidRPr="00355EDD">
              <w:t>CE-2</w:t>
            </w:r>
          </w:p>
        </w:tc>
        <w:tc>
          <w:tcPr>
            <w:tcW w:w="1294" w:type="pct"/>
          </w:tcPr>
          <w:p w:rsidR="00BC4BD6" w:rsidRPr="00355EDD" w:rsidRDefault="00BC4BD6" w:rsidP="003E77A1">
            <w:pPr>
              <w:autoSpaceDE w:val="0"/>
              <w:autoSpaceDN w:val="0"/>
              <w:adjustRightInd w:val="0"/>
              <w:spacing w:before="0" w:after="0" w:line="240" w:lineRule="auto"/>
              <w:ind w:firstLine="0"/>
              <w:jc w:val="center"/>
            </w:pPr>
            <w:r w:rsidRPr="00355EDD">
              <w:t>8.01</w:t>
            </w:r>
          </w:p>
        </w:tc>
        <w:tc>
          <w:tcPr>
            <w:tcW w:w="1260" w:type="pct"/>
          </w:tcPr>
          <w:p w:rsidR="00BC4BD6" w:rsidRPr="00355EDD" w:rsidRDefault="00BC4BD6" w:rsidP="003E77A1">
            <w:pPr>
              <w:autoSpaceDE w:val="0"/>
              <w:autoSpaceDN w:val="0"/>
              <w:adjustRightInd w:val="0"/>
              <w:spacing w:before="0" w:after="0" w:line="240" w:lineRule="auto"/>
              <w:ind w:firstLine="0"/>
              <w:jc w:val="center"/>
            </w:pPr>
            <w:r w:rsidRPr="00355EDD">
              <w:t>1.7</w:t>
            </w:r>
          </w:p>
        </w:tc>
        <w:tc>
          <w:tcPr>
            <w:tcW w:w="1463" w:type="pct"/>
          </w:tcPr>
          <w:p w:rsidR="00BC4BD6" w:rsidRPr="00355EDD" w:rsidRDefault="00BC4BD6" w:rsidP="003E77A1">
            <w:pPr>
              <w:autoSpaceDE w:val="0"/>
              <w:autoSpaceDN w:val="0"/>
              <w:adjustRightInd w:val="0"/>
              <w:spacing w:before="0" w:after="0" w:line="240" w:lineRule="auto"/>
              <w:ind w:firstLine="0"/>
              <w:jc w:val="center"/>
            </w:pPr>
            <w:r w:rsidRPr="00355EDD">
              <w:t>Al, Ni, Ag-Cu</w:t>
            </w:r>
          </w:p>
        </w:tc>
      </w:tr>
      <w:tr w:rsidR="00BC4BD6" w:rsidRPr="00B65CB1" w:rsidTr="00355EDD">
        <w:trPr>
          <w:jc w:val="center"/>
        </w:trPr>
        <w:tc>
          <w:tcPr>
            <w:tcW w:w="983" w:type="pct"/>
          </w:tcPr>
          <w:p w:rsidR="00BC4BD6" w:rsidRPr="00355EDD" w:rsidRDefault="00BC4BD6" w:rsidP="003E77A1">
            <w:pPr>
              <w:autoSpaceDE w:val="0"/>
              <w:autoSpaceDN w:val="0"/>
              <w:adjustRightInd w:val="0"/>
              <w:spacing w:before="0" w:after="0" w:line="240" w:lineRule="auto"/>
              <w:ind w:firstLine="0"/>
              <w:jc w:val="center"/>
            </w:pPr>
            <w:r w:rsidRPr="00355EDD">
              <w:t>CE-2</w:t>
            </w:r>
          </w:p>
        </w:tc>
        <w:tc>
          <w:tcPr>
            <w:tcW w:w="1294" w:type="pct"/>
          </w:tcPr>
          <w:p w:rsidR="00BC4BD6" w:rsidRPr="00355EDD" w:rsidRDefault="00BC4BD6" w:rsidP="003E77A1">
            <w:pPr>
              <w:autoSpaceDE w:val="0"/>
              <w:autoSpaceDN w:val="0"/>
              <w:adjustRightInd w:val="0"/>
              <w:spacing w:before="0" w:after="0" w:line="240" w:lineRule="auto"/>
              <w:ind w:firstLine="0"/>
              <w:jc w:val="center"/>
            </w:pPr>
            <w:r w:rsidRPr="00355EDD">
              <w:t>8.01</w:t>
            </w:r>
          </w:p>
        </w:tc>
        <w:tc>
          <w:tcPr>
            <w:tcW w:w="1260" w:type="pct"/>
          </w:tcPr>
          <w:p w:rsidR="00BC4BD6" w:rsidRPr="00355EDD" w:rsidRDefault="00BC4BD6" w:rsidP="003E77A1">
            <w:pPr>
              <w:autoSpaceDE w:val="0"/>
              <w:autoSpaceDN w:val="0"/>
              <w:adjustRightInd w:val="0"/>
              <w:spacing w:before="0" w:after="0" w:line="240" w:lineRule="auto"/>
              <w:ind w:firstLine="0"/>
              <w:jc w:val="center"/>
            </w:pPr>
            <w:r w:rsidRPr="00355EDD">
              <w:t>1.7</w:t>
            </w:r>
          </w:p>
        </w:tc>
        <w:tc>
          <w:tcPr>
            <w:tcW w:w="1463" w:type="pct"/>
          </w:tcPr>
          <w:p w:rsidR="00BC4BD6" w:rsidRPr="00355EDD" w:rsidRDefault="00BC4BD6" w:rsidP="003E77A1">
            <w:pPr>
              <w:autoSpaceDE w:val="0"/>
              <w:autoSpaceDN w:val="0"/>
              <w:adjustRightInd w:val="0"/>
              <w:spacing w:before="0" w:after="0" w:line="240" w:lineRule="auto"/>
              <w:ind w:firstLine="0"/>
              <w:jc w:val="center"/>
            </w:pPr>
            <w:r w:rsidRPr="00355EDD">
              <w:t>Al, Ag-Al, Ag-Cu</w:t>
            </w:r>
          </w:p>
        </w:tc>
      </w:tr>
      <w:tr w:rsidR="00BC4BD6" w:rsidRPr="00B65CB1" w:rsidTr="00355EDD">
        <w:trPr>
          <w:jc w:val="center"/>
        </w:trPr>
        <w:tc>
          <w:tcPr>
            <w:tcW w:w="983" w:type="pct"/>
          </w:tcPr>
          <w:p w:rsidR="00BC4BD6" w:rsidRPr="00355EDD" w:rsidRDefault="00BC4BD6" w:rsidP="003E77A1">
            <w:pPr>
              <w:autoSpaceDE w:val="0"/>
              <w:autoSpaceDN w:val="0"/>
              <w:adjustRightInd w:val="0"/>
              <w:spacing w:before="0" w:after="0" w:line="240" w:lineRule="auto"/>
              <w:ind w:firstLine="0"/>
              <w:jc w:val="center"/>
            </w:pPr>
            <w:r w:rsidRPr="00355EDD">
              <w:t>CE-3</w:t>
            </w:r>
          </w:p>
        </w:tc>
        <w:tc>
          <w:tcPr>
            <w:tcW w:w="1294" w:type="pct"/>
          </w:tcPr>
          <w:p w:rsidR="00BC4BD6" w:rsidRPr="00355EDD" w:rsidRDefault="00BC4BD6" w:rsidP="003E77A1">
            <w:pPr>
              <w:autoSpaceDE w:val="0"/>
              <w:autoSpaceDN w:val="0"/>
              <w:adjustRightInd w:val="0"/>
              <w:spacing w:before="0" w:after="0" w:line="240" w:lineRule="auto"/>
              <w:ind w:firstLine="0"/>
              <w:jc w:val="center"/>
            </w:pPr>
            <w:r w:rsidRPr="00355EDD">
              <w:t>9.40</w:t>
            </w:r>
          </w:p>
        </w:tc>
        <w:tc>
          <w:tcPr>
            <w:tcW w:w="1260" w:type="pct"/>
          </w:tcPr>
          <w:p w:rsidR="00BC4BD6" w:rsidRPr="00355EDD" w:rsidRDefault="00BC4BD6" w:rsidP="003E77A1">
            <w:pPr>
              <w:autoSpaceDE w:val="0"/>
              <w:autoSpaceDN w:val="0"/>
              <w:adjustRightInd w:val="0"/>
              <w:spacing w:before="0" w:after="0" w:line="240" w:lineRule="auto"/>
              <w:ind w:firstLine="0"/>
              <w:jc w:val="center"/>
            </w:pPr>
            <w:r w:rsidRPr="00355EDD">
              <w:t>2.12</w:t>
            </w:r>
          </w:p>
        </w:tc>
        <w:tc>
          <w:tcPr>
            <w:tcW w:w="1463" w:type="pct"/>
          </w:tcPr>
          <w:p w:rsidR="00BC4BD6" w:rsidRPr="00355EDD" w:rsidRDefault="00BC4BD6" w:rsidP="003E77A1">
            <w:pPr>
              <w:autoSpaceDE w:val="0"/>
              <w:autoSpaceDN w:val="0"/>
              <w:adjustRightInd w:val="0"/>
              <w:spacing w:before="0" w:after="0" w:line="240" w:lineRule="auto"/>
              <w:ind w:firstLine="0"/>
              <w:jc w:val="center"/>
            </w:pPr>
            <w:r w:rsidRPr="00355EDD">
              <w:t>Al, Ag-Al, Ag-Cu</w:t>
            </w:r>
          </w:p>
        </w:tc>
      </w:tr>
      <w:tr w:rsidR="00BC4BD6" w:rsidRPr="00B65CB1" w:rsidTr="00355EDD">
        <w:trPr>
          <w:jc w:val="center"/>
        </w:trPr>
        <w:tc>
          <w:tcPr>
            <w:tcW w:w="983" w:type="pct"/>
          </w:tcPr>
          <w:p w:rsidR="00BC4BD6" w:rsidRPr="00355EDD" w:rsidRDefault="00BC4BD6" w:rsidP="003E77A1">
            <w:pPr>
              <w:autoSpaceDE w:val="0"/>
              <w:autoSpaceDN w:val="0"/>
              <w:adjustRightInd w:val="0"/>
              <w:spacing w:before="0" w:after="0" w:line="240" w:lineRule="auto"/>
              <w:ind w:firstLine="0"/>
              <w:jc w:val="center"/>
            </w:pPr>
            <w:r w:rsidRPr="00355EDD">
              <w:t>CE-3</w:t>
            </w:r>
          </w:p>
        </w:tc>
        <w:tc>
          <w:tcPr>
            <w:tcW w:w="1294" w:type="pct"/>
          </w:tcPr>
          <w:p w:rsidR="00BC4BD6" w:rsidRPr="00355EDD" w:rsidRDefault="00BC4BD6" w:rsidP="003E77A1">
            <w:pPr>
              <w:autoSpaceDE w:val="0"/>
              <w:autoSpaceDN w:val="0"/>
              <w:adjustRightInd w:val="0"/>
              <w:spacing w:before="0" w:after="0" w:line="240" w:lineRule="auto"/>
              <w:ind w:firstLine="0"/>
              <w:jc w:val="center"/>
            </w:pPr>
            <w:r w:rsidRPr="00355EDD">
              <w:t>9.40</w:t>
            </w:r>
          </w:p>
        </w:tc>
        <w:tc>
          <w:tcPr>
            <w:tcW w:w="1260" w:type="pct"/>
          </w:tcPr>
          <w:p w:rsidR="00BC4BD6" w:rsidRPr="00355EDD" w:rsidRDefault="00BC4BD6" w:rsidP="003E77A1">
            <w:pPr>
              <w:autoSpaceDE w:val="0"/>
              <w:autoSpaceDN w:val="0"/>
              <w:adjustRightInd w:val="0"/>
              <w:spacing w:before="0" w:after="0" w:line="240" w:lineRule="auto"/>
              <w:ind w:firstLine="0"/>
              <w:jc w:val="center"/>
            </w:pPr>
            <w:r w:rsidRPr="00355EDD">
              <w:t>3.60</w:t>
            </w:r>
          </w:p>
        </w:tc>
        <w:tc>
          <w:tcPr>
            <w:tcW w:w="1463" w:type="pct"/>
          </w:tcPr>
          <w:p w:rsidR="00BC4BD6" w:rsidRPr="00355EDD" w:rsidRDefault="00BC4BD6" w:rsidP="003E77A1">
            <w:pPr>
              <w:autoSpaceDE w:val="0"/>
              <w:autoSpaceDN w:val="0"/>
              <w:adjustRightInd w:val="0"/>
              <w:spacing w:before="0" w:after="0" w:line="240" w:lineRule="auto"/>
              <w:ind w:firstLine="0"/>
              <w:jc w:val="center"/>
            </w:pPr>
            <w:r w:rsidRPr="00355EDD">
              <w:t>Al, Ag-Al, Ag-Cu</w:t>
            </w:r>
          </w:p>
        </w:tc>
      </w:tr>
      <w:tr w:rsidR="00BC4BD6" w:rsidRPr="00E9622D" w:rsidTr="00355EDD">
        <w:trPr>
          <w:jc w:val="center"/>
        </w:trPr>
        <w:tc>
          <w:tcPr>
            <w:tcW w:w="983" w:type="pct"/>
          </w:tcPr>
          <w:p w:rsidR="00BC4BD6" w:rsidRPr="00355EDD" w:rsidRDefault="00BC4BD6" w:rsidP="003E77A1">
            <w:pPr>
              <w:autoSpaceDE w:val="0"/>
              <w:autoSpaceDN w:val="0"/>
              <w:adjustRightInd w:val="0"/>
              <w:spacing w:before="0" w:after="0" w:line="240" w:lineRule="auto"/>
              <w:ind w:firstLine="0"/>
              <w:jc w:val="center"/>
            </w:pPr>
            <w:r w:rsidRPr="00355EDD">
              <w:rPr>
                <w:bCs/>
              </w:rPr>
              <w:t>CE-3</w:t>
            </w:r>
            <w:r w:rsidRPr="00355EDD">
              <w:rPr>
                <w:bCs/>
                <w:vertAlign w:val="superscript"/>
              </w:rPr>
              <w:t>c</w:t>
            </w:r>
          </w:p>
        </w:tc>
        <w:tc>
          <w:tcPr>
            <w:tcW w:w="1294" w:type="pct"/>
          </w:tcPr>
          <w:p w:rsidR="00BC4BD6" w:rsidRPr="00355EDD" w:rsidRDefault="00BC4BD6" w:rsidP="003E77A1">
            <w:pPr>
              <w:autoSpaceDE w:val="0"/>
              <w:autoSpaceDN w:val="0"/>
              <w:adjustRightInd w:val="0"/>
              <w:spacing w:before="0" w:after="0" w:line="240" w:lineRule="auto"/>
              <w:ind w:firstLine="0"/>
              <w:jc w:val="center"/>
            </w:pPr>
            <w:r w:rsidRPr="00355EDD">
              <w:rPr>
                <w:bCs/>
              </w:rPr>
              <w:t>9.40</w:t>
            </w:r>
          </w:p>
        </w:tc>
        <w:tc>
          <w:tcPr>
            <w:tcW w:w="1260" w:type="pct"/>
          </w:tcPr>
          <w:p w:rsidR="00BC4BD6" w:rsidRPr="00355EDD" w:rsidRDefault="00BC4BD6" w:rsidP="003E77A1">
            <w:pPr>
              <w:autoSpaceDE w:val="0"/>
              <w:autoSpaceDN w:val="0"/>
              <w:adjustRightInd w:val="0"/>
              <w:spacing w:before="0" w:after="0" w:line="240" w:lineRule="auto"/>
              <w:ind w:firstLine="0"/>
              <w:jc w:val="center"/>
            </w:pPr>
            <w:r w:rsidRPr="00355EDD">
              <w:rPr>
                <w:bCs/>
              </w:rPr>
              <w:t>2.80</w:t>
            </w:r>
          </w:p>
        </w:tc>
        <w:tc>
          <w:tcPr>
            <w:tcW w:w="1463" w:type="pct"/>
          </w:tcPr>
          <w:p w:rsidR="00BC4BD6" w:rsidRPr="00355EDD" w:rsidRDefault="00BC4BD6" w:rsidP="003E77A1">
            <w:pPr>
              <w:autoSpaceDE w:val="0"/>
              <w:autoSpaceDN w:val="0"/>
              <w:adjustRightInd w:val="0"/>
              <w:spacing w:before="0" w:after="0" w:line="240" w:lineRule="auto"/>
              <w:ind w:firstLine="0"/>
              <w:jc w:val="center"/>
            </w:pPr>
            <w:r w:rsidRPr="00355EDD">
              <w:rPr>
                <w:bCs/>
              </w:rPr>
              <w:t>Al, Ta-Al, Eu</w:t>
            </w:r>
            <w:r w:rsidRPr="00355EDD">
              <w:rPr>
                <w:bCs/>
                <w:vertAlign w:val="subscript"/>
              </w:rPr>
              <w:t>2</w:t>
            </w:r>
            <w:r w:rsidRPr="00355EDD">
              <w:rPr>
                <w:bCs/>
              </w:rPr>
              <w:t>O</w:t>
            </w:r>
            <w:r w:rsidRPr="00355EDD">
              <w:rPr>
                <w:bCs/>
                <w:vertAlign w:val="subscript"/>
              </w:rPr>
              <w:t>3</w:t>
            </w:r>
            <w:r w:rsidRPr="00355EDD">
              <w:rPr>
                <w:bCs/>
              </w:rPr>
              <w:t>-Al</w:t>
            </w:r>
          </w:p>
        </w:tc>
      </w:tr>
      <w:tr w:rsidR="00BC4BD6" w:rsidRPr="00B65CB1" w:rsidTr="00355EDD">
        <w:trPr>
          <w:jc w:val="center"/>
        </w:trPr>
        <w:tc>
          <w:tcPr>
            <w:tcW w:w="983" w:type="pct"/>
          </w:tcPr>
          <w:p w:rsidR="00BC4BD6" w:rsidRPr="00355EDD" w:rsidRDefault="00BC4BD6" w:rsidP="003E77A1">
            <w:pPr>
              <w:autoSpaceDE w:val="0"/>
              <w:autoSpaceDN w:val="0"/>
              <w:adjustRightInd w:val="0"/>
              <w:spacing w:before="0" w:after="0" w:line="240" w:lineRule="auto"/>
              <w:ind w:firstLine="0"/>
              <w:jc w:val="center"/>
            </w:pPr>
            <w:r w:rsidRPr="00355EDD">
              <w:t>CE-4</w:t>
            </w:r>
          </w:p>
        </w:tc>
        <w:tc>
          <w:tcPr>
            <w:tcW w:w="1294" w:type="pct"/>
          </w:tcPr>
          <w:p w:rsidR="00BC4BD6" w:rsidRPr="00355EDD" w:rsidRDefault="00BC4BD6" w:rsidP="003E77A1">
            <w:pPr>
              <w:autoSpaceDE w:val="0"/>
              <w:autoSpaceDN w:val="0"/>
              <w:adjustRightInd w:val="0"/>
              <w:spacing w:before="0" w:after="0" w:line="240" w:lineRule="auto"/>
              <w:ind w:firstLine="0"/>
              <w:jc w:val="center"/>
            </w:pPr>
            <w:r w:rsidRPr="00355EDD">
              <w:t>9.40</w:t>
            </w:r>
          </w:p>
        </w:tc>
        <w:tc>
          <w:tcPr>
            <w:tcW w:w="1260" w:type="pct"/>
          </w:tcPr>
          <w:p w:rsidR="00BC4BD6" w:rsidRPr="00355EDD" w:rsidRDefault="00BC4BD6" w:rsidP="003E77A1">
            <w:pPr>
              <w:autoSpaceDE w:val="0"/>
              <w:autoSpaceDN w:val="0"/>
              <w:adjustRightInd w:val="0"/>
              <w:spacing w:before="0" w:after="0" w:line="240" w:lineRule="auto"/>
              <w:ind w:firstLine="0"/>
              <w:jc w:val="center"/>
            </w:pPr>
            <w:r w:rsidRPr="00355EDD">
              <w:t>2.80</w:t>
            </w:r>
          </w:p>
        </w:tc>
        <w:tc>
          <w:tcPr>
            <w:tcW w:w="1463" w:type="pct"/>
          </w:tcPr>
          <w:p w:rsidR="00BC4BD6" w:rsidRPr="00355EDD" w:rsidRDefault="00BC4BD6" w:rsidP="003E77A1">
            <w:pPr>
              <w:autoSpaceDE w:val="0"/>
              <w:autoSpaceDN w:val="0"/>
              <w:adjustRightInd w:val="0"/>
              <w:spacing w:before="0" w:after="0" w:line="240" w:lineRule="auto"/>
              <w:ind w:firstLine="0"/>
              <w:jc w:val="center"/>
            </w:pPr>
            <w:r w:rsidRPr="00355EDD">
              <w:t>Al, Ta-Al, Eu</w:t>
            </w:r>
            <w:r w:rsidRPr="00355EDD">
              <w:rPr>
                <w:vertAlign w:val="subscript"/>
              </w:rPr>
              <w:t>2</w:t>
            </w:r>
            <w:r w:rsidRPr="00355EDD">
              <w:t>O</w:t>
            </w:r>
            <w:r w:rsidRPr="00355EDD">
              <w:rPr>
                <w:vertAlign w:val="subscript"/>
              </w:rPr>
              <w:t>3</w:t>
            </w:r>
            <w:r w:rsidRPr="00355EDD">
              <w:t>-Al</w:t>
            </w:r>
          </w:p>
        </w:tc>
      </w:tr>
      <w:tr w:rsidR="00BC4BD6" w:rsidRPr="00B65CB1" w:rsidTr="00355EDD">
        <w:trPr>
          <w:jc w:val="center"/>
        </w:trPr>
        <w:tc>
          <w:tcPr>
            <w:tcW w:w="983" w:type="pct"/>
          </w:tcPr>
          <w:p w:rsidR="00BC4BD6" w:rsidRPr="00355EDD" w:rsidRDefault="00BC4BD6" w:rsidP="003E77A1">
            <w:pPr>
              <w:autoSpaceDE w:val="0"/>
              <w:autoSpaceDN w:val="0"/>
              <w:adjustRightInd w:val="0"/>
              <w:spacing w:before="0" w:after="0" w:line="240" w:lineRule="auto"/>
              <w:ind w:firstLine="0"/>
              <w:jc w:val="center"/>
            </w:pPr>
            <w:r w:rsidRPr="00355EDD">
              <w:t>Today</w:t>
            </w:r>
          </w:p>
        </w:tc>
        <w:tc>
          <w:tcPr>
            <w:tcW w:w="1294" w:type="pct"/>
          </w:tcPr>
          <w:p w:rsidR="00BC4BD6" w:rsidRPr="00355EDD" w:rsidRDefault="00BC4BD6" w:rsidP="003E77A1">
            <w:pPr>
              <w:autoSpaceDE w:val="0"/>
              <w:autoSpaceDN w:val="0"/>
              <w:adjustRightInd w:val="0"/>
              <w:spacing w:before="0" w:after="0" w:line="240" w:lineRule="auto"/>
              <w:ind w:firstLine="0"/>
              <w:jc w:val="center"/>
            </w:pPr>
            <w:r w:rsidRPr="00355EDD">
              <w:t>9.40</w:t>
            </w:r>
          </w:p>
        </w:tc>
        <w:tc>
          <w:tcPr>
            <w:tcW w:w="1260" w:type="pct"/>
          </w:tcPr>
          <w:p w:rsidR="00BC4BD6" w:rsidRPr="00355EDD" w:rsidRDefault="00BC4BD6" w:rsidP="003E77A1">
            <w:pPr>
              <w:autoSpaceDE w:val="0"/>
              <w:autoSpaceDN w:val="0"/>
              <w:adjustRightInd w:val="0"/>
              <w:spacing w:before="0" w:after="0" w:line="240" w:lineRule="auto"/>
              <w:ind w:firstLine="0"/>
              <w:jc w:val="center"/>
            </w:pPr>
            <w:r w:rsidRPr="00355EDD">
              <w:t>2.80</w:t>
            </w:r>
          </w:p>
        </w:tc>
        <w:tc>
          <w:tcPr>
            <w:tcW w:w="1463" w:type="pct"/>
          </w:tcPr>
          <w:p w:rsidR="00BC4BD6" w:rsidRPr="00355EDD" w:rsidRDefault="00BC4BD6" w:rsidP="003E77A1">
            <w:pPr>
              <w:autoSpaceDE w:val="0"/>
              <w:autoSpaceDN w:val="0"/>
              <w:adjustRightInd w:val="0"/>
              <w:spacing w:before="0" w:after="0" w:line="240" w:lineRule="auto"/>
              <w:ind w:firstLine="0"/>
              <w:jc w:val="center"/>
            </w:pPr>
            <w:r w:rsidRPr="00355EDD">
              <w:t>Al, Ta-Al, Eu</w:t>
            </w:r>
            <w:r w:rsidRPr="00355EDD">
              <w:rPr>
                <w:vertAlign w:val="subscript"/>
              </w:rPr>
              <w:t>2</w:t>
            </w:r>
            <w:r w:rsidRPr="00355EDD">
              <w:t>O</w:t>
            </w:r>
            <w:r w:rsidRPr="00355EDD">
              <w:rPr>
                <w:vertAlign w:val="subscript"/>
              </w:rPr>
              <w:t>3</w:t>
            </w:r>
            <w:r w:rsidRPr="00355EDD">
              <w:t>-Al</w:t>
            </w:r>
          </w:p>
        </w:tc>
      </w:tr>
    </w:tbl>
    <w:p w:rsidR="00BC4BD6" w:rsidRDefault="004207C6" w:rsidP="00355EDD">
      <w:pPr>
        <w:spacing w:before="0" w:after="0" w:line="240" w:lineRule="auto"/>
        <w:ind w:left="720" w:firstLine="0"/>
      </w:pPr>
      <w:proofErr w:type="spellStart"/>
      <w:proofErr w:type="gramStart"/>
      <w:r>
        <w:rPr>
          <w:vertAlign w:val="superscript"/>
        </w:rPr>
        <w:t>a</w:t>
      </w:r>
      <w:r>
        <w:t>Only</w:t>
      </w:r>
      <w:proofErr w:type="spellEnd"/>
      <w:proofErr w:type="gramEnd"/>
      <w:r>
        <w:t xml:space="preserve"> in inner fuel element</w:t>
      </w:r>
    </w:p>
    <w:p w:rsidR="004207C6" w:rsidRDefault="004207C6" w:rsidP="00355EDD">
      <w:pPr>
        <w:spacing w:before="0" w:after="0" w:line="240" w:lineRule="auto"/>
        <w:ind w:left="720" w:firstLine="0"/>
      </w:pPr>
      <w:proofErr w:type="spellStart"/>
      <w:proofErr w:type="gramStart"/>
      <w:r>
        <w:rPr>
          <w:vertAlign w:val="superscript"/>
        </w:rPr>
        <w:t>b</w:t>
      </w:r>
      <w:r>
        <w:t>In</w:t>
      </w:r>
      <w:proofErr w:type="spellEnd"/>
      <w:proofErr w:type="gramEnd"/>
      <w:r>
        <w:t xml:space="preserve"> the form white, grey, and black regions</w:t>
      </w:r>
    </w:p>
    <w:p w:rsidR="00BC4BD6" w:rsidRDefault="004207C6" w:rsidP="00355EDD">
      <w:pPr>
        <w:spacing w:before="0" w:after="0" w:line="240" w:lineRule="auto"/>
        <w:ind w:left="720" w:firstLine="0"/>
      </w:pPr>
      <w:proofErr w:type="spellStart"/>
      <w:proofErr w:type="gramStart"/>
      <w:r>
        <w:rPr>
          <w:vertAlign w:val="superscript"/>
        </w:rPr>
        <w:t>c</w:t>
      </w:r>
      <w:r>
        <w:t>Basis</w:t>
      </w:r>
      <w:proofErr w:type="spellEnd"/>
      <w:proofErr w:type="gramEnd"/>
      <w:r>
        <w:t xml:space="preserve"> of this study</w:t>
      </w:r>
    </w:p>
    <w:p w:rsidR="004207C6" w:rsidRPr="004207C6" w:rsidRDefault="004207C6" w:rsidP="004207C6">
      <w:r w:rsidRPr="004207C6">
        <w:lastRenderedPageBreak/>
        <w:t xml:space="preserve">In order to obtain the relative power distributions, special fuel elements were fabricated with some removable fuel plates of the same fuel and poison loading as the fixed plates in the IFE and OFE. </w:t>
      </w:r>
      <w:r>
        <w:t xml:space="preserve"> </w:t>
      </w:r>
      <w:r w:rsidRPr="004207C6">
        <w:t xml:space="preserve">“Foils,” chunks of the fuel meat and clad, were punched out of the plates and were reinserted into the plate. </w:t>
      </w:r>
      <w:r>
        <w:t xml:space="preserve"> </w:t>
      </w:r>
      <w:r w:rsidRPr="004207C6">
        <w:t xml:space="preserve">The foils were activated during irradiation and activity was counted to measure the fission densities, which were converted to and documented as the relative power densities. </w:t>
      </w:r>
      <w:r>
        <w:t xml:space="preserve"> </w:t>
      </w:r>
      <w:r w:rsidRPr="004207C6">
        <w:t>The locations and dimensions of the foils are illustrated in</w:t>
      </w:r>
      <w:r w:rsidR="003E77A1">
        <w:t xml:space="preserve"> </w:t>
      </w:r>
      <w:r w:rsidR="007511FA">
        <w:fldChar w:fldCharType="begin"/>
      </w:r>
      <w:r w:rsidR="003E77A1">
        <w:instrText xml:space="preserve"> REF _Ref285534333 \h </w:instrText>
      </w:r>
      <w:r w:rsidR="007511FA">
        <w:fldChar w:fldCharType="separate"/>
      </w:r>
      <w:r w:rsidR="00D5167B">
        <w:t xml:space="preserve">Figure </w:t>
      </w:r>
      <w:r w:rsidR="00D5167B">
        <w:rPr>
          <w:noProof/>
        </w:rPr>
        <w:t>4</w:t>
      </w:r>
      <w:r w:rsidR="00D5167B">
        <w:t>.</w:t>
      </w:r>
      <w:r w:rsidR="00D5167B">
        <w:rPr>
          <w:noProof/>
        </w:rPr>
        <w:t>1</w:t>
      </w:r>
      <w:r w:rsidR="007511FA">
        <w:fldChar w:fldCharType="end"/>
      </w:r>
      <w:r w:rsidRPr="004207C6">
        <w:t xml:space="preserve">. </w:t>
      </w:r>
      <w:r>
        <w:t xml:space="preserve"> </w:t>
      </w:r>
      <w:r w:rsidRPr="004207C6">
        <w:t>Three foils are distributed axially along the inner edge, center, and outer edge in order to obtain a 2-D power distribution. Since the axial midplane is expected to have the highest power density, six foils were punched at the axial center of the plate in order to better obtain a representation of the power distribution at the center.</w:t>
      </w:r>
      <w:r>
        <w:t xml:space="preserve"> </w:t>
      </w:r>
      <w:r w:rsidRPr="004207C6">
        <w:t xml:space="preserve"> Since the plates are symmetric about the vertical centerline, only half of the plate is shown. </w:t>
      </w:r>
      <w:r>
        <w:t xml:space="preserve"> </w:t>
      </w:r>
      <w:r w:rsidRPr="004207C6">
        <w:t xml:space="preserve">The foils that are located below the centerline are suffixed with the letters E, F, G, HH, and H. </w:t>
      </w:r>
      <w:r>
        <w:t xml:space="preserve"> </w:t>
      </w:r>
      <w:r w:rsidRPr="004207C6">
        <w:t xml:space="preserve">The drawing is not to scale and the dimensions are recorded in centimeters and correspond to the axial height and the arc distance from </w:t>
      </w:r>
      <w:r>
        <w:t>the involute generating circle.</w:t>
      </w:r>
    </w:p>
    <w:p w:rsidR="004207C6" w:rsidRPr="004207C6" w:rsidRDefault="004207C6" w:rsidP="004207C6">
      <w:pPr>
        <w:autoSpaceDE w:val="0"/>
        <w:autoSpaceDN w:val="0"/>
        <w:adjustRightInd w:val="0"/>
      </w:pPr>
      <w:r w:rsidRPr="004207C6">
        <w:t xml:space="preserve">Up to six plates in each element were used, but due to the symmetry of the core, it was determined that only three plates in each fuel element were necessary to obtain satisfactory power distribution data and the circumferential locations 97a in the IFE and 207b in the OFE constituted the best average removable plate locations. </w:t>
      </w:r>
      <w:r>
        <w:t xml:space="preserve"> </w:t>
      </w:r>
      <w:r w:rsidRPr="004207C6">
        <w:t>Power distributions were obtained for different control rod positions, poisoned moderator cond</w:t>
      </w:r>
      <w:r>
        <w:t>itions, and flux trap loadings.</w:t>
      </w:r>
    </w:p>
    <w:p w:rsidR="004207C6" w:rsidRDefault="004207C6" w:rsidP="004207C6">
      <w:r w:rsidRPr="004207C6">
        <w:t xml:space="preserve">Before the removable plates and foils were inserted into the core and irradiated, the foils were counted in a scintillation counter, and the weight of </w:t>
      </w:r>
      <w:r w:rsidRPr="004207C6">
        <w:rPr>
          <w:vertAlign w:val="superscript"/>
        </w:rPr>
        <w:t>235</w:t>
      </w:r>
      <w:r w:rsidRPr="004207C6">
        <w:t xml:space="preserve">U was determined. </w:t>
      </w:r>
      <w:r>
        <w:t xml:space="preserve"> </w:t>
      </w:r>
      <w:r w:rsidRPr="004207C6">
        <w:t xml:space="preserve">After irradiation, the foils were counted in a high pressure, well-type gamma ionization chamber. </w:t>
      </w:r>
      <w:r>
        <w:t xml:space="preserve"> </w:t>
      </w:r>
      <w:r w:rsidRPr="004207C6">
        <w:t>The relative power densities were obtained by comparing the total gamma activity of each of the foils with the time interpolated activity of a normalizing foil that had been irradiated at the same time and was counted periodically during t</w:t>
      </w:r>
      <w:r w:rsidR="005D73E4">
        <w:t>he counting of the other foils</w:t>
      </w:r>
      <w:r w:rsidR="00C67546">
        <w:t xml:space="preserve"> </w:t>
      </w:r>
      <w:r w:rsidR="007511FA">
        <w:fldChar w:fldCharType="begin"/>
      </w:r>
      <w:r w:rsidR="00C67546">
        <w:instrText xml:space="preserve"> REF _Ref285636804 \n \h </w:instrText>
      </w:r>
      <w:r w:rsidR="007511FA">
        <w:fldChar w:fldCharType="separate"/>
      </w:r>
      <w:r w:rsidR="00D5167B">
        <w:t>[66]</w:t>
      </w:r>
      <w:r w:rsidR="007511FA">
        <w:fldChar w:fldCharType="end"/>
      </w:r>
      <w:r w:rsidRPr="004207C6">
        <w:t>.</w:t>
      </w:r>
      <w:r>
        <w:br w:type="page"/>
      </w:r>
    </w:p>
    <w:p w:rsidR="00BC4BD6" w:rsidRDefault="004207C6" w:rsidP="003E77A1">
      <w:pPr>
        <w:ind w:firstLine="0"/>
        <w:jc w:val="center"/>
      </w:pPr>
      <w:r w:rsidRPr="004207C6">
        <w:rPr>
          <w:noProof/>
        </w:rPr>
        <w:lastRenderedPageBreak/>
        <w:drawing>
          <wp:inline distT="0" distB="0" distL="0" distR="0">
            <wp:extent cx="3605299" cy="6051665"/>
            <wp:effectExtent l="19050" t="0" r="0" b="0"/>
            <wp:docPr id="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srcRect/>
                    <a:stretch>
                      <a:fillRect/>
                    </a:stretch>
                  </pic:blipFill>
                  <pic:spPr bwMode="auto">
                    <a:xfrm>
                      <a:off x="0" y="0"/>
                      <a:ext cx="3605299" cy="6051665"/>
                    </a:xfrm>
                    <a:prstGeom prst="rect">
                      <a:avLst/>
                    </a:prstGeom>
                    <a:noFill/>
                  </pic:spPr>
                </pic:pic>
              </a:graphicData>
            </a:graphic>
          </wp:inline>
        </w:drawing>
      </w:r>
    </w:p>
    <w:p w:rsidR="00BC4BD6" w:rsidRPr="004207C6" w:rsidRDefault="003E77A1" w:rsidP="003E77A1">
      <w:pPr>
        <w:pStyle w:val="Caption"/>
      </w:pPr>
      <w:bookmarkStart w:id="115" w:name="_Ref285534333"/>
      <w:bookmarkStart w:id="116" w:name="_Toc295818187"/>
      <w:proofErr w:type="gramStart"/>
      <w:r>
        <w:t xml:space="preserve">Figure </w:t>
      </w:r>
      <w:r w:rsidR="007511FA">
        <w:fldChar w:fldCharType="begin"/>
      </w:r>
      <w:r w:rsidR="00AE17F8">
        <w:instrText xml:space="preserve"> STYLEREF 1 \s </w:instrText>
      </w:r>
      <w:r w:rsidR="007511FA">
        <w:fldChar w:fldCharType="separate"/>
      </w:r>
      <w:r w:rsidR="00D5167B">
        <w:rPr>
          <w:noProof/>
        </w:rPr>
        <w:t>4</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1</w:t>
      </w:r>
      <w:r w:rsidR="007511FA">
        <w:fldChar w:fldCharType="end"/>
      </w:r>
      <w:bookmarkEnd w:id="115"/>
      <w:r w:rsidR="004207C6" w:rsidRPr="004207C6">
        <w:t>.  Location of foils punched out of removable plates (dimensions in cm).</w:t>
      </w:r>
      <w:bookmarkEnd w:id="116"/>
    </w:p>
    <w:p w:rsidR="004207C6" w:rsidRDefault="004207C6">
      <w:pPr>
        <w:spacing w:before="0" w:after="200" w:line="276" w:lineRule="auto"/>
      </w:pPr>
      <w:r>
        <w:br w:type="page"/>
      </w:r>
    </w:p>
    <w:p w:rsidR="00BC4BD6" w:rsidRDefault="004207C6" w:rsidP="00AA149C">
      <w:pPr>
        <w:pStyle w:val="Heading2"/>
      </w:pPr>
      <w:bookmarkStart w:id="117" w:name="_Toc295818119"/>
      <w:r>
        <w:lastRenderedPageBreak/>
        <w:t>Methodology</w:t>
      </w:r>
      <w:bookmarkEnd w:id="117"/>
    </w:p>
    <w:p w:rsidR="004207C6" w:rsidRDefault="004207C6" w:rsidP="004207C6">
      <w:pPr>
        <w:autoSpaceDE w:val="0"/>
        <w:autoSpaceDN w:val="0"/>
        <w:adjustRightInd w:val="0"/>
      </w:pPr>
      <w:r w:rsidRPr="004207C6">
        <w:t xml:space="preserve">MCNP, a three-dimensional, general-purpose transport code that </w:t>
      </w:r>
      <w:r>
        <w:t>is developed and</w:t>
      </w:r>
      <w:r w:rsidRPr="004207C6">
        <w:t xml:space="preserve"> maintained </w:t>
      </w:r>
      <w:r>
        <w:t>by</w:t>
      </w:r>
      <w:r w:rsidRPr="004207C6">
        <w:t xml:space="preserve"> Los Alamos National Laboratory (LANL), was utilized throughout this study. </w:t>
      </w:r>
      <w:r>
        <w:t xml:space="preserve"> </w:t>
      </w:r>
      <w:r w:rsidRPr="004207C6">
        <w:t xml:space="preserve">MCNP can be used to simulate neutron, photon, electron, or coupled neutron/photon/electron transport, and also has the capability to calculate the eigenvalues for critical systems. </w:t>
      </w:r>
      <w:r>
        <w:t xml:space="preserve"> </w:t>
      </w:r>
      <w:r w:rsidRPr="004207C6">
        <w:t>For the calculations performed, the latest version of MCNP, MCNP-V</w:t>
      </w:r>
      <w:r w:rsidR="00C67546">
        <w:t xml:space="preserve"> </w:t>
      </w:r>
      <w:r w:rsidR="007511FA">
        <w:fldChar w:fldCharType="begin"/>
      </w:r>
      <w:r w:rsidR="00C67546">
        <w:instrText xml:space="preserve"> REF _Ref285636602 \n \h </w:instrText>
      </w:r>
      <w:r w:rsidR="007511FA">
        <w:fldChar w:fldCharType="separate"/>
      </w:r>
      <w:r w:rsidR="00D5167B">
        <w:t>[50]</w:t>
      </w:r>
      <w:r w:rsidR="007511FA">
        <w:fldChar w:fldCharType="end"/>
      </w:r>
      <w:r w:rsidRPr="004207C6">
        <w:t>, and conti</w:t>
      </w:r>
      <w:r w:rsidR="005D73E4">
        <w:t>nuous energy neutron ENDF/B-VI</w:t>
      </w:r>
      <w:r w:rsidR="00C67546">
        <w:t xml:space="preserve"> </w:t>
      </w:r>
      <w:r w:rsidR="007511FA">
        <w:fldChar w:fldCharType="begin"/>
      </w:r>
      <w:r w:rsidR="00C67546">
        <w:instrText xml:space="preserve"> REF _Ref285636928 \n \h </w:instrText>
      </w:r>
      <w:r w:rsidR="007511FA">
        <w:fldChar w:fldCharType="separate"/>
      </w:r>
      <w:r w:rsidR="00D5167B">
        <w:t>[69]</w:t>
      </w:r>
      <w:r w:rsidR="007511FA">
        <w:fldChar w:fldCharType="end"/>
      </w:r>
      <w:r w:rsidRPr="004207C6">
        <w:t xml:space="preserve"> cross section data were used</w:t>
      </w:r>
      <w:r>
        <w:t>.</w:t>
      </w:r>
    </w:p>
    <w:p w:rsidR="004207C6" w:rsidRPr="004207C6" w:rsidRDefault="004207C6" w:rsidP="004207C6">
      <w:pPr>
        <w:autoSpaceDE w:val="0"/>
        <w:autoSpaceDN w:val="0"/>
        <w:adjustRightInd w:val="0"/>
      </w:pPr>
    </w:p>
    <w:p w:rsidR="004207C6" w:rsidRDefault="0099756F" w:rsidP="00AA149C">
      <w:pPr>
        <w:pStyle w:val="Heading3"/>
      </w:pPr>
      <w:bookmarkStart w:id="118" w:name="_Toc295818120"/>
      <w:r>
        <w:t>HFIR</w:t>
      </w:r>
      <w:r w:rsidR="004207C6">
        <w:t>CE-3 HFIR MCNP Model</w:t>
      </w:r>
      <w:bookmarkEnd w:id="118"/>
    </w:p>
    <w:p w:rsidR="004207C6" w:rsidRDefault="004207C6" w:rsidP="004207C6">
      <w:pPr>
        <w:autoSpaceDE w:val="0"/>
        <w:autoSpaceDN w:val="0"/>
        <w:adjustRightInd w:val="0"/>
      </w:pPr>
      <w:r w:rsidRPr="004207C6">
        <w:t>A 3-D model that replicates the HFIRCE-3 reactor configuration was developed</w:t>
      </w:r>
      <w:r w:rsidR="005D73E4">
        <w:t xml:space="preserve"> by modifying the HFV4.0 model</w:t>
      </w:r>
      <w:r w:rsidR="00C67546">
        <w:t xml:space="preserve"> </w:t>
      </w:r>
      <w:r w:rsidR="007511FA">
        <w:fldChar w:fldCharType="begin"/>
      </w:r>
      <w:r w:rsidR="00C67546">
        <w:instrText xml:space="preserve"> REF _Ref285636274 \n \h </w:instrText>
      </w:r>
      <w:r w:rsidR="007511FA">
        <w:fldChar w:fldCharType="separate"/>
      </w:r>
      <w:r w:rsidR="00D5167B">
        <w:t>[23]</w:t>
      </w:r>
      <w:r w:rsidR="007511FA">
        <w:fldChar w:fldCharType="end"/>
      </w:r>
      <w:r w:rsidRPr="004207C6">
        <w:t>, which is a 3-D MCNP model that replicates HFIR as loaded in cycle 400 (April – May, 2004).  Volume tallies were then inserted into the fuel elements such that the average fission densities (fissions/cm</w:t>
      </w:r>
      <w:r w:rsidRPr="004207C6">
        <w:rPr>
          <w:vertAlign w:val="superscript"/>
        </w:rPr>
        <w:t>3</w:t>
      </w:r>
      <w:r w:rsidRPr="004207C6">
        <w:t xml:space="preserve">) could be calculated. </w:t>
      </w:r>
      <w:r w:rsidR="00336989">
        <w:t xml:space="preserve"> </w:t>
      </w:r>
      <w:r w:rsidRPr="004207C6">
        <w:t>The MCNP model is broken up into several regions (parts) itemized in</w:t>
      </w:r>
      <w:r w:rsidR="003E77A1">
        <w:t xml:space="preserve"> </w:t>
      </w:r>
      <w:r w:rsidR="007511FA">
        <w:fldChar w:fldCharType="begin"/>
      </w:r>
      <w:r w:rsidR="003E77A1">
        <w:instrText xml:space="preserve"> REF _Ref285534356 \h </w:instrText>
      </w:r>
      <w:r w:rsidR="007511FA">
        <w:fldChar w:fldCharType="separate"/>
      </w:r>
      <w:r w:rsidR="00D5167B" w:rsidRPr="003E77A1">
        <w:t xml:space="preserve">Table </w:t>
      </w:r>
      <w:r w:rsidR="00D5167B">
        <w:rPr>
          <w:noProof/>
        </w:rPr>
        <w:t>4</w:t>
      </w:r>
      <w:r w:rsidR="00D5167B">
        <w:t>.</w:t>
      </w:r>
      <w:r w:rsidR="00D5167B">
        <w:rPr>
          <w:noProof/>
        </w:rPr>
        <w:t>2</w:t>
      </w:r>
      <w:r w:rsidR="007511FA">
        <w:fldChar w:fldCharType="end"/>
      </w:r>
      <w:r w:rsidRPr="004207C6">
        <w:t>.</w:t>
      </w:r>
    </w:p>
    <w:p w:rsidR="00336989" w:rsidRPr="004207C6" w:rsidRDefault="00336989" w:rsidP="004207C6">
      <w:pPr>
        <w:autoSpaceDE w:val="0"/>
        <w:autoSpaceDN w:val="0"/>
        <w:adjustRightInd w:val="0"/>
      </w:pPr>
    </w:p>
    <w:p w:rsidR="004207C6" w:rsidRPr="003E77A1" w:rsidRDefault="003E77A1" w:rsidP="003E77A1">
      <w:pPr>
        <w:pStyle w:val="Caption"/>
      </w:pPr>
      <w:bookmarkStart w:id="119" w:name="_Ref285534356"/>
      <w:bookmarkStart w:id="120" w:name="_Toc295818265"/>
      <w:proofErr w:type="gramStart"/>
      <w:r w:rsidRPr="003E77A1">
        <w:t xml:space="preserve">Table </w:t>
      </w:r>
      <w:r w:rsidR="007511FA">
        <w:fldChar w:fldCharType="begin"/>
      </w:r>
      <w:r w:rsidR="00AE17F8">
        <w:instrText xml:space="preserve"> STYLEREF 1 \s </w:instrText>
      </w:r>
      <w:r w:rsidR="007511FA">
        <w:fldChar w:fldCharType="separate"/>
      </w:r>
      <w:r w:rsidR="00D5167B">
        <w:rPr>
          <w:noProof/>
        </w:rPr>
        <w:t>4</w:t>
      </w:r>
      <w:r w:rsidR="007511FA">
        <w:fldChar w:fldCharType="end"/>
      </w:r>
      <w:r w:rsidR="00DE5151">
        <w:t>.</w:t>
      </w:r>
      <w:proofErr w:type="gramEnd"/>
      <w:r w:rsidR="007511FA">
        <w:fldChar w:fldCharType="begin"/>
      </w:r>
      <w:r w:rsidR="00C43F40">
        <w:instrText xml:space="preserve"> SEQ Table \* ARABIC \s 1 </w:instrText>
      </w:r>
      <w:r w:rsidR="007511FA">
        <w:fldChar w:fldCharType="separate"/>
      </w:r>
      <w:r w:rsidR="00D5167B">
        <w:rPr>
          <w:noProof/>
        </w:rPr>
        <w:t>2</w:t>
      </w:r>
      <w:r w:rsidR="007511FA">
        <w:fldChar w:fldCharType="end"/>
      </w:r>
      <w:bookmarkEnd w:id="119"/>
      <w:r w:rsidR="00336989" w:rsidRPr="003E77A1">
        <w:t xml:space="preserve">.  </w:t>
      </w:r>
      <w:proofErr w:type="gramStart"/>
      <w:r w:rsidR="00336989" w:rsidRPr="003E77A1">
        <w:t>Radial boundaries of core components.</w:t>
      </w:r>
      <w:bookmarkEnd w:id="120"/>
      <w:proofErr w:type="gramEnd"/>
    </w:p>
    <w:tbl>
      <w:tblPr>
        <w:tblStyle w:val="TableGrid"/>
        <w:tblW w:w="3509" w:type="pct"/>
        <w:jc w:val="center"/>
        <w:tblLook w:val="04A0"/>
      </w:tblPr>
      <w:tblGrid>
        <w:gridCol w:w="2383"/>
        <w:gridCol w:w="2149"/>
        <w:gridCol w:w="2188"/>
      </w:tblGrid>
      <w:tr w:rsidR="00336989" w:rsidRPr="00B65CB1" w:rsidTr="00336989">
        <w:trPr>
          <w:jc w:val="center"/>
        </w:trPr>
        <w:tc>
          <w:tcPr>
            <w:tcW w:w="1772" w:type="pct"/>
          </w:tcPr>
          <w:p w:rsidR="00336989" w:rsidRPr="004F42F4" w:rsidRDefault="00336989" w:rsidP="003E77A1">
            <w:pPr>
              <w:tabs>
                <w:tab w:val="left" w:pos="360"/>
              </w:tabs>
              <w:spacing w:before="0" w:after="0" w:line="240" w:lineRule="auto"/>
              <w:ind w:firstLine="0"/>
              <w:rPr>
                <w:b/>
              </w:rPr>
            </w:pPr>
            <w:r w:rsidRPr="004F42F4">
              <w:rPr>
                <w:b/>
              </w:rPr>
              <w:t>Region</w:t>
            </w:r>
          </w:p>
        </w:tc>
        <w:tc>
          <w:tcPr>
            <w:tcW w:w="1599" w:type="pct"/>
          </w:tcPr>
          <w:p w:rsidR="00336989" w:rsidRPr="004F42F4" w:rsidRDefault="00336989" w:rsidP="003E77A1">
            <w:pPr>
              <w:tabs>
                <w:tab w:val="left" w:pos="360"/>
              </w:tabs>
              <w:spacing w:before="0" w:after="0" w:line="240" w:lineRule="auto"/>
              <w:ind w:firstLine="0"/>
              <w:jc w:val="center"/>
              <w:rPr>
                <w:b/>
              </w:rPr>
            </w:pPr>
            <w:r w:rsidRPr="004F42F4">
              <w:rPr>
                <w:b/>
              </w:rPr>
              <w:t>Inner radius (cm)</w:t>
            </w:r>
          </w:p>
        </w:tc>
        <w:tc>
          <w:tcPr>
            <w:tcW w:w="1628" w:type="pct"/>
          </w:tcPr>
          <w:p w:rsidR="00336989" w:rsidRPr="004F42F4" w:rsidRDefault="00336989" w:rsidP="003E77A1">
            <w:pPr>
              <w:tabs>
                <w:tab w:val="left" w:pos="360"/>
              </w:tabs>
              <w:spacing w:before="0" w:after="0" w:line="240" w:lineRule="auto"/>
              <w:ind w:firstLine="0"/>
              <w:rPr>
                <w:b/>
              </w:rPr>
            </w:pPr>
            <w:r w:rsidRPr="004F42F4">
              <w:rPr>
                <w:b/>
              </w:rPr>
              <w:t>Outer radius (cm)</w:t>
            </w:r>
          </w:p>
        </w:tc>
      </w:tr>
      <w:tr w:rsidR="00336989" w:rsidRPr="00B65CB1" w:rsidTr="00336989">
        <w:trPr>
          <w:jc w:val="center"/>
        </w:trPr>
        <w:tc>
          <w:tcPr>
            <w:tcW w:w="1772" w:type="pct"/>
          </w:tcPr>
          <w:p w:rsidR="00336989" w:rsidRPr="004F42F4" w:rsidRDefault="00336989" w:rsidP="003E77A1">
            <w:pPr>
              <w:tabs>
                <w:tab w:val="left" w:pos="360"/>
              </w:tabs>
              <w:spacing w:before="0" w:after="0" w:line="240" w:lineRule="auto"/>
              <w:ind w:firstLine="0"/>
            </w:pPr>
            <w:r w:rsidRPr="004F42F4">
              <w:t>Flux Trap</w:t>
            </w:r>
          </w:p>
        </w:tc>
        <w:tc>
          <w:tcPr>
            <w:tcW w:w="1599" w:type="pct"/>
          </w:tcPr>
          <w:p w:rsidR="00336989" w:rsidRPr="004F42F4" w:rsidRDefault="00336989" w:rsidP="003E77A1">
            <w:pPr>
              <w:tabs>
                <w:tab w:val="left" w:pos="360"/>
              </w:tabs>
              <w:spacing w:before="0" w:after="0" w:line="240" w:lineRule="auto"/>
              <w:ind w:firstLine="0"/>
              <w:jc w:val="center"/>
            </w:pPr>
            <w:r w:rsidRPr="004F42F4">
              <w:t>0</w:t>
            </w:r>
          </w:p>
        </w:tc>
        <w:tc>
          <w:tcPr>
            <w:tcW w:w="1628" w:type="pct"/>
          </w:tcPr>
          <w:p w:rsidR="00336989" w:rsidRPr="004F42F4" w:rsidRDefault="00336989" w:rsidP="003E77A1">
            <w:pPr>
              <w:tabs>
                <w:tab w:val="left" w:pos="360"/>
              </w:tabs>
              <w:spacing w:before="0" w:after="0" w:line="240" w:lineRule="auto"/>
              <w:ind w:firstLine="0"/>
              <w:jc w:val="center"/>
            </w:pPr>
            <w:r w:rsidRPr="004F42F4">
              <w:t>6.43</w:t>
            </w:r>
          </w:p>
        </w:tc>
      </w:tr>
      <w:tr w:rsidR="00336989" w:rsidRPr="00B65CB1" w:rsidTr="00336989">
        <w:trPr>
          <w:jc w:val="center"/>
        </w:trPr>
        <w:tc>
          <w:tcPr>
            <w:tcW w:w="1772" w:type="pct"/>
          </w:tcPr>
          <w:p w:rsidR="00336989" w:rsidRPr="004F42F4" w:rsidRDefault="00336989" w:rsidP="003E77A1">
            <w:pPr>
              <w:tabs>
                <w:tab w:val="left" w:pos="360"/>
              </w:tabs>
              <w:spacing w:before="0" w:after="0" w:line="240" w:lineRule="auto"/>
              <w:ind w:firstLine="0"/>
            </w:pPr>
            <w:r w:rsidRPr="004F42F4">
              <w:t>IFE Side Plate</w:t>
            </w:r>
          </w:p>
        </w:tc>
        <w:tc>
          <w:tcPr>
            <w:tcW w:w="1599" w:type="pct"/>
          </w:tcPr>
          <w:p w:rsidR="00336989" w:rsidRPr="004F42F4" w:rsidRDefault="00336989" w:rsidP="003E77A1">
            <w:pPr>
              <w:tabs>
                <w:tab w:val="left" w:pos="360"/>
              </w:tabs>
              <w:spacing w:before="0" w:after="0" w:line="240" w:lineRule="auto"/>
              <w:ind w:firstLine="0"/>
              <w:jc w:val="center"/>
            </w:pPr>
            <w:r w:rsidRPr="004F42F4">
              <w:t>6.43</w:t>
            </w:r>
          </w:p>
        </w:tc>
        <w:tc>
          <w:tcPr>
            <w:tcW w:w="1628" w:type="pct"/>
          </w:tcPr>
          <w:p w:rsidR="00336989" w:rsidRPr="004F42F4" w:rsidRDefault="00336989" w:rsidP="003E77A1">
            <w:pPr>
              <w:tabs>
                <w:tab w:val="left" w:pos="360"/>
              </w:tabs>
              <w:spacing w:before="0" w:after="0" w:line="240" w:lineRule="auto"/>
              <w:ind w:firstLine="0"/>
              <w:jc w:val="center"/>
            </w:pPr>
            <w:r w:rsidRPr="004F42F4">
              <w:t>13.45</w:t>
            </w:r>
          </w:p>
        </w:tc>
      </w:tr>
      <w:tr w:rsidR="00336989" w:rsidRPr="00B65CB1" w:rsidTr="00336989">
        <w:trPr>
          <w:jc w:val="center"/>
        </w:trPr>
        <w:tc>
          <w:tcPr>
            <w:tcW w:w="1772" w:type="pct"/>
          </w:tcPr>
          <w:p w:rsidR="00336989" w:rsidRPr="004F42F4" w:rsidRDefault="00336989" w:rsidP="003E77A1">
            <w:pPr>
              <w:tabs>
                <w:tab w:val="left" w:pos="360"/>
              </w:tabs>
              <w:spacing w:before="0" w:after="0" w:line="240" w:lineRule="auto"/>
              <w:ind w:firstLine="0"/>
            </w:pPr>
            <w:r w:rsidRPr="004F42F4">
              <w:t>IFE Active Element</w:t>
            </w:r>
          </w:p>
        </w:tc>
        <w:tc>
          <w:tcPr>
            <w:tcW w:w="1599" w:type="pct"/>
          </w:tcPr>
          <w:p w:rsidR="00336989" w:rsidRPr="004F42F4" w:rsidRDefault="00336989" w:rsidP="003E77A1">
            <w:pPr>
              <w:tabs>
                <w:tab w:val="left" w:pos="360"/>
              </w:tabs>
              <w:spacing w:before="0" w:after="0" w:line="240" w:lineRule="auto"/>
              <w:ind w:firstLine="0"/>
              <w:jc w:val="center"/>
            </w:pPr>
            <w:r w:rsidRPr="004F42F4">
              <w:t>7.14</w:t>
            </w:r>
          </w:p>
        </w:tc>
        <w:tc>
          <w:tcPr>
            <w:tcW w:w="1628" w:type="pct"/>
          </w:tcPr>
          <w:p w:rsidR="00336989" w:rsidRPr="004F42F4" w:rsidRDefault="00336989" w:rsidP="003E77A1">
            <w:pPr>
              <w:tabs>
                <w:tab w:val="left" w:pos="360"/>
              </w:tabs>
              <w:spacing w:before="0" w:after="0" w:line="240" w:lineRule="auto"/>
              <w:ind w:firstLine="0"/>
              <w:jc w:val="center"/>
            </w:pPr>
            <w:r w:rsidRPr="004F42F4">
              <w:t>12.60</w:t>
            </w:r>
          </w:p>
        </w:tc>
      </w:tr>
      <w:tr w:rsidR="00336989" w:rsidRPr="00B65CB1" w:rsidTr="00336989">
        <w:trPr>
          <w:jc w:val="center"/>
        </w:trPr>
        <w:tc>
          <w:tcPr>
            <w:tcW w:w="1772" w:type="pct"/>
          </w:tcPr>
          <w:p w:rsidR="00336989" w:rsidRPr="004F42F4" w:rsidRDefault="00336989" w:rsidP="003E77A1">
            <w:pPr>
              <w:tabs>
                <w:tab w:val="left" w:pos="360"/>
              </w:tabs>
              <w:spacing w:before="0" w:after="0" w:line="240" w:lineRule="auto"/>
              <w:ind w:firstLine="0"/>
            </w:pPr>
            <w:r w:rsidRPr="004F42F4">
              <w:t>OFE Side Plate</w:t>
            </w:r>
          </w:p>
        </w:tc>
        <w:tc>
          <w:tcPr>
            <w:tcW w:w="1599" w:type="pct"/>
          </w:tcPr>
          <w:p w:rsidR="00336989" w:rsidRPr="004F42F4" w:rsidRDefault="00336989" w:rsidP="003E77A1">
            <w:pPr>
              <w:tabs>
                <w:tab w:val="left" w:pos="360"/>
              </w:tabs>
              <w:spacing w:before="0" w:after="0" w:line="240" w:lineRule="auto"/>
              <w:ind w:firstLine="0"/>
              <w:jc w:val="center"/>
            </w:pPr>
            <w:r w:rsidRPr="004F42F4">
              <w:t>14.29</w:t>
            </w:r>
          </w:p>
        </w:tc>
        <w:tc>
          <w:tcPr>
            <w:tcW w:w="1628" w:type="pct"/>
          </w:tcPr>
          <w:p w:rsidR="00336989" w:rsidRPr="004F42F4" w:rsidRDefault="00336989" w:rsidP="003E77A1">
            <w:pPr>
              <w:tabs>
                <w:tab w:val="left" w:pos="360"/>
              </w:tabs>
              <w:spacing w:before="0" w:after="0" w:line="240" w:lineRule="auto"/>
              <w:ind w:firstLine="0"/>
              <w:jc w:val="center"/>
            </w:pPr>
            <w:r w:rsidRPr="004F42F4">
              <w:t>21.76</w:t>
            </w:r>
          </w:p>
        </w:tc>
      </w:tr>
      <w:tr w:rsidR="00336989" w:rsidRPr="00B65CB1" w:rsidTr="00336989">
        <w:trPr>
          <w:jc w:val="center"/>
        </w:trPr>
        <w:tc>
          <w:tcPr>
            <w:tcW w:w="1772" w:type="pct"/>
          </w:tcPr>
          <w:p w:rsidR="00336989" w:rsidRPr="004F42F4" w:rsidRDefault="00336989" w:rsidP="003E77A1">
            <w:pPr>
              <w:tabs>
                <w:tab w:val="left" w:pos="360"/>
              </w:tabs>
              <w:spacing w:before="0" w:after="0" w:line="240" w:lineRule="auto"/>
              <w:ind w:firstLine="0"/>
            </w:pPr>
            <w:r w:rsidRPr="004F42F4">
              <w:t>OFE Active Element</w:t>
            </w:r>
          </w:p>
        </w:tc>
        <w:tc>
          <w:tcPr>
            <w:tcW w:w="1599" w:type="pct"/>
          </w:tcPr>
          <w:p w:rsidR="00336989" w:rsidRPr="004F42F4" w:rsidRDefault="00336989" w:rsidP="003E77A1">
            <w:pPr>
              <w:tabs>
                <w:tab w:val="left" w:pos="360"/>
              </w:tabs>
              <w:spacing w:before="0" w:after="0" w:line="240" w:lineRule="auto"/>
              <w:ind w:firstLine="0"/>
              <w:jc w:val="center"/>
            </w:pPr>
            <w:r w:rsidRPr="004F42F4">
              <w:t>15.13</w:t>
            </w:r>
          </w:p>
        </w:tc>
        <w:tc>
          <w:tcPr>
            <w:tcW w:w="1628" w:type="pct"/>
          </w:tcPr>
          <w:p w:rsidR="00336989" w:rsidRPr="004F42F4" w:rsidRDefault="00336989" w:rsidP="003E77A1">
            <w:pPr>
              <w:tabs>
                <w:tab w:val="left" w:pos="360"/>
              </w:tabs>
              <w:spacing w:before="0" w:after="0" w:line="240" w:lineRule="auto"/>
              <w:ind w:firstLine="0"/>
              <w:jc w:val="center"/>
            </w:pPr>
            <w:r w:rsidRPr="004F42F4">
              <w:t>20.93</w:t>
            </w:r>
          </w:p>
        </w:tc>
      </w:tr>
      <w:tr w:rsidR="00336989" w:rsidRPr="00B65CB1" w:rsidTr="00336989">
        <w:trPr>
          <w:jc w:val="center"/>
        </w:trPr>
        <w:tc>
          <w:tcPr>
            <w:tcW w:w="1772" w:type="pct"/>
          </w:tcPr>
          <w:p w:rsidR="00336989" w:rsidRPr="004F42F4" w:rsidRDefault="00336989" w:rsidP="003E77A1">
            <w:pPr>
              <w:tabs>
                <w:tab w:val="left" w:pos="360"/>
              </w:tabs>
              <w:spacing w:before="0" w:after="0" w:line="240" w:lineRule="auto"/>
              <w:ind w:firstLine="0"/>
            </w:pPr>
            <w:r w:rsidRPr="004F42F4">
              <w:t>Control Elements</w:t>
            </w:r>
          </w:p>
        </w:tc>
        <w:tc>
          <w:tcPr>
            <w:tcW w:w="1599" w:type="pct"/>
          </w:tcPr>
          <w:p w:rsidR="00336989" w:rsidRPr="004F42F4" w:rsidRDefault="00336989" w:rsidP="003E77A1">
            <w:pPr>
              <w:tabs>
                <w:tab w:val="left" w:pos="360"/>
              </w:tabs>
              <w:spacing w:before="0" w:after="0" w:line="240" w:lineRule="auto"/>
              <w:ind w:firstLine="0"/>
              <w:jc w:val="center"/>
            </w:pPr>
            <w:r w:rsidRPr="004F42F4">
              <w:t>21.76</w:t>
            </w:r>
          </w:p>
        </w:tc>
        <w:tc>
          <w:tcPr>
            <w:tcW w:w="1628" w:type="pct"/>
          </w:tcPr>
          <w:p w:rsidR="00336989" w:rsidRPr="004F42F4" w:rsidRDefault="00336989" w:rsidP="003E77A1">
            <w:pPr>
              <w:tabs>
                <w:tab w:val="left" w:pos="360"/>
              </w:tabs>
              <w:spacing w:before="0" w:after="0" w:line="240" w:lineRule="auto"/>
              <w:ind w:firstLine="0"/>
              <w:jc w:val="center"/>
            </w:pPr>
            <w:r w:rsidRPr="004F42F4">
              <w:t>23.97</w:t>
            </w:r>
          </w:p>
        </w:tc>
      </w:tr>
      <w:tr w:rsidR="00336989" w:rsidRPr="00B65CB1" w:rsidTr="00336989">
        <w:trPr>
          <w:jc w:val="center"/>
        </w:trPr>
        <w:tc>
          <w:tcPr>
            <w:tcW w:w="1772" w:type="pct"/>
          </w:tcPr>
          <w:p w:rsidR="00336989" w:rsidRPr="004F42F4" w:rsidRDefault="00336989" w:rsidP="003E77A1">
            <w:pPr>
              <w:tabs>
                <w:tab w:val="left" w:pos="360"/>
              </w:tabs>
              <w:spacing w:before="0" w:after="0" w:line="240" w:lineRule="auto"/>
              <w:ind w:firstLine="0"/>
            </w:pPr>
            <w:r w:rsidRPr="004F42F4">
              <w:t>Removable Reflector</w:t>
            </w:r>
          </w:p>
        </w:tc>
        <w:tc>
          <w:tcPr>
            <w:tcW w:w="1599" w:type="pct"/>
          </w:tcPr>
          <w:p w:rsidR="00336989" w:rsidRPr="004F42F4" w:rsidRDefault="00336989" w:rsidP="003E77A1">
            <w:pPr>
              <w:tabs>
                <w:tab w:val="left" w:pos="360"/>
              </w:tabs>
              <w:spacing w:before="0" w:after="0" w:line="240" w:lineRule="auto"/>
              <w:ind w:firstLine="0"/>
              <w:jc w:val="center"/>
            </w:pPr>
            <w:r w:rsidRPr="004F42F4">
              <w:t>23.97</w:t>
            </w:r>
          </w:p>
        </w:tc>
        <w:tc>
          <w:tcPr>
            <w:tcW w:w="1628" w:type="pct"/>
          </w:tcPr>
          <w:p w:rsidR="00336989" w:rsidRPr="004F42F4" w:rsidRDefault="00336989" w:rsidP="003E77A1">
            <w:pPr>
              <w:tabs>
                <w:tab w:val="left" w:pos="360"/>
              </w:tabs>
              <w:spacing w:before="0" w:after="0" w:line="240" w:lineRule="auto"/>
              <w:ind w:firstLine="0"/>
              <w:jc w:val="center"/>
            </w:pPr>
            <w:r w:rsidRPr="004F42F4">
              <w:t>30.17</w:t>
            </w:r>
          </w:p>
        </w:tc>
      </w:tr>
      <w:tr w:rsidR="00336989" w:rsidRPr="00B65CB1" w:rsidTr="00336989">
        <w:trPr>
          <w:jc w:val="center"/>
        </w:trPr>
        <w:tc>
          <w:tcPr>
            <w:tcW w:w="1772" w:type="pct"/>
          </w:tcPr>
          <w:p w:rsidR="00336989" w:rsidRPr="004F42F4" w:rsidRDefault="00336989" w:rsidP="003E77A1">
            <w:pPr>
              <w:tabs>
                <w:tab w:val="left" w:pos="360"/>
              </w:tabs>
              <w:spacing w:before="0" w:after="0" w:line="240" w:lineRule="auto"/>
              <w:ind w:firstLine="0"/>
            </w:pPr>
            <w:r w:rsidRPr="004F42F4">
              <w:t>Permanent Reflector</w:t>
            </w:r>
          </w:p>
        </w:tc>
        <w:tc>
          <w:tcPr>
            <w:tcW w:w="1599" w:type="pct"/>
          </w:tcPr>
          <w:p w:rsidR="00336989" w:rsidRPr="004F42F4" w:rsidRDefault="00336989" w:rsidP="003E77A1">
            <w:pPr>
              <w:tabs>
                <w:tab w:val="left" w:pos="360"/>
              </w:tabs>
              <w:spacing w:before="0" w:after="0" w:line="240" w:lineRule="auto"/>
              <w:ind w:firstLine="0"/>
              <w:jc w:val="center"/>
            </w:pPr>
            <w:r w:rsidRPr="004F42F4">
              <w:t>30.17</w:t>
            </w:r>
          </w:p>
        </w:tc>
        <w:tc>
          <w:tcPr>
            <w:tcW w:w="1628" w:type="pct"/>
          </w:tcPr>
          <w:p w:rsidR="00336989" w:rsidRPr="004F42F4" w:rsidRDefault="00336989" w:rsidP="003E77A1">
            <w:pPr>
              <w:tabs>
                <w:tab w:val="left" w:pos="360"/>
              </w:tabs>
              <w:spacing w:before="0" w:after="0" w:line="240" w:lineRule="auto"/>
              <w:ind w:firstLine="0"/>
              <w:jc w:val="center"/>
            </w:pPr>
            <w:r w:rsidRPr="004F42F4">
              <w:t>54.61</w:t>
            </w:r>
          </w:p>
        </w:tc>
      </w:tr>
      <w:tr w:rsidR="00336989" w:rsidRPr="00B65CB1" w:rsidTr="00336989">
        <w:trPr>
          <w:jc w:val="center"/>
        </w:trPr>
        <w:tc>
          <w:tcPr>
            <w:tcW w:w="1772" w:type="pct"/>
          </w:tcPr>
          <w:p w:rsidR="00336989" w:rsidRPr="004F42F4" w:rsidRDefault="00336989" w:rsidP="003E77A1">
            <w:pPr>
              <w:tabs>
                <w:tab w:val="left" w:pos="360"/>
              </w:tabs>
              <w:spacing w:before="0" w:after="0" w:line="240" w:lineRule="auto"/>
              <w:ind w:firstLine="0"/>
            </w:pPr>
            <w:r w:rsidRPr="004F42F4">
              <w:t>Water Reflector</w:t>
            </w:r>
          </w:p>
        </w:tc>
        <w:tc>
          <w:tcPr>
            <w:tcW w:w="1599" w:type="pct"/>
          </w:tcPr>
          <w:p w:rsidR="00336989" w:rsidRPr="004F42F4" w:rsidRDefault="00336989" w:rsidP="003E77A1">
            <w:pPr>
              <w:tabs>
                <w:tab w:val="left" w:pos="360"/>
              </w:tabs>
              <w:spacing w:before="0" w:after="0" w:line="240" w:lineRule="auto"/>
              <w:ind w:firstLine="0"/>
              <w:jc w:val="center"/>
            </w:pPr>
            <w:r w:rsidRPr="004F42F4">
              <w:t>54.61</w:t>
            </w:r>
          </w:p>
        </w:tc>
        <w:tc>
          <w:tcPr>
            <w:tcW w:w="1628" w:type="pct"/>
          </w:tcPr>
          <w:p w:rsidR="00336989" w:rsidRPr="004F42F4" w:rsidRDefault="00336989" w:rsidP="003E77A1">
            <w:pPr>
              <w:tabs>
                <w:tab w:val="left" w:pos="360"/>
              </w:tabs>
              <w:spacing w:before="0" w:after="0" w:line="240" w:lineRule="auto"/>
              <w:ind w:firstLine="0"/>
              <w:jc w:val="center"/>
            </w:pPr>
            <w:r w:rsidRPr="004F42F4">
              <w:t>119.38</w:t>
            </w:r>
          </w:p>
        </w:tc>
      </w:tr>
      <w:tr w:rsidR="00336989" w:rsidRPr="00B65CB1" w:rsidTr="00336989">
        <w:trPr>
          <w:jc w:val="center"/>
        </w:trPr>
        <w:tc>
          <w:tcPr>
            <w:tcW w:w="1772" w:type="pct"/>
          </w:tcPr>
          <w:p w:rsidR="00336989" w:rsidRPr="004F42F4" w:rsidRDefault="00336989" w:rsidP="003E77A1">
            <w:pPr>
              <w:tabs>
                <w:tab w:val="left" w:pos="360"/>
              </w:tabs>
              <w:spacing w:before="0" w:after="0" w:line="240" w:lineRule="auto"/>
              <w:ind w:firstLine="0"/>
            </w:pPr>
            <w:r w:rsidRPr="004F42F4">
              <w:t>Pressure Vessel</w:t>
            </w:r>
          </w:p>
        </w:tc>
        <w:tc>
          <w:tcPr>
            <w:tcW w:w="1599" w:type="pct"/>
          </w:tcPr>
          <w:p w:rsidR="00336989" w:rsidRPr="004F42F4" w:rsidRDefault="00336989" w:rsidP="003E77A1">
            <w:pPr>
              <w:tabs>
                <w:tab w:val="left" w:pos="360"/>
              </w:tabs>
              <w:spacing w:before="0" w:after="0" w:line="240" w:lineRule="auto"/>
              <w:ind w:firstLine="0"/>
              <w:jc w:val="center"/>
            </w:pPr>
            <w:r w:rsidRPr="004F42F4">
              <w:t>119.38</w:t>
            </w:r>
          </w:p>
        </w:tc>
        <w:tc>
          <w:tcPr>
            <w:tcW w:w="1628" w:type="pct"/>
          </w:tcPr>
          <w:p w:rsidR="00336989" w:rsidRPr="004F42F4" w:rsidRDefault="00336989" w:rsidP="003E77A1">
            <w:pPr>
              <w:tabs>
                <w:tab w:val="left" w:pos="360"/>
              </w:tabs>
              <w:spacing w:before="0" w:after="0" w:line="240" w:lineRule="auto"/>
              <w:ind w:firstLine="0"/>
              <w:jc w:val="center"/>
            </w:pPr>
            <w:r w:rsidRPr="004F42F4">
              <w:t>121.92</w:t>
            </w:r>
          </w:p>
        </w:tc>
      </w:tr>
    </w:tbl>
    <w:p w:rsidR="008C2185" w:rsidRDefault="008C2185">
      <w:pPr>
        <w:spacing w:before="0" w:after="200" w:line="276" w:lineRule="auto"/>
      </w:pPr>
      <w:r>
        <w:br w:type="page"/>
      </w:r>
    </w:p>
    <w:p w:rsidR="00336989" w:rsidRDefault="00336989" w:rsidP="00336989">
      <w:pPr>
        <w:spacing w:before="0" w:after="200"/>
      </w:pPr>
      <w:r w:rsidRPr="00336989">
        <w:lastRenderedPageBreak/>
        <w:t xml:space="preserve">The IFE is modeled by dividing it into 56 cells; 8 radial fuel regions and 7 axial fuel layers and the OFE is modeled by dividing it into 63 cells; 9 radial fueled regions, and 7 axial fueled layers. </w:t>
      </w:r>
      <w:r>
        <w:t xml:space="preserve"> </w:t>
      </w:r>
      <w:r w:rsidRPr="00336989">
        <w:t xml:space="preserve">The radial regions represent the different effective </w:t>
      </w:r>
      <w:r w:rsidRPr="00336989">
        <w:rPr>
          <w:vertAlign w:val="superscript"/>
        </w:rPr>
        <w:t>235</w:t>
      </w:r>
      <w:r>
        <w:t>U concentrations (atoms/barn/</w:t>
      </w:r>
      <w:r w:rsidRPr="00336989">
        <w:t xml:space="preserve">cm) in the radial direction of the fuel plate. </w:t>
      </w:r>
      <w:r>
        <w:t xml:space="preserve"> </w:t>
      </w:r>
      <w:r w:rsidRPr="00336989">
        <w:t xml:space="preserve">The fuel is modeled by homogenizing the uranium “meat,” aluminum, and water between the plates into several radial fueled regions. </w:t>
      </w:r>
      <w:r>
        <w:t xml:space="preserve"> </w:t>
      </w:r>
      <w:r w:rsidR="007511FA">
        <w:fldChar w:fldCharType="begin"/>
      </w:r>
      <w:r w:rsidR="003E77A1">
        <w:instrText xml:space="preserve"> REF _Ref285534500 \h </w:instrText>
      </w:r>
      <w:r w:rsidR="007511FA">
        <w:fldChar w:fldCharType="separate"/>
      </w:r>
      <w:r w:rsidR="00D5167B">
        <w:t xml:space="preserve">Figure </w:t>
      </w:r>
      <w:r w:rsidR="00D5167B">
        <w:rPr>
          <w:noProof/>
        </w:rPr>
        <w:t>4</w:t>
      </w:r>
      <w:r w:rsidR="00D5167B">
        <w:t>.</w:t>
      </w:r>
      <w:r w:rsidR="00D5167B">
        <w:rPr>
          <w:noProof/>
        </w:rPr>
        <w:t>2</w:t>
      </w:r>
      <w:r w:rsidR="007511FA">
        <w:fldChar w:fldCharType="end"/>
      </w:r>
      <w:r w:rsidR="003E77A1">
        <w:t xml:space="preserve"> </w:t>
      </w:r>
      <w:r w:rsidRPr="00336989">
        <w:t xml:space="preserve">depicts one of the 171 involute shaped IFE plates. </w:t>
      </w:r>
      <w:r>
        <w:t xml:space="preserve"> </w:t>
      </w:r>
      <w:r w:rsidR="007511FA">
        <w:fldChar w:fldCharType="begin"/>
      </w:r>
      <w:r w:rsidR="003E77A1">
        <w:instrText xml:space="preserve"> REF _Ref285534484 \h </w:instrText>
      </w:r>
      <w:r w:rsidR="007511FA">
        <w:fldChar w:fldCharType="separate"/>
      </w:r>
      <w:r w:rsidR="00D5167B" w:rsidRPr="003E77A1">
        <w:t xml:space="preserve">Table </w:t>
      </w:r>
      <w:r w:rsidR="00D5167B">
        <w:rPr>
          <w:noProof/>
        </w:rPr>
        <w:t>4</w:t>
      </w:r>
      <w:r w:rsidR="00D5167B">
        <w:t>.</w:t>
      </w:r>
      <w:r w:rsidR="00D5167B">
        <w:rPr>
          <w:noProof/>
        </w:rPr>
        <w:t>3</w:t>
      </w:r>
      <w:r w:rsidR="007511FA">
        <w:fldChar w:fldCharType="end"/>
      </w:r>
      <w:r w:rsidR="003E77A1">
        <w:t xml:space="preserve"> </w:t>
      </w:r>
      <w:r w:rsidRPr="00336989">
        <w:t>lists the inner and outer radii that correspond to the IFE and OFE fuel radial regions.</w:t>
      </w:r>
    </w:p>
    <w:p w:rsidR="00336989" w:rsidRDefault="00336989" w:rsidP="00336989">
      <w:pPr>
        <w:spacing w:before="0" w:after="200"/>
      </w:pPr>
    </w:p>
    <w:p w:rsidR="00A52A92" w:rsidRDefault="00A52A92" w:rsidP="00336989">
      <w:pPr>
        <w:spacing w:before="0" w:after="200"/>
      </w:pPr>
    </w:p>
    <w:p w:rsidR="00A52A92" w:rsidRDefault="00A52A92" w:rsidP="00336989">
      <w:pPr>
        <w:spacing w:before="0" w:after="200"/>
      </w:pPr>
    </w:p>
    <w:p w:rsidR="00A52A92" w:rsidRDefault="00A52A92" w:rsidP="00336989">
      <w:pPr>
        <w:spacing w:before="0" w:after="200"/>
      </w:pPr>
    </w:p>
    <w:p w:rsidR="00A52A92" w:rsidRDefault="00A52A92" w:rsidP="00336989">
      <w:pPr>
        <w:spacing w:before="0" w:after="200"/>
      </w:pPr>
    </w:p>
    <w:p w:rsidR="00A52A92" w:rsidRPr="00336989" w:rsidRDefault="00A52A92" w:rsidP="00336989">
      <w:pPr>
        <w:spacing w:before="0" w:after="200"/>
      </w:pPr>
    </w:p>
    <w:p w:rsidR="00336989" w:rsidRDefault="00336989" w:rsidP="003E77A1">
      <w:pPr>
        <w:ind w:firstLine="0"/>
        <w:jc w:val="center"/>
        <w:rPr>
          <w:b/>
          <w:sz w:val="24"/>
        </w:rPr>
      </w:pPr>
      <w:r w:rsidRPr="001D4E80">
        <w:rPr>
          <w:b/>
          <w:noProof/>
          <w:sz w:val="24"/>
        </w:rPr>
        <w:drawing>
          <wp:inline distT="0" distB="0" distL="0" distR="0">
            <wp:extent cx="3663379" cy="2743200"/>
            <wp:effectExtent l="19050" t="19050" r="13271" b="19050"/>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srcRect/>
                    <a:stretch>
                      <a:fillRect/>
                    </a:stretch>
                  </pic:blipFill>
                  <pic:spPr bwMode="auto">
                    <a:xfrm>
                      <a:off x="0" y="0"/>
                      <a:ext cx="3663379" cy="2743200"/>
                    </a:xfrm>
                    <a:prstGeom prst="rect">
                      <a:avLst/>
                    </a:prstGeom>
                    <a:noFill/>
                    <a:ln w="6350" cmpd="sng">
                      <a:solidFill>
                        <a:srgbClr val="000000"/>
                      </a:solidFill>
                      <a:miter lim="800000"/>
                      <a:headEnd/>
                      <a:tailEnd/>
                    </a:ln>
                    <a:effectLst/>
                  </pic:spPr>
                </pic:pic>
              </a:graphicData>
            </a:graphic>
          </wp:inline>
        </w:drawing>
      </w:r>
    </w:p>
    <w:p w:rsidR="00336989" w:rsidRDefault="003E77A1" w:rsidP="003E77A1">
      <w:pPr>
        <w:pStyle w:val="Caption"/>
      </w:pPr>
      <w:bookmarkStart w:id="121" w:name="_Ref285534500"/>
      <w:bookmarkStart w:id="122" w:name="_Toc295818188"/>
      <w:proofErr w:type="gramStart"/>
      <w:r>
        <w:t xml:space="preserve">Figure </w:t>
      </w:r>
      <w:r w:rsidR="007511FA">
        <w:fldChar w:fldCharType="begin"/>
      </w:r>
      <w:r w:rsidR="00AE17F8">
        <w:instrText xml:space="preserve"> STYLEREF 1 \s </w:instrText>
      </w:r>
      <w:r w:rsidR="007511FA">
        <w:fldChar w:fldCharType="separate"/>
      </w:r>
      <w:r w:rsidR="00D5167B">
        <w:rPr>
          <w:noProof/>
        </w:rPr>
        <w:t>4</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2</w:t>
      </w:r>
      <w:r w:rsidR="007511FA">
        <w:fldChar w:fldCharType="end"/>
      </w:r>
      <w:bookmarkEnd w:id="121"/>
      <w:r w:rsidR="00336989">
        <w:t xml:space="preserve">.  </w:t>
      </w:r>
      <w:proofErr w:type="gramStart"/>
      <w:r w:rsidR="00336989">
        <w:t>Involute IFE plate.</w:t>
      </w:r>
      <w:bookmarkEnd w:id="122"/>
      <w:proofErr w:type="gramEnd"/>
      <w:r w:rsidR="00336989">
        <w:br w:type="page"/>
      </w:r>
    </w:p>
    <w:p w:rsidR="00336989" w:rsidRPr="003E77A1" w:rsidRDefault="003E77A1" w:rsidP="003E77A1">
      <w:pPr>
        <w:pStyle w:val="Caption"/>
      </w:pPr>
      <w:bookmarkStart w:id="123" w:name="_Ref285534484"/>
      <w:bookmarkStart w:id="124" w:name="_Toc295818266"/>
      <w:proofErr w:type="gramStart"/>
      <w:r w:rsidRPr="003E77A1">
        <w:lastRenderedPageBreak/>
        <w:t xml:space="preserve">Table </w:t>
      </w:r>
      <w:r w:rsidR="007511FA">
        <w:fldChar w:fldCharType="begin"/>
      </w:r>
      <w:r w:rsidR="00AE17F8">
        <w:instrText xml:space="preserve"> STYLEREF 1 \s </w:instrText>
      </w:r>
      <w:r w:rsidR="007511FA">
        <w:fldChar w:fldCharType="separate"/>
      </w:r>
      <w:r w:rsidR="00D5167B">
        <w:rPr>
          <w:noProof/>
        </w:rPr>
        <w:t>4</w:t>
      </w:r>
      <w:r w:rsidR="007511FA">
        <w:fldChar w:fldCharType="end"/>
      </w:r>
      <w:r w:rsidR="00DE5151">
        <w:t>.</w:t>
      </w:r>
      <w:proofErr w:type="gramEnd"/>
      <w:r w:rsidR="007511FA">
        <w:fldChar w:fldCharType="begin"/>
      </w:r>
      <w:r w:rsidR="00C43F40">
        <w:instrText xml:space="preserve"> SEQ Table \* ARABIC \s 1 </w:instrText>
      </w:r>
      <w:r w:rsidR="007511FA">
        <w:fldChar w:fldCharType="separate"/>
      </w:r>
      <w:r w:rsidR="00D5167B">
        <w:rPr>
          <w:noProof/>
        </w:rPr>
        <w:t>3</w:t>
      </w:r>
      <w:r w:rsidR="007511FA">
        <w:fldChar w:fldCharType="end"/>
      </w:r>
      <w:bookmarkEnd w:id="123"/>
      <w:r w:rsidR="00336989" w:rsidRPr="003E77A1">
        <w:t xml:space="preserve">.  </w:t>
      </w:r>
      <w:proofErr w:type="gramStart"/>
      <w:r w:rsidR="00336989" w:rsidRPr="003E77A1">
        <w:t>Fuel radial region boundaries.</w:t>
      </w:r>
      <w:bookmarkEnd w:id="124"/>
      <w:proofErr w:type="gramEnd"/>
    </w:p>
    <w:tbl>
      <w:tblPr>
        <w:tblStyle w:val="TableGrid"/>
        <w:tblW w:w="4427" w:type="pct"/>
        <w:jc w:val="center"/>
        <w:tblLook w:val="04A0"/>
      </w:tblPr>
      <w:tblGrid>
        <w:gridCol w:w="1431"/>
        <w:gridCol w:w="1557"/>
        <w:gridCol w:w="1981"/>
        <w:gridCol w:w="1709"/>
        <w:gridCol w:w="1801"/>
      </w:tblGrid>
      <w:tr w:rsidR="00336989" w:rsidRPr="00B65CB1" w:rsidTr="00336989">
        <w:trPr>
          <w:jc w:val="center"/>
        </w:trPr>
        <w:tc>
          <w:tcPr>
            <w:tcW w:w="844" w:type="pct"/>
          </w:tcPr>
          <w:p w:rsidR="00336989" w:rsidRPr="003E77A1" w:rsidRDefault="00336989" w:rsidP="003E77A1">
            <w:pPr>
              <w:autoSpaceDE w:val="0"/>
              <w:autoSpaceDN w:val="0"/>
              <w:adjustRightInd w:val="0"/>
              <w:spacing w:before="0" w:after="0" w:line="240" w:lineRule="auto"/>
              <w:ind w:firstLine="0"/>
              <w:jc w:val="center"/>
              <w:rPr>
                <w:rFonts w:ascii="Times New Roman" w:hAnsi="Times New Roman" w:cs="Times New Roman"/>
                <w:b/>
              </w:rPr>
            </w:pPr>
            <w:r w:rsidRPr="003E77A1">
              <w:rPr>
                <w:rFonts w:ascii="Times New Roman" w:hAnsi="Times New Roman" w:cs="Times New Roman"/>
                <w:b/>
              </w:rPr>
              <w:t>Fueled</w:t>
            </w:r>
          </w:p>
          <w:p w:rsidR="00336989" w:rsidRPr="003E77A1" w:rsidRDefault="00336989" w:rsidP="003E77A1">
            <w:pPr>
              <w:autoSpaceDE w:val="0"/>
              <w:autoSpaceDN w:val="0"/>
              <w:adjustRightInd w:val="0"/>
              <w:spacing w:before="0" w:after="0" w:line="240" w:lineRule="auto"/>
              <w:ind w:firstLine="0"/>
              <w:jc w:val="center"/>
              <w:rPr>
                <w:rFonts w:ascii="Times New Roman" w:hAnsi="Times New Roman" w:cs="Times New Roman"/>
                <w:b/>
              </w:rPr>
            </w:pPr>
            <w:r w:rsidRPr="003E77A1">
              <w:rPr>
                <w:rFonts w:ascii="Times New Roman" w:hAnsi="Times New Roman" w:cs="Times New Roman"/>
                <w:b/>
              </w:rPr>
              <w:t>region</w:t>
            </w:r>
          </w:p>
        </w:tc>
        <w:tc>
          <w:tcPr>
            <w:tcW w:w="918" w:type="pct"/>
          </w:tcPr>
          <w:p w:rsidR="00336989" w:rsidRPr="003E77A1" w:rsidRDefault="00336989" w:rsidP="003E77A1">
            <w:pPr>
              <w:autoSpaceDE w:val="0"/>
              <w:autoSpaceDN w:val="0"/>
              <w:adjustRightInd w:val="0"/>
              <w:spacing w:before="0" w:after="0" w:line="240" w:lineRule="auto"/>
              <w:ind w:firstLine="0"/>
              <w:jc w:val="center"/>
              <w:rPr>
                <w:rFonts w:ascii="Times New Roman" w:hAnsi="Times New Roman" w:cs="Times New Roman"/>
                <w:b/>
              </w:rPr>
            </w:pPr>
            <w:r w:rsidRPr="003E77A1">
              <w:rPr>
                <w:rFonts w:ascii="Times New Roman" w:hAnsi="Times New Roman" w:cs="Times New Roman"/>
                <w:b/>
              </w:rPr>
              <w:t>IFE inner radius (cm)</w:t>
            </w:r>
          </w:p>
        </w:tc>
        <w:tc>
          <w:tcPr>
            <w:tcW w:w="1168" w:type="pct"/>
          </w:tcPr>
          <w:p w:rsidR="00336989" w:rsidRPr="003E77A1" w:rsidRDefault="00336989" w:rsidP="003E77A1">
            <w:pPr>
              <w:autoSpaceDE w:val="0"/>
              <w:autoSpaceDN w:val="0"/>
              <w:adjustRightInd w:val="0"/>
              <w:spacing w:before="0" w:after="0" w:line="240" w:lineRule="auto"/>
              <w:ind w:firstLine="0"/>
              <w:jc w:val="center"/>
              <w:rPr>
                <w:rFonts w:ascii="Times New Roman" w:hAnsi="Times New Roman" w:cs="Times New Roman"/>
                <w:b/>
              </w:rPr>
            </w:pPr>
            <w:r w:rsidRPr="003E77A1">
              <w:rPr>
                <w:rFonts w:ascii="Times New Roman" w:hAnsi="Times New Roman" w:cs="Times New Roman"/>
                <w:b/>
              </w:rPr>
              <w:t>IFE outer</w:t>
            </w:r>
          </w:p>
          <w:p w:rsidR="00336989" w:rsidRPr="003E77A1" w:rsidRDefault="00336989" w:rsidP="003E77A1">
            <w:pPr>
              <w:autoSpaceDE w:val="0"/>
              <w:autoSpaceDN w:val="0"/>
              <w:adjustRightInd w:val="0"/>
              <w:spacing w:before="0" w:after="0" w:line="240" w:lineRule="auto"/>
              <w:ind w:firstLine="0"/>
              <w:jc w:val="center"/>
              <w:rPr>
                <w:rFonts w:ascii="Times New Roman" w:hAnsi="Times New Roman" w:cs="Times New Roman"/>
                <w:b/>
              </w:rPr>
            </w:pPr>
            <w:r w:rsidRPr="003E77A1">
              <w:rPr>
                <w:rFonts w:ascii="Times New Roman" w:hAnsi="Times New Roman" w:cs="Times New Roman"/>
                <w:b/>
              </w:rPr>
              <w:t>radius (cm)</w:t>
            </w:r>
          </w:p>
        </w:tc>
        <w:tc>
          <w:tcPr>
            <w:tcW w:w="1008" w:type="pct"/>
          </w:tcPr>
          <w:p w:rsidR="00336989" w:rsidRPr="003E77A1" w:rsidRDefault="00336989" w:rsidP="003E77A1">
            <w:pPr>
              <w:autoSpaceDE w:val="0"/>
              <w:autoSpaceDN w:val="0"/>
              <w:adjustRightInd w:val="0"/>
              <w:spacing w:before="0" w:after="0" w:line="240" w:lineRule="auto"/>
              <w:ind w:firstLine="0"/>
              <w:jc w:val="center"/>
              <w:rPr>
                <w:rFonts w:ascii="Times New Roman" w:hAnsi="Times New Roman" w:cs="Times New Roman"/>
                <w:b/>
              </w:rPr>
            </w:pPr>
            <w:r w:rsidRPr="003E77A1">
              <w:rPr>
                <w:rFonts w:ascii="Times New Roman" w:hAnsi="Times New Roman" w:cs="Times New Roman"/>
                <w:b/>
              </w:rPr>
              <w:t>OFE inner radius (cm)</w:t>
            </w:r>
          </w:p>
        </w:tc>
        <w:tc>
          <w:tcPr>
            <w:tcW w:w="1062" w:type="pct"/>
          </w:tcPr>
          <w:p w:rsidR="00336989" w:rsidRPr="003E77A1" w:rsidRDefault="00336989" w:rsidP="003E77A1">
            <w:pPr>
              <w:autoSpaceDE w:val="0"/>
              <w:autoSpaceDN w:val="0"/>
              <w:adjustRightInd w:val="0"/>
              <w:spacing w:before="0" w:after="0" w:line="240" w:lineRule="auto"/>
              <w:ind w:firstLine="0"/>
              <w:jc w:val="center"/>
              <w:rPr>
                <w:rFonts w:ascii="Times New Roman" w:hAnsi="Times New Roman" w:cs="Times New Roman"/>
                <w:b/>
              </w:rPr>
            </w:pPr>
            <w:r w:rsidRPr="003E77A1">
              <w:rPr>
                <w:rFonts w:ascii="Times New Roman" w:hAnsi="Times New Roman" w:cs="Times New Roman"/>
                <w:b/>
              </w:rPr>
              <w:t>OFE outer radius (cm)</w:t>
            </w:r>
          </w:p>
        </w:tc>
      </w:tr>
      <w:tr w:rsidR="00336989" w:rsidRPr="00B65CB1" w:rsidTr="00336989">
        <w:trPr>
          <w:jc w:val="center"/>
        </w:trPr>
        <w:tc>
          <w:tcPr>
            <w:tcW w:w="844" w:type="pct"/>
          </w:tcPr>
          <w:p w:rsidR="00336989" w:rsidRPr="003E77A1" w:rsidRDefault="00336989" w:rsidP="003E77A1">
            <w:pPr>
              <w:autoSpaceDE w:val="0"/>
              <w:autoSpaceDN w:val="0"/>
              <w:adjustRightInd w:val="0"/>
              <w:spacing w:before="0" w:after="0" w:line="240" w:lineRule="auto"/>
              <w:ind w:firstLine="0"/>
              <w:jc w:val="center"/>
              <w:rPr>
                <w:rFonts w:ascii="Times New Roman" w:hAnsi="Times New Roman" w:cs="Times New Roman"/>
              </w:rPr>
            </w:pPr>
            <w:r w:rsidRPr="003E77A1">
              <w:rPr>
                <w:rFonts w:ascii="Times New Roman" w:hAnsi="Times New Roman" w:cs="Times New Roman"/>
              </w:rPr>
              <w:t>1</w:t>
            </w:r>
          </w:p>
        </w:tc>
        <w:tc>
          <w:tcPr>
            <w:tcW w:w="918" w:type="pct"/>
          </w:tcPr>
          <w:p w:rsidR="00336989" w:rsidRPr="003E77A1" w:rsidRDefault="00336989" w:rsidP="003E77A1">
            <w:pPr>
              <w:autoSpaceDE w:val="0"/>
              <w:autoSpaceDN w:val="0"/>
              <w:adjustRightInd w:val="0"/>
              <w:spacing w:before="0" w:after="0" w:line="240" w:lineRule="auto"/>
              <w:ind w:firstLine="0"/>
              <w:jc w:val="center"/>
              <w:rPr>
                <w:rFonts w:ascii="Times New Roman" w:hAnsi="Times New Roman" w:cs="Times New Roman"/>
                <w:b/>
              </w:rPr>
            </w:pPr>
            <w:r w:rsidRPr="003E77A1">
              <w:rPr>
                <w:rFonts w:ascii="Times New Roman" w:hAnsi="Times New Roman" w:cs="Times New Roman"/>
              </w:rPr>
              <w:t>7.14</w:t>
            </w:r>
          </w:p>
        </w:tc>
        <w:tc>
          <w:tcPr>
            <w:tcW w:w="1168" w:type="pct"/>
          </w:tcPr>
          <w:p w:rsidR="00336989" w:rsidRPr="003E77A1" w:rsidRDefault="00336989" w:rsidP="003E77A1">
            <w:pPr>
              <w:autoSpaceDE w:val="0"/>
              <w:autoSpaceDN w:val="0"/>
              <w:adjustRightInd w:val="0"/>
              <w:spacing w:before="0" w:after="0" w:line="240" w:lineRule="auto"/>
              <w:ind w:firstLine="0"/>
              <w:jc w:val="center"/>
              <w:rPr>
                <w:rFonts w:ascii="Times New Roman" w:hAnsi="Times New Roman" w:cs="Times New Roman"/>
                <w:b/>
              </w:rPr>
            </w:pPr>
            <w:r w:rsidRPr="003E77A1">
              <w:rPr>
                <w:rFonts w:ascii="Times New Roman" w:hAnsi="Times New Roman" w:cs="Times New Roman"/>
              </w:rPr>
              <w:t>7.50</w:t>
            </w:r>
          </w:p>
        </w:tc>
        <w:tc>
          <w:tcPr>
            <w:tcW w:w="1008" w:type="pct"/>
          </w:tcPr>
          <w:p w:rsidR="00336989" w:rsidRPr="003E77A1" w:rsidRDefault="00336989" w:rsidP="003E77A1">
            <w:pPr>
              <w:autoSpaceDE w:val="0"/>
              <w:autoSpaceDN w:val="0"/>
              <w:adjustRightInd w:val="0"/>
              <w:spacing w:before="0" w:after="0" w:line="240" w:lineRule="auto"/>
              <w:ind w:firstLine="0"/>
              <w:jc w:val="center"/>
              <w:rPr>
                <w:rFonts w:ascii="Times New Roman" w:hAnsi="Times New Roman" w:cs="Times New Roman"/>
                <w:b/>
              </w:rPr>
            </w:pPr>
            <w:r w:rsidRPr="003E77A1">
              <w:rPr>
                <w:rFonts w:ascii="Times New Roman" w:hAnsi="Times New Roman" w:cs="Times New Roman"/>
              </w:rPr>
              <w:t>15.15</w:t>
            </w:r>
          </w:p>
        </w:tc>
        <w:tc>
          <w:tcPr>
            <w:tcW w:w="1062" w:type="pct"/>
          </w:tcPr>
          <w:p w:rsidR="00336989" w:rsidRPr="003E77A1" w:rsidRDefault="00336989" w:rsidP="003E77A1">
            <w:pPr>
              <w:autoSpaceDE w:val="0"/>
              <w:autoSpaceDN w:val="0"/>
              <w:adjustRightInd w:val="0"/>
              <w:spacing w:before="0" w:after="0" w:line="240" w:lineRule="auto"/>
              <w:ind w:firstLine="0"/>
              <w:jc w:val="center"/>
              <w:rPr>
                <w:rFonts w:ascii="Times New Roman" w:hAnsi="Times New Roman" w:cs="Times New Roman"/>
                <w:b/>
              </w:rPr>
            </w:pPr>
            <w:r w:rsidRPr="003E77A1">
              <w:rPr>
                <w:rFonts w:ascii="Times New Roman" w:hAnsi="Times New Roman" w:cs="Times New Roman"/>
              </w:rPr>
              <w:t>15.50</w:t>
            </w:r>
          </w:p>
        </w:tc>
      </w:tr>
      <w:tr w:rsidR="00336989" w:rsidRPr="00B65CB1" w:rsidTr="00336989">
        <w:trPr>
          <w:jc w:val="center"/>
        </w:trPr>
        <w:tc>
          <w:tcPr>
            <w:tcW w:w="844" w:type="pct"/>
          </w:tcPr>
          <w:p w:rsidR="00336989" w:rsidRPr="003E77A1" w:rsidRDefault="00336989" w:rsidP="003E77A1">
            <w:pPr>
              <w:autoSpaceDE w:val="0"/>
              <w:autoSpaceDN w:val="0"/>
              <w:adjustRightInd w:val="0"/>
              <w:spacing w:before="0" w:after="0" w:line="240" w:lineRule="auto"/>
              <w:ind w:firstLine="0"/>
              <w:jc w:val="center"/>
              <w:rPr>
                <w:rFonts w:ascii="Times New Roman" w:hAnsi="Times New Roman" w:cs="Times New Roman"/>
              </w:rPr>
            </w:pPr>
            <w:r w:rsidRPr="003E77A1">
              <w:rPr>
                <w:rFonts w:ascii="Times New Roman" w:hAnsi="Times New Roman" w:cs="Times New Roman"/>
              </w:rPr>
              <w:t>2</w:t>
            </w:r>
          </w:p>
        </w:tc>
        <w:tc>
          <w:tcPr>
            <w:tcW w:w="918" w:type="pct"/>
          </w:tcPr>
          <w:p w:rsidR="00336989" w:rsidRPr="003E77A1" w:rsidRDefault="00336989" w:rsidP="003E77A1">
            <w:pPr>
              <w:autoSpaceDE w:val="0"/>
              <w:autoSpaceDN w:val="0"/>
              <w:adjustRightInd w:val="0"/>
              <w:spacing w:before="0" w:after="0" w:line="240" w:lineRule="auto"/>
              <w:ind w:firstLine="0"/>
              <w:jc w:val="center"/>
              <w:rPr>
                <w:rFonts w:ascii="Times New Roman" w:hAnsi="Times New Roman" w:cs="Times New Roman"/>
                <w:b/>
              </w:rPr>
            </w:pPr>
            <w:r w:rsidRPr="003E77A1">
              <w:rPr>
                <w:rFonts w:ascii="Times New Roman" w:hAnsi="Times New Roman" w:cs="Times New Roman"/>
              </w:rPr>
              <w:t>7.50</w:t>
            </w:r>
          </w:p>
        </w:tc>
        <w:tc>
          <w:tcPr>
            <w:tcW w:w="1168" w:type="pct"/>
          </w:tcPr>
          <w:p w:rsidR="00336989" w:rsidRPr="003E77A1" w:rsidRDefault="00336989" w:rsidP="003E77A1">
            <w:pPr>
              <w:autoSpaceDE w:val="0"/>
              <w:autoSpaceDN w:val="0"/>
              <w:adjustRightInd w:val="0"/>
              <w:spacing w:before="0" w:after="0" w:line="240" w:lineRule="auto"/>
              <w:ind w:firstLine="0"/>
              <w:jc w:val="center"/>
              <w:rPr>
                <w:rFonts w:ascii="Times New Roman" w:hAnsi="Times New Roman" w:cs="Times New Roman"/>
                <w:b/>
              </w:rPr>
            </w:pPr>
            <w:r w:rsidRPr="003E77A1">
              <w:rPr>
                <w:rFonts w:ascii="Times New Roman" w:hAnsi="Times New Roman" w:cs="Times New Roman"/>
              </w:rPr>
              <w:t>8.00</w:t>
            </w:r>
          </w:p>
        </w:tc>
        <w:tc>
          <w:tcPr>
            <w:tcW w:w="1008" w:type="pct"/>
          </w:tcPr>
          <w:p w:rsidR="00336989" w:rsidRPr="003E77A1" w:rsidRDefault="00336989" w:rsidP="003E77A1">
            <w:pPr>
              <w:autoSpaceDE w:val="0"/>
              <w:autoSpaceDN w:val="0"/>
              <w:adjustRightInd w:val="0"/>
              <w:spacing w:before="0" w:after="0" w:line="240" w:lineRule="auto"/>
              <w:ind w:firstLine="0"/>
              <w:jc w:val="center"/>
              <w:rPr>
                <w:rFonts w:ascii="Times New Roman" w:hAnsi="Times New Roman" w:cs="Times New Roman"/>
                <w:b/>
              </w:rPr>
            </w:pPr>
            <w:r w:rsidRPr="003E77A1">
              <w:rPr>
                <w:rFonts w:ascii="Times New Roman" w:hAnsi="Times New Roman" w:cs="Times New Roman"/>
              </w:rPr>
              <w:t>15.50</w:t>
            </w:r>
          </w:p>
        </w:tc>
        <w:tc>
          <w:tcPr>
            <w:tcW w:w="1062" w:type="pct"/>
          </w:tcPr>
          <w:p w:rsidR="00336989" w:rsidRPr="003E77A1" w:rsidRDefault="00336989" w:rsidP="003E77A1">
            <w:pPr>
              <w:autoSpaceDE w:val="0"/>
              <w:autoSpaceDN w:val="0"/>
              <w:adjustRightInd w:val="0"/>
              <w:spacing w:before="0" w:after="0" w:line="240" w:lineRule="auto"/>
              <w:ind w:firstLine="0"/>
              <w:jc w:val="center"/>
              <w:rPr>
                <w:rFonts w:ascii="Times New Roman" w:hAnsi="Times New Roman" w:cs="Times New Roman"/>
                <w:b/>
              </w:rPr>
            </w:pPr>
            <w:r w:rsidRPr="003E77A1">
              <w:rPr>
                <w:rFonts w:ascii="Times New Roman" w:hAnsi="Times New Roman" w:cs="Times New Roman"/>
              </w:rPr>
              <w:t>16.00</w:t>
            </w:r>
          </w:p>
        </w:tc>
      </w:tr>
      <w:tr w:rsidR="00336989" w:rsidRPr="00B65CB1" w:rsidTr="00336989">
        <w:trPr>
          <w:jc w:val="center"/>
        </w:trPr>
        <w:tc>
          <w:tcPr>
            <w:tcW w:w="844" w:type="pct"/>
          </w:tcPr>
          <w:p w:rsidR="00336989" w:rsidRPr="003E77A1" w:rsidRDefault="00336989" w:rsidP="003E77A1">
            <w:pPr>
              <w:autoSpaceDE w:val="0"/>
              <w:autoSpaceDN w:val="0"/>
              <w:adjustRightInd w:val="0"/>
              <w:spacing w:before="0" w:after="0" w:line="240" w:lineRule="auto"/>
              <w:ind w:firstLine="0"/>
              <w:jc w:val="center"/>
              <w:rPr>
                <w:rFonts w:ascii="Times New Roman" w:hAnsi="Times New Roman" w:cs="Times New Roman"/>
              </w:rPr>
            </w:pPr>
            <w:r w:rsidRPr="003E77A1">
              <w:rPr>
                <w:rFonts w:ascii="Times New Roman" w:hAnsi="Times New Roman" w:cs="Times New Roman"/>
              </w:rPr>
              <w:t>3</w:t>
            </w:r>
          </w:p>
        </w:tc>
        <w:tc>
          <w:tcPr>
            <w:tcW w:w="918" w:type="pct"/>
          </w:tcPr>
          <w:p w:rsidR="00336989" w:rsidRPr="003E77A1" w:rsidRDefault="00336989" w:rsidP="003E77A1">
            <w:pPr>
              <w:autoSpaceDE w:val="0"/>
              <w:autoSpaceDN w:val="0"/>
              <w:adjustRightInd w:val="0"/>
              <w:spacing w:before="0" w:after="0" w:line="240" w:lineRule="auto"/>
              <w:ind w:firstLine="0"/>
              <w:jc w:val="center"/>
              <w:rPr>
                <w:rFonts w:ascii="Times New Roman" w:hAnsi="Times New Roman" w:cs="Times New Roman"/>
                <w:b/>
              </w:rPr>
            </w:pPr>
            <w:r w:rsidRPr="003E77A1">
              <w:rPr>
                <w:rFonts w:ascii="Times New Roman" w:hAnsi="Times New Roman" w:cs="Times New Roman"/>
              </w:rPr>
              <w:t>8.00</w:t>
            </w:r>
          </w:p>
        </w:tc>
        <w:tc>
          <w:tcPr>
            <w:tcW w:w="1168" w:type="pct"/>
          </w:tcPr>
          <w:p w:rsidR="00336989" w:rsidRPr="003E77A1" w:rsidRDefault="00336989" w:rsidP="003E77A1">
            <w:pPr>
              <w:autoSpaceDE w:val="0"/>
              <w:autoSpaceDN w:val="0"/>
              <w:adjustRightInd w:val="0"/>
              <w:spacing w:before="0" w:after="0" w:line="240" w:lineRule="auto"/>
              <w:ind w:firstLine="0"/>
              <w:jc w:val="center"/>
              <w:rPr>
                <w:rFonts w:ascii="Times New Roman" w:hAnsi="Times New Roman" w:cs="Times New Roman"/>
                <w:b/>
              </w:rPr>
            </w:pPr>
            <w:r w:rsidRPr="003E77A1">
              <w:rPr>
                <w:rFonts w:ascii="Times New Roman" w:hAnsi="Times New Roman" w:cs="Times New Roman"/>
              </w:rPr>
              <w:t>8.50</w:t>
            </w:r>
          </w:p>
        </w:tc>
        <w:tc>
          <w:tcPr>
            <w:tcW w:w="1008" w:type="pct"/>
          </w:tcPr>
          <w:p w:rsidR="00336989" w:rsidRPr="003E77A1" w:rsidRDefault="00336989" w:rsidP="003E77A1">
            <w:pPr>
              <w:autoSpaceDE w:val="0"/>
              <w:autoSpaceDN w:val="0"/>
              <w:adjustRightInd w:val="0"/>
              <w:spacing w:before="0" w:after="0" w:line="240" w:lineRule="auto"/>
              <w:ind w:firstLine="0"/>
              <w:jc w:val="center"/>
              <w:rPr>
                <w:rFonts w:ascii="Times New Roman" w:hAnsi="Times New Roman" w:cs="Times New Roman"/>
                <w:b/>
              </w:rPr>
            </w:pPr>
            <w:r w:rsidRPr="003E77A1">
              <w:rPr>
                <w:rFonts w:ascii="Times New Roman" w:hAnsi="Times New Roman" w:cs="Times New Roman"/>
              </w:rPr>
              <w:t>16.00</w:t>
            </w:r>
          </w:p>
        </w:tc>
        <w:tc>
          <w:tcPr>
            <w:tcW w:w="1062" w:type="pct"/>
          </w:tcPr>
          <w:p w:rsidR="00336989" w:rsidRPr="003E77A1" w:rsidRDefault="00336989" w:rsidP="003E77A1">
            <w:pPr>
              <w:autoSpaceDE w:val="0"/>
              <w:autoSpaceDN w:val="0"/>
              <w:adjustRightInd w:val="0"/>
              <w:spacing w:before="0" w:after="0" w:line="240" w:lineRule="auto"/>
              <w:ind w:firstLine="0"/>
              <w:jc w:val="center"/>
              <w:rPr>
                <w:rFonts w:ascii="Times New Roman" w:hAnsi="Times New Roman" w:cs="Times New Roman"/>
                <w:b/>
              </w:rPr>
            </w:pPr>
            <w:r w:rsidRPr="003E77A1">
              <w:rPr>
                <w:rFonts w:ascii="Times New Roman" w:hAnsi="Times New Roman" w:cs="Times New Roman"/>
              </w:rPr>
              <w:t>16.50</w:t>
            </w:r>
          </w:p>
        </w:tc>
      </w:tr>
      <w:tr w:rsidR="00336989" w:rsidRPr="00B65CB1" w:rsidTr="00336989">
        <w:trPr>
          <w:jc w:val="center"/>
        </w:trPr>
        <w:tc>
          <w:tcPr>
            <w:tcW w:w="844" w:type="pct"/>
          </w:tcPr>
          <w:p w:rsidR="00336989" w:rsidRPr="003E77A1" w:rsidRDefault="00336989" w:rsidP="003E77A1">
            <w:pPr>
              <w:autoSpaceDE w:val="0"/>
              <w:autoSpaceDN w:val="0"/>
              <w:adjustRightInd w:val="0"/>
              <w:spacing w:before="0" w:after="0" w:line="240" w:lineRule="auto"/>
              <w:ind w:firstLine="0"/>
              <w:jc w:val="center"/>
              <w:rPr>
                <w:rFonts w:ascii="Times New Roman" w:hAnsi="Times New Roman" w:cs="Times New Roman"/>
              </w:rPr>
            </w:pPr>
            <w:r w:rsidRPr="003E77A1">
              <w:rPr>
                <w:rFonts w:ascii="Times New Roman" w:hAnsi="Times New Roman" w:cs="Times New Roman"/>
              </w:rPr>
              <w:t>4</w:t>
            </w:r>
          </w:p>
        </w:tc>
        <w:tc>
          <w:tcPr>
            <w:tcW w:w="918" w:type="pct"/>
          </w:tcPr>
          <w:p w:rsidR="00336989" w:rsidRPr="003E77A1" w:rsidRDefault="00336989" w:rsidP="003E77A1">
            <w:pPr>
              <w:autoSpaceDE w:val="0"/>
              <w:autoSpaceDN w:val="0"/>
              <w:adjustRightInd w:val="0"/>
              <w:spacing w:before="0" w:after="0" w:line="240" w:lineRule="auto"/>
              <w:ind w:firstLine="0"/>
              <w:jc w:val="center"/>
              <w:rPr>
                <w:rFonts w:ascii="Times New Roman" w:hAnsi="Times New Roman" w:cs="Times New Roman"/>
                <w:b/>
              </w:rPr>
            </w:pPr>
            <w:r w:rsidRPr="003E77A1">
              <w:rPr>
                <w:rFonts w:ascii="Times New Roman" w:hAnsi="Times New Roman" w:cs="Times New Roman"/>
              </w:rPr>
              <w:t>8.50</w:t>
            </w:r>
          </w:p>
        </w:tc>
        <w:tc>
          <w:tcPr>
            <w:tcW w:w="1168" w:type="pct"/>
          </w:tcPr>
          <w:p w:rsidR="00336989" w:rsidRPr="003E77A1" w:rsidRDefault="00336989" w:rsidP="003E77A1">
            <w:pPr>
              <w:autoSpaceDE w:val="0"/>
              <w:autoSpaceDN w:val="0"/>
              <w:adjustRightInd w:val="0"/>
              <w:spacing w:before="0" w:after="0" w:line="240" w:lineRule="auto"/>
              <w:ind w:firstLine="0"/>
              <w:jc w:val="center"/>
              <w:rPr>
                <w:rFonts w:ascii="Times New Roman" w:hAnsi="Times New Roman" w:cs="Times New Roman"/>
                <w:b/>
              </w:rPr>
            </w:pPr>
            <w:r w:rsidRPr="003E77A1">
              <w:rPr>
                <w:rFonts w:ascii="Times New Roman" w:hAnsi="Times New Roman" w:cs="Times New Roman"/>
              </w:rPr>
              <w:t>9.50</w:t>
            </w:r>
          </w:p>
        </w:tc>
        <w:tc>
          <w:tcPr>
            <w:tcW w:w="1008" w:type="pct"/>
          </w:tcPr>
          <w:p w:rsidR="00336989" w:rsidRPr="003E77A1" w:rsidRDefault="00336989" w:rsidP="003E77A1">
            <w:pPr>
              <w:autoSpaceDE w:val="0"/>
              <w:autoSpaceDN w:val="0"/>
              <w:adjustRightInd w:val="0"/>
              <w:spacing w:before="0" w:after="0" w:line="240" w:lineRule="auto"/>
              <w:ind w:firstLine="0"/>
              <w:jc w:val="center"/>
              <w:rPr>
                <w:rFonts w:ascii="Times New Roman" w:hAnsi="Times New Roman" w:cs="Times New Roman"/>
                <w:b/>
              </w:rPr>
            </w:pPr>
            <w:r w:rsidRPr="003E77A1">
              <w:rPr>
                <w:rFonts w:ascii="Times New Roman" w:hAnsi="Times New Roman" w:cs="Times New Roman"/>
              </w:rPr>
              <w:t>16.50</w:t>
            </w:r>
          </w:p>
        </w:tc>
        <w:tc>
          <w:tcPr>
            <w:tcW w:w="1062" w:type="pct"/>
          </w:tcPr>
          <w:p w:rsidR="00336989" w:rsidRPr="003E77A1" w:rsidRDefault="00336989" w:rsidP="003E77A1">
            <w:pPr>
              <w:autoSpaceDE w:val="0"/>
              <w:autoSpaceDN w:val="0"/>
              <w:adjustRightInd w:val="0"/>
              <w:spacing w:before="0" w:after="0" w:line="240" w:lineRule="auto"/>
              <w:ind w:firstLine="0"/>
              <w:jc w:val="center"/>
              <w:rPr>
                <w:rFonts w:ascii="Times New Roman" w:hAnsi="Times New Roman" w:cs="Times New Roman"/>
                <w:b/>
              </w:rPr>
            </w:pPr>
            <w:r w:rsidRPr="003E77A1">
              <w:rPr>
                <w:rFonts w:ascii="Times New Roman" w:hAnsi="Times New Roman" w:cs="Times New Roman"/>
              </w:rPr>
              <w:t>17.50</w:t>
            </w:r>
          </w:p>
        </w:tc>
      </w:tr>
      <w:tr w:rsidR="00336989" w:rsidRPr="00B65CB1" w:rsidTr="00336989">
        <w:trPr>
          <w:jc w:val="center"/>
        </w:trPr>
        <w:tc>
          <w:tcPr>
            <w:tcW w:w="844" w:type="pct"/>
          </w:tcPr>
          <w:p w:rsidR="00336989" w:rsidRPr="003E77A1" w:rsidRDefault="00336989" w:rsidP="003E77A1">
            <w:pPr>
              <w:autoSpaceDE w:val="0"/>
              <w:autoSpaceDN w:val="0"/>
              <w:adjustRightInd w:val="0"/>
              <w:spacing w:before="0" w:after="0" w:line="240" w:lineRule="auto"/>
              <w:ind w:firstLine="0"/>
              <w:jc w:val="center"/>
              <w:rPr>
                <w:rFonts w:ascii="Times New Roman" w:hAnsi="Times New Roman" w:cs="Times New Roman"/>
              </w:rPr>
            </w:pPr>
            <w:r w:rsidRPr="003E77A1">
              <w:rPr>
                <w:rFonts w:ascii="Times New Roman" w:hAnsi="Times New Roman" w:cs="Times New Roman"/>
              </w:rPr>
              <w:t>5</w:t>
            </w:r>
          </w:p>
        </w:tc>
        <w:tc>
          <w:tcPr>
            <w:tcW w:w="918" w:type="pct"/>
          </w:tcPr>
          <w:p w:rsidR="00336989" w:rsidRPr="003E77A1" w:rsidRDefault="00336989" w:rsidP="003E77A1">
            <w:pPr>
              <w:autoSpaceDE w:val="0"/>
              <w:autoSpaceDN w:val="0"/>
              <w:adjustRightInd w:val="0"/>
              <w:spacing w:before="0" w:after="0" w:line="240" w:lineRule="auto"/>
              <w:ind w:firstLine="0"/>
              <w:jc w:val="center"/>
              <w:rPr>
                <w:rFonts w:ascii="Times New Roman" w:hAnsi="Times New Roman" w:cs="Times New Roman"/>
                <w:b/>
              </w:rPr>
            </w:pPr>
            <w:r w:rsidRPr="003E77A1">
              <w:rPr>
                <w:rFonts w:ascii="Times New Roman" w:hAnsi="Times New Roman" w:cs="Times New Roman"/>
              </w:rPr>
              <w:t>9.50</w:t>
            </w:r>
          </w:p>
        </w:tc>
        <w:tc>
          <w:tcPr>
            <w:tcW w:w="1168" w:type="pct"/>
          </w:tcPr>
          <w:p w:rsidR="00336989" w:rsidRPr="003E77A1" w:rsidRDefault="00336989" w:rsidP="003E77A1">
            <w:pPr>
              <w:autoSpaceDE w:val="0"/>
              <w:autoSpaceDN w:val="0"/>
              <w:adjustRightInd w:val="0"/>
              <w:spacing w:before="0" w:after="0" w:line="240" w:lineRule="auto"/>
              <w:ind w:firstLine="0"/>
              <w:jc w:val="center"/>
              <w:rPr>
                <w:rFonts w:ascii="Times New Roman" w:hAnsi="Times New Roman" w:cs="Times New Roman"/>
                <w:b/>
              </w:rPr>
            </w:pPr>
            <w:r w:rsidRPr="003E77A1">
              <w:rPr>
                <w:rFonts w:ascii="Times New Roman" w:hAnsi="Times New Roman" w:cs="Times New Roman"/>
              </w:rPr>
              <w:t>10.50</w:t>
            </w:r>
          </w:p>
        </w:tc>
        <w:tc>
          <w:tcPr>
            <w:tcW w:w="1008" w:type="pct"/>
          </w:tcPr>
          <w:p w:rsidR="00336989" w:rsidRPr="003E77A1" w:rsidRDefault="00336989" w:rsidP="003E77A1">
            <w:pPr>
              <w:autoSpaceDE w:val="0"/>
              <w:autoSpaceDN w:val="0"/>
              <w:adjustRightInd w:val="0"/>
              <w:spacing w:before="0" w:after="0" w:line="240" w:lineRule="auto"/>
              <w:ind w:firstLine="0"/>
              <w:jc w:val="center"/>
              <w:rPr>
                <w:rFonts w:ascii="Times New Roman" w:hAnsi="Times New Roman" w:cs="Times New Roman"/>
                <w:b/>
              </w:rPr>
            </w:pPr>
            <w:r w:rsidRPr="003E77A1">
              <w:rPr>
                <w:rFonts w:ascii="Times New Roman" w:hAnsi="Times New Roman" w:cs="Times New Roman"/>
              </w:rPr>
              <w:t>17.50</w:t>
            </w:r>
          </w:p>
        </w:tc>
        <w:tc>
          <w:tcPr>
            <w:tcW w:w="1062" w:type="pct"/>
          </w:tcPr>
          <w:p w:rsidR="00336989" w:rsidRPr="003E77A1" w:rsidRDefault="00336989" w:rsidP="003E77A1">
            <w:pPr>
              <w:autoSpaceDE w:val="0"/>
              <w:autoSpaceDN w:val="0"/>
              <w:adjustRightInd w:val="0"/>
              <w:spacing w:before="0" w:after="0" w:line="240" w:lineRule="auto"/>
              <w:ind w:firstLine="0"/>
              <w:jc w:val="center"/>
              <w:rPr>
                <w:rFonts w:ascii="Times New Roman" w:hAnsi="Times New Roman" w:cs="Times New Roman"/>
                <w:b/>
              </w:rPr>
            </w:pPr>
            <w:r w:rsidRPr="003E77A1">
              <w:rPr>
                <w:rFonts w:ascii="Times New Roman" w:hAnsi="Times New Roman" w:cs="Times New Roman"/>
              </w:rPr>
              <w:t>18.50</w:t>
            </w:r>
          </w:p>
        </w:tc>
      </w:tr>
      <w:tr w:rsidR="00336989" w:rsidRPr="00B65CB1" w:rsidTr="00336989">
        <w:trPr>
          <w:jc w:val="center"/>
        </w:trPr>
        <w:tc>
          <w:tcPr>
            <w:tcW w:w="844" w:type="pct"/>
          </w:tcPr>
          <w:p w:rsidR="00336989" w:rsidRPr="003E77A1" w:rsidRDefault="00336989" w:rsidP="003E77A1">
            <w:pPr>
              <w:autoSpaceDE w:val="0"/>
              <w:autoSpaceDN w:val="0"/>
              <w:adjustRightInd w:val="0"/>
              <w:spacing w:before="0" w:after="0" w:line="240" w:lineRule="auto"/>
              <w:ind w:firstLine="0"/>
              <w:jc w:val="center"/>
              <w:rPr>
                <w:rFonts w:ascii="Times New Roman" w:hAnsi="Times New Roman" w:cs="Times New Roman"/>
              </w:rPr>
            </w:pPr>
            <w:r w:rsidRPr="003E77A1">
              <w:rPr>
                <w:rFonts w:ascii="Times New Roman" w:hAnsi="Times New Roman" w:cs="Times New Roman"/>
              </w:rPr>
              <w:t>6</w:t>
            </w:r>
          </w:p>
        </w:tc>
        <w:tc>
          <w:tcPr>
            <w:tcW w:w="918" w:type="pct"/>
          </w:tcPr>
          <w:p w:rsidR="00336989" w:rsidRPr="003E77A1" w:rsidRDefault="00336989" w:rsidP="003E77A1">
            <w:pPr>
              <w:autoSpaceDE w:val="0"/>
              <w:autoSpaceDN w:val="0"/>
              <w:adjustRightInd w:val="0"/>
              <w:spacing w:before="0" w:after="0" w:line="240" w:lineRule="auto"/>
              <w:ind w:firstLine="0"/>
              <w:jc w:val="center"/>
              <w:rPr>
                <w:rFonts w:ascii="Times New Roman" w:hAnsi="Times New Roman" w:cs="Times New Roman"/>
                <w:b/>
              </w:rPr>
            </w:pPr>
            <w:r w:rsidRPr="003E77A1">
              <w:rPr>
                <w:rFonts w:ascii="Times New Roman" w:hAnsi="Times New Roman" w:cs="Times New Roman"/>
              </w:rPr>
              <w:t>10.50</w:t>
            </w:r>
          </w:p>
        </w:tc>
        <w:tc>
          <w:tcPr>
            <w:tcW w:w="1168" w:type="pct"/>
          </w:tcPr>
          <w:p w:rsidR="00336989" w:rsidRPr="003E77A1" w:rsidRDefault="00336989" w:rsidP="003E77A1">
            <w:pPr>
              <w:autoSpaceDE w:val="0"/>
              <w:autoSpaceDN w:val="0"/>
              <w:adjustRightInd w:val="0"/>
              <w:spacing w:before="0" w:after="0" w:line="240" w:lineRule="auto"/>
              <w:ind w:firstLine="0"/>
              <w:jc w:val="center"/>
              <w:rPr>
                <w:rFonts w:ascii="Times New Roman" w:hAnsi="Times New Roman" w:cs="Times New Roman"/>
                <w:b/>
              </w:rPr>
            </w:pPr>
            <w:r w:rsidRPr="003E77A1">
              <w:rPr>
                <w:rFonts w:ascii="Times New Roman" w:hAnsi="Times New Roman" w:cs="Times New Roman"/>
              </w:rPr>
              <w:t>11.50</w:t>
            </w:r>
          </w:p>
        </w:tc>
        <w:tc>
          <w:tcPr>
            <w:tcW w:w="1008" w:type="pct"/>
          </w:tcPr>
          <w:p w:rsidR="00336989" w:rsidRPr="003E77A1" w:rsidRDefault="00336989" w:rsidP="003E77A1">
            <w:pPr>
              <w:autoSpaceDE w:val="0"/>
              <w:autoSpaceDN w:val="0"/>
              <w:adjustRightInd w:val="0"/>
              <w:spacing w:before="0" w:after="0" w:line="240" w:lineRule="auto"/>
              <w:ind w:firstLine="0"/>
              <w:jc w:val="center"/>
              <w:rPr>
                <w:rFonts w:ascii="Times New Roman" w:hAnsi="Times New Roman" w:cs="Times New Roman"/>
                <w:b/>
              </w:rPr>
            </w:pPr>
            <w:r w:rsidRPr="003E77A1">
              <w:rPr>
                <w:rFonts w:ascii="Times New Roman" w:hAnsi="Times New Roman" w:cs="Times New Roman"/>
              </w:rPr>
              <w:t>18.50</w:t>
            </w:r>
          </w:p>
        </w:tc>
        <w:tc>
          <w:tcPr>
            <w:tcW w:w="1062" w:type="pct"/>
          </w:tcPr>
          <w:p w:rsidR="00336989" w:rsidRPr="003E77A1" w:rsidRDefault="00336989" w:rsidP="003E77A1">
            <w:pPr>
              <w:autoSpaceDE w:val="0"/>
              <w:autoSpaceDN w:val="0"/>
              <w:adjustRightInd w:val="0"/>
              <w:spacing w:before="0" w:after="0" w:line="240" w:lineRule="auto"/>
              <w:ind w:firstLine="0"/>
              <w:jc w:val="center"/>
              <w:rPr>
                <w:rFonts w:ascii="Times New Roman" w:hAnsi="Times New Roman" w:cs="Times New Roman"/>
                <w:b/>
              </w:rPr>
            </w:pPr>
            <w:r w:rsidRPr="003E77A1">
              <w:rPr>
                <w:rFonts w:ascii="Times New Roman" w:hAnsi="Times New Roman" w:cs="Times New Roman"/>
              </w:rPr>
              <w:t>19.50</w:t>
            </w:r>
          </w:p>
        </w:tc>
      </w:tr>
      <w:tr w:rsidR="00336989" w:rsidRPr="00B65CB1" w:rsidTr="00336989">
        <w:trPr>
          <w:jc w:val="center"/>
        </w:trPr>
        <w:tc>
          <w:tcPr>
            <w:tcW w:w="844" w:type="pct"/>
          </w:tcPr>
          <w:p w:rsidR="00336989" w:rsidRPr="003E77A1" w:rsidRDefault="00336989" w:rsidP="003E77A1">
            <w:pPr>
              <w:autoSpaceDE w:val="0"/>
              <w:autoSpaceDN w:val="0"/>
              <w:adjustRightInd w:val="0"/>
              <w:spacing w:before="0" w:after="0" w:line="240" w:lineRule="auto"/>
              <w:ind w:firstLine="0"/>
              <w:jc w:val="center"/>
              <w:rPr>
                <w:rFonts w:ascii="Times New Roman" w:hAnsi="Times New Roman" w:cs="Times New Roman"/>
              </w:rPr>
            </w:pPr>
            <w:r w:rsidRPr="003E77A1">
              <w:rPr>
                <w:rFonts w:ascii="Times New Roman" w:hAnsi="Times New Roman" w:cs="Times New Roman"/>
              </w:rPr>
              <w:t>7</w:t>
            </w:r>
          </w:p>
        </w:tc>
        <w:tc>
          <w:tcPr>
            <w:tcW w:w="918" w:type="pct"/>
          </w:tcPr>
          <w:p w:rsidR="00336989" w:rsidRPr="003E77A1" w:rsidRDefault="00336989" w:rsidP="003E77A1">
            <w:pPr>
              <w:autoSpaceDE w:val="0"/>
              <w:autoSpaceDN w:val="0"/>
              <w:adjustRightInd w:val="0"/>
              <w:spacing w:before="0" w:after="0" w:line="240" w:lineRule="auto"/>
              <w:ind w:firstLine="0"/>
              <w:jc w:val="center"/>
              <w:rPr>
                <w:rFonts w:ascii="Times New Roman" w:hAnsi="Times New Roman" w:cs="Times New Roman"/>
                <w:b/>
              </w:rPr>
            </w:pPr>
            <w:r w:rsidRPr="003E77A1">
              <w:rPr>
                <w:rFonts w:ascii="Times New Roman" w:hAnsi="Times New Roman" w:cs="Times New Roman"/>
              </w:rPr>
              <w:t>11.50</w:t>
            </w:r>
          </w:p>
        </w:tc>
        <w:tc>
          <w:tcPr>
            <w:tcW w:w="1168" w:type="pct"/>
          </w:tcPr>
          <w:p w:rsidR="00336989" w:rsidRPr="003E77A1" w:rsidRDefault="00336989" w:rsidP="003E77A1">
            <w:pPr>
              <w:autoSpaceDE w:val="0"/>
              <w:autoSpaceDN w:val="0"/>
              <w:adjustRightInd w:val="0"/>
              <w:spacing w:before="0" w:after="0" w:line="240" w:lineRule="auto"/>
              <w:ind w:firstLine="0"/>
              <w:jc w:val="center"/>
              <w:rPr>
                <w:rFonts w:ascii="Times New Roman" w:hAnsi="Times New Roman" w:cs="Times New Roman"/>
                <w:b/>
              </w:rPr>
            </w:pPr>
            <w:r w:rsidRPr="003E77A1">
              <w:rPr>
                <w:rFonts w:ascii="Times New Roman" w:hAnsi="Times New Roman" w:cs="Times New Roman"/>
              </w:rPr>
              <w:t>12.00</w:t>
            </w:r>
          </w:p>
        </w:tc>
        <w:tc>
          <w:tcPr>
            <w:tcW w:w="1008" w:type="pct"/>
          </w:tcPr>
          <w:p w:rsidR="00336989" w:rsidRPr="003E77A1" w:rsidRDefault="00336989" w:rsidP="003E77A1">
            <w:pPr>
              <w:autoSpaceDE w:val="0"/>
              <w:autoSpaceDN w:val="0"/>
              <w:adjustRightInd w:val="0"/>
              <w:spacing w:before="0" w:after="0" w:line="240" w:lineRule="auto"/>
              <w:ind w:firstLine="0"/>
              <w:jc w:val="center"/>
              <w:rPr>
                <w:rFonts w:ascii="Times New Roman" w:hAnsi="Times New Roman" w:cs="Times New Roman"/>
                <w:b/>
              </w:rPr>
            </w:pPr>
            <w:r w:rsidRPr="003E77A1">
              <w:rPr>
                <w:rFonts w:ascii="Times New Roman" w:hAnsi="Times New Roman" w:cs="Times New Roman"/>
              </w:rPr>
              <w:t>19.50</w:t>
            </w:r>
          </w:p>
        </w:tc>
        <w:tc>
          <w:tcPr>
            <w:tcW w:w="1062" w:type="pct"/>
          </w:tcPr>
          <w:p w:rsidR="00336989" w:rsidRPr="003E77A1" w:rsidRDefault="00336989" w:rsidP="003E77A1">
            <w:pPr>
              <w:autoSpaceDE w:val="0"/>
              <w:autoSpaceDN w:val="0"/>
              <w:adjustRightInd w:val="0"/>
              <w:spacing w:before="0" w:after="0" w:line="240" w:lineRule="auto"/>
              <w:ind w:firstLine="0"/>
              <w:jc w:val="center"/>
              <w:rPr>
                <w:rFonts w:ascii="Times New Roman" w:hAnsi="Times New Roman" w:cs="Times New Roman"/>
                <w:b/>
              </w:rPr>
            </w:pPr>
            <w:r w:rsidRPr="003E77A1">
              <w:rPr>
                <w:rFonts w:ascii="Times New Roman" w:hAnsi="Times New Roman" w:cs="Times New Roman"/>
              </w:rPr>
              <w:t>20.00</w:t>
            </w:r>
          </w:p>
        </w:tc>
      </w:tr>
      <w:tr w:rsidR="00336989" w:rsidRPr="00B65CB1" w:rsidTr="00336989">
        <w:trPr>
          <w:jc w:val="center"/>
        </w:trPr>
        <w:tc>
          <w:tcPr>
            <w:tcW w:w="844" w:type="pct"/>
          </w:tcPr>
          <w:p w:rsidR="00336989" w:rsidRPr="003E77A1" w:rsidRDefault="00336989" w:rsidP="003E77A1">
            <w:pPr>
              <w:autoSpaceDE w:val="0"/>
              <w:autoSpaceDN w:val="0"/>
              <w:adjustRightInd w:val="0"/>
              <w:spacing w:before="0" w:after="0" w:line="240" w:lineRule="auto"/>
              <w:ind w:firstLine="0"/>
              <w:jc w:val="center"/>
              <w:rPr>
                <w:rFonts w:ascii="Times New Roman" w:hAnsi="Times New Roman" w:cs="Times New Roman"/>
              </w:rPr>
            </w:pPr>
            <w:r w:rsidRPr="003E77A1">
              <w:rPr>
                <w:rFonts w:ascii="Times New Roman" w:hAnsi="Times New Roman" w:cs="Times New Roman"/>
              </w:rPr>
              <w:t>8</w:t>
            </w:r>
          </w:p>
        </w:tc>
        <w:tc>
          <w:tcPr>
            <w:tcW w:w="918" w:type="pct"/>
          </w:tcPr>
          <w:p w:rsidR="00336989" w:rsidRPr="003E77A1" w:rsidRDefault="00336989" w:rsidP="003E77A1">
            <w:pPr>
              <w:autoSpaceDE w:val="0"/>
              <w:autoSpaceDN w:val="0"/>
              <w:adjustRightInd w:val="0"/>
              <w:spacing w:before="0" w:after="0" w:line="240" w:lineRule="auto"/>
              <w:ind w:firstLine="0"/>
              <w:jc w:val="center"/>
              <w:rPr>
                <w:rFonts w:ascii="Times New Roman" w:hAnsi="Times New Roman" w:cs="Times New Roman"/>
                <w:b/>
              </w:rPr>
            </w:pPr>
            <w:r w:rsidRPr="003E77A1">
              <w:rPr>
                <w:rFonts w:ascii="Times New Roman" w:hAnsi="Times New Roman" w:cs="Times New Roman"/>
              </w:rPr>
              <w:t>12.00</w:t>
            </w:r>
          </w:p>
        </w:tc>
        <w:tc>
          <w:tcPr>
            <w:tcW w:w="1168" w:type="pct"/>
          </w:tcPr>
          <w:p w:rsidR="00336989" w:rsidRPr="003E77A1" w:rsidRDefault="00336989" w:rsidP="003E77A1">
            <w:pPr>
              <w:autoSpaceDE w:val="0"/>
              <w:autoSpaceDN w:val="0"/>
              <w:adjustRightInd w:val="0"/>
              <w:spacing w:before="0" w:after="0" w:line="240" w:lineRule="auto"/>
              <w:ind w:firstLine="0"/>
              <w:jc w:val="center"/>
              <w:rPr>
                <w:rFonts w:ascii="Times New Roman" w:hAnsi="Times New Roman" w:cs="Times New Roman"/>
                <w:b/>
              </w:rPr>
            </w:pPr>
            <w:r w:rsidRPr="003E77A1">
              <w:rPr>
                <w:rFonts w:ascii="Times New Roman" w:hAnsi="Times New Roman" w:cs="Times New Roman"/>
              </w:rPr>
              <w:t>12.60</w:t>
            </w:r>
          </w:p>
        </w:tc>
        <w:tc>
          <w:tcPr>
            <w:tcW w:w="1008" w:type="pct"/>
          </w:tcPr>
          <w:p w:rsidR="00336989" w:rsidRPr="003E77A1" w:rsidRDefault="00336989" w:rsidP="003E77A1">
            <w:pPr>
              <w:autoSpaceDE w:val="0"/>
              <w:autoSpaceDN w:val="0"/>
              <w:adjustRightInd w:val="0"/>
              <w:spacing w:before="0" w:after="0" w:line="240" w:lineRule="auto"/>
              <w:ind w:firstLine="0"/>
              <w:jc w:val="center"/>
              <w:rPr>
                <w:rFonts w:ascii="Times New Roman" w:hAnsi="Times New Roman" w:cs="Times New Roman"/>
                <w:b/>
              </w:rPr>
            </w:pPr>
            <w:r w:rsidRPr="003E77A1">
              <w:rPr>
                <w:rFonts w:ascii="Times New Roman" w:hAnsi="Times New Roman" w:cs="Times New Roman"/>
              </w:rPr>
              <w:t>20.00</w:t>
            </w:r>
          </w:p>
        </w:tc>
        <w:tc>
          <w:tcPr>
            <w:tcW w:w="1062" w:type="pct"/>
          </w:tcPr>
          <w:p w:rsidR="00336989" w:rsidRPr="003E77A1" w:rsidRDefault="00336989" w:rsidP="003E77A1">
            <w:pPr>
              <w:autoSpaceDE w:val="0"/>
              <w:autoSpaceDN w:val="0"/>
              <w:adjustRightInd w:val="0"/>
              <w:spacing w:before="0" w:after="0" w:line="240" w:lineRule="auto"/>
              <w:ind w:firstLine="0"/>
              <w:jc w:val="center"/>
              <w:rPr>
                <w:rFonts w:ascii="Times New Roman" w:hAnsi="Times New Roman" w:cs="Times New Roman"/>
                <w:b/>
              </w:rPr>
            </w:pPr>
            <w:r w:rsidRPr="003E77A1">
              <w:rPr>
                <w:rFonts w:ascii="Times New Roman" w:hAnsi="Times New Roman" w:cs="Times New Roman"/>
              </w:rPr>
              <w:t>20.50</w:t>
            </w:r>
          </w:p>
        </w:tc>
      </w:tr>
      <w:tr w:rsidR="00336989" w:rsidRPr="00B65CB1" w:rsidTr="00336989">
        <w:trPr>
          <w:jc w:val="center"/>
        </w:trPr>
        <w:tc>
          <w:tcPr>
            <w:tcW w:w="844" w:type="pct"/>
          </w:tcPr>
          <w:p w:rsidR="00336989" w:rsidRPr="003E77A1" w:rsidRDefault="00336989" w:rsidP="003E77A1">
            <w:pPr>
              <w:autoSpaceDE w:val="0"/>
              <w:autoSpaceDN w:val="0"/>
              <w:adjustRightInd w:val="0"/>
              <w:spacing w:before="0" w:after="0" w:line="240" w:lineRule="auto"/>
              <w:ind w:firstLine="0"/>
              <w:jc w:val="center"/>
              <w:rPr>
                <w:rFonts w:ascii="Times New Roman" w:hAnsi="Times New Roman" w:cs="Times New Roman"/>
              </w:rPr>
            </w:pPr>
            <w:r w:rsidRPr="003E77A1">
              <w:rPr>
                <w:rFonts w:ascii="Times New Roman" w:hAnsi="Times New Roman" w:cs="Times New Roman"/>
              </w:rPr>
              <w:t>9</w:t>
            </w:r>
          </w:p>
        </w:tc>
        <w:tc>
          <w:tcPr>
            <w:tcW w:w="918" w:type="pct"/>
          </w:tcPr>
          <w:p w:rsidR="00336989" w:rsidRPr="003E77A1" w:rsidRDefault="00336989" w:rsidP="003E77A1">
            <w:pPr>
              <w:autoSpaceDE w:val="0"/>
              <w:autoSpaceDN w:val="0"/>
              <w:adjustRightInd w:val="0"/>
              <w:spacing w:before="0" w:after="0" w:line="240" w:lineRule="auto"/>
              <w:ind w:firstLine="0"/>
              <w:jc w:val="center"/>
              <w:rPr>
                <w:rFonts w:ascii="Times New Roman" w:hAnsi="Times New Roman" w:cs="Times New Roman"/>
              </w:rPr>
            </w:pPr>
            <w:r w:rsidRPr="003E77A1">
              <w:rPr>
                <w:rFonts w:ascii="Times New Roman" w:hAnsi="Times New Roman" w:cs="Times New Roman"/>
              </w:rPr>
              <w:t>-</w:t>
            </w:r>
          </w:p>
        </w:tc>
        <w:tc>
          <w:tcPr>
            <w:tcW w:w="1168" w:type="pct"/>
          </w:tcPr>
          <w:p w:rsidR="00336989" w:rsidRPr="003E77A1" w:rsidRDefault="00336989" w:rsidP="003E77A1">
            <w:pPr>
              <w:autoSpaceDE w:val="0"/>
              <w:autoSpaceDN w:val="0"/>
              <w:adjustRightInd w:val="0"/>
              <w:spacing w:before="0" w:after="0" w:line="240" w:lineRule="auto"/>
              <w:ind w:firstLine="0"/>
              <w:jc w:val="center"/>
              <w:rPr>
                <w:rFonts w:ascii="Times New Roman" w:hAnsi="Times New Roman" w:cs="Times New Roman"/>
              </w:rPr>
            </w:pPr>
            <w:r w:rsidRPr="003E77A1">
              <w:rPr>
                <w:rFonts w:ascii="Times New Roman" w:hAnsi="Times New Roman" w:cs="Times New Roman"/>
              </w:rPr>
              <w:t>-</w:t>
            </w:r>
          </w:p>
        </w:tc>
        <w:tc>
          <w:tcPr>
            <w:tcW w:w="1008" w:type="pct"/>
          </w:tcPr>
          <w:p w:rsidR="00336989" w:rsidRPr="003E77A1" w:rsidRDefault="00336989" w:rsidP="003E77A1">
            <w:pPr>
              <w:autoSpaceDE w:val="0"/>
              <w:autoSpaceDN w:val="0"/>
              <w:adjustRightInd w:val="0"/>
              <w:spacing w:before="0" w:after="0" w:line="240" w:lineRule="auto"/>
              <w:ind w:firstLine="0"/>
              <w:jc w:val="center"/>
              <w:rPr>
                <w:rFonts w:ascii="Times New Roman" w:hAnsi="Times New Roman" w:cs="Times New Roman"/>
              </w:rPr>
            </w:pPr>
            <w:r w:rsidRPr="003E77A1">
              <w:rPr>
                <w:rFonts w:ascii="Times New Roman" w:hAnsi="Times New Roman" w:cs="Times New Roman"/>
              </w:rPr>
              <w:t>20.50</w:t>
            </w:r>
          </w:p>
        </w:tc>
        <w:tc>
          <w:tcPr>
            <w:tcW w:w="1062" w:type="pct"/>
          </w:tcPr>
          <w:p w:rsidR="00336989" w:rsidRPr="003E77A1" w:rsidRDefault="00336989" w:rsidP="003E77A1">
            <w:pPr>
              <w:autoSpaceDE w:val="0"/>
              <w:autoSpaceDN w:val="0"/>
              <w:adjustRightInd w:val="0"/>
              <w:spacing w:before="0" w:after="0" w:line="240" w:lineRule="auto"/>
              <w:ind w:firstLine="0"/>
              <w:jc w:val="center"/>
              <w:rPr>
                <w:rFonts w:ascii="Times New Roman" w:hAnsi="Times New Roman" w:cs="Times New Roman"/>
              </w:rPr>
            </w:pPr>
            <w:r w:rsidRPr="003E77A1">
              <w:rPr>
                <w:rFonts w:ascii="Times New Roman" w:hAnsi="Times New Roman" w:cs="Times New Roman"/>
              </w:rPr>
              <w:t>21.00</w:t>
            </w:r>
          </w:p>
        </w:tc>
      </w:tr>
    </w:tbl>
    <w:p w:rsidR="00336989" w:rsidRDefault="00336989">
      <w:pPr>
        <w:spacing w:before="0" w:after="200" w:line="276" w:lineRule="auto"/>
      </w:pPr>
    </w:p>
    <w:p w:rsidR="00A52A92" w:rsidRDefault="00A52A92">
      <w:pPr>
        <w:spacing w:before="0" w:after="200" w:line="276" w:lineRule="auto"/>
      </w:pPr>
    </w:p>
    <w:p w:rsidR="004C3625" w:rsidRDefault="004C3625">
      <w:pPr>
        <w:spacing w:before="0" w:after="200" w:line="276" w:lineRule="auto"/>
      </w:pPr>
    </w:p>
    <w:p w:rsidR="004C3625" w:rsidRDefault="004C3625">
      <w:pPr>
        <w:spacing w:before="0" w:after="200" w:line="276" w:lineRule="auto"/>
      </w:pPr>
    </w:p>
    <w:p w:rsidR="004C3625" w:rsidRDefault="004C3625">
      <w:pPr>
        <w:spacing w:before="0" w:after="200" w:line="276" w:lineRule="auto"/>
      </w:pPr>
    </w:p>
    <w:p w:rsidR="004C3625" w:rsidRDefault="004C3625">
      <w:pPr>
        <w:spacing w:before="0" w:after="200" w:line="276" w:lineRule="auto"/>
      </w:pPr>
    </w:p>
    <w:p w:rsidR="004C3625" w:rsidRDefault="004C3625">
      <w:pPr>
        <w:spacing w:before="0" w:after="200" w:line="276" w:lineRule="auto"/>
      </w:pPr>
    </w:p>
    <w:p w:rsidR="004C3625" w:rsidRDefault="004C3625">
      <w:pPr>
        <w:spacing w:before="0" w:after="200" w:line="276" w:lineRule="auto"/>
      </w:pPr>
    </w:p>
    <w:p w:rsidR="004C3625" w:rsidRDefault="004C3625">
      <w:pPr>
        <w:spacing w:before="0" w:after="200" w:line="276" w:lineRule="auto"/>
      </w:pPr>
    </w:p>
    <w:p w:rsidR="004C3625" w:rsidRDefault="004C3625">
      <w:pPr>
        <w:spacing w:before="0" w:after="200" w:line="276" w:lineRule="auto"/>
      </w:pPr>
    </w:p>
    <w:p w:rsidR="00336989" w:rsidRPr="004C3625" w:rsidRDefault="00336989" w:rsidP="004C3625">
      <w:pPr>
        <w:spacing w:before="0" w:after="200"/>
      </w:pPr>
      <w:r w:rsidRPr="00336989">
        <w:t xml:space="preserve">The composition of the beryllium in all of the parts of the reflector is the same; however the presence of cooling water channels causes homogenized atom densities for the three reflector regions to differ. </w:t>
      </w:r>
      <w:r>
        <w:t xml:space="preserve"> </w:t>
      </w:r>
      <w:r w:rsidRPr="00336989">
        <w:t xml:space="preserve">The permanent beryllium reflector extends approximately 20 cm beyond the outside radius of the semi-permanent reflector and is surrounded by approximately 50 cm of water. </w:t>
      </w:r>
      <w:r>
        <w:t xml:space="preserve"> </w:t>
      </w:r>
      <w:r w:rsidRPr="00336989">
        <w:t xml:space="preserve">Equilibrium poisons (Li-6 and He-3) resulting from fast neutron reactions in beryllium are modeled in a zone-wise fashion in the reflector. </w:t>
      </w:r>
      <w:r>
        <w:t xml:space="preserve"> </w:t>
      </w:r>
      <w:r w:rsidRPr="00336989">
        <w:t>The main differences (and some similarities) between the cycle 400 production core and the HFIRCE-3 core are listed in</w:t>
      </w:r>
      <w:r w:rsidR="003E77A1">
        <w:t xml:space="preserve"> </w:t>
      </w:r>
      <w:r w:rsidR="007511FA">
        <w:fldChar w:fldCharType="begin"/>
      </w:r>
      <w:r w:rsidR="003E77A1">
        <w:instrText xml:space="preserve"> REF _Ref285534523 \h </w:instrText>
      </w:r>
      <w:r w:rsidR="007511FA">
        <w:fldChar w:fldCharType="separate"/>
      </w:r>
      <w:r w:rsidR="00D5167B">
        <w:t xml:space="preserve">Table </w:t>
      </w:r>
      <w:r w:rsidR="00D5167B">
        <w:rPr>
          <w:noProof/>
        </w:rPr>
        <w:t>4</w:t>
      </w:r>
      <w:r w:rsidR="00D5167B">
        <w:t>.</w:t>
      </w:r>
      <w:r w:rsidR="00D5167B">
        <w:rPr>
          <w:noProof/>
        </w:rPr>
        <w:t>4</w:t>
      </w:r>
      <w:r w:rsidR="007511FA">
        <w:fldChar w:fldCharType="end"/>
      </w:r>
      <w:r w:rsidRPr="00336989">
        <w:t xml:space="preserve">. </w:t>
      </w:r>
      <w:r>
        <w:t xml:space="preserve"> </w:t>
      </w:r>
      <w:r w:rsidRPr="00336989">
        <w:t xml:space="preserve">Differences not listed in </w:t>
      </w:r>
      <w:r w:rsidR="007511FA">
        <w:rPr>
          <w:highlight w:val="yellow"/>
        </w:rPr>
        <w:fldChar w:fldCharType="begin"/>
      </w:r>
      <w:r w:rsidR="003E77A1">
        <w:instrText xml:space="preserve"> REF _Ref285534523 \h </w:instrText>
      </w:r>
      <w:r w:rsidR="007511FA">
        <w:rPr>
          <w:highlight w:val="yellow"/>
        </w:rPr>
      </w:r>
      <w:r w:rsidR="007511FA">
        <w:rPr>
          <w:highlight w:val="yellow"/>
        </w:rPr>
        <w:fldChar w:fldCharType="separate"/>
      </w:r>
      <w:r w:rsidR="00D5167B">
        <w:t xml:space="preserve">Table </w:t>
      </w:r>
      <w:r w:rsidR="00D5167B">
        <w:rPr>
          <w:noProof/>
        </w:rPr>
        <w:t>4</w:t>
      </w:r>
      <w:r w:rsidR="00D5167B">
        <w:t>.</w:t>
      </w:r>
      <w:r w:rsidR="00D5167B">
        <w:rPr>
          <w:noProof/>
        </w:rPr>
        <w:t>4</w:t>
      </w:r>
      <w:r w:rsidR="007511FA">
        <w:rPr>
          <w:highlight w:val="yellow"/>
        </w:rPr>
        <w:fldChar w:fldCharType="end"/>
      </w:r>
      <w:r w:rsidRPr="00336989">
        <w:t xml:space="preserve"> are mostly material (atomic density) differences.</w:t>
      </w:r>
      <w:r>
        <w:rPr>
          <w:b/>
        </w:rPr>
        <w:br w:type="page"/>
      </w:r>
    </w:p>
    <w:p w:rsidR="00336989" w:rsidRDefault="003E77A1" w:rsidP="003E77A1">
      <w:pPr>
        <w:pStyle w:val="Caption"/>
      </w:pPr>
      <w:bookmarkStart w:id="125" w:name="_Ref285534523"/>
      <w:bookmarkStart w:id="126" w:name="_Toc295818267"/>
      <w:proofErr w:type="gramStart"/>
      <w:r>
        <w:lastRenderedPageBreak/>
        <w:t xml:space="preserve">Table </w:t>
      </w:r>
      <w:r w:rsidR="007511FA">
        <w:fldChar w:fldCharType="begin"/>
      </w:r>
      <w:r w:rsidR="00AE17F8">
        <w:instrText xml:space="preserve"> STYLEREF 1 \s </w:instrText>
      </w:r>
      <w:r w:rsidR="007511FA">
        <w:fldChar w:fldCharType="separate"/>
      </w:r>
      <w:r w:rsidR="00D5167B">
        <w:rPr>
          <w:noProof/>
        </w:rPr>
        <w:t>4</w:t>
      </w:r>
      <w:r w:rsidR="007511FA">
        <w:fldChar w:fldCharType="end"/>
      </w:r>
      <w:r w:rsidR="00DE5151">
        <w:t>.</w:t>
      </w:r>
      <w:proofErr w:type="gramEnd"/>
      <w:r w:rsidR="007511FA">
        <w:fldChar w:fldCharType="begin"/>
      </w:r>
      <w:r w:rsidR="00C43F40">
        <w:instrText xml:space="preserve"> SEQ Table \* ARABIC \s 1 </w:instrText>
      </w:r>
      <w:r w:rsidR="007511FA">
        <w:fldChar w:fldCharType="separate"/>
      </w:r>
      <w:r w:rsidR="00D5167B">
        <w:rPr>
          <w:noProof/>
        </w:rPr>
        <w:t>4</w:t>
      </w:r>
      <w:r w:rsidR="007511FA">
        <w:fldChar w:fldCharType="end"/>
      </w:r>
      <w:bookmarkEnd w:id="125"/>
      <w:r w:rsidR="00336989">
        <w:t xml:space="preserve">.  </w:t>
      </w:r>
      <w:proofErr w:type="gramStart"/>
      <w:r w:rsidR="00336989">
        <w:t>Summary of cycle 400 production core and HFIRCE-3.</w:t>
      </w:r>
      <w:bookmarkEnd w:id="126"/>
      <w:proofErr w:type="gramEnd"/>
    </w:p>
    <w:tbl>
      <w:tblPr>
        <w:tblStyle w:val="TableGrid"/>
        <w:tblW w:w="5000" w:type="pct"/>
        <w:tblLook w:val="04A0"/>
      </w:tblPr>
      <w:tblGrid>
        <w:gridCol w:w="5096"/>
        <w:gridCol w:w="4480"/>
      </w:tblGrid>
      <w:tr w:rsidR="00336989" w:rsidRPr="00B65CB1" w:rsidTr="00336989">
        <w:tc>
          <w:tcPr>
            <w:tcW w:w="2661" w:type="pct"/>
          </w:tcPr>
          <w:p w:rsidR="00336989" w:rsidRPr="003E77A1" w:rsidRDefault="00336989" w:rsidP="003E77A1">
            <w:pPr>
              <w:tabs>
                <w:tab w:val="center" w:pos="4320"/>
                <w:tab w:val="right" w:pos="8640"/>
              </w:tabs>
              <w:spacing w:before="0" w:after="0" w:line="240" w:lineRule="auto"/>
              <w:ind w:firstLine="0"/>
              <w:rPr>
                <w:b/>
              </w:rPr>
            </w:pPr>
            <w:r w:rsidRPr="003E77A1">
              <w:rPr>
                <w:b/>
              </w:rPr>
              <w:t>Cycle 400</w:t>
            </w:r>
          </w:p>
        </w:tc>
        <w:tc>
          <w:tcPr>
            <w:tcW w:w="2339" w:type="pct"/>
          </w:tcPr>
          <w:p w:rsidR="00336989" w:rsidRPr="003E77A1" w:rsidRDefault="00336989" w:rsidP="003E77A1">
            <w:pPr>
              <w:tabs>
                <w:tab w:val="center" w:pos="4320"/>
                <w:tab w:val="right" w:pos="8640"/>
              </w:tabs>
              <w:spacing w:before="0" w:after="0" w:line="240" w:lineRule="auto"/>
              <w:ind w:firstLine="0"/>
              <w:rPr>
                <w:b/>
              </w:rPr>
            </w:pPr>
            <w:r w:rsidRPr="003E77A1">
              <w:rPr>
                <w:b/>
              </w:rPr>
              <w:t>HFIRCE-3</w:t>
            </w:r>
          </w:p>
        </w:tc>
      </w:tr>
      <w:tr w:rsidR="00336989" w:rsidRPr="00B65CB1" w:rsidTr="00336989">
        <w:tc>
          <w:tcPr>
            <w:tcW w:w="2661" w:type="pct"/>
          </w:tcPr>
          <w:p w:rsidR="00336989" w:rsidRPr="003E77A1" w:rsidRDefault="00336989" w:rsidP="003E77A1">
            <w:pPr>
              <w:tabs>
                <w:tab w:val="center" w:pos="4320"/>
                <w:tab w:val="right" w:pos="8640"/>
              </w:tabs>
              <w:spacing w:before="0" w:after="0" w:line="240" w:lineRule="auto"/>
              <w:ind w:firstLine="0"/>
            </w:pPr>
            <w:r w:rsidRPr="003E77A1">
              <w:t xml:space="preserve">2.80 g </w:t>
            </w:r>
            <w:r w:rsidRPr="003E77A1">
              <w:rPr>
                <w:vertAlign w:val="superscript"/>
              </w:rPr>
              <w:t>10</w:t>
            </w:r>
            <w:r w:rsidRPr="003E77A1">
              <w:t>B Loading in IFE</w:t>
            </w:r>
          </w:p>
        </w:tc>
        <w:tc>
          <w:tcPr>
            <w:tcW w:w="2339" w:type="pct"/>
          </w:tcPr>
          <w:p w:rsidR="00336989" w:rsidRPr="003E77A1" w:rsidRDefault="00336989" w:rsidP="003E77A1">
            <w:pPr>
              <w:tabs>
                <w:tab w:val="center" w:pos="4320"/>
                <w:tab w:val="right" w:pos="8640"/>
              </w:tabs>
              <w:spacing w:before="0" w:after="0" w:line="240" w:lineRule="auto"/>
              <w:ind w:firstLine="0"/>
            </w:pPr>
            <w:r w:rsidRPr="003E77A1">
              <w:t xml:space="preserve">2.80 g </w:t>
            </w:r>
            <w:r w:rsidRPr="003E77A1">
              <w:rPr>
                <w:vertAlign w:val="superscript"/>
              </w:rPr>
              <w:t>10</w:t>
            </w:r>
            <w:r w:rsidRPr="003E77A1">
              <w:t>B Loading in IFE</w:t>
            </w:r>
          </w:p>
        </w:tc>
      </w:tr>
      <w:tr w:rsidR="00336989" w:rsidRPr="00B65CB1" w:rsidTr="00336989">
        <w:tc>
          <w:tcPr>
            <w:tcW w:w="2661" w:type="pct"/>
          </w:tcPr>
          <w:p w:rsidR="00336989" w:rsidRPr="003E77A1" w:rsidRDefault="00336989" w:rsidP="003E77A1">
            <w:pPr>
              <w:tabs>
                <w:tab w:val="center" w:pos="4320"/>
                <w:tab w:val="right" w:pos="8640"/>
              </w:tabs>
              <w:spacing w:before="0" w:after="0" w:line="240" w:lineRule="auto"/>
              <w:ind w:firstLine="0"/>
            </w:pPr>
            <w:r w:rsidRPr="003E77A1">
              <w:t xml:space="preserve">9.40 kg </w:t>
            </w:r>
            <w:r w:rsidRPr="003E77A1">
              <w:rPr>
                <w:vertAlign w:val="superscript"/>
              </w:rPr>
              <w:t>235</w:t>
            </w:r>
            <w:r w:rsidRPr="003E77A1">
              <w:t>U</w:t>
            </w:r>
          </w:p>
        </w:tc>
        <w:tc>
          <w:tcPr>
            <w:tcW w:w="2339" w:type="pct"/>
          </w:tcPr>
          <w:p w:rsidR="00336989" w:rsidRPr="003E77A1" w:rsidRDefault="00336989" w:rsidP="003E77A1">
            <w:pPr>
              <w:tabs>
                <w:tab w:val="center" w:pos="4320"/>
                <w:tab w:val="right" w:pos="8640"/>
              </w:tabs>
              <w:spacing w:before="0" w:after="0" w:line="240" w:lineRule="auto"/>
              <w:ind w:firstLine="0"/>
            </w:pPr>
            <w:r w:rsidRPr="003E77A1">
              <w:t xml:space="preserve">9.40 kg </w:t>
            </w:r>
            <w:r w:rsidRPr="003E77A1">
              <w:rPr>
                <w:vertAlign w:val="superscript"/>
              </w:rPr>
              <w:t>235</w:t>
            </w:r>
            <w:r w:rsidRPr="003E77A1">
              <w:t>U</w:t>
            </w:r>
          </w:p>
        </w:tc>
      </w:tr>
      <w:tr w:rsidR="00336989" w:rsidRPr="00B65CB1" w:rsidTr="00336989">
        <w:tc>
          <w:tcPr>
            <w:tcW w:w="2661" w:type="pct"/>
          </w:tcPr>
          <w:p w:rsidR="00336989" w:rsidRPr="003E77A1" w:rsidRDefault="00336989" w:rsidP="003E77A1">
            <w:pPr>
              <w:tabs>
                <w:tab w:val="center" w:pos="4320"/>
                <w:tab w:val="right" w:pos="8640"/>
              </w:tabs>
              <w:spacing w:before="0" w:after="0" w:line="240" w:lineRule="auto"/>
              <w:ind w:firstLine="0"/>
            </w:pPr>
            <w:r w:rsidRPr="003E77A1">
              <w:t>Target Bundle in Flux Trap</w:t>
            </w:r>
          </w:p>
        </w:tc>
        <w:tc>
          <w:tcPr>
            <w:tcW w:w="2339" w:type="pct"/>
          </w:tcPr>
          <w:p w:rsidR="00336989" w:rsidRPr="003E77A1" w:rsidRDefault="00336989" w:rsidP="003E77A1">
            <w:pPr>
              <w:tabs>
                <w:tab w:val="center" w:pos="4320"/>
                <w:tab w:val="right" w:pos="8640"/>
              </w:tabs>
              <w:spacing w:before="0" w:after="0" w:line="240" w:lineRule="auto"/>
              <w:ind w:firstLine="0"/>
            </w:pPr>
            <w:r w:rsidRPr="003E77A1">
              <w:t>(Plastic Island + Water) in Flux Trap</w:t>
            </w:r>
          </w:p>
        </w:tc>
      </w:tr>
      <w:tr w:rsidR="00336989" w:rsidRPr="00B65CB1" w:rsidTr="00336989">
        <w:tc>
          <w:tcPr>
            <w:tcW w:w="2661" w:type="pct"/>
          </w:tcPr>
          <w:p w:rsidR="00336989" w:rsidRPr="003E77A1" w:rsidRDefault="00336989" w:rsidP="003E77A1">
            <w:pPr>
              <w:tabs>
                <w:tab w:val="center" w:pos="4320"/>
                <w:tab w:val="right" w:pos="8640"/>
              </w:tabs>
              <w:spacing w:before="0" w:after="0" w:line="240" w:lineRule="auto"/>
              <w:ind w:firstLine="0"/>
            </w:pPr>
            <w:r w:rsidRPr="003E77A1">
              <w:t>Horizontal Beam Tube-2 was Enlarged and Upgraded</w:t>
            </w:r>
          </w:p>
        </w:tc>
        <w:tc>
          <w:tcPr>
            <w:tcW w:w="2339" w:type="pct"/>
          </w:tcPr>
          <w:p w:rsidR="00336989" w:rsidRPr="003E77A1" w:rsidRDefault="00336989" w:rsidP="003E77A1">
            <w:pPr>
              <w:tabs>
                <w:tab w:val="center" w:pos="4320"/>
                <w:tab w:val="right" w:pos="8640"/>
              </w:tabs>
              <w:spacing w:before="0" w:after="0" w:line="240" w:lineRule="auto"/>
              <w:ind w:firstLine="0"/>
            </w:pPr>
            <w:r w:rsidRPr="003E77A1">
              <w:t>Horizontal Beam Tube-2 was of Nominal Size</w:t>
            </w:r>
          </w:p>
        </w:tc>
      </w:tr>
      <w:tr w:rsidR="00336989" w:rsidRPr="00B65CB1" w:rsidTr="00336989">
        <w:tc>
          <w:tcPr>
            <w:tcW w:w="2661" w:type="pct"/>
          </w:tcPr>
          <w:p w:rsidR="00336989" w:rsidRPr="003E77A1" w:rsidRDefault="00336989" w:rsidP="003E77A1">
            <w:pPr>
              <w:tabs>
                <w:tab w:val="center" w:pos="4320"/>
                <w:tab w:val="right" w:pos="8640"/>
              </w:tabs>
              <w:spacing w:before="0" w:after="0" w:line="240" w:lineRule="auto"/>
              <w:ind w:firstLine="0"/>
            </w:pPr>
            <w:r w:rsidRPr="003E77A1">
              <w:t>2 Engineering Facilities (Slant Tubes)</w:t>
            </w:r>
          </w:p>
        </w:tc>
        <w:tc>
          <w:tcPr>
            <w:tcW w:w="2339" w:type="pct"/>
          </w:tcPr>
          <w:p w:rsidR="00336989" w:rsidRPr="003E77A1" w:rsidRDefault="00336989" w:rsidP="003E77A1">
            <w:pPr>
              <w:tabs>
                <w:tab w:val="center" w:pos="4320"/>
                <w:tab w:val="right" w:pos="8640"/>
              </w:tabs>
              <w:spacing w:before="0" w:after="0" w:line="240" w:lineRule="auto"/>
              <w:ind w:firstLine="0"/>
            </w:pPr>
            <w:r w:rsidRPr="003E77A1">
              <w:t>4 Engineering Facilities (Slant Tubes)</w:t>
            </w:r>
          </w:p>
        </w:tc>
      </w:tr>
      <w:tr w:rsidR="00336989" w:rsidRPr="00B65CB1" w:rsidTr="00336989">
        <w:tc>
          <w:tcPr>
            <w:tcW w:w="2661" w:type="pct"/>
          </w:tcPr>
          <w:p w:rsidR="00336989" w:rsidRPr="003E77A1" w:rsidRDefault="00336989" w:rsidP="003E77A1">
            <w:pPr>
              <w:tabs>
                <w:tab w:val="center" w:pos="4320"/>
                <w:tab w:val="right" w:pos="8640"/>
              </w:tabs>
              <w:spacing w:before="0" w:after="0" w:line="240" w:lineRule="auto"/>
              <w:ind w:firstLine="0"/>
            </w:pPr>
            <w:r w:rsidRPr="003E77A1">
              <w:t xml:space="preserve">Horizontal Beam Tube -4 was Enlarged </w:t>
            </w:r>
          </w:p>
          <w:p w:rsidR="00336989" w:rsidRPr="003E77A1" w:rsidRDefault="00336989" w:rsidP="003E77A1">
            <w:pPr>
              <w:tabs>
                <w:tab w:val="center" w:pos="4320"/>
                <w:tab w:val="right" w:pos="8640"/>
              </w:tabs>
              <w:spacing w:before="0" w:after="0" w:line="240" w:lineRule="auto"/>
              <w:ind w:firstLine="0"/>
            </w:pPr>
            <w:r w:rsidRPr="003E77A1">
              <w:t>and Cold Source Inserted</w:t>
            </w:r>
          </w:p>
        </w:tc>
        <w:tc>
          <w:tcPr>
            <w:tcW w:w="2339" w:type="pct"/>
          </w:tcPr>
          <w:p w:rsidR="00336989" w:rsidRPr="003E77A1" w:rsidRDefault="00336989" w:rsidP="003E77A1">
            <w:pPr>
              <w:tabs>
                <w:tab w:val="center" w:pos="4320"/>
                <w:tab w:val="right" w:pos="8640"/>
              </w:tabs>
              <w:spacing w:before="0" w:after="0" w:line="240" w:lineRule="auto"/>
              <w:ind w:firstLine="0"/>
            </w:pPr>
            <w:r w:rsidRPr="003E77A1">
              <w:t>Horizontal Beam Tube-4 was of Nominal Size</w:t>
            </w:r>
          </w:p>
        </w:tc>
      </w:tr>
      <w:tr w:rsidR="00336989" w:rsidRPr="00B65CB1" w:rsidTr="00336989">
        <w:tc>
          <w:tcPr>
            <w:tcW w:w="2661" w:type="pct"/>
          </w:tcPr>
          <w:p w:rsidR="00336989" w:rsidRPr="003E77A1" w:rsidRDefault="00336989" w:rsidP="003E77A1">
            <w:pPr>
              <w:tabs>
                <w:tab w:val="center" w:pos="4320"/>
                <w:tab w:val="right" w:pos="8640"/>
              </w:tabs>
              <w:spacing w:before="0" w:after="0" w:line="240" w:lineRule="auto"/>
              <w:ind w:firstLine="0"/>
            </w:pPr>
            <w:r w:rsidRPr="003E77A1">
              <w:t>8 Large Removable Beryllium Facilities</w:t>
            </w:r>
          </w:p>
        </w:tc>
        <w:tc>
          <w:tcPr>
            <w:tcW w:w="2339" w:type="pct"/>
          </w:tcPr>
          <w:p w:rsidR="00336989" w:rsidRPr="003E77A1" w:rsidRDefault="00336989" w:rsidP="003E77A1">
            <w:pPr>
              <w:tabs>
                <w:tab w:val="center" w:pos="4320"/>
                <w:tab w:val="right" w:pos="8640"/>
              </w:tabs>
              <w:spacing w:before="0" w:after="0" w:line="240" w:lineRule="auto"/>
              <w:ind w:firstLine="0"/>
            </w:pPr>
            <w:r w:rsidRPr="003E77A1">
              <w:t>4 Large Removable Beryllium Facilities</w:t>
            </w:r>
          </w:p>
        </w:tc>
      </w:tr>
      <w:tr w:rsidR="00336989" w:rsidRPr="00B65CB1" w:rsidTr="00336989">
        <w:tc>
          <w:tcPr>
            <w:tcW w:w="2661" w:type="pct"/>
          </w:tcPr>
          <w:p w:rsidR="00336989" w:rsidRPr="003E77A1" w:rsidRDefault="00336989" w:rsidP="003E77A1">
            <w:pPr>
              <w:tabs>
                <w:tab w:val="center" w:pos="4320"/>
                <w:tab w:val="right" w:pos="8640"/>
              </w:tabs>
              <w:spacing w:before="0" w:after="0" w:line="240" w:lineRule="auto"/>
              <w:ind w:firstLine="0"/>
            </w:pPr>
            <w:r w:rsidRPr="003E77A1">
              <w:t>Pressurized</w:t>
            </w:r>
          </w:p>
        </w:tc>
        <w:tc>
          <w:tcPr>
            <w:tcW w:w="2339" w:type="pct"/>
          </w:tcPr>
          <w:p w:rsidR="00336989" w:rsidRPr="003E77A1" w:rsidRDefault="00336989" w:rsidP="003E77A1">
            <w:pPr>
              <w:tabs>
                <w:tab w:val="center" w:pos="4320"/>
                <w:tab w:val="right" w:pos="8640"/>
              </w:tabs>
              <w:spacing w:before="0" w:after="0" w:line="240" w:lineRule="auto"/>
              <w:ind w:firstLine="0"/>
            </w:pPr>
            <w:r w:rsidRPr="003E77A1">
              <w:t>Open to Atmosphere</w:t>
            </w:r>
          </w:p>
        </w:tc>
      </w:tr>
      <w:tr w:rsidR="00336989" w:rsidRPr="00B65CB1" w:rsidTr="00336989">
        <w:tc>
          <w:tcPr>
            <w:tcW w:w="2661" w:type="pct"/>
          </w:tcPr>
          <w:p w:rsidR="00336989" w:rsidRPr="003E77A1" w:rsidRDefault="00336989" w:rsidP="003E77A1">
            <w:pPr>
              <w:tabs>
                <w:tab w:val="center" w:pos="4320"/>
                <w:tab w:val="right" w:pos="8640"/>
              </w:tabs>
              <w:spacing w:before="0" w:after="0" w:line="240" w:lineRule="auto"/>
              <w:ind w:firstLine="0"/>
            </w:pPr>
            <w:r w:rsidRPr="003E77A1">
              <w:t>Water Flow to Remove Heat</w:t>
            </w:r>
          </w:p>
        </w:tc>
        <w:tc>
          <w:tcPr>
            <w:tcW w:w="2339" w:type="pct"/>
          </w:tcPr>
          <w:p w:rsidR="00336989" w:rsidRPr="003E77A1" w:rsidRDefault="00336989" w:rsidP="003E77A1">
            <w:pPr>
              <w:tabs>
                <w:tab w:val="center" w:pos="4320"/>
                <w:tab w:val="right" w:pos="8640"/>
              </w:tabs>
              <w:spacing w:before="0" w:after="0" w:line="240" w:lineRule="auto"/>
              <w:ind w:firstLine="0"/>
            </w:pPr>
            <w:r w:rsidRPr="003E77A1">
              <w:t>Stagnant Flow</w:t>
            </w:r>
          </w:p>
        </w:tc>
      </w:tr>
      <w:tr w:rsidR="00336989" w:rsidRPr="00B65CB1" w:rsidTr="00336989">
        <w:tc>
          <w:tcPr>
            <w:tcW w:w="2661" w:type="pct"/>
          </w:tcPr>
          <w:p w:rsidR="00336989" w:rsidRPr="003E77A1" w:rsidRDefault="00336989" w:rsidP="003E77A1">
            <w:pPr>
              <w:tabs>
                <w:tab w:val="center" w:pos="4320"/>
                <w:tab w:val="right" w:pos="8640"/>
              </w:tabs>
              <w:spacing w:before="0" w:after="0" w:line="240" w:lineRule="auto"/>
              <w:ind w:firstLine="0"/>
            </w:pPr>
            <w:r w:rsidRPr="003E77A1">
              <w:t>85 MW</w:t>
            </w:r>
          </w:p>
        </w:tc>
        <w:tc>
          <w:tcPr>
            <w:tcW w:w="2339" w:type="pct"/>
          </w:tcPr>
          <w:p w:rsidR="00336989" w:rsidRPr="003E77A1" w:rsidRDefault="00336989" w:rsidP="003E77A1">
            <w:pPr>
              <w:tabs>
                <w:tab w:val="center" w:pos="4320"/>
                <w:tab w:val="right" w:pos="8640"/>
              </w:tabs>
              <w:spacing w:before="0" w:after="0" w:line="240" w:lineRule="auto"/>
              <w:ind w:firstLine="0"/>
            </w:pPr>
            <w:r w:rsidRPr="003E77A1">
              <w:t>Essentially Zero Power</w:t>
            </w:r>
          </w:p>
        </w:tc>
      </w:tr>
    </w:tbl>
    <w:p w:rsidR="00336989" w:rsidRDefault="00336989" w:rsidP="003E77A1">
      <w:pPr>
        <w:spacing w:before="0" w:after="200"/>
        <w:ind w:firstLine="0"/>
        <w:rPr>
          <w:b/>
        </w:rPr>
      </w:pPr>
    </w:p>
    <w:p w:rsidR="00336989" w:rsidRPr="00336989" w:rsidRDefault="00336989" w:rsidP="00336989">
      <w:r w:rsidRPr="00336989">
        <w:t xml:space="preserve">At the time of the critical experiments, there were three, nominally 10.16 cm ID horizontal beam tubes that extended outward from the reactor core at the midplane. </w:t>
      </w:r>
      <w:r w:rsidR="0099756F">
        <w:t xml:space="preserve"> </w:t>
      </w:r>
      <w:r w:rsidRPr="00336989">
        <w:t xml:space="preserve">HB-4 was originally the location of a 30-m small angle neutron scattering facility and was enlarged and transformed into a high performance hydrogen cold source in 2007. </w:t>
      </w:r>
      <w:r w:rsidR="0099756F">
        <w:t xml:space="preserve"> </w:t>
      </w:r>
      <w:r w:rsidRPr="00336989">
        <w:t xml:space="preserve">HB-2, originally the location of a triple-axis spectrometer, was also enlarged and altered, and now supports a neutron powder </w:t>
      </w:r>
      <w:proofErr w:type="spellStart"/>
      <w:r w:rsidRPr="00336989">
        <w:t>diffractometer</w:t>
      </w:r>
      <w:proofErr w:type="spellEnd"/>
      <w:r w:rsidRPr="00336989">
        <w:t xml:space="preserve">, a neutron residual stress mapping facility, and a wide angle neutron </w:t>
      </w:r>
      <w:proofErr w:type="spellStart"/>
      <w:r w:rsidRPr="00336989">
        <w:t>diffractometer</w:t>
      </w:r>
      <w:proofErr w:type="spellEnd"/>
      <w:r w:rsidRPr="00336989">
        <w:t xml:space="preserve">. </w:t>
      </w:r>
      <w:r w:rsidR="0099756F">
        <w:t xml:space="preserve"> </w:t>
      </w:r>
      <w:r w:rsidRPr="00336989">
        <w:t xml:space="preserve">During the enlargement of HB-2, two of the four slant engineering facilities were eliminated. </w:t>
      </w:r>
      <w:r w:rsidR="0099756F">
        <w:t xml:space="preserve"> </w:t>
      </w:r>
      <w:r w:rsidRPr="00336989">
        <w:t xml:space="preserve">Also, the number of large removable beryllium (RB) facilities was increased from the original number of four to eight. </w:t>
      </w:r>
      <w:r w:rsidR="0099756F">
        <w:t xml:space="preserve"> </w:t>
      </w:r>
      <w:r w:rsidRPr="00336989">
        <w:t>A cross section of HFIRCE-3 at the horizontal midplane as modeled with MCNP is illustrated in</w:t>
      </w:r>
      <w:r w:rsidR="003E77A1">
        <w:t xml:space="preserve"> </w:t>
      </w:r>
      <w:r w:rsidR="007511FA">
        <w:fldChar w:fldCharType="begin"/>
      </w:r>
      <w:r w:rsidR="003E77A1">
        <w:instrText xml:space="preserve"> REF _Ref285534557 \h </w:instrText>
      </w:r>
      <w:r w:rsidR="007511FA">
        <w:fldChar w:fldCharType="separate"/>
      </w:r>
      <w:r w:rsidR="00D5167B">
        <w:t xml:space="preserve">Figure </w:t>
      </w:r>
      <w:r w:rsidR="00D5167B">
        <w:rPr>
          <w:noProof/>
        </w:rPr>
        <w:t>4</w:t>
      </w:r>
      <w:r w:rsidR="00D5167B">
        <w:t>.</w:t>
      </w:r>
      <w:r w:rsidR="00D5167B">
        <w:rPr>
          <w:noProof/>
        </w:rPr>
        <w:t>3</w:t>
      </w:r>
      <w:r w:rsidR="007511FA">
        <w:fldChar w:fldCharType="end"/>
      </w:r>
      <w:r w:rsidRPr="00336989">
        <w:t>.</w:t>
      </w:r>
    </w:p>
    <w:p w:rsidR="00336989" w:rsidRPr="00336989" w:rsidRDefault="00336989" w:rsidP="0099756F">
      <w:r w:rsidRPr="00336989">
        <w:t xml:space="preserve">During the critical experiments, a flux trap target referred to as a plastic island filled with water (PI +W) flux trap was utilized. </w:t>
      </w:r>
      <w:r w:rsidR="0099756F">
        <w:t xml:space="preserve"> </w:t>
      </w:r>
      <w:r w:rsidRPr="00336989">
        <w:t xml:space="preserve">The (PI + W) flux trap consisted of a polyethylene insert that was located within an aluminum tube positioned on top of a stainless steel sinker plate. </w:t>
      </w:r>
      <w:r w:rsidR="0099756F">
        <w:t xml:space="preserve"> </w:t>
      </w:r>
      <w:r w:rsidRPr="00336989">
        <w:t xml:space="preserve">The polyethylene target actually had two configurations and was either a solid polyethylene target or a polyethylene cylinder filled with water. </w:t>
      </w:r>
      <w:r w:rsidR="0099756F">
        <w:t xml:space="preserve"> </w:t>
      </w:r>
      <w:r w:rsidRPr="00336989">
        <w:t xml:space="preserve">The central (neon green) area in </w:t>
      </w:r>
      <w:r w:rsidR="007511FA">
        <w:fldChar w:fldCharType="begin"/>
      </w:r>
      <w:r w:rsidR="003E77A1">
        <w:instrText xml:space="preserve"> REF _Ref285534566 \h </w:instrText>
      </w:r>
      <w:r w:rsidR="007511FA">
        <w:fldChar w:fldCharType="separate"/>
      </w:r>
      <w:r w:rsidR="00D5167B">
        <w:t xml:space="preserve">Figure </w:t>
      </w:r>
      <w:r w:rsidR="00D5167B">
        <w:rPr>
          <w:noProof/>
        </w:rPr>
        <w:t>4</w:t>
      </w:r>
      <w:r w:rsidR="00D5167B">
        <w:t>.</w:t>
      </w:r>
      <w:r w:rsidR="00D5167B">
        <w:rPr>
          <w:noProof/>
        </w:rPr>
        <w:t>4</w:t>
      </w:r>
      <w:r w:rsidR="007511FA">
        <w:fldChar w:fldCharType="end"/>
      </w:r>
      <w:r w:rsidR="003E77A1">
        <w:t xml:space="preserve"> </w:t>
      </w:r>
      <w:r w:rsidRPr="00336989">
        <w:t xml:space="preserve">is the water region, the blue region is the polyethylene insert, the red top and bottom regions represent the aluminum tube lifting plate and the aluminum end plate, and the light blue area at the bottom of the flux </w:t>
      </w:r>
      <w:r w:rsidR="0099756F">
        <w:t>trap is the steel sinker plate.</w:t>
      </w:r>
    </w:p>
    <w:p w:rsidR="0099756F" w:rsidRDefault="0099756F" w:rsidP="0081034D">
      <w:pPr>
        <w:spacing w:after="0" w:line="240" w:lineRule="auto"/>
        <w:ind w:firstLine="0"/>
        <w:jc w:val="center"/>
        <w:rPr>
          <w:b/>
          <w:sz w:val="24"/>
        </w:rPr>
      </w:pPr>
      <w:r w:rsidRPr="001D4E80">
        <w:rPr>
          <w:b/>
          <w:noProof/>
          <w:sz w:val="24"/>
        </w:rPr>
        <w:lastRenderedPageBreak/>
        <w:drawing>
          <wp:inline distT="0" distB="0" distL="0" distR="0">
            <wp:extent cx="3419273" cy="3200400"/>
            <wp:effectExtent l="1905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rrowheads="1"/>
                    </pic:cNvPicPr>
                  </pic:nvPicPr>
                  <pic:blipFill>
                    <a:blip r:embed="rId18" cstate="print"/>
                    <a:srcRect l="10126" t="17250" r="28876" b="11626"/>
                    <a:stretch>
                      <a:fillRect/>
                    </a:stretch>
                  </pic:blipFill>
                  <pic:spPr bwMode="auto">
                    <a:xfrm>
                      <a:off x="0" y="0"/>
                      <a:ext cx="3419273" cy="3200400"/>
                    </a:xfrm>
                    <a:prstGeom prst="rect">
                      <a:avLst/>
                    </a:prstGeom>
                    <a:noFill/>
                    <a:ln w="9525">
                      <a:noFill/>
                      <a:miter lim="800000"/>
                      <a:headEnd/>
                      <a:tailEnd/>
                    </a:ln>
                  </pic:spPr>
                </pic:pic>
              </a:graphicData>
            </a:graphic>
          </wp:inline>
        </w:drawing>
      </w:r>
    </w:p>
    <w:p w:rsidR="0099756F" w:rsidRDefault="003E77A1" w:rsidP="003E77A1">
      <w:pPr>
        <w:pStyle w:val="Caption"/>
      </w:pPr>
      <w:bookmarkStart w:id="127" w:name="_Ref285534557"/>
      <w:bookmarkStart w:id="128" w:name="_Toc295818189"/>
      <w:proofErr w:type="gramStart"/>
      <w:r>
        <w:t xml:space="preserve">Figure </w:t>
      </w:r>
      <w:r w:rsidR="007511FA">
        <w:fldChar w:fldCharType="begin"/>
      </w:r>
      <w:r w:rsidR="00AE17F8">
        <w:instrText xml:space="preserve"> STYLEREF 1 \s </w:instrText>
      </w:r>
      <w:r w:rsidR="007511FA">
        <w:fldChar w:fldCharType="separate"/>
      </w:r>
      <w:r w:rsidR="00D5167B">
        <w:rPr>
          <w:noProof/>
        </w:rPr>
        <w:t>4</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3</w:t>
      </w:r>
      <w:r w:rsidR="007511FA">
        <w:fldChar w:fldCharType="end"/>
      </w:r>
      <w:bookmarkEnd w:id="127"/>
      <w:r w:rsidR="0099756F" w:rsidRPr="00E0739C">
        <w:t>.  Horizontal midplane of HFIRCE-3 as modeled in MCNP.</w:t>
      </w:r>
      <w:bookmarkEnd w:id="128"/>
    </w:p>
    <w:p w:rsidR="0081034D" w:rsidRPr="0081034D" w:rsidRDefault="0081034D" w:rsidP="0081034D"/>
    <w:p w:rsidR="0099756F" w:rsidRDefault="0099756F" w:rsidP="0081034D">
      <w:pPr>
        <w:spacing w:line="240" w:lineRule="auto"/>
        <w:ind w:firstLine="0"/>
        <w:jc w:val="center"/>
        <w:rPr>
          <w:b/>
          <w:sz w:val="24"/>
        </w:rPr>
      </w:pPr>
      <w:r w:rsidRPr="001D4E80">
        <w:rPr>
          <w:b/>
          <w:noProof/>
          <w:sz w:val="24"/>
        </w:rPr>
        <w:drawing>
          <wp:inline distT="0" distB="0" distL="0" distR="0">
            <wp:extent cx="2422517" cy="3657600"/>
            <wp:effectExtent l="19050" t="0" r="0" b="0"/>
            <wp:docPr id="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cstate="print"/>
                    <a:srcRect l="30128" t="14429" r="29648" b="10020"/>
                    <a:stretch>
                      <a:fillRect/>
                    </a:stretch>
                  </pic:blipFill>
                  <pic:spPr bwMode="auto">
                    <a:xfrm>
                      <a:off x="0" y="0"/>
                      <a:ext cx="2422517" cy="3657600"/>
                    </a:xfrm>
                    <a:prstGeom prst="rect">
                      <a:avLst/>
                    </a:prstGeom>
                    <a:noFill/>
                    <a:ln w="9525">
                      <a:noFill/>
                      <a:miter lim="800000"/>
                      <a:headEnd/>
                      <a:tailEnd/>
                    </a:ln>
                  </pic:spPr>
                </pic:pic>
              </a:graphicData>
            </a:graphic>
          </wp:inline>
        </w:drawing>
      </w:r>
    </w:p>
    <w:p w:rsidR="0099756F" w:rsidRPr="0081034D" w:rsidRDefault="003E77A1" w:rsidP="0081034D">
      <w:pPr>
        <w:pStyle w:val="Caption"/>
      </w:pPr>
      <w:bookmarkStart w:id="129" w:name="_Ref285534566"/>
      <w:bookmarkStart w:id="130" w:name="_Toc295818190"/>
      <w:proofErr w:type="gramStart"/>
      <w:r>
        <w:t xml:space="preserve">Figure </w:t>
      </w:r>
      <w:r w:rsidR="007511FA">
        <w:fldChar w:fldCharType="begin"/>
      </w:r>
      <w:r w:rsidR="00AE17F8">
        <w:instrText xml:space="preserve"> STYLEREF 1 \s </w:instrText>
      </w:r>
      <w:r w:rsidR="007511FA">
        <w:fldChar w:fldCharType="separate"/>
      </w:r>
      <w:r w:rsidR="00D5167B">
        <w:rPr>
          <w:noProof/>
        </w:rPr>
        <w:t>4</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4</w:t>
      </w:r>
      <w:r w:rsidR="007511FA">
        <w:fldChar w:fldCharType="end"/>
      </w:r>
      <w:bookmarkEnd w:id="129"/>
      <w:r w:rsidR="0099756F" w:rsidRPr="00E0739C">
        <w:t>.  (PI + W) flux trap and fuel elements as modeled in MCNP.</w:t>
      </w:r>
      <w:bookmarkEnd w:id="130"/>
      <w:r w:rsidR="0099756F">
        <w:rPr>
          <w:b w:val="0"/>
        </w:rPr>
        <w:br w:type="page"/>
      </w:r>
    </w:p>
    <w:p w:rsidR="00336989" w:rsidRDefault="0099756F" w:rsidP="00AA149C">
      <w:pPr>
        <w:pStyle w:val="Heading3"/>
      </w:pPr>
      <w:bookmarkStart w:id="131" w:name="_Toc295818121"/>
      <w:r>
        <w:lastRenderedPageBreak/>
        <w:t>HFIRCE-3 MCNP Calculations</w:t>
      </w:r>
      <w:bookmarkEnd w:id="131"/>
    </w:p>
    <w:p w:rsidR="0099756F" w:rsidRPr="0099756F" w:rsidRDefault="0099756F" w:rsidP="0099756F">
      <w:r w:rsidRPr="0099756F">
        <w:t xml:space="preserve">In order to correctly and accurately model the foils, a coordinate transformation was performed and volume tallies were inserted into the model. </w:t>
      </w:r>
      <w:r>
        <w:t xml:space="preserve"> </w:t>
      </w:r>
      <w:r w:rsidRPr="0099756F">
        <w:t xml:space="preserve">Due to the symmetry of the fuel elements, the foils were modeled as cylinders inside of the fuel elements with inner and outer radii as calculated using involute geometry. </w:t>
      </w:r>
      <w:r>
        <w:t xml:space="preserve"> </w:t>
      </w:r>
      <w:r w:rsidRPr="0099756F">
        <w:t xml:space="preserve">A </w:t>
      </w:r>
      <w:r>
        <w:t>cell was created by “wrapping” each</w:t>
      </w:r>
      <w:r w:rsidRPr="0099756F">
        <w:t xml:space="preserve"> foil’s cross section around the fuel elements by bounding it radially by the foil’s corresponding inner and outer radii and axially by the foil’s top and bottom dimensions. </w:t>
      </w:r>
      <w:r>
        <w:t xml:space="preserve"> </w:t>
      </w:r>
      <w:r w:rsidRPr="0099756F">
        <w:t>By utilizing volume tallies, the average fission densities in units of fissions/cm</w:t>
      </w:r>
      <w:r w:rsidRPr="0099756F">
        <w:rPr>
          <w:vertAlign w:val="superscript"/>
        </w:rPr>
        <w:t>3</w:t>
      </w:r>
      <w:r w:rsidRPr="0099756F">
        <w:t xml:space="preserve"> were calculated for each cell. </w:t>
      </w:r>
      <w:r>
        <w:t xml:space="preserve"> </w:t>
      </w:r>
      <w:r w:rsidRPr="0099756F">
        <w:t xml:space="preserve">The locations of these volume tallies in the IFE and the OFE can be viewed in </w:t>
      </w:r>
      <w:r w:rsidR="007511FA">
        <w:rPr>
          <w:highlight w:val="yellow"/>
        </w:rPr>
        <w:fldChar w:fldCharType="begin"/>
      </w:r>
      <w:r w:rsidR="003E77A1">
        <w:instrText xml:space="preserve"> REF _Ref285534566 \h </w:instrText>
      </w:r>
      <w:r w:rsidR="007511FA">
        <w:rPr>
          <w:highlight w:val="yellow"/>
        </w:rPr>
      </w:r>
      <w:r w:rsidR="007511FA">
        <w:rPr>
          <w:highlight w:val="yellow"/>
        </w:rPr>
        <w:fldChar w:fldCharType="separate"/>
      </w:r>
      <w:r w:rsidR="00D5167B">
        <w:t xml:space="preserve">Figure </w:t>
      </w:r>
      <w:r w:rsidR="00D5167B">
        <w:rPr>
          <w:noProof/>
        </w:rPr>
        <w:t>4</w:t>
      </w:r>
      <w:r w:rsidR="00D5167B">
        <w:t>.</w:t>
      </w:r>
      <w:r w:rsidR="00D5167B">
        <w:rPr>
          <w:noProof/>
        </w:rPr>
        <w:t>4</w:t>
      </w:r>
      <w:r w:rsidR="007511FA">
        <w:rPr>
          <w:highlight w:val="yellow"/>
        </w:rPr>
        <w:fldChar w:fldCharType="end"/>
      </w:r>
      <w:r>
        <w:t>.</w:t>
      </w:r>
    </w:p>
    <w:p w:rsidR="0099756F" w:rsidRPr="0099756F" w:rsidRDefault="0099756F" w:rsidP="0099756F">
      <w:r w:rsidRPr="0099756F">
        <w:t xml:space="preserve">Tallies are used in MCNP calculations to specify the parameters that the user desires. </w:t>
      </w:r>
      <w:r>
        <w:t xml:space="preserve"> </w:t>
      </w:r>
      <w:r w:rsidRPr="0099756F">
        <w:t>For this study, the fission density average over each of the foil’s volume was desired, so a F4</w:t>
      </w:r>
      <w:proofErr w:type="gramStart"/>
      <w:r w:rsidRPr="0099756F">
        <w:t>:N</w:t>
      </w:r>
      <w:proofErr w:type="gramEnd"/>
      <w:r w:rsidRPr="0099756F">
        <w:t xml:space="preserve"> tally was utilized. </w:t>
      </w:r>
      <w:r>
        <w:t xml:space="preserve"> </w:t>
      </w:r>
      <w:r w:rsidRPr="0099756F">
        <w:t xml:space="preserve">The tally multiplier card, </w:t>
      </w:r>
      <w:proofErr w:type="spellStart"/>
      <w:proofErr w:type="gramStart"/>
      <w:r w:rsidRPr="0099756F">
        <w:t>FMn</w:t>
      </w:r>
      <w:proofErr w:type="spellEnd"/>
      <w:proofErr w:type="gramEnd"/>
      <w:r w:rsidRPr="0099756F">
        <w:t>, was also used to incorporate the ENDF reaction number that corresponds to t</w:t>
      </w:r>
      <w:r>
        <w:t>he total fission cross section.</w:t>
      </w:r>
    </w:p>
    <w:p w:rsidR="0099756F" w:rsidRPr="0099756F" w:rsidRDefault="0099756F" w:rsidP="0099756F">
      <w:r w:rsidRPr="0099756F">
        <w:t xml:space="preserve">The KCODE card (criticality source card) was utilized in this analysis in order to calculate the </w:t>
      </w:r>
      <w:r>
        <w:t xml:space="preserve">effective multiplication factor </w:t>
      </w:r>
      <w:r w:rsidRPr="0099756F">
        <w:t xml:space="preserve">and other pertinent benchmark values for each of the conditions analyzed. </w:t>
      </w:r>
      <w:r>
        <w:t xml:space="preserve"> </w:t>
      </w:r>
      <w:r w:rsidRPr="0099756F">
        <w:t>For this study, it was determined that approximately 50 x 10</w:t>
      </w:r>
      <w:r w:rsidRPr="0099756F">
        <w:rPr>
          <w:vertAlign w:val="superscript"/>
        </w:rPr>
        <w:t>6</w:t>
      </w:r>
      <w:r w:rsidRPr="0099756F">
        <w:t xml:space="preserve"> histories had to be processed in order to obtain relative errors less than 0.5 %, which was the target error. </w:t>
      </w:r>
      <w:r>
        <w:t xml:space="preserve"> </w:t>
      </w:r>
      <w:r w:rsidRPr="0099756F">
        <w:t>For each case, 16000 histories per cycle and a total of 3040 cycles were run with the first 40 cycles being skipped.</w:t>
      </w:r>
    </w:p>
    <w:p w:rsidR="0099756F" w:rsidRPr="0099756F" w:rsidRDefault="0099756F" w:rsidP="0099756F">
      <w:pPr>
        <w:spacing w:before="0" w:after="200"/>
        <w:rPr>
          <w:b/>
        </w:rPr>
      </w:pPr>
      <w:r w:rsidRPr="0099756F">
        <w:t xml:space="preserve">The MCNP results were extracted and inserted into a spreadsheet where the volume-averaged fission density of each foil was calculated (when the foil spanned more than one fuel zone).  </w:t>
      </w:r>
      <w:r>
        <w:t>It was necessary to calculate the volume-averaged fission densities</w:t>
      </w:r>
      <w:r w:rsidRPr="0099756F">
        <w:t xml:space="preserve"> because some of the foil’s volumes incorporate</w:t>
      </w:r>
      <w:r w:rsidR="00E0739C">
        <w:t>d</w:t>
      </w:r>
      <w:r w:rsidRPr="0099756F">
        <w:t xml:space="preserve"> more than one region inside of the fuel element, and thus some foils</w:t>
      </w:r>
      <w:r w:rsidR="00E0739C">
        <w:t xml:space="preserve"> are made up of multiple cells.</w:t>
      </w:r>
    </w:p>
    <w:p w:rsidR="00E0739C" w:rsidRDefault="00E0739C" w:rsidP="00E0739C">
      <w:pPr>
        <w:spacing w:before="0" w:after="200"/>
      </w:pPr>
      <w:r>
        <w:t>T</w:t>
      </w:r>
      <w:r w:rsidRPr="00E0739C">
        <w:t xml:space="preserve">he fission density for each foil was normalized according to the </w:t>
      </w:r>
      <w:r w:rsidRPr="00E0739C">
        <w:rPr>
          <w:vertAlign w:val="superscript"/>
        </w:rPr>
        <w:t>235</w:t>
      </w:r>
      <w:r w:rsidRPr="00E0739C">
        <w:t xml:space="preserve">U concentration percent difference between its actual loading (during the experiment) and its modeled loading (in the MCNP </w:t>
      </w:r>
      <w:r w:rsidRPr="00E0739C">
        <w:lastRenderedPageBreak/>
        <w:t xml:space="preserve">model). </w:t>
      </w:r>
      <w:r>
        <w:t xml:space="preserve"> </w:t>
      </w:r>
      <w:r w:rsidRPr="00E0739C">
        <w:t xml:space="preserve">Because the creation of the HFIR MCNP model preceded this work and since the fuel elements are modeled utilizing 8 radial regions for the IFE and 9 radial regions for the OFE, the </w:t>
      </w:r>
      <w:r w:rsidRPr="00E0739C">
        <w:rPr>
          <w:vertAlign w:val="superscript"/>
        </w:rPr>
        <w:t>235</w:t>
      </w:r>
      <w:r w:rsidRPr="00E0739C">
        <w:t xml:space="preserve">U concentration modeled for each foil is not equal to the actual </w:t>
      </w:r>
      <w:r w:rsidRPr="00E0739C">
        <w:rPr>
          <w:vertAlign w:val="superscript"/>
        </w:rPr>
        <w:t>235</w:t>
      </w:r>
      <w:r w:rsidRPr="00E0739C">
        <w:t xml:space="preserve">U concentration. </w:t>
      </w:r>
      <w:r>
        <w:t xml:space="preserve"> </w:t>
      </w:r>
      <w:r w:rsidR="007511FA">
        <w:rPr>
          <w:highlight w:val="yellow"/>
        </w:rPr>
        <w:fldChar w:fldCharType="begin"/>
      </w:r>
      <w:r w:rsidR="003E77A1">
        <w:instrText xml:space="preserve"> REF _Ref285534606 \h </w:instrText>
      </w:r>
      <w:r w:rsidR="007511FA">
        <w:rPr>
          <w:highlight w:val="yellow"/>
        </w:rPr>
      </w:r>
      <w:r w:rsidR="007511FA">
        <w:rPr>
          <w:highlight w:val="yellow"/>
        </w:rPr>
        <w:fldChar w:fldCharType="separate"/>
      </w:r>
      <w:r w:rsidR="00D5167B">
        <w:t xml:space="preserve">Figure </w:t>
      </w:r>
      <w:r w:rsidR="00D5167B">
        <w:rPr>
          <w:noProof/>
        </w:rPr>
        <w:t>4</w:t>
      </w:r>
      <w:r w:rsidR="00D5167B">
        <w:t>.</w:t>
      </w:r>
      <w:r w:rsidR="00D5167B">
        <w:rPr>
          <w:noProof/>
        </w:rPr>
        <w:t>5</w:t>
      </w:r>
      <w:r w:rsidR="007511FA">
        <w:rPr>
          <w:highlight w:val="yellow"/>
        </w:rPr>
        <w:fldChar w:fldCharType="end"/>
      </w:r>
      <w:r w:rsidRPr="00E0739C">
        <w:t xml:space="preserve"> illustrates that the placement of the “foil zones” spanned multiple fuel zones in the MCNP model.</w:t>
      </w:r>
      <w:r>
        <w:t xml:space="preserve"> </w:t>
      </w:r>
      <w:r w:rsidRPr="00E0739C">
        <w:t xml:space="preserve"> The zone boundaries correspond to values selected in</w:t>
      </w:r>
      <w:r w:rsidR="00C67546">
        <w:t xml:space="preserve"> </w:t>
      </w:r>
      <w:r w:rsidR="007511FA">
        <w:fldChar w:fldCharType="begin"/>
      </w:r>
      <w:r w:rsidR="00C67546">
        <w:instrText xml:space="preserve"> REF _Ref285636804 \n \h </w:instrText>
      </w:r>
      <w:r w:rsidR="007511FA">
        <w:fldChar w:fldCharType="separate"/>
      </w:r>
      <w:r w:rsidR="00D5167B">
        <w:t>[66]</w:t>
      </w:r>
      <w:r w:rsidR="007511FA">
        <w:fldChar w:fldCharType="end"/>
      </w:r>
      <w:r w:rsidRPr="00E0739C">
        <w:t xml:space="preserve">. </w:t>
      </w:r>
      <w:r>
        <w:t xml:space="preserve"> </w:t>
      </w:r>
      <w:r w:rsidRPr="00E0739C">
        <w:t xml:space="preserve">Had the MCNP model used in this work been newly created, different radial boundaries might have been selected. </w:t>
      </w:r>
      <w:r>
        <w:t xml:space="preserve"> </w:t>
      </w:r>
      <w:fldSimple w:instr=" REF _Ref285534616 \h  \* MERGEFORMAT ">
        <w:r w:rsidR="00D5167B">
          <w:t xml:space="preserve">Table </w:t>
        </w:r>
        <w:r w:rsidR="00D5167B">
          <w:rPr>
            <w:noProof/>
          </w:rPr>
          <w:t>4.5</w:t>
        </w:r>
      </w:fldSimple>
      <w:r w:rsidRPr="003E77A1">
        <w:t xml:space="preserve"> and </w:t>
      </w:r>
      <w:r w:rsidR="007511FA">
        <w:rPr>
          <w:highlight w:val="yellow"/>
        </w:rPr>
        <w:fldChar w:fldCharType="begin"/>
      </w:r>
      <w:r w:rsidR="003E77A1">
        <w:rPr>
          <w:highlight w:val="yellow"/>
        </w:rPr>
        <w:instrText xml:space="preserve"> REF _Ref285534622 \h </w:instrText>
      </w:r>
      <w:r w:rsidR="007511FA">
        <w:rPr>
          <w:highlight w:val="yellow"/>
        </w:rPr>
      </w:r>
      <w:r w:rsidR="007511FA">
        <w:rPr>
          <w:highlight w:val="yellow"/>
        </w:rPr>
        <w:fldChar w:fldCharType="separate"/>
      </w:r>
      <w:r w:rsidR="00D5167B" w:rsidRPr="003E77A1">
        <w:t xml:space="preserve">Table </w:t>
      </w:r>
      <w:r w:rsidR="00D5167B">
        <w:rPr>
          <w:noProof/>
        </w:rPr>
        <w:t>4</w:t>
      </w:r>
      <w:r w:rsidR="00D5167B">
        <w:t>.</w:t>
      </w:r>
      <w:r w:rsidR="00D5167B">
        <w:rPr>
          <w:noProof/>
        </w:rPr>
        <w:t>6</w:t>
      </w:r>
      <w:r w:rsidR="007511FA">
        <w:rPr>
          <w:highlight w:val="yellow"/>
        </w:rPr>
        <w:fldChar w:fldCharType="end"/>
      </w:r>
      <w:r w:rsidRPr="00E0739C">
        <w:t xml:space="preserve"> list the </w:t>
      </w:r>
      <w:r w:rsidRPr="00E0739C">
        <w:rPr>
          <w:vertAlign w:val="superscript"/>
        </w:rPr>
        <w:t>235</w:t>
      </w:r>
      <w:r w:rsidRPr="00E0739C">
        <w:t xml:space="preserve">U concentration percent differences (between actual and modeled) that were calculated to normalize the fission densities of the foils.  The calculated power densities were then normalized to foil 3 of the IFE, the normalizing foil in the critical experiments as reported in </w:t>
      </w:r>
      <w:r w:rsidR="007511FA">
        <w:fldChar w:fldCharType="begin"/>
      </w:r>
      <w:r w:rsidR="00C67546">
        <w:instrText xml:space="preserve"> REF _Ref285636804 \n \h </w:instrText>
      </w:r>
      <w:r w:rsidR="007511FA">
        <w:fldChar w:fldCharType="separate"/>
      </w:r>
      <w:r w:rsidR="00D5167B">
        <w:t>[66]</w:t>
      </w:r>
      <w:r w:rsidR="007511FA">
        <w:fldChar w:fldCharType="end"/>
      </w:r>
      <w:r w:rsidR="00C67546">
        <w:t>.</w:t>
      </w:r>
    </w:p>
    <w:p w:rsidR="00E0739C" w:rsidRDefault="00E0739C" w:rsidP="00E0739C">
      <w:pPr>
        <w:spacing w:before="0" w:after="200"/>
        <w:rPr>
          <w:b/>
        </w:rPr>
      </w:pPr>
    </w:p>
    <w:p w:rsidR="00A52A92" w:rsidRPr="00E0739C" w:rsidRDefault="00A52A92" w:rsidP="00E0739C">
      <w:pPr>
        <w:spacing w:before="0" w:after="200"/>
        <w:rPr>
          <w:b/>
        </w:rPr>
      </w:pPr>
    </w:p>
    <w:p w:rsidR="00E0739C" w:rsidRDefault="00E0739C" w:rsidP="00A52A92">
      <w:pPr>
        <w:ind w:firstLine="0"/>
        <w:jc w:val="center"/>
        <w:rPr>
          <w:b/>
          <w:sz w:val="24"/>
        </w:rPr>
      </w:pPr>
      <w:r w:rsidRPr="001D4E80">
        <w:rPr>
          <w:b/>
          <w:noProof/>
          <w:sz w:val="24"/>
        </w:rPr>
        <w:drawing>
          <wp:inline distT="0" distB="0" distL="0" distR="0">
            <wp:extent cx="5291629" cy="3657600"/>
            <wp:effectExtent l="19050" t="19050" r="23321" b="19050"/>
            <wp:docPr id="4" name="Picture 3" descr="C:\Users\dcz\Desktop\project\IFE_approx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cz\Desktop\project\IFE_approx_2.jpg"/>
                    <pic:cNvPicPr>
                      <a:picLocks noChangeAspect="1" noChangeArrowheads="1"/>
                    </pic:cNvPicPr>
                  </pic:nvPicPr>
                  <pic:blipFill>
                    <a:blip r:embed="rId20" cstate="print"/>
                    <a:srcRect l="941" t="6420" r="1415" b="946"/>
                    <a:stretch>
                      <a:fillRect/>
                    </a:stretch>
                  </pic:blipFill>
                  <pic:spPr bwMode="auto">
                    <a:xfrm>
                      <a:off x="0" y="0"/>
                      <a:ext cx="5291629" cy="3657600"/>
                    </a:xfrm>
                    <a:prstGeom prst="rect">
                      <a:avLst/>
                    </a:prstGeom>
                    <a:noFill/>
                    <a:ln w="9525">
                      <a:solidFill>
                        <a:schemeClr val="tx1"/>
                      </a:solidFill>
                      <a:miter lim="800000"/>
                      <a:headEnd/>
                      <a:tailEnd/>
                    </a:ln>
                  </pic:spPr>
                </pic:pic>
              </a:graphicData>
            </a:graphic>
          </wp:inline>
        </w:drawing>
      </w:r>
    </w:p>
    <w:p w:rsidR="00E0739C" w:rsidRDefault="003E77A1" w:rsidP="003E77A1">
      <w:pPr>
        <w:pStyle w:val="Caption"/>
      </w:pPr>
      <w:bookmarkStart w:id="132" w:name="_Ref285534606"/>
      <w:bookmarkStart w:id="133" w:name="_Toc295818191"/>
      <w:proofErr w:type="gramStart"/>
      <w:r>
        <w:t xml:space="preserve">Figure </w:t>
      </w:r>
      <w:r w:rsidR="007511FA">
        <w:fldChar w:fldCharType="begin"/>
      </w:r>
      <w:r w:rsidR="00AE17F8">
        <w:instrText xml:space="preserve"> STYLEREF 1 \s </w:instrText>
      </w:r>
      <w:r w:rsidR="007511FA">
        <w:fldChar w:fldCharType="separate"/>
      </w:r>
      <w:r w:rsidR="00D5167B">
        <w:rPr>
          <w:noProof/>
        </w:rPr>
        <w:t>4</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5</w:t>
      </w:r>
      <w:r w:rsidR="007511FA">
        <w:fldChar w:fldCharType="end"/>
      </w:r>
      <w:bookmarkEnd w:id="132"/>
      <w:r w:rsidR="00E0739C" w:rsidRPr="00E0739C">
        <w:t xml:space="preserve">.  </w:t>
      </w:r>
      <w:proofErr w:type="gramStart"/>
      <w:r w:rsidR="00E0739C" w:rsidRPr="00E0739C">
        <w:t xml:space="preserve">Actual versus modeled </w:t>
      </w:r>
      <w:r w:rsidR="00E0739C" w:rsidRPr="00E0739C">
        <w:rPr>
          <w:vertAlign w:val="superscript"/>
        </w:rPr>
        <w:t>235</w:t>
      </w:r>
      <w:r w:rsidR="00E0739C" w:rsidRPr="00E0739C">
        <w:t>U concentration of foils in the IFE.</w:t>
      </w:r>
      <w:bookmarkEnd w:id="133"/>
      <w:proofErr w:type="gramEnd"/>
      <w:r w:rsidR="00E0739C">
        <w:br w:type="page"/>
      </w:r>
    </w:p>
    <w:p w:rsidR="0099756F" w:rsidRPr="00E0739C" w:rsidRDefault="003E77A1" w:rsidP="003E77A1">
      <w:pPr>
        <w:pStyle w:val="Caption"/>
      </w:pPr>
      <w:bookmarkStart w:id="134" w:name="_Ref285534616"/>
      <w:bookmarkStart w:id="135" w:name="_Toc295818268"/>
      <w:proofErr w:type="gramStart"/>
      <w:r>
        <w:lastRenderedPageBreak/>
        <w:t xml:space="preserve">Table </w:t>
      </w:r>
      <w:r w:rsidR="007511FA">
        <w:fldChar w:fldCharType="begin"/>
      </w:r>
      <w:r w:rsidR="00AE17F8">
        <w:instrText xml:space="preserve"> STYLEREF 1 \s </w:instrText>
      </w:r>
      <w:r w:rsidR="007511FA">
        <w:fldChar w:fldCharType="separate"/>
      </w:r>
      <w:r w:rsidR="00D5167B">
        <w:rPr>
          <w:noProof/>
        </w:rPr>
        <w:t>4</w:t>
      </w:r>
      <w:r w:rsidR="007511FA">
        <w:fldChar w:fldCharType="end"/>
      </w:r>
      <w:r w:rsidR="00DE5151">
        <w:t>.</w:t>
      </w:r>
      <w:proofErr w:type="gramEnd"/>
      <w:r w:rsidR="007511FA">
        <w:fldChar w:fldCharType="begin"/>
      </w:r>
      <w:r w:rsidR="00C43F40">
        <w:instrText xml:space="preserve"> SEQ Table \* ARABIC \s 1 </w:instrText>
      </w:r>
      <w:r w:rsidR="007511FA">
        <w:fldChar w:fldCharType="separate"/>
      </w:r>
      <w:r w:rsidR="00D5167B">
        <w:rPr>
          <w:noProof/>
        </w:rPr>
        <w:t>5</w:t>
      </w:r>
      <w:r w:rsidR="007511FA">
        <w:fldChar w:fldCharType="end"/>
      </w:r>
      <w:bookmarkEnd w:id="134"/>
      <w:r w:rsidR="00E0739C">
        <w:t xml:space="preserve">.  Percent difference of </w:t>
      </w:r>
      <w:r w:rsidR="00E0739C">
        <w:rPr>
          <w:vertAlign w:val="superscript"/>
        </w:rPr>
        <w:t>235</w:t>
      </w:r>
      <w:r w:rsidR="00E0739C">
        <w:t>U modeled in IFE.</w:t>
      </w:r>
      <w:bookmarkEnd w:id="135"/>
    </w:p>
    <w:tbl>
      <w:tblPr>
        <w:tblStyle w:val="TableGrid"/>
        <w:tblW w:w="5000" w:type="pct"/>
        <w:tblLook w:val="04A0"/>
      </w:tblPr>
      <w:tblGrid>
        <w:gridCol w:w="1970"/>
        <w:gridCol w:w="2047"/>
        <w:gridCol w:w="1927"/>
        <w:gridCol w:w="1927"/>
        <w:gridCol w:w="1705"/>
      </w:tblGrid>
      <w:tr w:rsidR="00E0739C" w:rsidRPr="00B65CB1" w:rsidTr="00E0739C">
        <w:trPr>
          <w:trHeight w:val="317"/>
        </w:trPr>
        <w:tc>
          <w:tcPr>
            <w:tcW w:w="1029" w:type="pct"/>
            <w:hideMark/>
          </w:tcPr>
          <w:p w:rsidR="00E0739C" w:rsidRPr="004F42F4" w:rsidRDefault="00E0739C" w:rsidP="004F42F4">
            <w:pPr>
              <w:pStyle w:val="NormalWeb"/>
              <w:spacing w:before="0" w:beforeAutospacing="0" w:after="0" w:afterAutospacing="0"/>
              <w:ind w:firstLine="0"/>
              <w:jc w:val="center"/>
              <w:textAlignment w:val="bottom"/>
              <w:rPr>
                <w:b/>
                <w:sz w:val="22"/>
                <w:szCs w:val="22"/>
              </w:rPr>
            </w:pPr>
            <w:r w:rsidRPr="004F42F4">
              <w:rPr>
                <w:b/>
                <w:sz w:val="22"/>
                <w:szCs w:val="22"/>
              </w:rPr>
              <w:t>Foil</w:t>
            </w:r>
          </w:p>
        </w:tc>
        <w:tc>
          <w:tcPr>
            <w:tcW w:w="1069" w:type="pct"/>
            <w:hideMark/>
          </w:tcPr>
          <w:p w:rsidR="00E0739C" w:rsidRPr="004F42F4" w:rsidRDefault="00E0739C" w:rsidP="004F42F4">
            <w:pPr>
              <w:pStyle w:val="NormalWeb"/>
              <w:spacing w:before="0" w:beforeAutospacing="0" w:after="0" w:afterAutospacing="0"/>
              <w:ind w:firstLine="0"/>
              <w:jc w:val="center"/>
              <w:textAlignment w:val="bottom"/>
              <w:rPr>
                <w:b/>
                <w:sz w:val="22"/>
                <w:szCs w:val="22"/>
              </w:rPr>
            </w:pPr>
            <w:r w:rsidRPr="004F42F4">
              <w:rPr>
                <w:b/>
                <w:sz w:val="22"/>
                <w:szCs w:val="22"/>
              </w:rPr>
              <w:t>Actual</w:t>
            </w:r>
          </w:p>
          <w:p w:rsidR="00E0739C" w:rsidRPr="004F42F4" w:rsidRDefault="00E0739C" w:rsidP="004F42F4">
            <w:pPr>
              <w:pStyle w:val="NormalWeb"/>
              <w:spacing w:before="0" w:beforeAutospacing="0" w:after="0" w:afterAutospacing="0"/>
              <w:ind w:firstLine="0"/>
              <w:jc w:val="center"/>
              <w:textAlignment w:val="bottom"/>
              <w:rPr>
                <w:b/>
                <w:sz w:val="22"/>
                <w:szCs w:val="22"/>
              </w:rPr>
            </w:pPr>
            <w:r w:rsidRPr="004F42F4">
              <w:rPr>
                <w:b/>
                <w:sz w:val="22"/>
                <w:szCs w:val="22"/>
              </w:rPr>
              <w:t>(atoms/b-cm)</w:t>
            </w:r>
          </w:p>
        </w:tc>
        <w:tc>
          <w:tcPr>
            <w:tcW w:w="1006" w:type="pct"/>
            <w:hideMark/>
          </w:tcPr>
          <w:p w:rsidR="00E0739C" w:rsidRPr="004F42F4" w:rsidRDefault="00E0739C" w:rsidP="004F42F4">
            <w:pPr>
              <w:pStyle w:val="NormalWeb"/>
              <w:spacing w:before="0" w:beforeAutospacing="0" w:after="0" w:afterAutospacing="0"/>
              <w:ind w:firstLine="0"/>
              <w:jc w:val="center"/>
              <w:textAlignment w:val="bottom"/>
              <w:rPr>
                <w:b/>
                <w:sz w:val="22"/>
                <w:szCs w:val="22"/>
              </w:rPr>
            </w:pPr>
            <w:r w:rsidRPr="004F42F4">
              <w:rPr>
                <w:b/>
                <w:sz w:val="22"/>
                <w:szCs w:val="22"/>
              </w:rPr>
              <w:t>Modeled</w:t>
            </w:r>
          </w:p>
          <w:p w:rsidR="00E0739C" w:rsidRPr="004F42F4" w:rsidRDefault="00E0739C" w:rsidP="004F42F4">
            <w:pPr>
              <w:pStyle w:val="NormalWeb"/>
              <w:spacing w:before="0" w:beforeAutospacing="0" w:after="0" w:afterAutospacing="0"/>
              <w:ind w:firstLine="0"/>
              <w:jc w:val="center"/>
              <w:textAlignment w:val="bottom"/>
              <w:rPr>
                <w:b/>
                <w:sz w:val="22"/>
                <w:szCs w:val="22"/>
              </w:rPr>
            </w:pPr>
            <w:r w:rsidRPr="004F42F4">
              <w:rPr>
                <w:b/>
                <w:sz w:val="22"/>
                <w:szCs w:val="22"/>
              </w:rPr>
              <w:t>(atoms/b-cm)</w:t>
            </w:r>
          </w:p>
        </w:tc>
        <w:tc>
          <w:tcPr>
            <w:tcW w:w="1006" w:type="pct"/>
            <w:hideMark/>
          </w:tcPr>
          <w:p w:rsidR="00E0739C" w:rsidRPr="004F42F4" w:rsidRDefault="00E0739C" w:rsidP="004F42F4">
            <w:pPr>
              <w:pStyle w:val="NormalWeb"/>
              <w:spacing w:before="0" w:beforeAutospacing="0" w:after="0" w:afterAutospacing="0"/>
              <w:ind w:firstLine="0"/>
              <w:jc w:val="center"/>
              <w:textAlignment w:val="bottom"/>
              <w:rPr>
                <w:b/>
                <w:sz w:val="22"/>
                <w:szCs w:val="22"/>
              </w:rPr>
            </w:pPr>
            <w:r w:rsidRPr="004F42F4">
              <w:rPr>
                <w:b/>
                <w:sz w:val="22"/>
                <w:szCs w:val="22"/>
              </w:rPr>
              <w:t>Act. – Mod.</w:t>
            </w:r>
          </w:p>
          <w:p w:rsidR="00E0739C" w:rsidRPr="004F42F4" w:rsidRDefault="00E0739C" w:rsidP="004F42F4">
            <w:pPr>
              <w:pStyle w:val="NormalWeb"/>
              <w:spacing w:before="0" w:beforeAutospacing="0" w:after="0" w:afterAutospacing="0"/>
              <w:ind w:firstLine="0"/>
              <w:jc w:val="center"/>
              <w:textAlignment w:val="bottom"/>
              <w:rPr>
                <w:b/>
                <w:sz w:val="22"/>
                <w:szCs w:val="22"/>
              </w:rPr>
            </w:pPr>
            <w:r w:rsidRPr="004F42F4">
              <w:rPr>
                <w:b/>
                <w:sz w:val="22"/>
                <w:szCs w:val="22"/>
              </w:rPr>
              <w:t>(atoms/b-cm)</w:t>
            </w:r>
          </w:p>
        </w:tc>
        <w:tc>
          <w:tcPr>
            <w:tcW w:w="890" w:type="pct"/>
            <w:hideMark/>
          </w:tcPr>
          <w:p w:rsidR="00E0739C" w:rsidRPr="004F42F4" w:rsidRDefault="00E0739C" w:rsidP="004F42F4">
            <w:pPr>
              <w:pStyle w:val="NormalWeb"/>
              <w:spacing w:before="0" w:beforeAutospacing="0" w:after="0" w:afterAutospacing="0"/>
              <w:ind w:firstLine="0"/>
              <w:jc w:val="center"/>
              <w:textAlignment w:val="bottom"/>
              <w:rPr>
                <w:b/>
                <w:sz w:val="22"/>
                <w:szCs w:val="22"/>
              </w:rPr>
            </w:pPr>
            <w:r w:rsidRPr="004F42F4">
              <w:rPr>
                <w:b/>
                <w:sz w:val="22"/>
                <w:szCs w:val="22"/>
              </w:rPr>
              <w:t>Percent</w:t>
            </w:r>
          </w:p>
          <w:p w:rsidR="00E0739C" w:rsidRPr="004F42F4" w:rsidRDefault="00E0739C" w:rsidP="004F42F4">
            <w:pPr>
              <w:pStyle w:val="NormalWeb"/>
              <w:spacing w:before="0" w:beforeAutospacing="0" w:after="0" w:afterAutospacing="0"/>
              <w:ind w:firstLine="0"/>
              <w:jc w:val="center"/>
              <w:textAlignment w:val="bottom"/>
              <w:rPr>
                <w:b/>
                <w:sz w:val="22"/>
                <w:szCs w:val="22"/>
              </w:rPr>
            </w:pPr>
            <w:r w:rsidRPr="004F42F4">
              <w:rPr>
                <w:b/>
                <w:sz w:val="22"/>
                <w:szCs w:val="22"/>
              </w:rPr>
              <w:t>difference</w:t>
            </w:r>
          </w:p>
        </w:tc>
      </w:tr>
      <w:tr w:rsidR="00E0739C" w:rsidRPr="00B65CB1" w:rsidTr="00E0739C">
        <w:trPr>
          <w:trHeight w:val="317"/>
        </w:trPr>
        <w:tc>
          <w:tcPr>
            <w:tcW w:w="1029"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1</w:t>
            </w:r>
          </w:p>
        </w:tc>
        <w:tc>
          <w:tcPr>
            <w:tcW w:w="1069"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2.13403E-04</w:t>
            </w:r>
          </w:p>
        </w:tc>
        <w:tc>
          <w:tcPr>
            <w:tcW w:w="1006"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2.10202E-04</w:t>
            </w:r>
          </w:p>
        </w:tc>
        <w:tc>
          <w:tcPr>
            <w:tcW w:w="1006"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3.20094E-06</w:t>
            </w:r>
          </w:p>
        </w:tc>
        <w:tc>
          <w:tcPr>
            <w:tcW w:w="890"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1.49995</w:t>
            </w:r>
          </w:p>
        </w:tc>
      </w:tr>
      <w:tr w:rsidR="00E0739C" w:rsidRPr="00B65CB1" w:rsidTr="00E0739C">
        <w:trPr>
          <w:trHeight w:val="323"/>
        </w:trPr>
        <w:tc>
          <w:tcPr>
            <w:tcW w:w="1029"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2</w:t>
            </w:r>
          </w:p>
        </w:tc>
        <w:tc>
          <w:tcPr>
            <w:tcW w:w="1069"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3.18892E-04</w:t>
            </w:r>
          </w:p>
        </w:tc>
        <w:tc>
          <w:tcPr>
            <w:tcW w:w="1006"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3.11260E-04</w:t>
            </w:r>
          </w:p>
        </w:tc>
        <w:tc>
          <w:tcPr>
            <w:tcW w:w="1006"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7.63201E-06</w:t>
            </w:r>
          </w:p>
        </w:tc>
        <w:tc>
          <w:tcPr>
            <w:tcW w:w="890"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2.39329</w:t>
            </w:r>
          </w:p>
        </w:tc>
      </w:tr>
      <w:tr w:rsidR="00E0739C" w:rsidRPr="00B65CB1" w:rsidTr="00E0739C">
        <w:trPr>
          <w:trHeight w:val="317"/>
        </w:trPr>
        <w:tc>
          <w:tcPr>
            <w:tcW w:w="1029"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3</w:t>
            </w:r>
          </w:p>
        </w:tc>
        <w:tc>
          <w:tcPr>
            <w:tcW w:w="1069"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4.12780E-04</w:t>
            </w:r>
          </w:p>
        </w:tc>
        <w:tc>
          <w:tcPr>
            <w:tcW w:w="1006"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3.86333E-04</w:t>
            </w:r>
          </w:p>
        </w:tc>
        <w:tc>
          <w:tcPr>
            <w:tcW w:w="1006"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2.64478E-05</w:t>
            </w:r>
          </w:p>
        </w:tc>
        <w:tc>
          <w:tcPr>
            <w:tcW w:w="890"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6.40723</w:t>
            </w:r>
          </w:p>
        </w:tc>
      </w:tr>
      <w:tr w:rsidR="00E0739C" w:rsidRPr="00B65CB1" w:rsidTr="00E0739C">
        <w:trPr>
          <w:trHeight w:val="317"/>
        </w:trPr>
        <w:tc>
          <w:tcPr>
            <w:tcW w:w="1029"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4</w:t>
            </w:r>
          </w:p>
        </w:tc>
        <w:tc>
          <w:tcPr>
            <w:tcW w:w="1069"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4.62314E-04</w:t>
            </w:r>
          </w:p>
        </w:tc>
        <w:tc>
          <w:tcPr>
            <w:tcW w:w="1006"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4.49159E-04</w:t>
            </w:r>
          </w:p>
        </w:tc>
        <w:tc>
          <w:tcPr>
            <w:tcW w:w="1006"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1.31547E-05</w:t>
            </w:r>
          </w:p>
        </w:tc>
        <w:tc>
          <w:tcPr>
            <w:tcW w:w="890"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2.84539</w:t>
            </w:r>
          </w:p>
        </w:tc>
      </w:tr>
      <w:tr w:rsidR="00E0739C" w:rsidRPr="00B65CB1" w:rsidTr="00E0739C">
        <w:trPr>
          <w:trHeight w:val="317"/>
        </w:trPr>
        <w:tc>
          <w:tcPr>
            <w:tcW w:w="1029"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5</w:t>
            </w:r>
          </w:p>
        </w:tc>
        <w:tc>
          <w:tcPr>
            <w:tcW w:w="1069"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4.36756E-04</w:t>
            </w:r>
          </w:p>
        </w:tc>
        <w:tc>
          <w:tcPr>
            <w:tcW w:w="1006"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4.45758E-04</w:t>
            </w:r>
          </w:p>
        </w:tc>
        <w:tc>
          <w:tcPr>
            <w:tcW w:w="1006"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-9.00188E-06</w:t>
            </w:r>
          </w:p>
        </w:tc>
        <w:tc>
          <w:tcPr>
            <w:tcW w:w="890"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-2.06108</w:t>
            </w:r>
          </w:p>
        </w:tc>
      </w:tr>
      <w:tr w:rsidR="00E0739C" w:rsidRPr="00B65CB1" w:rsidTr="00E0739C">
        <w:trPr>
          <w:trHeight w:val="317"/>
        </w:trPr>
        <w:tc>
          <w:tcPr>
            <w:tcW w:w="1029"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6</w:t>
            </w:r>
          </w:p>
        </w:tc>
        <w:tc>
          <w:tcPr>
            <w:tcW w:w="1069"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3.57157E-04</w:t>
            </w:r>
          </w:p>
        </w:tc>
        <w:tc>
          <w:tcPr>
            <w:tcW w:w="1006"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3.71800E-04</w:t>
            </w:r>
          </w:p>
        </w:tc>
        <w:tc>
          <w:tcPr>
            <w:tcW w:w="1006"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-1.46435E-05</w:t>
            </w:r>
          </w:p>
        </w:tc>
        <w:tc>
          <w:tcPr>
            <w:tcW w:w="890"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-4.10001</w:t>
            </w:r>
          </w:p>
        </w:tc>
      </w:tr>
      <w:tr w:rsidR="00E0739C" w:rsidRPr="00B65CB1" w:rsidTr="00E0739C">
        <w:trPr>
          <w:trHeight w:val="317"/>
        </w:trPr>
        <w:tc>
          <w:tcPr>
            <w:tcW w:w="1029"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A, AA, HH, H</w:t>
            </w:r>
          </w:p>
        </w:tc>
        <w:tc>
          <w:tcPr>
            <w:tcW w:w="1069"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4.42420E-04</w:t>
            </w:r>
          </w:p>
        </w:tc>
        <w:tc>
          <w:tcPr>
            <w:tcW w:w="1006"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4.38301E-04</w:t>
            </w:r>
          </w:p>
        </w:tc>
        <w:tc>
          <w:tcPr>
            <w:tcW w:w="1006"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4.12233E-06</w:t>
            </w:r>
          </w:p>
        </w:tc>
        <w:tc>
          <w:tcPr>
            <w:tcW w:w="890"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0.93176</w:t>
            </w:r>
          </w:p>
        </w:tc>
      </w:tr>
    </w:tbl>
    <w:p w:rsidR="00E0739C" w:rsidRDefault="00E0739C">
      <w:pPr>
        <w:spacing w:before="0" w:after="200" w:line="276" w:lineRule="auto"/>
      </w:pPr>
    </w:p>
    <w:p w:rsidR="00E0739C" w:rsidRDefault="00E0739C">
      <w:pPr>
        <w:spacing w:before="0" w:after="200" w:line="276" w:lineRule="auto"/>
      </w:pPr>
    </w:p>
    <w:p w:rsidR="00E0739C" w:rsidRDefault="00E0739C">
      <w:pPr>
        <w:spacing w:before="0" w:after="200" w:line="276" w:lineRule="auto"/>
      </w:pPr>
    </w:p>
    <w:p w:rsidR="00E0739C" w:rsidRDefault="00E0739C">
      <w:pPr>
        <w:spacing w:before="0" w:after="200" w:line="276" w:lineRule="auto"/>
      </w:pPr>
    </w:p>
    <w:p w:rsidR="00E0739C" w:rsidRDefault="00E0739C">
      <w:pPr>
        <w:spacing w:before="0" w:after="200" w:line="276" w:lineRule="auto"/>
      </w:pPr>
    </w:p>
    <w:p w:rsidR="00E0739C" w:rsidRDefault="00E0739C">
      <w:pPr>
        <w:spacing w:before="0" w:after="200" w:line="276" w:lineRule="auto"/>
      </w:pPr>
    </w:p>
    <w:p w:rsidR="00E0739C" w:rsidRDefault="00E0739C">
      <w:pPr>
        <w:spacing w:before="0" w:after="200" w:line="276" w:lineRule="auto"/>
      </w:pPr>
    </w:p>
    <w:p w:rsidR="00E0739C" w:rsidRDefault="00E0739C">
      <w:pPr>
        <w:spacing w:before="0" w:after="200" w:line="276" w:lineRule="auto"/>
      </w:pPr>
    </w:p>
    <w:p w:rsidR="00E0739C" w:rsidRDefault="00E0739C">
      <w:pPr>
        <w:spacing w:before="0" w:after="200" w:line="276" w:lineRule="auto"/>
      </w:pPr>
    </w:p>
    <w:p w:rsidR="00E0739C" w:rsidRDefault="00E0739C">
      <w:pPr>
        <w:spacing w:before="0" w:after="200" w:line="276" w:lineRule="auto"/>
      </w:pPr>
    </w:p>
    <w:p w:rsidR="00E0739C" w:rsidRDefault="00E0739C">
      <w:pPr>
        <w:spacing w:before="0" w:after="200" w:line="276" w:lineRule="auto"/>
      </w:pPr>
    </w:p>
    <w:p w:rsidR="00E0739C" w:rsidRPr="003E77A1" w:rsidRDefault="003E77A1" w:rsidP="003E77A1">
      <w:pPr>
        <w:pStyle w:val="Caption"/>
      </w:pPr>
      <w:bookmarkStart w:id="136" w:name="_Ref285534622"/>
      <w:bookmarkStart w:id="137" w:name="_Toc295818269"/>
      <w:proofErr w:type="gramStart"/>
      <w:r w:rsidRPr="003E77A1">
        <w:t xml:space="preserve">Table </w:t>
      </w:r>
      <w:r w:rsidR="007511FA">
        <w:fldChar w:fldCharType="begin"/>
      </w:r>
      <w:r w:rsidR="00AE17F8">
        <w:instrText xml:space="preserve"> STYLEREF 1 \s </w:instrText>
      </w:r>
      <w:r w:rsidR="007511FA">
        <w:fldChar w:fldCharType="separate"/>
      </w:r>
      <w:r w:rsidR="00D5167B">
        <w:rPr>
          <w:noProof/>
        </w:rPr>
        <w:t>4</w:t>
      </w:r>
      <w:r w:rsidR="007511FA">
        <w:fldChar w:fldCharType="end"/>
      </w:r>
      <w:r w:rsidR="00DE5151">
        <w:t>.</w:t>
      </w:r>
      <w:proofErr w:type="gramEnd"/>
      <w:r w:rsidR="007511FA">
        <w:fldChar w:fldCharType="begin"/>
      </w:r>
      <w:r w:rsidR="00C43F40">
        <w:instrText xml:space="preserve"> SEQ Table \* ARABIC \s 1 </w:instrText>
      </w:r>
      <w:r w:rsidR="007511FA">
        <w:fldChar w:fldCharType="separate"/>
      </w:r>
      <w:r w:rsidR="00D5167B">
        <w:rPr>
          <w:noProof/>
        </w:rPr>
        <w:t>6</w:t>
      </w:r>
      <w:r w:rsidR="007511FA">
        <w:fldChar w:fldCharType="end"/>
      </w:r>
      <w:bookmarkEnd w:id="136"/>
      <w:r w:rsidR="00E0739C" w:rsidRPr="003E77A1">
        <w:t>.  Percent difference of 235U modeled in OFE.</w:t>
      </w:r>
      <w:bookmarkEnd w:id="137"/>
    </w:p>
    <w:tbl>
      <w:tblPr>
        <w:tblStyle w:val="TableGrid"/>
        <w:tblW w:w="5000" w:type="pct"/>
        <w:tblLook w:val="04A0"/>
      </w:tblPr>
      <w:tblGrid>
        <w:gridCol w:w="1970"/>
        <w:gridCol w:w="2047"/>
        <w:gridCol w:w="1927"/>
        <w:gridCol w:w="1927"/>
        <w:gridCol w:w="1705"/>
      </w:tblGrid>
      <w:tr w:rsidR="00E0739C" w:rsidRPr="00B65CB1" w:rsidTr="00E0739C">
        <w:trPr>
          <w:trHeight w:val="317"/>
        </w:trPr>
        <w:tc>
          <w:tcPr>
            <w:tcW w:w="1029" w:type="pct"/>
            <w:hideMark/>
          </w:tcPr>
          <w:p w:rsidR="00E0739C" w:rsidRPr="004F42F4" w:rsidRDefault="00E0739C" w:rsidP="004F42F4">
            <w:pPr>
              <w:pStyle w:val="NormalWeb"/>
              <w:spacing w:before="0" w:beforeAutospacing="0" w:after="0" w:afterAutospacing="0"/>
              <w:ind w:firstLine="0"/>
              <w:jc w:val="center"/>
              <w:textAlignment w:val="bottom"/>
              <w:rPr>
                <w:b/>
                <w:sz w:val="22"/>
                <w:szCs w:val="22"/>
              </w:rPr>
            </w:pPr>
            <w:r w:rsidRPr="004F42F4">
              <w:rPr>
                <w:b/>
                <w:sz w:val="22"/>
                <w:szCs w:val="22"/>
              </w:rPr>
              <w:t>Foil</w:t>
            </w:r>
          </w:p>
        </w:tc>
        <w:tc>
          <w:tcPr>
            <w:tcW w:w="1069" w:type="pct"/>
            <w:hideMark/>
          </w:tcPr>
          <w:p w:rsidR="00E0739C" w:rsidRPr="004F42F4" w:rsidRDefault="00E0739C" w:rsidP="004F42F4">
            <w:pPr>
              <w:pStyle w:val="NormalWeb"/>
              <w:spacing w:before="0" w:beforeAutospacing="0" w:after="0" w:afterAutospacing="0"/>
              <w:ind w:firstLine="0"/>
              <w:jc w:val="center"/>
              <w:textAlignment w:val="bottom"/>
              <w:rPr>
                <w:b/>
                <w:sz w:val="22"/>
                <w:szCs w:val="22"/>
              </w:rPr>
            </w:pPr>
            <w:r w:rsidRPr="004F42F4">
              <w:rPr>
                <w:b/>
                <w:sz w:val="22"/>
                <w:szCs w:val="22"/>
              </w:rPr>
              <w:t>Actual</w:t>
            </w:r>
          </w:p>
          <w:p w:rsidR="00E0739C" w:rsidRPr="004F42F4" w:rsidRDefault="00E0739C" w:rsidP="004F42F4">
            <w:pPr>
              <w:pStyle w:val="NormalWeb"/>
              <w:spacing w:before="0" w:beforeAutospacing="0" w:after="0" w:afterAutospacing="0"/>
              <w:ind w:firstLine="0"/>
              <w:jc w:val="center"/>
              <w:textAlignment w:val="bottom"/>
              <w:rPr>
                <w:b/>
                <w:sz w:val="22"/>
                <w:szCs w:val="22"/>
              </w:rPr>
            </w:pPr>
            <w:r w:rsidRPr="004F42F4">
              <w:rPr>
                <w:b/>
                <w:sz w:val="22"/>
                <w:szCs w:val="22"/>
              </w:rPr>
              <w:t>(atoms/b-cm)</w:t>
            </w:r>
          </w:p>
        </w:tc>
        <w:tc>
          <w:tcPr>
            <w:tcW w:w="1006" w:type="pct"/>
            <w:hideMark/>
          </w:tcPr>
          <w:p w:rsidR="00E0739C" w:rsidRPr="004F42F4" w:rsidRDefault="00E0739C" w:rsidP="004F42F4">
            <w:pPr>
              <w:pStyle w:val="NormalWeb"/>
              <w:spacing w:before="0" w:beforeAutospacing="0" w:after="0" w:afterAutospacing="0"/>
              <w:ind w:firstLine="0"/>
              <w:jc w:val="center"/>
              <w:textAlignment w:val="bottom"/>
              <w:rPr>
                <w:b/>
                <w:sz w:val="22"/>
                <w:szCs w:val="22"/>
              </w:rPr>
            </w:pPr>
            <w:r w:rsidRPr="004F42F4">
              <w:rPr>
                <w:b/>
                <w:sz w:val="22"/>
                <w:szCs w:val="22"/>
              </w:rPr>
              <w:t>Modeled</w:t>
            </w:r>
          </w:p>
          <w:p w:rsidR="00E0739C" w:rsidRPr="004F42F4" w:rsidRDefault="00E0739C" w:rsidP="004F42F4">
            <w:pPr>
              <w:pStyle w:val="NormalWeb"/>
              <w:spacing w:before="0" w:beforeAutospacing="0" w:after="0" w:afterAutospacing="0"/>
              <w:ind w:firstLine="0"/>
              <w:jc w:val="center"/>
              <w:textAlignment w:val="bottom"/>
              <w:rPr>
                <w:b/>
                <w:sz w:val="22"/>
                <w:szCs w:val="22"/>
              </w:rPr>
            </w:pPr>
            <w:r w:rsidRPr="004F42F4">
              <w:rPr>
                <w:b/>
                <w:sz w:val="22"/>
                <w:szCs w:val="22"/>
              </w:rPr>
              <w:t>(atoms/b-cm)</w:t>
            </w:r>
          </w:p>
        </w:tc>
        <w:tc>
          <w:tcPr>
            <w:tcW w:w="1006" w:type="pct"/>
            <w:hideMark/>
          </w:tcPr>
          <w:p w:rsidR="00E0739C" w:rsidRPr="004F42F4" w:rsidRDefault="00E0739C" w:rsidP="004F42F4">
            <w:pPr>
              <w:pStyle w:val="NormalWeb"/>
              <w:spacing w:before="0" w:beforeAutospacing="0" w:after="0" w:afterAutospacing="0"/>
              <w:ind w:firstLine="0"/>
              <w:jc w:val="center"/>
              <w:textAlignment w:val="bottom"/>
              <w:rPr>
                <w:b/>
                <w:sz w:val="22"/>
                <w:szCs w:val="22"/>
              </w:rPr>
            </w:pPr>
            <w:r w:rsidRPr="004F42F4">
              <w:rPr>
                <w:b/>
                <w:sz w:val="22"/>
                <w:szCs w:val="22"/>
              </w:rPr>
              <w:t>Act. – Mod.</w:t>
            </w:r>
          </w:p>
          <w:p w:rsidR="00E0739C" w:rsidRPr="004F42F4" w:rsidRDefault="00E0739C" w:rsidP="004F42F4">
            <w:pPr>
              <w:pStyle w:val="NormalWeb"/>
              <w:spacing w:before="0" w:beforeAutospacing="0" w:after="0" w:afterAutospacing="0"/>
              <w:ind w:firstLine="0"/>
              <w:jc w:val="center"/>
              <w:textAlignment w:val="bottom"/>
              <w:rPr>
                <w:b/>
                <w:sz w:val="22"/>
                <w:szCs w:val="22"/>
              </w:rPr>
            </w:pPr>
            <w:r w:rsidRPr="004F42F4">
              <w:rPr>
                <w:b/>
                <w:sz w:val="22"/>
                <w:szCs w:val="22"/>
              </w:rPr>
              <w:t>(atoms/b-cm)</w:t>
            </w:r>
          </w:p>
        </w:tc>
        <w:tc>
          <w:tcPr>
            <w:tcW w:w="890" w:type="pct"/>
            <w:hideMark/>
          </w:tcPr>
          <w:p w:rsidR="00E0739C" w:rsidRPr="004F42F4" w:rsidRDefault="00E0739C" w:rsidP="004F42F4">
            <w:pPr>
              <w:pStyle w:val="NormalWeb"/>
              <w:spacing w:before="0" w:beforeAutospacing="0" w:after="0" w:afterAutospacing="0"/>
              <w:ind w:firstLine="0"/>
              <w:jc w:val="center"/>
              <w:textAlignment w:val="bottom"/>
              <w:rPr>
                <w:b/>
                <w:sz w:val="22"/>
                <w:szCs w:val="22"/>
              </w:rPr>
            </w:pPr>
            <w:r w:rsidRPr="004F42F4">
              <w:rPr>
                <w:b/>
                <w:sz w:val="22"/>
                <w:szCs w:val="22"/>
              </w:rPr>
              <w:t>Percent</w:t>
            </w:r>
          </w:p>
          <w:p w:rsidR="00E0739C" w:rsidRPr="004F42F4" w:rsidRDefault="00E0739C" w:rsidP="004F42F4">
            <w:pPr>
              <w:pStyle w:val="NormalWeb"/>
              <w:spacing w:before="0" w:beforeAutospacing="0" w:after="0" w:afterAutospacing="0"/>
              <w:ind w:firstLine="0"/>
              <w:jc w:val="center"/>
              <w:textAlignment w:val="bottom"/>
              <w:rPr>
                <w:b/>
                <w:sz w:val="22"/>
                <w:szCs w:val="22"/>
              </w:rPr>
            </w:pPr>
            <w:r w:rsidRPr="004F42F4">
              <w:rPr>
                <w:b/>
                <w:sz w:val="22"/>
                <w:szCs w:val="22"/>
              </w:rPr>
              <w:t>difference</w:t>
            </w:r>
          </w:p>
        </w:tc>
      </w:tr>
      <w:tr w:rsidR="00E0739C" w:rsidRPr="00B65CB1" w:rsidTr="00E0739C">
        <w:trPr>
          <w:trHeight w:val="317"/>
        </w:trPr>
        <w:tc>
          <w:tcPr>
            <w:tcW w:w="1029"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1</w:t>
            </w:r>
          </w:p>
        </w:tc>
        <w:tc>
          <w:tcPr>
            <w:tcW w:w="1069"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4.46150E-04</w:t>
            </w:r>
          </w:p>
        </w:tc>
        <w:tc>
          <w:tcPr>
            <w:tcW w:w="1006"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4.33139E-04</w:t>
            </w:r>
          </w:p>
        </w:tc>
        <w:tc>
          <w:tcPr>
            <w:tcW w:w="1006"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1.30114E-05</w:t>
            </w:r>
          </w:p>
        </w:tc>
        <w:tc>
          <w:tcPr>
            <w:tcW w:w="890"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2.91637</w:t>
            </w:r>
          </w:p>
        </w:tc>
      </w:tr>
      <w:tr w:rsidR="00E0739C" w:rsidRPr="00B65CB1" w:rsidTr="00E0739C">
        <w:trPr>
          <w:trHeight w:val="323"/>
        </w:trPr>
        <w:tc>
          <w:tcPr>
            <w:tcW w:w="1029"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2</w:t>
            </w:r>
          </w:p>
        </w:tc>
        <w:tc>
          <w:tcPr>
            <w:tcW w:w="1069"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6.36438E-04</w:t>
            </w:r>
          </w:p>
        </w:tc>
        <w:tc>
          <w:tcPr>
            <w:tcW w:w="1006"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6.25508E-04</w:t>
            </w:r>
          </w:p>
        </w:tc>
        <w:tc>
          <w:tcPr>
            <w:tcW w:w="1006"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1.09304E-05</w:t>
            </w:r>
          </w:p>
        </w:tc>
        <w:tc>
          <w:tcPr>
            <w:tcW w:w="890"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1.71743</w:t>
            </w:r>
          </w:p>
        </w:tc>
      </w:tr>
      <w:tr w:rsidR="00E0739C" w:rsidRPr="00B65CB1" w:rsidTr="00E0739C">
        <w:trPr>
          <w:trHeight w:val="317"/>
        </w:trPr>
        <w:tc>
          <w:tcPr>
            <w:tcW w:w="1029"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3</w:t>
            </w:r>
          </w:p>
        </w:tc>
        <w:tc>
          <w:tcPr>
            <w:tcW w:w="1069"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6.83048E-04</w:t>
            </w:r>
          </w:p>
        </w:tc>
        <w:tc>
          <w:tcPr>
            <w:tcW w:w="1006"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6.57861E-04</w:t>
            </w:r>
          </w:p>
        </w:tc>
        <w:tc>
          <w:tcPr>
            <w:tcW w:w="1006"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2.51869E-05</w:t>
            </w:r>
          </w:p>
        </w:tc>
        <w:tc>
          <w:tcPr>
            <w:tcW w:w="890"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3.68742</w:t>
            </w:r>
          </w:p>
        </w:tc>
      </w:tr>
      <w:tr w:rsidR="00E0739C" w:rsidRPr="00B65CB1" w:rsidTr="00E0739C">
        <w:trPr>
          <w:trHeight w:val="317"/>
        </w:trPr>
        <w:tc>
          <w:tcPr>
            <w:tcW w:w="1029"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4</w:t>
            </w:r>
          </w:p>
        </w:tc>
        <w:tc>
          <w:tcPr>
            <w:tcW w:w="1069"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5.73625E-04</w:t>
            </w:r>
          </w:p>
        </w:tc>
        <w:tc>
          <w:tcPr>
            <w:tcW w:w="1006"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5.29200E-04</w:t>
            </w:r>
          </w:p>
        </w:tc>
        <w:tc>
          <w:tcPr>
            <w:tcW w:w="1006"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4.44254E-05</w:t>
            </w:r>
          </w:p>
        </w:tc>
        <w:tc>
          <w:tcPr>
            <w:tcW w:w="890"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7.74468</w:t>
            </w:r>
          </w:p>
        </w:tc>
      </w:tr>
      <w:tr w:rsidR="00E0739C" w:rsidRPr="00B65CB1" w:rsidTr="00E0739C">
        <w:trPr>
          <w:trHeight w:val="317"/>
        </w:trPr>
        <w:tc>
          <w:tcPr>
            <w:tcW w:w="1029"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5</w:t>
            </w:r>
          </w:p>
        </w:tc>
        <w:tc>
          <w:tcPr>
            <w:tcW w:w="1069"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4.22050E-04</w:t>
            </w:r>
          </w:p>
        </w:tc>
        <w:tc>
          <w:tcPr>
            <w:tcW w:w="1006"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4.14500E-04</w:t>
            </w:r>
          </w:p>
        </w:tc>
        <w:tc>
          <w:tcPr>
            <w:tcW w:w="1006"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7.55016E-06</w:t>
            </w:r>
          </w:p>
        </w:tc>
        <w:tc>
          <w:tcPr>
            <w:tcW w:w="890"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1.78892</w:t>
            </w:r>
          </w:p>
        </w:tc>
      </w:tr>
      <w:tr w:rsidR="00E0739C" w:rsidRPr="00B65CB1" w:rsidTr="00E0739C">
        <w:trPr>
          <w:trHeight w:val="317"/>
        </w:trPr>
        <w:tc>
          <w:tcPr>
            <w:tcW w:w="1029"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6</w:t>
            </w:r>
          </w:p>
        </w:tc>
        <w:tc>
          <w:tcPr>
            <w:tcW w:w="1069"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2.60472E-04</w:t>
            </w:r>
          </w:p>
        </w:tc>
        <w:tc>
          <w:tcPr>
            <w:tcW w:w="1006"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2.69800E-04</w:t>
            </w:r>
          </w:p>
        </w:tc>
        <w:tc>
          <w:tcPr>
            <w:tcW w:w="1006"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-9.32814E-06</w:t>
            </w:r>
          </w:p>
        </w:tc>
        <w:tc>
          <w:tcPr>
            <w:tcW w:w="890"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-3.58125</w:t>
            </w:r>
          </w:p>
        </w:tc>
      </w:tr>
      <w:tr w:rsidR="00E0739C" w:rsidRPr="00B65CB1" w:rsidTr="00E0739C">
        <w:trPr>
          <w:trHeight w:val="317"/>
        </w:trPr>
        <w:tc>
          <w:tcPr>
            <w:tcW w:w="1029"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A, AA, HH, H</w:t>
            </w:r>
          </w:p>
        </w:tc>
        <w:tc>
          <w:tcPr>
            <w:tcW w:w="1069"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5.68618E-04</w:t>
            </w:r>
          </w:p>
        </w:tc>
        <w:tc>
          <w:tcPr>
            <w:tcW w:w="1006"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5.66674E-04</w:t>
            </w:r>
          </w:p>
        </w:tc>
        <w:tc>
          <w:tcPr>
            <w:tcW w:w="1006"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1.94412E-06</w:t>
            </w:r>
          </w:p>
        </w:tc>
        <w:tc>
          <w:tcPr>
            <w:tcW w:w="890" w:type="pct"/>
            <w:hideMark/>
          </w:tcPr>
          <w:p w:rsidR="00E0739C" w:rsidRPr="004F42F4" w:rsidRDefault="00E0739C" w:rsidP="004F42F4">
            <w:pPr>
              <w:pStyle w:val="NormalWeb"/>
              <w:spacing w:before="0" w:beforeAutospacing="0" w:after="0" w:afterAutospacing="0"/>
              <w:ind w:firstLine="0"/>
              <w:jc w:val="center"/>
              <w:textAlignment w:val="bottom"/>
              <w:rPr>
                <w:sz w:val="22"/>
                <w:szCs w:val="22"/>
              </w:rPr>
            </w:pPr>
            <w:r w:rsidRPr="004F42F4">
              <w:rPr>
                <w:color w:val="000000"/>
                <w:kern w:val="24"/>
                <w:sz w:val="22"/>
                <w:szCs w:val="22"/>
              </w:rPr>
              <w:t>0.34190</w:t>
            </w:r>
          </w:p>
        </w:tc>
      </w:tr>
    </w:tbl>
    <w:p w:rsidR="00E0739C" w:rsidRDefault="00E0739C">
      <w:pPr>
        <w:spacing w:before="0" w:after="200" w:line="276" w:lineRule="auto"/>
      </w:pPr>
      <w:r>
        <w:br w:type="page"/>
      </w:r>
    </w:p>
    <w:p w:rsidR="00E0739C" w:rsidRDefault="00E0739C" w:rsidP="00AA149C">
      <w:pPr>
        <w:pStyle w:val="Heading2"/>
      </w:pPr>
      <w:bookmarkStart w:id="138" w:name="_Toc295818122"/>
      <w:r>
        <w:lastRenderedPageBreak/>
        <w:t>HFIRCE-3 Results</w:t>
      </w:r>
      <w:bookmarkEnd w:id="138"/>
    </w:p>
    <w:p w:rsidR="00E0739C" w:rsidRPr="00E0739C" w:rsidRDefault="00E0739C" w:rsidP="00E0739C">
      <w:r w:rsidRPr="00E0739C">
        <w:t>Two conditions were analyzed during this study; a clean core condition and a fully poisoned condition.</w:t>
      </w:r>
      <w:r>
        <w:t xml:space="preserve"> </w:t>
      </w:r>
      <w:r w:rsidRPr="00E0739C">
        <w:t xml:space="preserve"> The clean core condition consisted of no boron in the moderator and the control elements at symmetric positions of 44.536 cm (17.534 in) withdrawn with respect to the axial midplane. </w:t>
      </w:r>
      <w:r>
        <w:t xml:space="preserve"> </w:t>
      </w:r>
      <w:r w:rsidRPr="00E0739C">
        <w:t xml:space="preserve">This experiment was performed on September 9, 1965. </w:t>
      </w:r>
      <w:r>
        <w:t xml:space="preserve"> </w:t>
      </w:r>
      <w:r w:rsidRPr="00E0739C">
        <w:t>For the fully poisoned condition, the control elements were fully withdrawn and 1.35 grams of boron per liter in the moderator was used to control reactivity. This experiment was performed on October 5, 1965.</w:t>
      </w:r>
    </w:p>
    <w:p w:rsidR="00E0739C" w:rsidRDefault="00E0739C" w:rsidP="00E0739C">
      <w:r w:rsidRPr="00E0739C">
        <w:t>It is important to note that the power densities have been normalized to foil 3</w:t>
      </w:r>
      <w:r>
        <w:t xml:space="preserve"> of the IFE</w:t>
      </w:r>
      <w:r w:rsidRPr="00E0739C">
        <w:t xml:space="preserve">, not to the average core power density. </w:t>
      </w:r>
      <w:r>
        <w:t xml:space="preserve"> </w:t>
      </w:r>
      <w:r w:rsidRPr="00E0739C">
        <w:t>The average power densit</w:t>
      </w:r>
      <w:r>
        <w:t>y of foil 3 is approximately 25</w:t>
      </w:r>
      <w:r w:rsidRPr="00E0739C">
        <w:t xml:space="preserve">% greater than the average core power density. </w:t>
      </w:r>
      <w:r>
        <w:t xml:space="preserve"> </w:t>
      </w:r>
      <w:r w:rsidRPr="00E0739C">
        <w:t>It is also important to note that the experimental relative power densities being compared in this analysis correspond to plate positions 97a and 207b for the IFE and OFE</w:t>
      </w:r>
      <w:r>
        <w:t>,</w:t>
      </w:r>
      <w:r w:rsidRPr="00E0739C">
        <w:t xml:space="preserve"> respectively</w:t>
      </w:r>
      <w:r>
        <w:t>,</w:t>
      </w:r>
      <w:r w:rsidRPr="00E0739C">
        <w:t xml:space="preserve"> and the uncertainties reported represent 3 standard deviations.</w:t>
      </w:r>
    </w:p>
    <w:p w:rsidR="00E0739C" w:rsidRPr="00E0739C" w:rsidRDefault="00E0739C" w:rsidP="00E0739C"/>
    <w:p w:rsidR="00E0739C" w:rsidRDefault="00E0739C" w:rsidP="00AA149C">
      <w:pPr>
        <w:pStyle w:val="Heading3"/>
      </w:pPr>
      <w:bookmarkStart w:id="139" w:name="_Toc295818123"/>
      <w:r>
        <w:t>Clean Core Results</w:t>
      </w:r>
      <w:bookmarkEnd w:id="139"/>
    </w:p>
    <w:p w:rsidR="00E0739C" w:rsidRDefault="00E0739C" w:rsidP="00E0739C">
      <w:pPr>
        <w:spacing w:before="0" w:after="200"/>
      </w:pPr>
      <w:r w:rsidRPr="00E0739C">
        <w:t>The calculated eigenvalue (k</w:t>
      </w:r>
      <w:r w:rsidRPr="00E0739C">
        <w:rPr>
          <w:vertAlign w:val="subscript"/>
        </w:rPr>
        <w:t>eff</w:t>
      </w:r>
      <w:r w:rsidRPr="00E0739C">
        <w:t xml:space="preserve">) under the clean core conditions was 0.99561 ± 0.00013, so the model does accurately predict the multiplication factor for the reactor to within 1 %. </w:t>
      </w:r>
      <w:r w:rsidR="000D3EEB">
        <w:t xml:space="preserve"> </w:t>
      </w:r>
      <w:r w:rsidRPr="00E0739C">
        <w:t xml:space="preserve">The results for the final MCNP criticality calculations for the clean core conditions are listed in </w:t>
      </w:r>
      <w:r w:rsidR="007511FA">
        <w:rPr>
          <w:highlight w:val="yellow"/>
        </w:rPr>
        <w:fldChar w:fldCharType="begin"/>
      </w:r>
      <w:r w:rsidR="003E77A1">
        <w:instrText xml:space="preserve"> REF _Ref285534648 \h </w:instrText>
      </w:r>
      <w:r w:rsidR="007511FA">
        <w:rPr>
          <w:highlight w:val="yellow"/>
        </w:rPr>
      </w:r>
      <w:r w:rsidR="007511FA">
        <w:rPr>
          <w:highlight w:val="yellow"/>
        </w:rPr>
        <w:fldChar w:fldCharType="separate"/>
      </w:r>
      <w:r w:rsidR="00D5167B">
        <w:t xml:space="preserve">Table </w:t>
      </w:r>
      <w:r w:rsidR="00D5167B">
        <w:rPr>
          <w:noProof/>
        </w:rPr>
        <w:t>4</w:t>
      </w:r>
      <w:r w:rsidR="00D5167B">
        <w:t>.</w:t>
      </w:r>
      <w:r w:rsidR="00D5167B">
        <w:rPr>
          <w:noProof/>
        </w:rPr>
        <w:t>7</w:t>
      </w:r>
      <w:r w:rsidR="007511FA">
        <w:rPr>
          <w:highlight w:val="yellow"/>
        </w:rPr>
        <w:fldChar w:fldCharType="end"/>
      </w:r>
      <w:r w:rsidR="000D3EEB">
        <w:t>.</w:t>
      </w:r>
    </w:p>
    <w:p w:rsidR="000D3EEB" w:rsidRDefault="000D3EEB">
      <w:pPr>
        <w:spacing w:before="0" w:after="200" w:line="276" w:lineRule="auto"/>
      </w:pPr>
    </w:p>
    <w:p w:rsidR="000D3EEB" w:rsidRPr="000D3EEB" w:rsidRDefault="003E77A1" w:rsidP="003E77A1">
      <w:pPr>
        <w:pStyle w:val="Caption"/>
      </w:pPr>
      <w:bookmarkStart w:id="140" w:name="_Ref285534648"/>
      <w:bookmarkStart w:id="141" w:name="_Toc295818270"/>
      <w:proofErr w:type="gramStart"/>
      <w:r>
        <w:t xml:space="preserve">Table </w:t>
      </w:r>
      <w:r w:rsidR="007511FA">
        <w:fldChar w:fldCharType="begin"/>
      </w:r>
      <w:r w:rsidR="00AE17F8">
        <w:instrText xml:space="preserve"> STYLEREF 1 \s </w:instrText>
      </w:r>
      <w:r w:rsidR="007511FA">
        <w:fldChar w:fldCharType="separate"/>
      </w:r>
      <w:r w:rsidR="00D5167B">
        <w:rPr>
          <w:noProof/>
        </w:rPr>
        <w:t>4</w:t>
      </w:r>
      <w:r w:rsidR="007511FA">
        <w:fldChar w:fldCharType="end"/>
      </w:r>
      <w:r w:rsidR="00DE5151">
        <w:t>.</w:t>
      </w:r>
      <w:proofErr w:type="gramEnd"/>
      <w:r w:rsidR="007511FA">
        <w:fldChar w:fldCharType="begin"/>
      </w:r>
      <w:r w:rsidR="00C43F40">
        <w:instrText xml:space="preserve"> SEQ Table \* ARABIC \s 1 </w:instrText>
      </w:r>
      <w:r w:rsidR="007511FA">
        <w:fldChar w:fldCharType="separate"/>
      </w:r>
      <w:r w:rsidR="00D5167B">
        <w:rPr>
          <w:noProof/>
        </w:rPr>
        <w:t>7</w:t>
      </w:r>
      <w:r w:rsidR="007511FA">
        <w:fldChar w:fldCharType="end"/>
      </w:r>
      <w:bookmarkEnd w:id="140"/>
      <w:r w:rsidR="000D3EEB">
        <w:t>.  Effective multiplication factors for clean core conditions.</w:t>
      </w:r>
      <w:bookmarkEnd w:id="141"/>
    </w:p>
    <w:tbl>
      <w:tblPr>
        <w:tblStyle w:val="TableGrid"/>
        <w:tblW w:w="9650" w:type="dxa"/>
        <w:tblLook w:val="04A0"/>
      </w:tblPr>
      <w:tblGrid>
        <w:gridCol w:w="1579"/>
        <w:gridCol w:w="1044"/>
        <w:gridCol w:w="1177"/>
        <w:gridCol w:w="1939"/>
        <w:gridCol w:w="1980"/>
        <w:gridCol w:w="1931"/>
      </w:tblGrid>
      <w:tr w:rsidR="000D3EEB" w:rsidRPr="00B65CB1" w:rsidTr="000D3EEB">
        <w:trPr>
          <w:trHeight w:val="300"/>
        </w:trPr>
        <w:tc>
          <w:tcPr>
            <w:tcW w:w="1579" w:type="dxa"/>
            <w:noWrap/>
            <w:hideMark/>
          </w:tcPr>
          <w:p w:rsidR="000D3EEB" w:rsidRPr="00601546" w:rsidRDefault="000D3EEB" w:rsidP="004F42F4">
            <w:pPr>
              <w:spacing w:before="0" w:after="0" w:line="240" w:lineRule="auto"/>
              <w:ind w:firstLine="0"/>
              <w:jc w:val="center"/>
              <w:rPr>
                <w:b/>
                <w:color w:val="000000"/>
              </w:rPr>
            </w:pPr>
            <w:r w:rsidRPr="00601546">
              <w:rPr>
                <w:b/>
                <w:color w:val="000000"/>
              </w:rPr>
              <w:t>k</w:t>
            </w:r>
            <w:r w:rsidRPr="00601546">
              <w:rPr>
                <w:b/>
                <w:color w:val="000000"/>
                <w:vertAlign w:val="subscript"/>
              </w:rPr>
              <w:t xml:space="preserve">eff </w:t>
            </w:r>
            <w:r w:rsidRPr="00601546">
              <w:rPr>
                <w:b/>
                <w:color w:val="000000"/>
              </w:rPr>
              <w:t>estimator</w:t>
            </w:r>
          </w:p>
        </w:tc>
        <w:tc>
          <w:tcPr>
            <w:tcW w:w="1044" w:type="dxa"/>
            <w:noWrap/>
            <w:hideMark/>
          </w:tcPr>
          <w:p w:rsidR="000D3EEB" w:rsidRPr="00601546" w:rsidRDefault="000D3EEB" w:rsidP="004F42F4">
            <w:pPr>
              <w:spacing w:before="0" w:after="0" w:line="240" w:lineRule="auto"/>
              <w:ind w:firstLine="0"/>
              <w:jc w:val="center"/>
              <w:rPr>
                <w:b/>
                <w:color w:val="000000"/>
              </w:rPr>
            </w:pPr>
            <w:r w:rsidRPr="00601546">
              <w:rPr>
                <w:b/>
                <w:color w:val="000000"/>
              </w:rPr>
              <w:t>k</w:t>
            </w:r>
            <w:r w:rsidRPr="00601546">
              <w:rPr>
                <w:b/>
                <w:color w:val="000000"/>
                <w:vertAlign w:val="subscript"/>
              </w:rPr>
              <w:t>eff</w:t>
            </w:r>
          </w:p>
        </w:tc>
        <w:tc>
          <w:tcPr>
            <w:tcW w:w="1177" w:type="dxa"/>
            <w:noWrap/>
            <w:hideMark/>
          </w:tcPr>
          <w:p w:rsidR="000D3EEB" w:rsidRPr="00601546" w:rsidRDefault="000D3EEB" w:rsidP="004F42F4">
            <w:pPr>
              <w:spacing w:before="0" w:after="0" w:line="240" w:lineRule="auto"/>
              <w:ind w:firstLine="0"/>
              <w:jc w:val="center"/>
              <w:rPr>
                <w:b/>
                <w:color w:val="000000"/>
              </w:rPr>
            </w:pPr>
            <w:r w:rsidRPr="00601546">
              <w:rPr>
                <w:b/>
                <w:color w:val="000000"/>
              </w:rPr>
              <w:t>Standard deviation</w:t>
            </w:r>
          </w:p>
        </w:tc>
        <w:tc>
          <w:tcPr>
            <w:tcW w:w="1939" w:type="dxa"/>
            <w:noWrap/>
            <w:hideMark/>
          </w:tcPr>
          <w:p w:rsidR="000D3EEB" w:rsidRPr="00601546" w:rsidRDefault="000D3EEB" w:rsidP="004F42F4">
            <w:pPr>
              <w:spacing w:before="0" w:after="0" w:line="240" w:lineRule="auto"/>
              <w:ind w:firstLine="0"/>
              <w:jc w:val="center"/>
              <w:rPr>
                <w:b/>
                <w:color w:val="000000"/>
              </w:rPr>
            </w:pPr>
            <w:r w:rsidRPr="00601546">
              <w:rPr>
                <w:b/>
                <w:color w:val="000000"/>
              </w:rPr>
              <w:t>68 %</w:t>
            </w:r>
          </w:p>
          <w:p w:rsidR="000D3EEB" w:rsidRPr="00601546" w:rsidRDefault="000D3EEB" w:rsidP="004F42F4">
            <w:pPr>
              <w:spacing w:before="0" w:after="0" w:line="240" w:lineRule="auto"/>
              <w:ind w:firstLine="0"/>
              <w:jc w:val="center"/>
              <w:rPr>
                <w:b/>
                <w:color w:val="000000"/>
              </w:rPr>
            </w:pPr>
            <w:r w:rsidRPr="00601546">
              <w:rPr>
                <w:b/>
                <w:color w:val="000000"/>
              </w:rPr>
              <w:t>confidence</w:t>
            </w:r>
          </w:p>
        </w:tc>
        <w:tc>
          <w:tcPr>
            <w:tcW w:w="1980" w:type="dxa"/>
            <w:noWrap/>
            <w:hideMark/>
          </w:tcPr>
          <w:p w:rsidR="000D3EEB" w:rsidRPr="00601546" w:rsidRDefault="000D3EEB" w:rsidP="004F42F4">
            <w:pPr>
              <w:spacing w:before="0" w:after="0" w:line="240" w:lineRule="auto"/>
              <w:ind w:firstLine="0"/>
              <w:jc w:val="center"/>
              <w:rPr>
                <w:b/>
                <w:color w:val="000000"/>
              </w:rPr>
            </w:pPr>
            <w:r w:rsidRPr="00601546">
              <w:rPr>
                <w:b/>
                <w:color w:val="000000"/>
              </w:rPr>
              <w:t>95 %</w:t>
            </w:r>
          </w:p>
          <w:p w:rsidR="000D3EEB" w:rsidRPr="00601546" w:rsidRDefault="000D3EEB" w:rsidP="004F42F4">
            <w:pPr>
              <w:spacing w:before="0" w:after="0" w:line="240" w:lineRule="auto"/>
              <w:ind w:firstLine="0"/>
              <w:jc w:val="center"/>
              <w:rPr>
                <w:b/>
                <w:color w:val="000000"/>
              </w:rPr>
            </w:pPr>
            <w:r w:rsidRPr="00601546">
              <w:rPr>
                <w:b/>
                <w:color w:val="000000"/>
              </w:rPr>
              <w:t>confidence</w:t>
            </w:r>
          </w:p>
        </w:tc>
        <w:tc>
          <w:tcPr>
            <w:tcW w:w="1931" w:type="dxa"/>
            <w:noWrap/>
            <w:hideMark/>
          </w:tcPr>
          <w:p w:rsidR="000D3EEB" w:rsidRPr="00601546" w:rsidRDefault="000D3EEB" w:rsidP="004F42F4">
            <w:pPr>
              <w:spacing w:before="0" w:after="0" w:line="240" w:lineRule="auto"/>
              <w:ind w:firstLine="0"/>
              <w:jc w:val="center"/>
              <w:rPr>
                <w:b/>
                <w:color w:val="000000"/>
              </w:rPr>
            </w:pPr>
            <w:r w:rsidRPr="00601546">
              <w:rPr>
                <w:b/>
                <w:color w:val="000000"/>
              </w:rPr>
              <w:t>99 %</w:t>
            </w:r>
          </w:p>
          <w:p w:rsidR="000D3EEB" w:rsidRPr="00601546" w:rsidRDefault="000D3EEB" w:rsidP="004F42F4">
            <w:pPr>
              <w:spacing w:before="0" w:after="0" w:line="240" w:lineRule="auto"/>
              <w:ind w:firstLine="0"/>
              <w:jc w:val="center"/>
              <w:rPr>
                <w:b/>
                <w:color w:val="000000"/>
              </w:rPr>
            </w:pPr>
            <w:r w:rsidRPr="00601546">
              <w:rPr>
                <w:b/>
                <w:color w:val="000000"/>
              </w:rPr>
              <w:t>confidence</w:t>
            </w:r>
          </w:p>
        </w:tc>
      </w:tr>
      <w:tr w:rsidR="000D3EEB" w:rsidRPr="00B65CB1" w:rsidTr="000D3EEB">
        <w:trPr>
          <w:trHeight w:val="300"/>
        </w:trPr>
        <w:tc>
          <w:tcPr>
            <w:tcW w:w="1579" w:type="dxa"/>
            <w:noWrap/>
            <w:hideMark/>
          </w:tcPr>
          <w:p w:rsidR="000D3EEB" w:rsidRPr="00601546" w:rsidRDefault="000D3EEB" w:rsidP="004F42F4">
            <w:pPr>
              <w:spacing w:before="0" w:after="0" w:line="240" w:lineRule="auto"/>
              <w:ind w:firstLine="0"/>
              <w:jc w:val="center"/>
              <w:rPr>
                <w:color w:val="000000"/>
              </w:rPr>
            </w:pPr>
            <w:r w:rsidRPr="00601546">
              <w:rPr>
                <w:color w:val="000000"/>
              </w:rPr>
              <w:t>Collision</w:t>
            </w:r>
          </w:p>
        </w:tc>
        <w:tc>
          <w:tcPr>
            <w:tcW w:w="1044" w:type="dxa"/>
            <w:noWrap/>
            <w:hideMark/>
          </w:tcPr>
          <w:p w:rsidR="000D3EEB" w:rsidRPr="00601546" w:rsidRDefault="000D3EEB" w:rsidP="004F42F4">
            <w:pPr>
              <w:spacing w:before="0" w:after="0" w:line="240" w:lineRule="auto"/>
              <w:ind w:firstLine="0"/>
              <w:jc w:val="center"/>
              <w:rPr>
                <w:color w:val="000000"/>
              </w:rPr>
            </w:pPr>
            <w:r w:rsidRPr="00601546">
              <w:rPr>
                <w:color w:val="000000"/>
              </w:rPr>
              <w:t>0.99546</w:t>
            </w:r>
          </w:p>
        </w:tc>
        <w:tc>
          <w:tcPr>
            <w:tcW w:w="1177" w:type="dxa"/>
            <w:noWrap/>
            <w:hideMark/>
          </w:tcPr>
          <w:p w:rsidR="000D3EEB" w:rsidRPr="00601546" w:rsidRDefault="000D3EEB" w:rsidP="004F42F4">
            <w:pPr>
              <w:spacing w:before="0" w:after="0" w:line="240" w:lineRule="auto"/>
              <w:ind w:firstLine="0"/>
              <w:jc w:val="center"/>
              <w:rPr>
                <w:color w:val="000000"/>
              </w:rPr>
            </w:pPr>
            <w:r w:rsidRPr="00601546">
              <w:rPr>
                <w:color w:val="000000"/>
              </w:rPr>
              <w:t>0.00019</w:t>
            </w:r>
          </w:p>
        </w:tc>
        <w:tc>
          <w:tcPr>
            <w:tcW w:w="1939" w:type="dxa"/>
            <w:noWrap/>
            <w:hideMark/>
          </w:tcPr>
          <w:p w:rsidR="000D3EEB" w:rsidRPr="00601546" w:rsidRDefault="000D3EEB" w:rsidP="004F42F4">
            <w:pPr>
              <w:spacing w:before="0" w:after="0" w:line="240" w:lineRule="auto"/>
              <w:ind w:firstLine="0"/>
              <w:jc w:val="center"/>
              <w:rPr>
                <w:color w:val="000000"/>
              </w:rPr>
            </w:pPr>
            <w:r w:rsidRPr="00601546">
              <w:rPr>
                <w:color w:val="000000"/>
              </w:rPr>
              <w:t>0.99527 to 0.99565</w:t>
            </w:r>
          </w:p>
        </w:tc>
        <w:tc>
          <w:tcPr>
            <w:tcW w:w="1980" w:type="dxa"/>
            <w:noWrap/>
            <w:hideMark/>
          </w:tcPr>
          <w:p w:rsidR="000D3EEB" w:rsidRPr="00601546" w:rsidRDefault="000D3EEB" w:rsidP="004F42F4">
            <w:pPr>
              <w:spacing w:before="0" w:after="0" w:line="240" w:lineRule="auto"/>
              <w:ind w:firstLine="0"/>
              <w:jc w:val="center"/>
              <w:rPr>
                <w:color w:val="000000"/>
              </w:rPr>
            </w:pPr>
            <w:r w:rsidRPr="00601546">
              <w:rPr>
                <w:color w:val="000000"/>
              </w:rPr>
              <w:t>0.99508 to 0.99584</w:t>
            </w:r>
          </w:p>
        </w:tc>
        <w:tc>
          <w:tcPr>
            <w:tcW w:w="1931" w:type="dxa"/>
            <w:noWrap/>
            <w:hideMark/>
          </w:tcPr>
          <w:p w:rsidR="000D3EEB" w:rsidRPr="00601546" w:rsidRDefault="000D3EEB" w:rsidP="004F42F4">
            <w:pPr>
              <w:spacing w:before="0" w:after="0" w:line="240" w:lineRule="auto"/>
              <w:ind w:firstLine="0"/>
              <w:jc w:val="center"/>
              <w:rPr>
                <w:color w:val="000000"/>
              </w:rPr>
            </w:pPr>
            <w:r w:rsidRPr="00601546">
              <w:rPr>
                <w:color w:val="000000"/>
              </w:rPr>
              <w:t>0.99496 to 0.99596</w:t>
            </w:r>
          </w:p>
        </w:tc>
      </w:tr>
      <w:tr w:rsidR="000D3EEB" w:rsidRPr="00B65CB1" w:rsidTr="000D3EEB">
        <w:trPr>
          <w:trHeight w:val="300"/>
        </w:trPr>
        <w:tc>
          <w:tcPr>
            <w:tcW w:w="1579" w:type="dxa"/>
            <w:noWrap/>
            <w:hideMark/>
          </w:tcPr>
          <w:p w:rsidR="000D3EEB" w:rsidRPr="00601546" w:rsidRDefault="000D3EEB" w:rsidP="004F42F4">
            <w:pPr>
              <w:spacing w:before="0" w:after="0" w:line="240" w:lineRule="auto"/>
              <w:ind w:firstLine="0"/>
              <w:jc w:val="center"/>
              <w:rPr>
                <w:color w:val="000000"/>
              </w:rPr>
            </w:pPr>
            <w:r w:rsidRPr="00601546">
              <w:rPr>
                <w:color w:val="000000"/>
              </w:rPr>
              <w:t>Absorption</w:t>
            </w:r>
          </w:p>
        </w:tc>
        <w:tc>
          <w:tcPr>
            <w:tcW w:w="1044" w:type="dxa"/>
            <w:noWrap/>
            <w:hideMark/>
          </w:tcPr>
          <w:p w:rsidR="000D3EEB" w:rsidRPr="00601546" w:rsidRDefault="000D3EEB" w:rsidP="004F42F4">
            <w:pPr>
              <w:spacing w:before="0" w:after="0" w:line="240" w:lineRule="auto"/>
              <w:ind w:firstLine="0"/>
              <w:jc w:val="center"/>
              <w:rPr>
                <w:color w:val="000000"/>
              </w:rPr>
            </w:pPr>
            <w:r w:rsidRPr="00601546">
              <w:rPr>
                <w:color w:val="000000"/>
              </w:rPr>
              <w:t>0.99565</w:t>
            </w:r>
          </w:p>
        </w:tc>
        <w:tc>
          <w:tcPr>
            <w:tcW w:w="1177" w:type="dxa"/>
            <w:noWrap/>
            <w:hideMark/>
          </w:tcPr>
          <w:p w:rsidR="000D3EEB" w:rsidRPr="00601546" w:rsidRDefault="000D3EEB" w:rsidP="004F42F4">
            <w:pPr>
              <w:spacing w:before="0" w:after="0" w:line="240" w:lineRule="auto"/>
              <w:ind w:firstLine="0"/>
              <w:jc w:val="center"/>
              <w:rPr>
                <w:color w:val="000000"/>
              </w:rPr>
            </w:pPr>
            <w:r w:rsidRPr="00601546">
              <w:rPr>
                <w:color w:val="000000"/>
              </w:rPr>
              <w:t>0.00013</w:t>
            </w:r>
          </w:p>
        </w:tc>
        <w:tc>
          <w:tcPr>
            <w:tcW w:w="1939" w:type="dxa"/>
            <w:noWrap/>
            <w:hideMark/>
          </w:tcPr>
          <w:p w:rsidR="000D3EEB" w:rsidRPr="00601546" w:rsidRDefault="000D3EEB" w:rsidP="004F42F4">
            <w:pPr>
              <w:spacing w:before="0" w:after="0" w:line="240" w:lineRule="auto"/>
              <w:ind w:firstLine="0"/>
              <w:jc w:val="center"/>
              <w:rPr>
                <w:color w:val="000000"/>
              </w:rPr>
            </w:pPr>
            <w:r w:rsidRPr="00601546">
              <w:rPr>
                <w:color w:val="000000"/>
              </w:rPr>
              <w:t>0.99551 to 0.99578</w:t>
            </w:r>
          </w:p>
        </w:tc>
        <w:tc>
          <w:tcPr>
            <w:tcW w:w="1980" w:type="dxa"/>
            <w:noWrap/>
            <w:hideMark/>
          </w:tcPr>
          <w:p w:rsidR="000D3EEB" w:rsidRPr="00601546" w:rsidRDefault="000D3EEB" w:rsidP="004F42F4">
            <w:pPr>
              <w:spacing w:before="0" w:after="0" w:line="240" w:lineRule="auto"/>
              <w:ind w:firstLine="0"/>
              <w:jc w:val="center"/>
              <w:rPr>
                <w:color w:val="000000"/>
              </w:rPr>
            </w:pPr>
            <w:r w:rsidRPr="00601546">
              <w:rPr>
                <w:color w:val="000000"/>
              </w:rPr>
              <w:t>0.99538 to 0.99592</w:t>
            </w:r>
          </w:p>
        </w:tc>
        <w:tc>
          <w:tcPr>
            <w:tcW w:w="1931" w:type="dxa"/>
            <w:noWrap/>
            <w:hideMark/>
          </w:tcPr>
          <w:p w:rsidR="000D3EEB" w:rsidRPr="00601546" w:rsidRDefault="000D3EEB" w:rsidP="004F42F4">
            <w:pPr>
              <w:spacing w:before="0" w:after="0" w:line="240" w:lineRule="auto"/>
              <w:ind w:firstLine="0"/>
              <w:jc w:val="center"/>
              <w:rPr>
                <w:color w:val="000000"/>
              </w:rPr>
            </w:pPr>
            <w:r w:rsidRPr="00601546">
              <w:rPr>
                <w:color w:val="000000"/>
              </w:rPr>
              <w:t>0.99529 to 0.99601</w:t>
            </w:r>
          </w:p>
        </w:tc>
      </w:tr>
      <w:tr w:rsidR="000D3EEB" w:rsidRPr="00B65CB1" w:rsidTr="000D3EEB">
        <w:trPr>
          <w:trHeight w:val="300"/>
        </w:trPr>
        <w:tc>
          <w:tcPr>
            <w:tcW w:w="1579" w:type="dxa"/>
            <w:noWrap/>
            <w:hideMark/>
          </w:tcPr>
          <w:p w:rsidR="000D3EEB" w:rsidRPr="00601546" w:rsidRDefault="000D3EEB" w:rsidP="004F42F4">
            <w:pPr>
              <w:spacing w:before="0" w:after="0" w:line="240" w:lineRule="auto"/>
              <w:ind w:firstLine="0"/>
              <w:jc w:val="center"/>
              <w:rPr>
                <w:color w:val="000000"/>
              </w:rPr>
            </w:pPr>
            <w:r w:rsidRPr="00601546">
              <w:rPr>
                <w:color w:val="000000"/>
              </w:rPr>
              <w:t>Track length</w:t>
            </w:r>
          </w:p>
        </w:tc>
        <w:tc>
          <w:tcPr>
            <w:tcW w:w="1044" w:type="dxa"/>
            <w:noWrap/>
            <w:hideMark/>
          </w:tcPr>
          <w:p w:rsidR="000D3EEB" w:rsidRPr="00601546" w:rsidRDefault="000D3EEB" w:rsidP="004F42F4">
            <w:pPr>
              <w:spacing w:before="0" w:after="0" w:line="240" w:lineRule="auto"/>
              <w:ind w:firstLine="0"/>
              <w:jc w:val="center"/>
              <w:rPr>
                <w:color w:val="000000"/>
              </w:rPr>
            </w:pPr>
            <w:r w:rsidRPr="00601546">
              <w:rPr>
                <w:color w:val="000000"/>
              </w:rPr>
              <w:t>0.99543</w:t>
            </w:r>
          </w:p>
        </w:tc>
        <w:tc>
          <w:tcPr>
            <w:tcW w:w="1177" w:type="dxa"/>
            <w:noWrap/>
            <w:hideMark/>
          </w:tcPr>
          <w:p w:rsidR="000D3EEB" w:rsidRPr="00601546" w:rsidRDefault="000D3EEB" w:rsidP="004F42F4">
            <w:pPr>
              <w:spacing w:before="0" w:after="0" w:line="240" w:lineRule="auto"/>
              <w:ind w:firstLine="0"/>
              <w:jc w:val="center"/>
              <w:rPr>
                <w:color w:val="000000"/>
              </w:rPr>
            </w:pPr>
            <w:r w:rsidRPr="00601546">
              <w:rPr>
                <w:color w:val="000000"/>
              </w:rPr>
              <w:t>0.00020</w:t>
            </w:r>
          </w:p>
        </w:tc>
        <w:tc>
          <w:tcPr>
            <w:tcW w:w="1939" w:type="dxa"/>
            <w:noWrap/>
            <w:hideMark/>
          </w:tcPr>
          <w:p w:rsidR="000D3EEB" w:rsidRPr="00601546" w:rsidRDefault="000D3EEB" w:rsidP="004F42F4">
            <w:pPr>
              <w:spacing w:before="0" w:after="0" w:line="240" w:lineRule="auto"/>
              <w:ind w:firstLine="0"/>
              <w:jc w:val="center"/>
              <w:rPr>
                <w:color w:val="000000"/>
              </w:rPr>
            </w:pPr>
            <w:r w:rsidRPr="00601546">
              <w:rPr>
                <w:color w:val="000000"/>
              </w:rPr>
              <w:t>0.99523 to 0.99562</w:t>
            </w:r>
          </w:p>
        </w:tc>
        <w:tc>
          <w:tcPr>
            <w:tcW w:w="1980" w:type="dxa"/>
            <w:noWrap/>
            <w:hideMark/>
          </w:tcPr>
          <w:p w:rsidR="000D3EEB" w:rsidRPr="00601546" w:rsidRDefault="000D3EEB" w:rsidP="004F42F4">
            <w:pPr>
              <w:spacing w:before="0" w:after="0" w:line="240" w:lineRule="auto"/>
              <w:ind w:firstLine="0"/>
              <w:jc w:val="center"/>
              <w:rPr>
                <w:color w:val="000000"/>
              </w:rPr>
            </w:pPr>
            <w:r w:rsidRPr="00601546">
              <w:rPr>
                <w:color w:val="000000"/>
              </w:rPr>
              <w:t>0.99503 to 0.99582</w:t>
            </w:r>
          </w:p>
        </w:tc>
        <w:tc>
          <w:tcPr>
            <w:tcW w:w="1931" w:type="dxa"/>
            <w:noWrap/>
            <w:hideMark/>
          </w:tcPr>
          <w:p w:rsidR="000D3EEB" w:rsidRPr="00601546" w:rsidRDefault="000D3EEB" w:rsidP="004F42F4">
            <w:pPr>
              <w:spacing w:before="0" w:after="0" w:line="240" w:lineRule="auto"/>
              <w:ind w:firstLine="0"/>
              <w:jc w:val="center"/>
              <w:rPr>
                <w:color w:val="000000"/>
              </w:rPr>
            </w:pPr>
            <w:r w:rsidRPr="00601546">
              <w:rPr>
                <w:color w:val="000000"/>
              </w:rPr>
              <w:t>0.99490 to 0.99595</w:t>
            </w:r>
          </w:p>
        </w:tc>
      </w:tr>
      <w:tr w:rsidR="000D3EEB" w:rsidRPr="00B65CB1" w:rsidTr="000D3EEB">
        <w:trPr>
          <w:trHeight w:val="300"/>
        </w:trPr>
        <w:tc>
          <w:tcPr>
            <w:tcW w:w="1579" w:type="dxa"/>
            <w:noWrap/>
            <w:hideMark/>
          </w:tcPr>
          <w:p w:rsidR="000D3EEB" w:rsidRPr="00601546" w:rsidRDefault="000D3EEB" w:rsidP="004F42F4">
            <w:pPr>
              <w:spacing w:before="0" w:after="0" w:line="240" w:lineRule="auto"/>
              <w:ind w:firstLine="0"/>
              <w:jc w:val="center"/>
              <w:rPr>
                <w:color w:val="000000"/>
              </w:rPr>
            </w:pPr>
            <w:proofErr w:type="spellStart"/>
            <w:r w:rsidRPr="00601546">
              <w:rPr>
                <w:color w:val="000000"/>
              </w:rPr>
              <w:t>col</w:t>
            </w:r>
            <w:proofErr w:type="spellEnd"/>
            <w:r w:rsidRPr="00601546">
              <w:rPr>
                <w:color w:val="000000"/>
              </w:rPr>
              <w:t>/abs/</w:t>
            </w:r>
            <w:proofErr w:type="spellStart"/>
            <w:r w:rsidRPr="00601546">
              <w:rPr>
                <w:color w:val="000000"/>
              </w:rPr>
              <w:t>trk</w:t>
            </w:r>
            <w:proofErr w:type="spellEnd"/>
            <w:r w:rsidRPr="00601546">
              <w:rPr>
                <w:color w:val="000000"/>
              </w:rPr>
              <w:t xml:space="preserve"> </w:t>
            </w:r>
            <w:proofErr w:type="spellStart"/>
            <w:r w:rsidRPr="00601546">
              <w:rPr>
                <w:color w:val="000000"/>
              </w:rPr>
              <w:t>len</w:t>
            </w:r>
            <w:proofErr w:type="spellEnd"/>
          </w:p>
        </w:tc>
        <w:tc>
          <w:tcPr>
            <w:tcW w:w="1044" w:type="dxa"/>
            <w:noWrap/>
            <w:hideMark/>
          </w:tcPr>
          <w:p w:rsidR="000D3EEB" w:rsidRPr="00601546" w:rsidRDefault="000D3EEB" w:rsidP="004F42F4">
            <w:pPr>
              <w:spacing w:before="0" w:after="0" w:line="240" w:lineRule="auto"/>
              <w:ind w:firstLine="0"/>
              <w:jc w:val="center"/>
              <w:rPr>
                <w:color w:val="000000"/>
              </w:rPr>
            </w:pPr>
            <w:r w:rsidRPr="00601546">
              <w:rPr>
                <w:color w:val="000000"/>
              </w:rPr>
              <w:t>0.99561</w:t>
            </w:r>
          </w:p>
        </w:tc>
        <w:tc>
          <w:tcPr>
            <w:tcW w:w="1177" w:type="dxa"/>
            <w:noWrap/>
            <w:hideMark/>
          </w:tcPr>
          <w:p w:rsidR="000D3EEB" w:rsidRPr="00601546" w:rsidRDefault="000D3EEB" w:rsidP="004F42F4">
            <w:pPr>
              <w:spacing w:before="0" w:after="0" w:line="240" w:lineRule="auto"/>
              <w:ind w:firstLine="0"/>
              <w:jc w:val="center"/>
              <w:rPr>
                <w:color w:val="000000"/>
              </w:rPr>
            </w:pPr>
            <w:r w:rsidRPr="00601546">
              <w:rPr>
                <w:color w:val="000000"/>
              </w:rPr>
              <w:t>0.00013</w:t>
            </w:r>
          </w:p>
        </w:tc>
        <w:tc>
          <w:tcPr>
            <w:tcW w:w="1939" w:type="dxa"/>
            <w:noWrap/>
            <w:hideMark/>
          </w:tcPr>
          <w:p w:rsidR="000D3EEB" w:rsidRPr="00601546" w:rsidRDefault="000D3EEB" w:rsidP="004F42F4">
            <w:pPr>
              <w:spacing w:before="0" w:after="0" w:line="240" w:lineRule="auto"/>
              <w:ind w:firstLine="0"/>
              <w:jc w:val="center"/>
              <w:rPr>
                <w:color w:val="000000"/>
              </w:rPr>
            </w:pPr>
            <w:r w:rsidRPr="00601546">
              <w:rPr>
                <w:color w:val="000000"/>
              </w:rPr>
              <w:t>0.99548 to 0.99574</w:t>
            </w:r>
          </w:p>
        </w:tc>
        <w:tc>
          <w:tcPr>
            <w:tcW w:w="1980" w:type="dxa"/>
            <w:noWrap/>
            <w:hideMark/>
          </w:tcPr>
          <w:p w:rsidR="000D3EEB" w:rsidRPr="00601546" w:rsidRDefault="000D3EEB" w:rsidP="004F42F4">
            <w:pPr>
              <w:spacing w:before="0" w:after="0" w:line="240" w:lineRule="auto"/>
              <w:ind w:firstLine="0"/>
              <w:jc w:val="center"/>
              <w:rPr>
                <w:color w:val="000000"/>
              </w:rPr>
            </w:pPr>
            <w:r w:rsidRPr="00601546">
              <w:rPr>
                <w:color w:val="000000"/>
              </w:rPr>
              <w:t>0.99535 to 0.99587</w:t>
            </w:r>
          </w:p>
        </w:tc>
        <w:tc>
          <w:tcPr>
            <w:tcW w:w="1931" w:type="dxa"/>
            <w:noWrap/>
            <w:hideMark/>
          </w:tcPr>
          <w:p w:rsidR="000D3EEB" w:rsidRPr="00601546" w:rsidRDefault="000D3EEB" w:rsidP="004F42F4">
            <w:pPr>
              <w:spacing w:before="0" w:after="0" w:line="240" w:lineRule="auto"/>
              <w:ind w:firstLine="0"/>
              <w:jc w:val="center"/>
              <w:rPr>
                <w:color w:val="000000"/>
              </w:rPr>
            </w:pPr>
            <w:r w:rsidRPr="00601546">
              <w:rPr>
                <w:color w:val="000000"/>
              </w:rPr>
              <w:t>0.99526 to 0.99596</w:t>
            </w:r>
          </w:p>
        </w:tc>
      </w:tr>
    </w:tbl>
    <w:p w:rsidR="000D3EEB" w:rsidRDefault="000D3EEB" w:rsidP="00E0739C">
      <w:pPr>
        <w:spacing w:before="0" w:after="200"/>
      </w:pPr>
    </w:p>
    <w:p w:rsidR="000D3EEB" w:rsidRPr="000D3EEB" w:rsidRDefault="000D3EEB" w:rsidP="003E77A1">
      <w:pPr>
        <w:autoSpaceDE w:val="0"/>
        <w:autoSpaceDN w:val="0"/>
        <w:adjustRightInd w:val="0"/>
        <w:ind w:firstLine="0"/>
      </w:pPr>
      <w:r w:rsidRPr="000D3EEB">
        <w:lastRenderedPageBreak/>
        <w:t>Some of the pertinent calculated values are listed below:</w:t>
      </w:r>
    </w:p>
    <w:p w:rsidR="000D3EEB" w:rsidRPr="000D3EEB" w:rsidRDefault="000D3EEB" w:rsidP="000D3EEB">
      <w:pPr>
        <w:numPr>
          <w:ilvl w:val="0"/>
          <w:numId w:val="24"/>
        </w:numPr>
        <w:autoSpaceDE w:val="0"/>
        <w:autoSpaceDN w:val="0"/>
        <w:adjustRightInd w:val="0"/>
        <w:spacing w:before="0" w:after="0"/>
        <w:ind w:left="720"/>
      </w:pPr>
      <w:r w:rsidRPr="000D3EEB">
        <w:t>the final combined (</w:t>
      </w:r>
      <w:proofErr w:type="spellStart"/>
      <w:r w:rsidRPr="000D3EEB">
        <w:t>col</w:t>
      </w:r>
      <w:proofErr w:type="spellEnd"/>
      <w:r w:rsidRPr="000D3EEB">
        <w:t>/abs/</w:t>
      </w:r>
      <w:proofErr w:type="spellStart"/>
      <w:r w:rsidRPr="000D3EEB">
        <w:t>tl</w:t>
      </w:r>
      <w:proofErr w:type="spellEnd"/>
      <w:r w:rsidRPr="000D3EEB">
        <w:t>) prompt removal lifetime = 1.4676 x 10</w:t>
      </w:r>
      <w:r w:rsidRPr="000D3EEB">
        <w:rPr>
          <w:vertAlign w:val="superscript"/>
        </w:rPr>
        <w:t>-04</w:t>
      </w:r>
      <w:r w:rsidRPr="000D3EEB">
        <w:t xml:space="preserve"> ± 9.5564 x 10</w:t>
      </w:r>
      <w:r w:rsidRPr="000D3EEB">
        <w:rPr>
          <w:vertAlign w:val="superscript"/>
        </w:rPr>
        <w:t>-08</w:t>
      </w:r>
      <w:r w:rsidRPr="000D3EEB">
        <w:t xml:space="preserve"> seconds,</w:t>
      </w:r>
    </w:p>
    <w:p w:rsidR="000D3EEB" w:rsidRPr="000D3EEB" w:rsidRDefault="000D3EEB" w:rsidP="000D3EEB">
      <w:pPr>
        <w:numPr>
          <w:ilvl w:val="0"/>
          <w:numId w:val="24"/>
        </w:numPr>
        <w:autoSpaceDE w:val="0"/>
        <w:autoSpaceDN w:val="0"/>
        <w:adjustRightInd w:val="0"/>
        <w:spacing w:before="0" w:after="0"/>
        <w:ind w:left="720"/>
        <w:rPr>
          <w:i/>
        </w:rPr>
      </w:pPr>
      <w:r w:rsidRPr="000D3EEB">
        <w:t>the average neutron energy causing fission = 2.3371 x 10</w:t>
      </w:r>
      <w:r w:rsidRPr="000D3EEB">
        <w:rPr>
          <w:vertAlign w:val="superscript"/>
        </w:rPr>
        <w:t>-02</w:t>
      </w:r>
      <w:r w:rsidRPr="000D3EEB">
        <w:t xml:space="preserve"> </w:t>
      </w:r>
      <w:proofErr w:type="spellStart"/>
      <w:r w:rsidRPr="000D3EEB">
        <w:t>MeV</w:t>
      </w:r>
      <w:proofErr w:type="spellEnd"/>
      <w:r w:rsidRPr="000D3EEB">
        <w:t>,</w:t>
      </w:r>
    </w:p>
    <w:p w:rsidR="000D3EEB" w:rsidRPr="000D3EEB" w:rsidRDefault="000D3EEB" w:rsidP="000D3EEB">
      <w:pPr>
        <w:numPr>
          <w:ilvl w:val="0"/>
          <w:numId w:val="24"/>
        </w:numPr>
        <w:autoSpaceDE w:val="0"/>
        <w:autoSpaceDN w:val="0"/>
        <w:adjustRightInd w:val="0"/>
        <w:spacing w:before="0" w:after="0"/>
        <w:ind w:left="720"/>
      </w:pPr>
      <w:r w:rsidRPr="000D3EEB">
        <w:t>the energy corresponding to the average neutron lethargy causing fission = 1.6438 x 10</w:t>
      </w:r>
      <w:r w:rsidRPr="000D3EEB">
        <w:rPr>
          <w:vertAlign w:val="superscript"/>
        </w:rPr>
        <w:t>-07</w:t>
      </w:r>
      <w:r w:rsidRPr="000D3EEB">
        <w:t xml:space="preserve"> </w:t>
      </w:r>
      <w:proofErr w:type="spellStart"/>
      <w:r w:rsidRPr="000D3EEB">
        <w:t>MeV</w:t>
      </w:r>
      <w:proofErr w:type="spellEnd"/>
      <w:r w:rsidRPr="000D3EEB">
        <w:t>,</w:t>
      </w:r>
    </w:p>
    <w:p w:rsidR="000D3EEB" w:rsidRPr="000D3EEB" w:rsidRDefault="000D3EEB" w:rsidP="000D3EEB">
      <w:pPr>
        <w:numPr>
          <w:ilvl w:val="0"/>
          <w:numId w:val="24"/>
        </w:numPr>
        <w:autoSpaceDE w:val="0"/>
        <w:autoSpaceDN w:val="0"/>
        <w:adjustRightInd w:val="0"/>
        <w:spacing w:before="0" w:after="0"/>
        <w:ind w:left="720"/>
      </w:pPr>
      <w:r w:rsidRPr="000D3EEB">
        <w:t>the percentages of fissions caused by neutrons in the thermal, intermediate, and fast neutron  ranges are:</w:t>
      </w:r>
      <w:r w:rsidRPr="000D3EEB">
        <w:tab/>
        <w:t xml:space="preserve">(&lt;0.625 </w:t>
      </w:r>
      <w:proofErr w:type="spellStart"/>
      <w:r w:rsidRPr="000D3EEB">
        <w:t>eV</w:t>
      </w:r>
      <w:proofErr w:type="spellEnd"/>
      <w:r w:rsidRPr="000D3EEB">
        <w:t xml:space="preserve">): 83.26 % (0.625 </w:t>
      </w:r>
      <w:proofErr w:type="spellStart"/>
      <w:r w:rsidRPr="000D3EEB">
        <w:t>eV</w:t>
      </w:r>
      <w:proofErr w:type="spellEnd"/>
      <w:r w:rsidRPr="000D3EEB">
        <w:t xml:space="preserve"> – 100 </w:t>
      </w:r>
      <w:proofErr w:type="spellStart"/>
      <w:r w:rsidRPr="000D3EEB">
        <w:t>keV</w:t>
      </w:r>
      <w:proofErr w:type="spellEnd"/>
      <w:r w:rsidRPr="000D3EEB">
        <w:t xml:space="preserve">): 15.26 % (&gt;100 </w:t>
      </w:r>
      <w:proofErr w:type="spellStart"/>
      <w:r w:rsidRPr="000D3EEB">
        <w:t>keV</w:t>
      </w:r>
      <w:proofErr w:type="spellEnd"/>
      <w:r w:rsidRPr="000D3EEB">
        <w:t>): 1.48 %,</w:t>
      </w:r>
    </w:p>
    <w:p w:rsidR="000D3EEB" w:rsidRPr="000D3EEB" w:rsidRDefault="000D3EEB" w:rsidP="000D3EEB">
      <w:pPr>
        <w:pStyle w:val="PlainText"/>
        <w:numPr>
          <w:ilvl w:val="0"/>
          <w:numId w:val="24"/>
        </w:numPr>
        <w:spacing w:line="480" w:lineRule="auto"/>
        <w:ind w:left="720"/>
        <w:rPr>
          <w:rFonts w:ascii="Times New Roman" w:hAnsi="Times New Roman"/>
          <w:sz w:val="22"/>
          <w:szCs w:val="22"/>
        </w:rPr>
      </w:pPr>
      <w:r w:rsidRPr="000D3EEB">
        <w:rPr>
          <w:rFonts w:ascii="Times New Roman" w:hAnsi="Times New Roman"/>
          <w:sz w:val="22"/>
          <w:szCs w:val="22"/>
        </w:rPr>
        <w:t>the average fission neutrons produced per neutron absorbed (capture + fission) in all cells with fission = 1.7361,</w:t>
      </w:r>
    </w:p>
    <w:p w:rsidR="000D3EEB" w:rsidRPr="000D3EEB" w:rsidRDefault="000D3EEB" w:rsidP="000D3EEB">
      <w:pPr>
        <w:pStyle w:val="PlainText"/>
        <w:numPr>
          <w:ilvl w:val="0"/>
          <w:numId w:val="24"/>
        </w:numPr>
        <w:spacing w:line="480" w:lineRule="auto"/>
        <w:ind w:left="720"/>
        <w:rPr>
          <w:rFonts w:ascii="Times New Roman" w:hAnsi="Times New Roman"/>
          <w:sz w:val="22"/>
          <w:szCs w:val="22"/>
        </w:rPr>
      </w:pPr>
      <w:r w:rsidRPr="000D3EEB">
        <w:rPr>
          <w:rFonts w:ascii="Times New Roman" w:hAnsi="Times New Roman"/>
          <w:sz w:val="22"/>
          <w:szCs w:val="22"/>
        </w:rPr>
        <w:t>the average fission neutrons produced per neutron absorbed (capture + fission) in all the geometry cells = 9.7752 x 10</w:t>
      </w:r>
      <w:r w:rsidRPr="000D3EEB">
        <w:rPr>
          <w:rFonts w:ascii="Times New Roman" w:hAnsi="Times New Roman"/>
          <w:sz w:val="22"/>
          <w:szCs w:val="22"/>
          <w:vertAlign w:val="superscript"/>
        </w:rPr>
        <w:t>-01</w:t>
      </w:r>
      <w:r w:rsidRPr="000D3EEB">
        <w:rPr>
          <w:rFonts w:ascii="Times New Roman" w:hAnsi="Times New Roman"/>
          <w:sz w:val="22"/>
          <w:szCs w:val="22"/>
        </w:rPr>
        <w:t>, and</w:t>
      </w:r>
    </w:p>
    <w:p w:rsidR="000D3EEB" w:rsidRDefault="000D3EEB" w:rsidP="000D3EEB">
      <w:pPr>
        <w:numPr>
          <w:ilvl w:val="0"/>
          <w:numId w:val="24"/>
        </w:numPr>
        <w:spacing w:before="0" w:after="0"/>
        <w:ind w:left="720"/>
      </w:pPr>
      <w:proofErr w:type="gramStart"/>
      <w:r w:rsidRPr="000D3EEB">
        <w:t>the</w:t>
      </w:r>
      <w:proofErr w:type="gramEnd"/>
      <w:r w:rsidRPr="000D3EEB">
        <w:t xml:space="preserve"> average number of neutrons produced per fission = 2.438.</w:t>
      </w:r>
    </w:p>
    <w:p w:rsidR="003E77A1" w:rsidRPr="000D3EEB" w:rsidRDefault="003E77A1" w:rsidP="003E77A1">
      <w:pPr>
        <w:spacing w:before="0" w:after="0"/>
      </w:pPr>
    </w:p>
    <w:p w:rsidR="00A52A92" w:rsidRDefault="000D3EEB" w:rsidP="00904F73">
      <w:r w:rsidRPr="000D3EEB">
        <w:t xml:space="preserve">The radial relative power profile at the horizontal midplane is shown in </w:t>
      </w:r>
      <w:r w:rsidR="00904F73">
        <w:t xml:space="preserve">Figure </w:t>
      </w:r>
      <w:r w:rsidR="00904F73">
        <w:rPr>
          <w:noProof/>
        </w:rPr>
        <w:t>4</w:t>
      </w:r>
      <w:r w:rsidR="00904F73">
        <w:t>.</w:t>
      </w:r>
      <w:r w:rsidR="00904F73">
        <w:rPr>
          <w:noProof/>
        </w:rPr>
        <w:t xml:space="preserve">6, </w:t>
      </w:r>
      <w:r w:rsidRPr="000D3EEB">
        <w:t>which is composed of data derived from foils 1 through 6 for both the inner and outer fuel elements.</w:t>
      </w:r>
      <w:r w:rsidR="00AD7501">
        <w:t xml:space="preserve"> </w:t>
      </w:r>
      <w:r w:rsidRPr="000D3EEB">
        <w:t xml:space="preserve"> The axial relative power profiles corresponding to foils 1B-1G, 4A-4H, and 6B-6G for both the inner and outer fuel elements are shown in </w:t>
      </w:r>
      <w:r w:rsidR="007511FA">
        <w:fldChar w:fldCharType="begin"/>
      </w:r>
      <w:r w:rsidR="00904F73">
        <w:instrText xml:space="preserve"> REF _Ref295816576 \h </w:instrText>
      </w:r>
      <w:r w:rsidR="007511FA">
        <w:fldChar w:fldCharType="separate"/>
      </w:r>
      <w:r w:rsidR="00D5167B">
        <w:t xml:space="preserve">Figure </w:t>
      </w:r>
      <w:r w:rsidR="00D5167B">
        <w:rPr>
          <w:noProof/>
        </w:rPr>
        <w:t>4</w:t>
      </w:r>
      <w:r w:rsidR="00D5167B">
        <w:t>.</w:t>
      </w:r>
      <w:r w:rsidR="00D5167B">
        <w:rPr>
          <w:noProof/>
        </w:rPr>
        <w:t>7</w:t>
      </w:r>
      <w:r w:rsidR="007511FA">
        <w:fldChar w:fldCharType="end"/>
      </w:r>
      <w:r w:rsidR="00904F73" w:rsidRPr="000D3EEB">
        <w:t xml:space="preserve"> </w:t>
      </w:r>
      <w:r w:rsidRPr="000D3EEB">
        <w:t xml:space="preserve">through </w:t>
      </w:r>
      <w:fldSimple w:instr=" REF _Ref285534699 \h  \* MERGEFORMAT ">
        <w:r w:rsidR="00D5167B">
          <w:t xml:space="preserve">Figure </w:t>
        </w:r>
        <w:r w:rsidR="00D5167B">
          <w:rPr>
            <w:noProof/>
          </w:rPr>
          <w:t>4.12</w:t>
        </w:r>
      </w:fldSimple>
      <w:r w:rsidR="00E409A4">
        <w:t>, respectively</w:t>
      </w:r>
      <w:r w:rsidRPr="000D3EEB">
        <w:t xml:space="preserve">. </w:t>
      </w:r>
      <w:r w:rsidR="00AD7501">
        <w:t xml:space="preserve"> </w:t>
      </w:r>
      <w:r w:rsidRPr="000D3EEB">
        <w:t>Reflector savings can be observed in</w:t>
      </w:r>
      <w:r w:rsidR="00904F73">
        <w:t xml:space="preserve"> </w:t>
      </w:r>
      <w:r w:rsidR="007511FA">
        <w:fldChar w:fldCharType="begin"/>
      </w:r>
      <w:r w:rsidR="00904F73">
        <w:instrText xml:space="preserve"> REF _Ref295816600 \h </w:instrText>
      </w:r>
      <w:r w:rsidR="007511FA">
        <w:fldChar w:fldCharType="separate"/>
      </w:r>
      <w:r w:rsidR="00D5167B">
        <w:t xml:space="preserve">Figure </w:t>
      </w:r>
      <w:r w:rsidR="00D5167B">
        <w:rPr>
          <w:noProof/>
        </w:rPr>
        <w:t>4</w:t>
      </w:r>
      <w:r w:rsidR="00D5167B">
        <w:t>.</w:t>
      </w:r>
      <w:r w:rsidR="00D5167B">
        <w:rPr>
          <w:noProof/>
        </w:rPr>
        <w:t>6</w:t>
      </w:r>
      <w:r w:rsidR="007511FA">
        <w:fldChar w:fldCharType="end"/>
      </w:r>
      <w:r w:rsidRPr="003E77A1">
        <w:t xml:space="preserve">, </w:t>
      </w:r>
      <w:fldSimple w:instr=" REF _Ref285534865 \h  \* MERGEFORMAT ">
        <w:r w:rsidR="00D5167B">
          <w:t xml:space="preserve">Figure </w:t>
        </w:r>
        <w:r w:rsidR="00D5167B">
          <w:rPr>
            <w:noProof/>
          </w:rPr>
          <w:t>4.8</w:t>
        </w:r>
      </w:fldSimple>
      <w:r w:rsidR="00AD7501" w:rsidRPr="003E77A1">
        <w:t>,</w:t>
      </w:r>
      <w:r w:rsidRPr="003E77A1">
        <w:t xml:space="preserve"> and </w:t>
      </w:r>
      <w:fldSimple w:instr=" REF _Ref285534872 \h  \* MERGEFORMAT ">
        <w:r w:rsidR="00D5167B">
          <w:t xml:space="preserve">Figure </w:t>
        </w:r>
        <w:r w:rsidR="00D5167B">
          <w:rPr>
            <w:noProof/>
          </w:rPr>
          <w:t>4.11</w:t>
        </w:r>
      </w:fldSimple>
      <w:r w:rsidR="003E77A1">
        <w:t xml:space="preserve"> </w:t>
      </w:r>
      <w:r w:rsidRPr="000D3EEB">
        <w:t>because foils located at the edges are analyzed in these figures and water is located at these edges.</w:t>
      </w:r>
      <w:r w:rsidR="00A52A92">
        <w:br w:type="page"/>
      </w:r>
    </w:p>
    <w:p w:rsidR="003E77A1" w:rsidRDefault="00AD7501" w:rsidP="004C3625">
      <w:pPr>
        <w:pStyle w:val="Caption"/>
      </w:pPr>
      <w:r w:rsidRPr="001D4E80">
        <w:rPr>
          <w:noProof/>
          <w:sz w:val="24"/>
        </w:rPr>
        <w:lastRenderedPageBreak/>
        <w:drawing>
          <wp:inline distT="0" distB="0" distL="0" distR="0">
            <wp:extent cx="5486400" cy="3474720"/>
            <wp:effectExtent l="19050" t="0" r="19050" b="0"/>
            <wp:docPr id="19"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bookmarkStart w:id="142" w:name="_Ref285534680"/>
    </w:p>
    <w:p w:rsidR="00A52A92" w:rsidRDefault="003E77A1" w:rsidP="0081034D">
      <w:pPr>
        <w:pStyle w:val="Caption"/>
      </w:pPr>
      <w:bookmarkStart w:id="143" w:name="_Ref295816600"/>
      <w:bookmarkStart w:id="144" w:name="_Toc295818192"/>
      <w:proofErr w:type="gramStart"/>
      <w:r>
        <w:t xml:space="preserve">Figure </w:t>
      </w:r>
      <w:r w:rsidR="007511FA">
        <w:fldChar w:fldCharType="begin"/>
      </w:r>
      <w:r w:rsidR="00AE17F8">
        <w:instrText xml:space="preserve"> STYLEREF 1 \s </w:instrText>
      </w:r>
      <w:r w:rsidR="007511FA">
        <w:fldChar w:fldCharType="separate"/>
      </w:r>
      <w:r w:rsidR="00D5167B">
        <w:rPr>
          <w:noProof/>
        </w:rPr>
        <w:t>4</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6</w:t>
      </w:r>
      <w:r w:rsidR="007511FA">
        <w:fldChar w:fldCharType="end"/>
      </w:r>
      <w:bookmarkEnd w:id="142"/>
      <w:bookmarkEnd w:id="143"/>
      <w:r w:rsidR="00AD7501" w:rsidRPr="00AD7501">
        <w:t xml:space="preserve">.  </w:t>
      </w:r>
      <w:proofErr w:type="gramStart"/>
      <w:r w:rsidR="00AD7501" w:rsidRPr="00AD7501">
        <w:t>Radial relative power profile at horizontal midplane under clean core conditions.</w:t>
      </w:r>
      <w:bookmarkEnd w:id="144"/>
      <w:proofErr w:type="gramEnd"/>
    </w:p>
    <w:p w:rsidR="00A52A92" w:rsidRPr="0081034D" w:rsidRDefault="00A52A92">
      <w:pPr>
        <w:spacing w:before="0" w:after="200" w:line="276" w:lineRule="auto"/>
        <w:ind w:firstLine="0"/>
        <w:jc w:val="left"/>
      </w:pPr>
    </w:p>
    <w:p w:rsidR="003E77A1" w:rsidRDefault="00AD7501" w:rsidP="004C3625">
      <w:pPr>
        <w:pStyle w:val="Caption"/>
        <w:spacing w:before="120" w:after="120"/>
      </w:pPr>
      <w:r w:rsidRPr="001D4E80">
        <w:rPr>
          <w:noProof/>
          <w:sz w:val="24"/>
        </w:rPr>
        <w:drawing>
          <wp:inline distT="0" distB="0" distL="0" distR="0">
            <wp:extent cx="5486400" cy="3474720"/>
            <wp:effectExtent l="19050" t="0" r="19050" b="0"/>
            <wp:docPr id="20"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bookmarkStart w:id="145" w:name="_Ref285534689"/>
    </w:p>
    <w:p w:rsidR="00AD7501" w:rsidRPr="00AD7501" w:rsidRDefault="003E77A1" w:rsidP="0081034D">
      <w:pPr>
        <w:pStyle w:val="Caption"/>
        <w:spacing w:after="0"/>
      </w:pPr>
      <w:bookmarkStart w:id="146" w:name="_Ref295816576"/>
      <w:bookmarkStart w:id="147" w:name="_Toc295818193"/>
      <w:proofErr w:type="gramStart"/>
      <w:r>
        <w:t xml:space="preserve">Figure </w:t>
      </w:r>
      <w:r w:rsidR="007511FA">
        <w:fldChar w:fldCharType="begin"/>
      </w:r>
      <w:r w:rsidR="00AE17F8">
        <w:instrText xml:space="preserve"> STYLEREF 1 \s </w:instrText>
      </w:r>
      <w:r w:rsidR="007511FA">
        <w:fldChar w:fldCharType="separate"/>
      </w:r>
      <w:r w:rsidR="00D5167B">
        <w:rPr>
          <w:noProof/>
        </w:rPr>
        <w:t>4</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7</w:t>
      </w:r>
      <w:r w:rsidR="007511FA">
        <w:fldChar w:fldCharType="end"/>
      </w:r>
      <w:bookmarkEnd w:id="145"/>
      <w:bookmarkEnd w:id="146"/>
      <w:r w:rsidR="00AD7501" w:rsidRPr="00AD7501">
        <w:t xml:space="preserve">.  </w:t>
      </w:r>
      <w:proofErr w:type="gramStart"/>
      <w:r w:rsidR="00AD7501" w:rsidRPr="00AD7501">
        <w:t>Axial relative power profile of Foil 1 in IFE under clean core conditions.</w:t>
      </w:r>
      <w:bookmarkEnd w:id="147"/>
      <w:proofErr w:type="gramEnd"/>
    </w:p>
    <w:p w:rsidR="003E77A1" w:rsidRDefault="00AD7501" w:rsidP="004C3625">
      <w:pPr>
        <w:pStyle w:val="Caption"/>
        <w:spacing w:before="120" w:after="120"/>
      </w:pPr>
      <w:r w:rsidRPr="00AD7501">
        <w:rPr>
          <w:noProof/>
        </w:rPr>
        <w:lastRenderedPageBreak/>
        <w:drawing>
          <wp:inline distT="0" distB="0" distL="0" distR="0">
            <wp:extent cx="5486400" cy="3474720"/>
            <wp:effectExtent l="19050" t="0" r="19050" b="0"/>
            <wp:docPr id="21"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AD7501" w:rsidRPr="00AD7501" w:rsidRDefault="003E77A1" w:rsidP="0081034D">
      <w:pPr>
        <w:pStyle w:val="Caption"/>
        <w:spacing w:after="0"/>
      </w:pPr>
      <w:bookmarkStart w:id="148" w:name="_Ref285534865"/>
      <w:bookmarkStart w:id="149" w:name="_Toc295818194"/>
      <w:proofErr w:type="gramStart"/>
      <w:r>
        <w:t xml:space="preserve">Figure </w:t>
      </w:r>
      <w:r w:rsidR="007511FA">
        <w:fldChar w:fldCharType="begin"/>
      </w:r>
      <w:r w:rsidR="00AE17F8">
        <w:instrText xml:space="preserve"> STYLEREF 1 \s </w:instrText>
      </w:r>
      <w:r w:rsidR="007511FA">
        <w:fldChar w:fldCharType="separate"/>
      </w:r>
      <w:r w:rsidR="00D5167B">
        <w:rPr>
          <w:noProof/>
        </w:rPr>
        <w:t>4</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8</w:t>
      </w:r>
      <w:r w:rsidR="007511FA">
        <w:fldChar w:fldCharType="end"/>
      </w:r>
      <w:bookmarkEnd w:id="148"/>
      <w:r w:rsidR="00AD7501" w:rsidRPr="00AD7501">
        <w:t xml:space="preserve">.  </w:t>
      </w:r>
      <w:proofErr w:type="gramStart"/>
      <w:r w:rsidR="00AD7501" w:rsidRPr="00AD7501">
        <w:t>Axial relative power profile of Foil 4 in IFE under clean core conditions.</w:t>
      </w:r>
      <w:bookmarkEnd w:id="149"/>
      <w:proofErr w:type="gramEnd"/>
    </w:p>
    <w:p w:rsidR="00AD7501" w:rsidRPr="0081034D" w:rsidRDefault="00AD7501" w:rsidP="00A52A92">
      <w:pPr>
        <w:ind w:firstLine="0"/>
        <w:jc w:val="center"/>
        <w:rPr>
          <w:sz w:val="24"/>
        </w:rPr>
      </w:pPr>
    </w:p>
    <w:p w:rsidR="00AD7501" w:rsidRDefault="00AD7501" w:rsidP="004C3625">
      <w:pPr>
        <w:spacing w:line="240" w:lineRule="auto"/>
        <w:ind w:firstLine="0"/>
        <w:jc w:val="center"/>
        <w:rPr>
          <w:b/>
          <w:sz w:val="24"/>
        </w:rPr>
      </w:pPr>
      <w:r w:rsidRPr="001D4E80">
        <w:rPr>
          <w:b/>
          <w:noProof/>
          <w:sz w:val="24"/>
        </w:rPr>
        <w:drawing>
          <wp:inline distT="0" distB="0" distL="0" distR="0">
            <wp:extent cx="5486400" cy="3474720"/>
            <wp:effectExtent l="19050" t="0" r="19050" b="0"/>
            <wp:docPr id="5"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AD7501" w:rsidRDefault="003E77A1" w:rsidP="0081034D">
      <w:pPr>
        <w:pStyle w:val="Caption"/>
        <w:spacing w:after="0"/>
        <w:rPr>
          <w:b w:val="0"/>
          <w:sz w:val="24"/>
        </w:rPr>
      </w:pPr>
      <w:bookmarkStart w:id="150" w:name="_Toc295818195"/>
      <w:proofErr w:type="gramStart"/>
      <w:r>
        <w:t xml:space="preserve">Figure </w:t>
      </w:r>
      <w:r w:rsidR="007511FA">
        <w:fldChar w:fldCharType="begin"/>
      </w:r>
      <w:r w:rsidR="00AE17F8">
        <w:instrText xml:space="preserve"> STYLEREF 1 \s </w:instrText>
      </w:r>
      <w:r w:rsidR="007511FA">
        <w:fldChar w:fldCharType="separate"/>
      </w:r>
      <w:r w:rsidR="00D5167B">
        <w:rPr>
          <w:noProof/>
        </w:rPr>
        <w:t>4</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9</w:t>
      </w:r>
      <w:r w:rsidR="007511FA">
        <w:fldChar w:fldCharType="end"/>
      </w:r>
      <w:r w:rsidR="00AD7501" w:rsidRPr="00AD7501">
        <w:t xml:space="preserve">.  </w:t>
      </w:r>
      <w:proofErr w:type="gramStart"/>
      <w:r w:rsidR="00AD7501" w:rsidRPr="00AD7501">
        <w:t>Axial relative power profile of Foil 6 in IFE under clean core conditions.</w:t>
      </w:r>
      <w:bookmarkEnd w:id="150"/>
      <w:proofErr w:type="gramEnd"/>
    </w:p>
    <w:p w:rsidR="00AD7501" w:rsidRPr="00AD7501" w:rsidRDefault="00AD7501" w:rsidP="004C3625">
      <w:pPr>
        <w:spacing w:line="240" w:lineRule="auto"/>
        <w:ind w:firstLine="0"/>
        <w:jc w:val="center"/>
        <w:rPr>
          <w:b/>
        </w:rPr>
      </w:pPr>
      <w:r w:rsidRPr="00AD7501">
        <w:rPr>
          <w:b/>
          <w:noProof/>
        </w:rPr>
        <w:lastRenderedPageBreak/>
        <w:drawing>
          <wp:inline distT="0" distB="0" distL="0" distR="0">
            <wp:extent cx="5486400" cy="3474720"/>
            <wp:effectExtent l="19050" t="0" r="19050" b="0"/>
            <wp:docPr id="9"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AD7501" w:rsidRPr="00AD7501" w:rsidRDefault="003E77A1" w:rsidP="0081034D">
      <w:pPr>
        <w:pStyle w:val="Caption"/>
        <w:spacing w:after="0"/>
      </w:pPr>
      <w:bookmarkStart w:id="151" w:name="_Toc295818196"/>
      <w:proofErr w:type="gramStart"/>
      <w:r>
        <w:t xml:space="preserve">Figure </w:t>
      </w:r>
      <w:r w:rsidR="007511FA">
        <w:fldChar w:fldCharType="begin"/>
      </w:r>
      <w:r w:rsidR="00AE17F8">
        <w:instrText xml:space="preserve"> STYLEREF 1 \s </w:instrText>
      </w:r>
      <w:r w:rsidR="007511FA">
        <w:fldChar w:fldCharType="separate"/>
      </w:r>
      <w:r w:rsidR="00D5167B">
        <w:rPr>
          <w:noProof/>
        </w:rPr>
        <w:t>4</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10</w:t>
      </w:r>
      <w:r w:rsidR="007511FA">
        <w:fldChar w:fldCharType="end"/>
      </w:r>
      <w:r w:rsidR="00AD7501" w:rsidRPr="00AD7501">
        <w:t xml:space="preserve">.  </w:t>
      </w:r>
      <w:proofErr w:type="gramStart"/>
      <w:r w:rsidR="00AD7501" w:rsidRPr="00AD7501">
        <w:t>Axial relative power profile of Foil 1 in OFE under clean core conditions.</w:t>
      </w:r>
      <w:bookmarkEnd w:id="151"/>
      <w:proofErr w:type="gramEnd"/>
    </w:p>
    <w:p w:rsidR="00AD7501" w:rsidRPr="004C3625" w:rsidRDefault="00AD7501" w:rsidP="00A52A92">
      <w:pPr>
        <w:ind w:firstLine="0"/>
        <w:jc w:val="center"/>
        <w:rPr>
          <w:sz w:val="24"/>
        </w:rPr>
      </w:pPr>
    </w:p>
    <w:p w:rsidR="00AD7501" w:rsidRDefault="00AD7501" w:rsidP="004C3625">
      <w:pPr>
        <w:spacing w:line="240" w:lineRule="auto"/>
        <w:ind w:firstLine="0"/>
        <w:jc w:val="center"/>
        <w:rPr>
          <w:b/>
          <w:sz w:val="24"/>
        </w:rPr>
      </w:pPr>
      <w:r w:rsidRPr="001D4E80">
        <w:rPr>
          <w:b/>
          <w:noProof/>
          <w:sz w:val="24"/>
        </w:rPr>
        <w:drawing>
          <wp:inline distT="0" distB="0" distL="0" distR="0">
            <wp:extent cx="5486400" cy="3474720"/>
            <wp:effectExtent l="19050" t="0" r="19050" b="0"/>
            <wp:docPr id="10"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AD7501" w:rsidRPr="00AD7501" w:rsidRDefault="003E77A1" w:rsidP="0081034D">
      <w:pPr>
        <w:pStyle w:val="Caption"/>
        <w:spacing w:after="0"/>
      </w:pPr>
      <w:bookmarkStart w:id="152" w:name="_Ref285534872"/>
      <w:bookmarkStart w:id="153" w:name="_Toc295818197"/>
      <w:proofErr w:type="gramStart"/>
      <w:r>
        <w:t xml:space="preserve">Figure </w:t>
      </w:r>
      <w:r w:rsidR="007511FA">
        <w:fldChar w:fldCharType="begin"/>
      </w:r>
      <w:r w:rsidR="00AE17F8">
        <w:instrText xml:space="preserve"> STYLEREF 1 \s </w:instrText>
      </w:r>
      <w:r w:rsidR="007511FA">
        <w:fldChar w:fldCharType="separate"/>
      </w:r>
      <w:r w:rsidR="00D5167B">
        <w:rPr>
          <w:noProof/>
        </w:rPr>
        <w:t>4</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11</w:t>
      </w:r>
      <w:r w:rsidR="007511FA">
        <w:fldChar w:fldCharType="end"/>
      </w:r>
      <w:bookmarkEnd w:id="152"/>
      <w:r w:rsidR="00AD7501" w:rsidRPr="00AD7501">
        <w:t xml:space="preserve">.  </w:t>
      </w:r>
      <w:proofErr w:type="gramStart"/>
      <w:r w:rsidR="00AD7501" w:rsidRPr="00AD7501">
        <w:t>Axial relative power profile of Foil 4 in OFE under clean core conditions.</w:t>
      </w:r>
      <w:bookmarkEnd w:id="153"/>
      <w:proofErr w:type="gramEnd"/>
    </w:p>
    <w:p w:rsidR="00AD7501" w:rsidRDefault="00AD7501" w:rsidP="004C3625">
      <w:pPr>
        <w:spacing w:line="240" w:lineRule="auto"/>
        <w:ind w:firstLine="0"/>
        <w:jc w:val="center"/>
        <w:rPr>
          <w:b/>
          <w:sz w:val="24"/>
        </w:rPr>
      </w:pPr>
      <w:r w:rsidRPr="00060BAF">
        <w:rPr>
          <w:b/>
          <w:noProof/>
          <w:sz w:val="24"/>
        </w:rPr>
        <w:lastRenderedPageBreak/>
        <w:drawing>
          <wp:inline distT="0" distB="0" distL="0" distR="0">
            <wp:extent cx="5486400" cy="3474720"/>
            <wp:effectExtent l="19050" t="0" r="19050" b="0"/>
            <wp:docPr id="25"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AD7501" w:rsidRPr="00AD7501" w:rsidRDefault="003E77A1" w:rsidP="00946F5C">
      <w:pPr>
        <w:pStyle w:val="Caption"/>
        <w:spacing w:after="0"/>
      </w:pPr>
      <w:bookmarkStart w:id="154" w:name="_Ref285534699"/>
      <w:bookmarkStart w:id="155" w:name="_Toc295818198"/>
      <w:proofErr w:type="gramStart"/>
      <w:r>
        <w:t xml:space="preserve">Figure </w:t>
      </w:r>
      <w:r w:rsidR="007511FA">
        <w:fldChar w:fldCharType="begin"/>
      </w:r>
      <w:r w:rsidR="00AE17F8">
        <w:instrText xml:space="preserve"> STYLEREF 1 \s </w:instrText>
      </w:r>
      <w:r w:rsidR="007511FA">
        <w:fldChar w:fldCharType="separate"/>
      </w:r>
      <w:r w:rsidR="00D5167B">
        <w:rPr>
          <w:noProof/>
        </w:rPr>
        <w:t>4</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12</w:t>
      </w:r>
      <w:r w:rsidR="007511FA">
        <w:fldChar w:fldCharType="end"/>
      </w:r>
      <w:bookmarkEnd w:id="154"/>
      <w:r w:rsidR="00AD7501" w:rsidRPr="00AD7501">
        <w:t xml:space="preserve">.  </w:t>
      </w:r>
      <w:proofErr w:type="gramStart"/>
      <w:r w:rsidR="00AD7501" w:rsidRPr="00AD7501">
        <w:t>Axial relative power profile of Foil 6 in OFE under clean core conditions.</w:t>
      </w:r>
      <w:bookmarkEnd w:id="155"/>
      <w:proofErr w:type="gramEnd"/>
    </w:p>
    <w:p w:rsidR="00AD7501" w:rsidRDefault="00AD7501">
      <w:pPr>
        <w:spacing w:before="0" w:after="200" w:line="276" w:lineRule="auto"/>
      </w:pPr>
      <w:r>
        <w:br w:type="page"/>
      </w:r>
    </w:p>
    <w:p w:rsidR="000D3EEB" w:rsidRDefault="00AD7501" w:rsidP="00AA149C">
      <w:pPr>
        <w:pStyle w:val="Heading3"/>
      </w:pPr>
      <w:bookmarkStart w:id="156" w:name="_Toc295818124"/>
      <w:r>
        <w:lastRenderedPageBreak/>
        <w:t>Fully Poisoned Results</w:t>
      </w:r>
      <w:bookmarkEnd w:id="156"/>
    </w:p>
    <w:p w:rsidR="00177FCB" w:rsidRDefault="00AD7501" w:rsidP="00A52A92">
      <w:pPr>
        <w:spacing w:before="0" w:after="200"/>
      </w:pPr>
      <w:r w:rsidRPr="00AD7501">
        <w:t>The calculated eigenvalue (k</w:t>
      </w:r>
      <w:r w:rsidRPr="00AD7501">
        <w:rPr>
          <w:vertAlign w:val="subscript"/>
        </w:rPr>
        <w:t>eff</w:t>
      </w:r>
      <w:r w:rsidRPr="00AD7501">
        <w:t>) under the fully poisoned conditions was 1.00593 ± 0.00013, so the model does accurately predict the multiplication fac</w:t>
      </w:r>
      <w:r>
        <w:t>tor for the reactor to within 1</w:t>
      </w:r>
      <w:r w:rsidRPr="00AD7501">
        <w:t>%.</w:t>
      </w:r>
      <w:r>
        <w:t xml:space="preserve"> </w:t>
      </w:r>
      <w:r w:rsidRPr="00AD7501">
        <w:t xml:space="preserve"> The results for the final MCNP criticality calculations for the fully poisoned core condition are listed in</w:t>
      </w:r>
      <w:r>
        <w:t xml:space="preserve"> </w:t>
      </w:r>
      <w:r w:rsidR="007511FA">
        <w:rPr>
          <w:highlight w:val="yellow"/>
        </w:rPr>
        <w:fldChar w:fldCharType="begin"/>
      </w:r>
      <w:r w:rsidR="003E77A1">
        <w:instrText xml:space="preserve"> REF _Ref285534903 \h </w:instrText>
      </w:r>
      <w:r w:rsidR="007511FA">
        <w:rPr>
          <w:highlight w:val="yellow"/>
        </w:rPr>
      </w:r>
      <w:r w:rsidR="007511FA">
        <w:rPr>
          <w:highlight w:val="yellow"/>
        </w:rPr>
        <w:fldChar w:fldCharType="separate"/>
      </w:r>
      <w:r w:rsidR="00D5167B">
        <w:t xml:space="preserve">Table </w:t>
      </w:r>
      <w:r w:rsidR="00D5167B">
        <w:rPr>
          <w:noProof/>
        </w:rPr>
        <w:t>4</w:t>
      </w:r>
      <w:r w:rsidR="00D5167B">
        <w:t>.</w:t>
      </w:r>
      <w:r w:rsidR="00D5167B">
        <w:rPr>
          <w:noProof/>
        </w:rPr>
        <w:t>8</w:t>
      </w:r>
      <w:r w:rsidR="007511FA">
        <w:rPr>
          <w:highlight w:val="yellow"/>
        </w:rPr>
        <w:fldChar w:fldCharType="end"/>
      </w:r>
      <w:r w:rsidRPr="00AD7501">
        <w:t>.</w:t>
      </w:r>
    </w:p>
    <w:p w:rsidR="00A52A92" w:rsidRDefault="00A52A92" w:rsidP="00A52A92">
      <w:pPr>
        <w:spacing w:before="0" w:after="0"/>
      </w:pPr>
    </w:p>
    <w:p w:rsidR="00AD7501" w:rsidRPr="000D3EEB" w:rsidRDefault="003E77A1" w:rsidP="003E77A1">
      <w:pPr>
        <w:pStyle w:val="Caption"/>
      </w:pPr>
      <w:bookmarkStart w:id="157" w:name="_Ref285534903"/>
      <w:bookmarkStart w:id="158" w:name="_Toc295818271"/>
      <w:proofErr w:type="gramStart"/>
      <w:r>
        <w:t xml:space="preserve">Table </w:t>
      </w:r>
      <w:r w:rsidR="007511FA">
        <w:fldChar w:fldCharType="begin"/>
      </w:r>
      <w:r w:rsidR="00AE17F8">
        <w:instrText xml:space="preserve"> STYLEREF 1 \s </w:instrText>
      </w:r>
      <w:r w:rsidR="007511FA">
        <w:fldChar w:fldCharType="separate"/>
      </w:r>
      <w:r w:rsidR="00D5167B">
        <w:rPr>
          <w:noProof/>
        </w:rPr>
        <w:t>4</w:t>
      </w:r>
      <w:r w:rsidR="007511FA">
        <w:fldChar w:fldCharType="end"/>
      </w:r>
      <w:r w:rsidR="00DE5151">
        <w:t>.</w:t>
      </w:r>
      <w:proofErr w:type="gramEnd"/>
      <w:r w:rsidR="007511FA">
        <w:fldChar w:fldCharType="begin"/>
      </w:r>
      <w:r w:rsidR="00C43F40">
        <w:instrText xml:space="preserve"> SEQ Table \* ARABIC \s 1 </w:instrText>
      </w:r>
      <w:r w:rsidR="007511FA">
        <w:fldChar w:fldCharType="separate"/>
      </w:r>
      <w:r w:rsidR="00D5167B">
        <w:rPr>
          <w:noProof/>
        </w:rPr>
        <w:t>8</w:t>
      </w:r>
      <w:r w:rsidR="007511FA">
        <w:fldChar w:fldCharType="end"/>
      </w:r>
      <w:bookmarkEnd w:id="157"/>
      <w:r w:rsidR="00AD7501">
        <w:t>.  Effective multiplication factors for poisoned core conditions.</w:t>
      </w:r>
      <w:bookmarkEnd w:id="158"/>
    </w:p>
    <w:tbl>
      <w:tblPr>
        <w:tblStyle w:val="TableGrid"/>
        <w:tblW w:w="9751" w:type="dxa"/>
        <w:jc w:val="center"/>
        <w:tblLook w:val="04A0"/>
      </w:tblPr>
      <w:tblGrid>
        <w:gridCol w:w="1486"/>
        <w:gridCol w:w="990"/>
        <w:gridCol w:w="1170"/>
        <w:gridCol w:w="2038"/>
        <w:gridCol w:w="2038"/>
        <w:gridCol w:w="2029"/>
      </w:tblGrid>
      <w:tr w:rsidR="00601546" w:rsidRPr="00B65CB1" w:rsidTr="00177FCB">
        <w:trPr>
          <w:trHeight w:val="300"/>
          <w:jc w:val="center"/>
        </w:trPr>
        <w:tc>
          <w:tcPr>
            <w:tcW w:w="1486" w:type="dxa"/>
            <w:noWrap/>
            <w:vAlign w:val="center"/>
            <w:hideMark/>
          </w:tcPr>
          <w:p w:rsidR="00AD7501" w:rsidRPr="00601546" w:rsidRDefault="00AD7501" w:rsidP="004F42F4">
            <w:pPr>
              <w:spacing w:before="0" w:after="0" w:line="240" w:lineRule="auto"/>
              <w:ind w:hanging="2"/>
              <w:jc w:val="center"/>
              <w:rPr>
                <w:b/>
                <w:color w:val="000000"/>
              </w:rPr>
            </w:pPr>
            <w:r w:rsidRPr="00601546">
              <w:rPr>
                <w:b/>
                <w:color w:val="000000"/>
              </w:rPr>
              <w:t>k</w:t>
            </w:r>
            <w:r w:rsidRPr="00601546">
              <w:rPr>
                <w:b/>
                <w:color w:val="000000"/>
                <w:vertAlign w:val="subscript"/>
              </w:rPr>
              <w:t xml:space="preserve">eff </w:t>
            </w:r>
            <w:r w:rsidRPr="00601546">
              <w:rPr>
                <w:b/>
                <w:color w:val="000000"/>
              </w:rPr>
              <w:t>estimator</w:t>
            </w:r>
          </w:p>
        </w:tc>
        <w:tc>
          <w:tcPr>
            <w:tcW w:w="990" w:type="dxa"/>
            <w:noWrap/>
            <w:vAlign w:val="center"/>
            <w:hideMark/>
          </w:tcPr>
          <w:p w:rsidR="00AD7501" w:rsidRPr="00601546" w:rsidRDefault="00AD7501" w:rsidP="004F42F4">
            <w:pPr>
              <w:spacing w:before="0" w:after="0" w:line="240" w:lineRule="auto"/>
              <w:ind w:hanging="2"/>
              <w:jc w:val="center"/>
              <w:rPr>
                <w:b/>
                <w:color w:val="000000"/>
              </w:rPr>
            </w:pPr>
            <w:r w:rsidRPr="00601546">
              <w:rPr>
                <w:b/>
                <w:color w:val="000000"/>
              </w:rPr>
              <w:t>k</w:t>
            </w:r>
            <w:r w:rsidRPr="00601546">
              <w:rPr>
                <w:b/>
                <w:color w:val="000000"/>
                <w:vertAlign w:val="subscript"/>
              </w:rPr>
              <w:t>eff</w:t>
            </w:r>
          </w:p>
        </w:tc>
        <w:tc>
          <w:tcPr>
            <w:tcW w:w="1170" w:type="dxa"/>
            <w:noWrap/>
            <w:vAlign w:val="center"/>
            <w:hideMark/>
          </w:tcPr>
          <w:p w:rsidR="00AD7501" w:rsidRPr="00601546" w:rsidRDefault="00AD7501" w:rsidP="004F42F4">
            <w:pPr>
              <w:spacing w:before="0" w:after="0" w:line="240" w:lineRule="auto"/>
              <w:ind w:hanging="2"/>
              <w:jc w:val="center"/>
              <w:rPr>
                <w:b/>
                <w:color w:val="000000"/>
              </w:rPr>
            </w:pPr>
            <w:r w:rsidRPr="00601546">
              <w:rPr>
                <w:b/>
                <w:color w:val="000000"/>
              </w:rPr>
              <w:t>Standard deviation</w:t>
            </w:r>
          </w:p>
        </w:tc>
        <w:tc>
          <w:tcPr>
            <w:tcW w:w="2038" w:type="dxa"/>
            <w:noWrap/>
            <w:vAlign w:val="center"/>
            <w:hideMark/>
          </w:tcPr>
          <w:p w:rsidR="00AD7501" w:rsidRPr="00601546" w:rsidRDefault="00AD7501" w:rsidP="004F42F4">
            <w:pPr>
              <w:spacing w:before="0" w:after="0" w:line="240" w:lineRule="auto"/>
              <w:ind w:hanging="2"/>
              <w:jc w:val="center"/>
              <w:rPr>
                <w:b/>
                <w:color w:val="000000"/>
              </w:rPr>
            </w:pPr>
            <w:r w:rsidRPr="00601546">
              <w:rPr>
                <w:b/>
                <w:color w:val="000000"/>
              </w:rPr>
              <w:t>68 %</w:t>
            </w:r>
          </w:p>
          <w:p w:rsidR="00AD7501" w:rsidRPr="00601546" w:rsidRDefault="00AD7501" w:rsidP="004F42F4">
            <w:pPr>
              <w:spacing w:before="0" w:after="0" w:line="240" w:lineRule="auto"/>
              <w:ind w:hanging="2"/>
              <w:jc w:val="center"/>
              <w:rPr>
                <w:b/>
                <w:color w:val="000000"/>
              </w:rPr>
            </w:pPr>
            <w:r w:rsidRPr="00601546">
              <w:rPr>
                <w:b/>
                <w:color w:val="000000"/>
              </w:rPr>
              <w:t>confidence</w:t>
            </w:r>
          </w:p>
        </w:tc>
        <w:tc>
          <w:tcPr>
            <w:tcW w:w="2038" w:type="dxa"/>
            <w:noWrap/>
            <w:vAlign w:val="center"/>
            <w:hideMark/>
          </w:tcPr>
          <w:p w:rsidR="00AD7501" w:rsidRPr="00601546" w:rsidRDefault="00AD7501" w:rsidP="004F42F4">
            <w:pPr>
              <w:spacing w:before="0" w:after="0" w:line="240" w:lineRule="auto"/>
              <w:ind w:hanging="2"/>
              <w:jc w:val="center"/>
              <w:rPr>
                <w:b/>
                <w:color w:val="000000"/>
              </w:rPr>
            </w:pPr>
            <w:r w:rsidRPr="00601546">
              <w:rPr>
                <w:b/>
                <w:color w:val="000000"/>
              </w:rPr>
              <w:t>95 %</w:t>
            </w:r>
          </w:p>
          <w:p w:rsidR="00AD7501" w:rsidRPr="00601546" w:rsidRDefault="00AD7501" w:rsidP="004F42F4">
            <w:pPr>
              <w:spacing w:before="0" w:after="0" w:line="240" w:lineRule="auto"/>
              <w:ind w:hanging="2"/>
              <w:jc w:val="center"/>
              <w:rPr>
                <w:b/>
                <w:color w:val="000000"/>
              </w:rPr>
            </w:pPr>
            <w:r w:rsidRPr="00601546">
              <w:rPr>
                <w:b/>
                <w:color w:val="000000"/>
              </w:rPr>
              <w:t>confidence</w:t>
            </w:r>
          </w:p>
        </w:tc>
        <w:tc>
          <w:tcPr>
            <w:tcW w:w="2029" w:type="dxa"/>
            <w:noWrap/>
            <w:vAlign w:val="center"/>
            <w:hideMark/>
          </w:tcPr>
          <w:p w:rsidR="00AD7501" w:rsidRPr="00601546" w:rsidRDefault="00AD7501" w:rsidP="004F42F4">
            <w:pPr>
              <w:spacing w:before="0" w:after="0" w:line="240" w:lineRule="auto"/>
              <w:ind w:hanging="2"/>
              <w:jc w:val="center"/>
              <w:rPr>
                <w:b/>
                <w:color w:val="000000"/>
              </w:rPr>
            </w:pPr>
            <w:r w:rsidRPr="00601546">
              <w:rPr>
                <w:b/>
                <w:color w:val="000000"/>
              </w:rPr>
              <w:t>99 %</w:t>
            </w:r>
          </w:p>
          <w:p w:rsidR="00AD7501" w:rsidRPr="00601546" w:rsidRDefault="00AD7501" w:rsidP="004F42F4">
            <w:pPr>
              <w:spacing w:before="0" w:after="0" w:line="240" w:lineRule="auto"/>
              <w:ind w:hanging="2"/>
              <w:jc w:val="center"/>
              <w:rPr>
                <w:b/>
                <w:color w:val="000000"/>
              </w:rPr>
            </w:pPr>
            <w:r w:rsidRPr="00601546">
              <w:rPr>
                <w:b/>
                <w:color w:val="000000"/>
              </w:rPr>
              <w:t>confidence</w:t>
            </w:r>
          </w:p>
        </w:tc>
      </w:tr>
      <w:tr w:rsidR="00601546" w:rsidRPr="00B65CB1" w:rsidTr="00177FCB">
        <w:trPr>
          <w:trHeight w:val="300"/>
          <w:jc w:val="center"/>
        </w:trPr>
        <w:tc>
          <w:tcPr>
            <w:tcW w:w="1486" w:type="dxa"/>
            <w:noWrap/>
            <w:vAlign w:val="center"/>
            <w:hideMark/>
          </w:tcPr>
          <w:p w:rsidR="00AD7501" w:rsidRPr="00601546" w:rsidRDefault="00AD7501" w:rsidP="004F42F4">
            <w:pPr>
              <w:spacing w:before="0" w:after="0" w:line="240" w:lineRule="auto"/>
              <w:ind w:hanging="2"/>
              <w:jc w:val="center"/>
              <w:rPr>
                <w:color w:val="000000"/>
              </w:rPr>
            </w:pPr>
            <w:r w:rsidRPr="00601546">
              <w:rPr>
                <w:color w:val="000000"/>
              </w:rPr>
              <w:t>collision</w:t>
            </w:r>
          </w:p>
        </w:tc>
        <w:tc>
          <w:tcPr>
            <w:tcW w:w="990" w:type="dxa"/>
            <w:noWrap/>
            <w:vAlign w:val="center"/>
            <w:hideMark/>
          </w:tcPr>
          <w:p w:rsidR="00AD7501" w:rsidRPr="00601546" w:rsidRDefault="00AD7501" w:rsidP="004F42F4">
            <w:pPr>
              <w:spacing w:before="0" w:after="0" w:line="240" w:lineRule="auto"/>
              <w:ind w:hanging="2"/>
              <w:jc w:val="center"/>
              <w:rPr>
                <w:color w:val="000000"/>
              </w:rPr>
            </w:pPr>
            <w:r w:rsidRPr="00601546">
              <w:rPr>
                <w:color w:val="000000"/>
              </w:rPr>
              <w:t>1.00595</w:t>
            </w:r>
          </w:p>
        </w:tc>
        <w:tc>
          <w:tcPr>
            <w:tcW w:w="1170" w:type="dxa"/>
            <w:noWrap/>
            <w:vAlign w:val="center"/>
            <w:hideMark/>
          </w:tcPr>
          <w:p w:rsidR="00AD7501" w:rsidRPr="00601546" w:rsidRDefault="00AD7501" w:rsidP="004F42F4">
            <w:pPr>
              <w:spacing w:before="0" w:after="0" w:line="240" w:lineRule="auto"/>
              <w:ind w:hanging="2"/>
              <w:jc w:val="center"/>
              <w:rPr>
                <w:color w:val="000000"/>
              </w:rPr>
            </w:pPr>
            <w:r w:rsidRPr="00601546">
              <w:rPr>
                <w:color w:val="000000"/>
              </w:rPr>
              <w:t>0.00018</w:t>
            </w:r>
          </w:p>
        </w:tc>
        <w:tc>
          <w:tcPr>
            <w:tcW w:w="2038" w:type="dxa"/>
            <w:noWrap/>
            <w:vAlign w:val="center"/>
            <w:hideMark/>
          </w:tcPr>
          <w:p w:rsidR="00AD7501" w:rsidRPr="00601546" w:rsidRDefault="00AD7501" w:rsidP="004F42F4">
            <w:pPr>
              <w:spacing w:before="0" w:after="0" w:line="240" w:lineRule="auto"/>
              <w:ind w:hanging="2"/>
              <w:jc w:val="center"/>
              <w:rPr>
                <w:color w:val="000000"/>
              </w:rPr>
            </w:pPr>
            <w:r w:rsidRPr="00601546">
              <w:rPr>
                <w:color w:val="000000"/>
              </w:rPr>
              <w:t>1.00577 to 1.00613</w:t>
            </w:r>
          </w:p>
        </w:tc>
        <w:tc>
          <w:tcPr>
            <w:tcW w:w="2038" w:type="dxa"/>
            <w:noWrap/>
            <w:vAlign w:val="center"/>
            <w:hideMark/>
          </w:tcPr>
          <w:p w:rsidR="00AD7501" w:rsidRPr="00601546" w:rsidRDefault="00AD7501" w:rsidP="004F42F4">
            <w:pPr>
              <w:spacing w:before="0" w:after="0" w:line="240" w:lineRule="auto"/>
              <w:ind w:hanging="2"/>
              <w:jc w:val="center"/>
              <w:rPr>
                <w:color w:val="000000"/>
              </w:rPr>
            </w:pPr>
            <w:r w:rsidRPr="00601546">
              <w:rPr>
                <w:color w:val="000000"/>
              </w:rPr>
              <w:t>1.00559 to 1.00630</w:t>
            </w:r>
          </w:p>
        </w:tc>
        <w:tc>
          <w:tcPr>
            <w:tcW w:w="2029" w:type="dxa"/>
            <w:noWrap/>
            <w:vAlign w:val="center"/>
            <w:hideMark/>
          </w:tcPr>
          <w:p w:rsidR="00AD7501" w:rsidRPr="00601546" w:rsidRDefault="00AD7501" w:rsidP="004F42F4">
            <w:pPr>
              <w:spacing w:before="0" w:after="0" w:line="240" w:lineRule="auto"/>
              <w:ind w:hanging="2"/>
              <w:jc w:val="center"/>
              <w:rPr>
                <w:color w:val="000000"/>
              </w:rPr>
            </w:pPr>
            <w:r w:rsidRPr="00601546">
              <w:rPr>
                <w:color w:val="000000"/>
              </w:rPr>
              <w:t>1.00548 to 1.00642</w:t>
            </w:r>
          </w:p>
        </w:tc>
      </w:tr>
      <w:tr w:rsidR="00601546" w:rsidRPr="00B65CB1" w:rsidTr="00177FCB">
        <w:trPr>
          <w:trHeight w:val="300"/>
          <w:jc w:val="center"/>
        </w:trPr>
        <w:tc>
          <w:tcPr>
            <w:tcW w:w="1486" w:type="dxa"/>
            <w:noWrap/>
            <w:vAlign w:val="center"/>
            <w:hideMark/>
          </w:tcPr>
          <w:p w:rsidR="00AD7501" w:rsidRPr="00601546" w:rsidRDefault="00AD7501" w:rsidP="004F42F4">
            <w:pPr>
              <w:spacing w:before="0" w:after="0" w:line="240" w:lineRule="auto"/>
              <w:ind w:hanging="2"/>
              <w:jc w:val="center"/>
              <w:rPr>
                <w:color w:val="000000"/>
              </w:rPr>
            </w:pPr>
            <w:r w:rsidRPr="00601546">
              <w:rPr>
                <w:color w:val="000000"/>
              </w:rPr>
              <w:t>absorption</w:t>
            </w:r>
          </w:p>
        </w:tc>
        <w:tc>
          <w:tcPr>
            <w:tcW w:w="990" w:type="dxa"/>
            <w:noWrap/>
            <w:vAlign w:val="center"/>
            <w:hideMark/>
          </w:tcPr>
          <w:p w:rsidR="00AD7501" w:rsidRPr="00601546" w:rsidRDefault="00AD7501" w:rsidP="004F42F4">
            <w:pPr>
              <w:spacing w:before="0" w:after="0" w:line="240" w:lineRule="auto"/>
              <w:ind w:hanging="2"/>
              <w:jc w:val="center"/>
              <w:rPr>
                <w:color w:val="000000"/>
              </w:rPr>
            </w:pPr>
            <w:r w:rsidRPr="00601546">
              <w:rPr>
                <w:color w:val="000000"/>
              </w:rPr>
              <w:t>1.00593</w:t>
            </w:r>
          </w:p>
        </w:tc>
        <w:tc>
          <w:tcPr>
            <w:tcW w:w="1170" w:type="dxa"/>
            <w:noWrap/>
            <w:vAlign w:val="center"/>
            <w:hideMark/>
          </w:tcPr>
          <w:p w:rsidR="00AD7501" w:rsidRPr="00601546" w:rsidRDefault="00AD7501" w:rsidP="004F42F4">
            <w:pPr>
              <w:spacing w:before="0" w:after="0" w:line="240" w:lineRule="auto"/>
              <w:ind w:hanging="2"/>
              <w:jc w:val="center"/>
              <w:rPr>
                <w:color w:val="000000"/>
              </w:rPr>
            </w:pPr>
            <w:r w:rsidRPr="00601546">
              <w:rPr>
                <w:color w:val="000000"/>
              </w:rPr>
              <w:t>0.00013</w:t>
            </w:r>
          </w:p>
        </w:tc>
        <w:tc>
          <w:tcPr>
            <w:tcW w:w="2038" w:type="dxa"/>
            <w:noWrap/>
            <w:vAlign w:val="center"/>
            <w:hideMark/>
          </w:tcPr>
          <w:p w:rsidR="00AD7501" w:rsidRPr="00601546" w:rsidRDefault="00AD7501" w:rsidP="004F42F4">
            <w:pPr>
              <w:spacing w:before="0" w:after="0" w:line="240" w:lineRule="auto"/>
              <w:ind w:hanging="2"/>
              <w:jc w:val="center"/>
              <w:rPr>
                <w:color w:val="000000"/>
              </w:rPr>
            </w:pPr>
            <w:r w:rsidRPr="00601546">
              <w:rPr>
                <w:color w:val="000000"/>
              </w:rPr>
              <w:t>1.00580 to 1.00606</w:t>
            </w:r>
          </w:p>
        </w:tc>
        <w:tc>
          <w:tcPr>
            <w:tcW w:w="2038" w:type="dxa"/>
            <w:noWrap/>
            <w:vAlign w:val="center"/>
            <w:hideMark/>
          </w:tcPr>
          <w:p w:rsidR="00AD7501" w:rsidRPr="00601546" w:rsidRDefault="00AD7501" w:rsidP="004F42F4">
            <w:pPr>
              <w:spacing w:before="0" w:after="0" w:line="240" w:lineRule="auto"/>
              <w:ind w:hanging="2"/>
              <w:jc w:val="center"/>
              <w:rPr>
                <w:color w:val="000000"/>
              </w:rPr>
            </w:pPr>
            <w:r w:rsidRPr="00601546">
              <w:rPr>
                <w:color w:val="000000"/>
              </w:rPr>
              <w:t>1.00567 to 1.00619</w:t>
            </w:r>
          </w:p>
        </w:tc>
        <w:tc>
          <w:tcPr>
            <w:tcW w:w="2029" w:type="dxa"/>
            <w:noWrap/>
            <w:vAlign w:val="center"/>
            <w:hideMark/>
          </w:tcPr>
          <w:p w:rsidR="00AD7501" w:rsidRPr="00601546" w:rsidRDefault="00AD7501" w:rsidP="004F42F4">
            <w:pPr>
              <w:spacing w:before="0" w:after="0" w:line="240" w:lineRule="auto"/>
              <w:ind w:hanging="2"/>
              <w:jc w:val="center"/>
              <w:rPr>
                <w:color w:val="000000"/>
              </w:rPr>
            </w:pPr>
            <w:r w:rsidRPr="00601546">
              <w:rPr>
                <w:color w:val="000000"/>
              </w:rPr>
              <w:t>1.00558 to 1.00628</w:t>
            </w:r>
          </w:p>
        </w:tc>
      </w:tr>
      <w:tr w:rsidR="00601546" w:rsidRPr="00B65CB1" w:rsidTr="00177FCB">
        <w:trPr>
          <w:trHeight w:val="300"/>
          <w:jc w:val="center"/>
        </w:trPr>
        <w:tc>
          <w:tcPr>
            <w:tcW w:w="1486" w:type="dxa"/>
            <w:noWrap/>
            <w:vAlign w:val="center"/>
            <w:hideMark/>
          </w:tcPr>
          <w:p w:rsidR="00AD7501" w:rsidRPr="00601546" w:rsidRDefault="00AD7501" w:rsidP="004F42F4">
            <w:pPr>
              <w:spacing w:before="0" w:after="0" w:line="240" w:lineRule="auto"/>
              <w:ind w:hanging="2"/>
              <w:jc w:val="center"/>
              <w:rPr>
                <w:color w:val="000000"/>
              </w:rPr>
            </w:pPr>
            <w:r w:rsidRPr="00601546">
              <w:rPr>
                <w:color w:val="000000"/>
              </w:rPr>
              <w:t>track length</w:t>
            </w:r>
          </w:p>
        </w:tc>
        <w:tc>
          <w:tcPr>
            <w:tcW w:w="990" w:type="dxa"/>
            <w:noWrap/>
            <w:vAlign w:val="center"/>
            <w:hideMark/>
          </w:tcPr>
          <w:p w:rsidR="00AD7501" w:rsidRPr="00601546" w:rsidRDefault="00AD7501" w:rsidP="004F42F4">
            <w:pPr>
              <w:spacing w:before="0" w:after="0" w:line="240" w:lineRule="auto"/>
              <w:ind w:hanging="2"/>
              <w:jc w:val="center"/>
              <w:rPr>
                <w:color w:val="000000"/>
              </w:rPr>
            </w:pPr>
            <w:r w:rsidRPr="00601546">
              <w:rPr>
                <w:color w:val="000000"/>
              </w:rPr>
              <w:t>1.00593</w:t>
            </w:r>
          </w:p>
        </w:tc>
        <w:tc>
          <w:tcPr>
            <w:tcW w:w="1170" w:type="dxa"/>
            <w:noWrap/>
            <w:vAlign w:val="center"/>
            <w:hideMark/>
          </w:tcPr>
          <w:p w:rsidR="00AD7501" w:rsidRPr="00601546" w:rsidRDefault="00AD7501" w:rsidP="004F42F4">
            <w:pPr>
              <w:spacing w:before="0" w:after="0" w:line="240" w:lineRule="auto"/>
              <w:ind w:hanging="2"/>
              <w:jc w:val="center"/>
              <w:rPr>
                <w:color w:val="000000"/>
              </w:rPr>
            </w:pPr>
            <w:r w:rsidRPr="00601546">
              <w:rPr>
                <w:color w:val="000000"/>
              </w:rPr>
              <w:t>0.00019</w:t>
            </w:r>
          </w:p>
        </w:tc>
        <w:tc>
          <w:tcPr>
            <w:tcW w:w="2038" w:type="dxa"/>
            <w:noWrap/>
            <w:vAlign w:val="center"/>
            <w:hideMark/>
          </w:tcPr>
          <w:p w:rsidR="00AD7501" w:rsidRPr="00601546" w:rsidRDefault="00AD7501" w:rsidP="004F42F4">
            <w:pPr>
              <w:spacing w:before="0" w:after="0" w:line="240" w:lineRule="auto"/>
              <w:ind w:hanging="2"/>
              <w:jc w:val="center"/>
              <w:rPr>
                <w:color w:val="000000"/>
              </w:rPr>
            </w:pPr>
            <w:r w:rsidRPr="00601546">
              <w:rPr>
                <w:color w:val="000000"/>
              </w:rPr>
              <w:t>1.00574 to 1.00612</w:t>
            </w:r>
          </w:p>
        </w:tc>
        <w:tc>
          <w:tcPr>
            <w:tcW w:w="2038" w:type="dxa"/>
            <w:noWrap/>
            <w:vAlign w:val="center"/>
            <w:hideMark/>
          </w:tcPr>
          <w:p w:rsidR="00AD7501" w:rsidRPr="00601546" w:rsidRDefault="00AD7501" w:rsidP="004F42F4">
            <w:pPr>
              <w:spacing w:before="0" w:after="0" w:line="240" w:lineRule="auto"/>
              <w:ind w:hanging="2"/>
              <w:jc w:val="center"/>
              <w:rPr>
                <w:color w:val="000000"/>
              </w:rPr>
            </w:pPr>
            <w:r w:rsidRPr="00601546">
              <w:rPr>
                <w:color w:val="000000"/>
              </w:rPr>
              <w:t>1.00556 to 1.00631</w:t>
            </w:r>
          </w:p>
        </w:tc>
        <w:tc>
          <w:tcPr>
            <w:tcW w:w="2029" w:type="dxa"/>
            <w:noWrap/>
            <w:vAlign w:val="center"/>
            <w:hideMark/>
          </w:tcPr>
          <w:p w:rsidR="00AD7501" w:rsidRPr="00601546" w:rsidRDefault="00AD7501" w:rsidP="004F42F4">
            <w:pPr>
              <w:spacing w:before="0" w:after="0" w:line="240" w:lineRule="auto"/>
              <w:ind w:hanging="2"/>
              <w:jc w:val="center"/>
              <w:rPr>
                <w:color w:val="000000"/>
              </w:rPr>
            </w:pPr>
            <w:r w:rsidRPr="00601546">
              <w:rPr>
                <w:color w:val="000000"/>
              </w:rPr>
              <w:t>1.00544 to 1.00643</w:t>
            </w:r>
          </w:p>
        </w:tc>
      </w:tr>
      <w:tr w:rsidR="00601546" w:rsidRPr="00B65CB1" w:rsidTr="00177FCB">
        <w:trPr>
          <w:trHeight w:val="300"/>
          <w:jc w:val="center"/>
        </w:trPr>
        <w:tc>
          <w:tcPr>
            <w:tcW w:w="1486" w:type="dxa"/>
            <w:noWrap/>
            <w:vAlign w:val="center"/>
            <w:hideMark/>
          </w:tcPr>
          <w:p w:rsidR="00AD7501" w:rsidRPr="00601546" w:rsidRDefault="00AD7501" w:rsidP="004F42F4">
            <w:pPr>
              <w:spacing w:before="0" w:after="0" w:line="240" w:lineRule="auto"/>
              <w:ind w:hanging="2"/>
              <w:jc w:val="center"/>
              <w:rPr>
                <w:color w:val="000000"/>
              </w:rPr>
            </w:pPr>
            <w:proofErr w:type="spellStart"/>
            <w:r w:rsidRPr="00601546">
              <w:rPr>
                <w:color w:val="000000"/>
              </w:rPr>
              <w:t>col</w:t>
            </w:r>
            <w:proofErr w:type="spellEnd"/>
            <w:r w:rsidRPr="00601546">
              <w:rPr>
                <w:color w:val="000000"/>
              </w:rPr>
              <w:t>/abs/</w:t>
            </w:r>
            <w:proofErr w:type="spellStart"/>
            <w:r w:rsidRPr="00601546">
              <w:rPr>
                <w:color w:val="000000"/>
              </w:rPr>
              <w:t>trk</w:t>
            </w:r>
            <w:proofErr w:type="spellEnd"/>
            <w:r w:rsidRPr="00601546">
              <w:rPr>
                <w:color w:val="000000"/>
              </w:rPr>
              <w:t xml:space="preserve"> </w:t>
            </w:r>
            <w:proofErr w:type="spellStart"/>
            <w:r w:rsidRPr="00601546">
              <w:rPr>
                <w:color w:val="000000"/>
              </w:rPr>
              <w:t>len</w:t>
            </w:r>
            <w:proofErr w:type="spellEnd"/>
          </w:p>
        </w:tc>
        <w:tc>
          <w:tcPr>
            <w:tcW w:w="990" w:type="dxa"/>
            <w:noWrap/>
            <w:vAlign w:val="center"/>
            <w:hideMark/>
          </w:tcPr>
          <w:p w:rsidR="00AD7501" w:rsidRPr="00601546" w:rsidRDefault="00AD7501" w:rsidP="004F42F4">
            <w:pPr>
              <w:spacing w:before="0" w:after="0" w:line="240" w:lineRule="auto"/>
              <w:ind w:hanging="2"/>
              <w:jc w:val="center"/>
              <w:rPr>
                <w:color w:val="000000"/>
              </w:rPr>
            </w:pPr>
            <w:r w:rsidRPr="00601546">
              <w:rPr>
                <w:color w:val="000000"/>
              </w:rPr>
              <w:t>1.00593</w:t>
            </w:r>
          </w:p>
        </w:tc>
        <w:tc>
          <w:tcPr>
            <w:tcW w:w="1170" w:type="dxa"/>
            <w:noWrap/>
            <w:vAlign w:val="center"/>
            <w:hideMark/>
          </w:tcPr>
          <w:p w:rsidR="00AD7501" w:rsidRPr="00601546" w:rsidRDefault="00AD7501" w:rsidP="004F42F4">
            <w:pPr>
              <w:spacing w:before="0" w:after="0" w:line="240" w:lineRule="auto"/>
              <w:ind w:hanging="2"/>
              <w:jc w:val="center"/>
              <w:rPr>
                <w:color w:val="000000"/>
              </w:rPr>
            </w:pPr>
            <w:r w:rsidRPr="00601546">
              <w:rPr>
                <w:color w:val="000000"/>
              </w:rPr>
              <w:t>0.00013</w:t>
            </w:r>
          </w:p>
        </w:tc>
        <w:tc>
          <w:tcPr>
            <w:tcW w:w="2038" w:type="dxa"/>
            <w:noWrap/>
            <w:vAlign w:val="center"/>
            <w:hideMark/>
          </w:tcPr>
          <w:p w:rsidR="00AD7501" w:rsidRPr="00601546" w:rsidRDefault="00AD7501" w:rsidP="004F42F4">
            <w:pPr>
              <w:spacing w:before="0" w:after="0" w:line="240" w:lineRule="auto"/>
              <w:ind w:hanging="2"/>
              <w:jc w:val="center"/>
              <w:rPr>
                <w:color w:val="000000"/>
              </w:rPr>
            </w:pPr>
            <w:r w:rsidRPr="00601546">
              <w:rPr>
                <w:color w:val="000000"/>
              </w:rPr>
              <w:t>1.00581 to 1.00606</w:t>
            </w:r>
          </w:p>
        </w:tc>
        <w:tc>
          <w:tcPr>
            <w:tcW w:w="2038" w:type="dxa"/>
            <w:noWrap/>
            <w:vAlign w:val="center"/>
            <w:hideMark/>
          </w:tcPr>
          <w:p w:rsidR="00AD7501" w:rsidRPr="00601546" w:rsidRDefault="00AD7501" w:rsidP="004F42F4">
            <w:pPr>
              <w:spacing w:before="0" w:after="0" w:line="240" w:lineRule="auto"/>
              <w:ind w:hanging="2"/>
              <w:jc w:val="center"/>
              <w:rPr>
                <w:color w:val="000000"/>
              </w:rPr>
            </w:pPr>
            <w:r w:rsidRPr="00601546">
              <w:rPr>
                <w:color w:val="000000"/>
              </w:rPr>
              <w:t>1.00568 to 1.00618</w:t>
            </w:r>
          </w:p>
        </w:tc>
        <w:tc>
          <w:tcPr>
            <w:tcW w:w="2029" w:type="dxa"/>
            <w:noWrap/>
            <w:vAlign w:val="center"/>
            <w:hideMark/>
          </w:tcPr>
          <w:p w:rsidR="00AD7501" w:rsidRPr="00601546" w:rsidRDefault="00AD7501" w:rsidP="004F42F4">
            <w:pPr>
              <w:spacing w:before="0" w:after="0" w:line="240" w:lineRule="auto"/>
              <w:ind w:hanging="2"/>
              <w:jc w:val="center"/>
              <w:rPr>
                <w:color w:val="000000"/>
              </w:rPr>
            </w:pPr>
            <w:r w:rsidRPr="00601546">
              <w:rPr>
                <w:color w:val="000000"/>
              </w:rPr>
              <w:t>1.00560 to 1.00626</w:t>
            </w:r>
          </w:p>
        </w:tc>
      </w:tr>
    </w:tbl>
    <w:p w:rsidR="00AD7501" w:rsidRDefault="00AD7501" w:rsidP="00AD7501">
      <w:pPr>
        <w:spacing w:before="0" w:after="200"/>
      </w:pPr>
    </w:p>
    <w:p w:rsidR="00AD7501" w:rsidRPr="000D3EEB" w:rsidRDefault="00AD7501" w:rsidP="003E77A1">
      <w:pPr>
        <w:autoSpaceDE w:val="0"/>
        <w:autoSpaceDN w:val="0"/>
        <w:adjustRightInd w:val="0"/>
        <w:ind w:firstLine="0"/>
      </w:pPr>
      <w:r w:rsidRPr="000D3EEB">
        <w:t>Some of the pertinent calculated values are listed below:</w:t>
      </w:r>
    </w:p>
    <w:p w:rsidR="00177FCB" w:rsidRPr="00177FCB" w:rsidRDefault="00177FCB" w:rsidP="00177FCB">
      <w:pPr>
        <w:numPr>
          <w:ilvl w:val="0"/>
          <w:numId w:val="24"/>
        </w:numPr>
        <w:autoSpaceDE w:val="0"/>
        <w:autoSpaceDN w:val="0"/>
        <w:adjustRightInd w:val="0"/>
        <w:spacing w:before="0" w:after="0"/>
        <w:ind w:left="720"/>
      </w:pPr>
      <w:r w:rsidRPr="00177FCB">
        <w:t>the final combined (</w:t>
      </w:r>
      <w:proofErr w:type="spellStart"/>
      <w:r w:rsidRPr="00177FCB">
        <w:t>col</w:t>
      </w:r>
      <w:proofErr w:type="spellEnd"/>
      <w:r w:rsidRPr="00177FCB">
        <w:t>/abs/</w:t>
      </w:r>
      <w:proofErr w:type="spellStart"/>
      <w:r w:rsidRPr="00177FCB">
        <w:t>tl</w:t>
      </w:r>
      <w:proofErr w:type="spellEnd"/>
      <w:r w:rsidRPr="00177FCB">
        <w:t>) prompt removal lifetime = 1.9343 x 10</w:t>
      </w:r>
      <w:r w:rsidRPr="00177FCB">
        <w:rPr>
          <w:vertAlign w:val="superscript"/>
        </w:rPr>
        <w:t>-04</w:t>
      </w:r>
      <w:r w:rsidRPr="00177FCB">
        <w:t xml:space="preserve"> ± 1.2738 x 10</w:t>
      </w:r>
      <w:r w:rsidRPr="00177FCB">
        <w:rPr>
          <w:vertAlign w:val="superscript"/>
        </w:rPr>
        <w:t>-07</w:t>
      </w:r>
      <w:r w:rsidRPr="00177FCB">
        <w:t xml:space="preserve"> seconds,</w:t>
      </w:r>
    </w:p>
    <w:p w:rsidR="00177FCB" w:rsidRPr="00177FCB" w:rsidRDefault="00177FCB" w:rsidP="00177FCB">
      <w:pPr>
        <w:numPr>
          <w:ilvl w:val="0"/>
          <w:numId w:val="24"/>
        </w:numPr>
        <w:autoSpaceDE w:val="0"/>
        <w:autoSpaceDN w:val="0"/>
        <w:adjustRightInd w:val="0"/>
        <w:spacing w:before="0" w:after="0"/>
        <w:ind w:left="720"/>
      </w:pPr>
      <w:r w:rsidRPr="00177FCB">
        <w:t>the average neutron energy causing fission = 2.2789 x 10</w:t>
      </w:r>
      <w:r w:rsidRPr="00177FCB">
        <w:rPr>
          <w:vertAlign w:val="superscript"/>
        </w:rPr>
        <w:t>-02</w:t>
      </w:r>
      <w:r w:rsidRPr="00177FCB">
        <w:t xml:space="preserve"> </w:t>
      </w:r>
      <w:proofErr w:type="spellStart"/>
      <w:r w:rsidRPr="00177FCB">
        <w:t>MeV</w:t>
      </w:r>
      <w:proofErr w:type="spellEnd"/>
      <w:r w:rsidRPr="00177FCB">
        <w:t>,</w:t>
      </w:r>
    </w:p>
    <w:p w:rsidR="00177FCB" w:rsidRPr="00177FCB" w:rsidRDefault="00177FCB" w:rsidP="00177FCB">
      <w:pPr>
        <w:numPr>
          <w:ilvl w:val="0"/>
          <w:numId w:val="24"/>
        </w:numPr>
        <w:autoSpaceDE w:val="0"/>
        <w:autoSpaceDN w:val="0"/>
        <w:adjustRightInd w:val="0"/>
        <w:spacing w:before="0" w:after="0"/>
        <w:ind w:left="720"/>
      </w:pPr>
      <w:r w:rsidRPr="00177FCB">
        <w:t>the energy corresponding to the average neutron lethargy causing fission = 1.6314 x 10</w:t>
      </w:r>
      <w:r w:rsidRPr="00177FCB">
        <w:rPr>
          <w:vertAlign w:val="superscript"/>
        </w:rPr>
        <w:t>-07</w:t>
      </w:r>
      <w:r w:rsidRPr="00177FCB">
        <w:t xml:space="preserve"> </w:t>
      </w:r>
      <w:proofErr w:type="spellStart"/>
      <w:r w:rsidRPr="00177FCB">
        <w:t>MeV</w:t>
      </w:r>
      <w:proofErr w:type="spellEnd"/>
      <w:r w:rsidRPr="00177FCB">
        <w:t>,</w:t>
      </w:r>
    </w:p>
    <w:p w:rsidR="00177FCB" w:rsidRPr="00177FCB" w:rsidRDefault="00177FCB" w:rsidP="00177FCB">
      <w:pPr>
        <w:numPr>
          <w:ilvl w:val="0"/>
          <w:numId w:val="24"/>
        </w:numPr>
        <w:autoSpaceDE w:val="0"/>
        <w:autoSpaceDN w:val="0"/>
        <w:adjustRightInd w:val="0"/>
        <w:spacing w:before="0" w:after="0"/>
        <w:ind w:left="720"/>
      </w:pPr>
      <w:r w:rsidRPr="00177FCB">
        <w:t>the percentages of fissions caused by neutrons in the thermal, intermediate, and fast neutron  ranges are:</w:t>
      </w:r>
      <w:r w:rsidRPr="00177FCB">
        <w:tab/>
        <w:t xml:space="preserve">(&lt;0.625 </w:t>
      </w:r>
      <w:proofErr w:type="spellStart"/>
      <w:r w:rsidRPr="00177FCB">
        <w:t>eV</w:t>
      </w:r>
      <w:proofErr w:type="spellEnd"/>
      <w:r w:rsidRPr="00177FCB">
        <w:t xml:space="preserve">): 83.37 % (0.625 </w:t>
      </w:r>
      <w:proofErr w:type="spellStart"/>
      <w:r w:rsidRPr="00177FCB">
        <w:t>eV</w:t>
      </w:r>
      <w:proofErr w:type="spellEnd"/>
      <w:r w:rsidRPr="00177FCB">
        <w:t xml:space="preserve"> – 100 </w:t>
      </w:r>
      <w:proofErr w:type="spellStart"/>
      <w:r w:rsidRPr="00177FCB">
        <w:t>keV</w:t>
      </w:r>
      <w:proofErr w:type="spellEnd"/>
      <w:r w:rsidRPr="00177FCB">
        <w:t xml:space="preserve">): 15.20 % (&gt;100 </w:t>
      </w:r>
      <w:proofErr w:type="spellStart"/>
      <w:r w:rsidRPr="00177FCB">
        <w:t>keV</w:t>
      </w:r>
      <w:proofErr w:type="spellEnd"/>
      <w:r w:rsidRPr="00177FCB">
        <w:t>): 1.44 %,</w:t>
      </w:r>
    </w:p>
    <w:p w:rsidR="00177FCB" w:rsidRPr="00177FCB" w:rsidRDefault="00177FCB" w:rsidP="00177FCB">
      <w:pPr>
        <w:pStyle w:val="PlainText"/>
        <w:numPr>
          <w:ilvl w:val="0"/>
          <w:numId w:val="24"/>
        </w:numPr>
        <w:spacing w:line="480" w:lineRule="auto"/>
        <w:ind w:left="720"/>
        <w:rPr>
          <w:rFonts w:ascii="Times New Roman" w:hAnsi="Times New Roman"/>
          <w:sz w:val="22"/>
          <w:szCs w:val="22"/>
        </w:rPr>
      </w:pPr>
      <w:r w:rsidRPr="00177FCB">
        <w:rPr>
          <w:rFonts w:ascii="Times New Roman" w:hAnsi="Times New Roman"/>
          <w:sz w:val="22"/>
          <w:szCs w:val="22"/>
        </w:rPr>
        <w:t>the average fission neutrons produced per neutron absorbed (capture + fission) in all cells with fission = 1.6195,</w:t>
      </w:r>
    </w:p>
    <w:p w:rsidR="00177FCB" w:rsidRPr="00177FCB" w:rsidRDefault="00177FCB" w:rsidP="00177FCB">
      <w:pPr>
        <w:pStyle w:val="PlainText"/>
        <w:numPr>
          <w:ilvl w:val="0"/>
          <w:numId w:val="24"/>
        </w:numPr>
        <w:spacing w:line="480" w:lineRule="auto"/>
        <w:ind w:left="720"/>
        <w:rPr>
          <w:rFonts w:ascii="Times New Roman" w:hAnsi="Times New Roman"/>
          <w:sz w:val="22"/>
          <w:szCs w:val="22"/>
        </w:rPr>
      </w:pPr>
      <w:r w:rsidRPr="00177FCB">
        <w:rPr>
          <w:rFonts w:ascii="Times New Roman" w:hAnsi="Times New Roman"/>
          <w:sz w:val="22"/>
          <w:szCs w:val="22"/>
        </w:rPr>
        <w:t>the average fission neutrons produced per neutron absorbed (capture + fission) in all the geometry cells = 9.8580 x 10</w:t>
      </w:r>
      <w:r w:rsidRPr="00177FCB">
        <w:rPr>
          <w:rFonts w:ascii="Times New Roman" w:hAnsi="Times New Roman"/>
          <w:sz w:val="22"/>
          <w:szCs w:val="22"/>
          <w:vertAlign w:val="superscript"/>
        </w:rPr>
        <w:t>-01</w:t>
      </w:r>
      <w:r w:rsidRPr="00177FCB">
        <w:rPr>
          <w:rFonts w:ascii="Times New Roman" w:hAnsi="Times New Roman"/>
          <w:sz w:val="22"/>
          <w:szCs w:val="22"/>
        </w:rPr>
        <w:t>, and</w:t>
      </w:r>
    </w:p>
    <w:p w:rsidR="00177FCB" w:rsidRDefault="00177FCB" w:rsidP="00177FCB">
      <w:pPr>
        <w:numPr>
          <w:ilvl w:val="0"/>
          <w:numId w:val="24"/>
        </w:numPr>
        <w:spacing w:before="0" w:after="0"/>
        <w:ind w:left="720"/>
      </w:pPr>
      <w:proofErr w:type="gramStart"/>
      <w:r w:rsidRPr="00177FCB">
        <w:t>the</w:t>
      </w:r>
      <w:proofErr w:type="gramEnd"/>
      <w:r w:rsidRPr="00177FCB">
        <w:t xml:space="preserve"> average number of neutrons produced per fission = 2.439.</w:t>
      </w:r>
    </w:p>
    <w:p w:rsidR="003E77A1" w:rsidRDefault="003E77A1" w:rsidP="003E77A1">
      <w:pPr>
        <w:spacing w:before="0" w:after="0"/>
        <w:ind w:firstLine="0"/>
      </w:pPr>
    </w:p>
    <w:p w:rsidR="00177FCB" w:rsidRDefault="007511FA" w:rsidP="00177FCB">
      <w:r>
        <w:rPr>
          <w:highlight w:val="yellow"/>
        </w:rPr>
        <w:lastRenderedPageBreak/>
        <w:fldChar w:fldCharType="begin"/>
      </w:r>
      <w:r w:rsidR="003E77A1">
        <w:instrText xml:space="preserve"> REF _Ref285534924 \h </w:instrText>
      </w:r>
      <w:r>
        <w:rPr>
          <w:highlight w:val="yellow"/>
        </w:rPr>
      </w:r>
      <w:r>
        <w:rPr>
          <w:highlight w:val="yellow"/>
        </w:rPr>
        <w:fldChar w:fldCharType="separate"/>
      </w:r>
      <w:r w:rsidR="00D5167B">
        <w:t xml:space="preserve">Figure </w:t>
      </w:r>
      <w:r w:rsidR="00D5167B">
        <w:rPr>
          <w:noProof/>
        </w:rPr>
        <w:t>4</w:t>
      </w:r>
      <w:r w:rsidR="00D5167B">
        <w:t>.</w:t>
      </w:r>
      <w:r w:rsidR="00D5167B">
        <w:rPr>
          <w:noProof/>
        </w:rPr>
        <w:t>13</w:t>
      </w:r>
      <w:r>
        <w:rPr>
          <w:highlight w:val="yellow"/>
        </w:rPr>
        <w:fldChar w:fldCharType="end"/>
      </w:r>
      <w:r w:rsidR="003E77A1">
        <w:t xml:space="preserve"> </w:t>
      </w:r>
      <w:r w:rsidR="00177FCB" w:rsidRPr="00177FCB">
        <w:t xml:space="preserve">shows the radial relative power profile at the horizontal midplane, and is composed of data derived from foils 1 through 6 for both the inner and outer fuel elements. </w:t>
      </w:r>
      <w:r w:rsidR="00E409A4">
        <w:t xml:space="preserve"> </w:t>
      </w:r>
      <w:r w:rsidR="00177FCB" w:rsidRPr="00177FCB">
        <w:t xml:space="preserve">The axial relative power profiles corresponding to foils 1B-1G, 4A-4H, and 6B-6G for both the inner and outer fuel elements are shown in </w:t>
      </w:r>
      <w:r>
        <w:rPr>
          <w:highlight w:val="yellow"/>
        </w:rPr>
        <w:fldChar w:fldCharType="begin"/>
      </w:r>
      <w:r w:rsidR="003E77A1">
        <w:instrText xml:space="preserve"> REF _Ref285534935 \h </w:instrText>
      </w:r>
      <w:r>
        <w:rPr>
          <w:highlight w:val="yellow"/>
        </w:rPr>
      </w:r>
      <w:r>
        <w:rPr>
          <w:highlight w:val="yellow"/>
        </w:rPr>
        <w:fldChar w:fldCharType="separate"/>
      </w:r>
      <w:r w:rsidR="00D5167B">
        <w:t xml:space="preserve">Figure </w:t>
      </w:r>
      <w:r w:rsidR="00D5167B">
        <w:rPr>
          <w:noProof/>
        </w:rPr>
        <w:t>4</w:t>
      </w:r>
      <w:r w:rsidR="00D5167B">
        <w:t>.</w:t>
      </w:r>
      <w:r w:rsidR="00D5167B">
        <w:rPr>
          <w:noProof/>
        </w:rPr>
        <w:t>14</w:t>
      </w:r>
      <w:r>
        <w:rPr>
          <w:highlight w:val="yellow"/>
        </w:rPr>
        <w:fldChar w:fldCharType="end"/>
      </w:r>
      <w:r w:rsidR="00177FCB" w:rsidRPr="00177FCB">
        <w:t xml:space="preserve"> through </w:t>
      </w:r>
      <w:r>
        <w:rPr>
          <w:highlight w:val="yellow"/>
        </w:rPr>
        <w:fldChar w:fldCharType="begin"/>
      </w:r>
      <w:r w:rsidR="003E77A1">
        <w:instrText xml:space="preserve"> REF _Ref285534942 \h </w:instrText>
      </w:r>
      <w:r>
        <w:rPr>
          <w:highlight w:val="yellow"/>
        </w:rPr>
      </w:r>
      <w:r>
        <w:rPr>
          <w:highlight w:val="yellow"/>
        </w:rPr>
        <w:fldChar w:fldCharType="separate"/>
      </w:r>
      <w:r w:rsidR="00D5167B">
        <w:t xml:space="preserve">Figure </w:t>
      </w:r>
      <w:r w:rsidR="00D5167B">
        <w:rPr>
          <w:noProof/>
        </w:rPr>
        <w:t>4</w:t>
      </w:r>
      <w:r w:rsidR="00D5167B">
        <w:t>.</w:t>
      </w:r>
      <w:r w:rsidR="00D5167B">
        <w:rPr>
          <w:noProof/>
        </w:rPr>
        <w:t>19</w:t>
      </w:r>
      <w:r>
        <w:rPr>
          <w:highlight w:val="yellow"/>
        </w:rPr>
        <w:fldChar w:fldCharType="end"/>
      </w:r>
      <w:r w:rsidR="00E409A4">
        <w:t>, respectively</w:t>
      </w:r>
      <w:r w:rsidR="00177FCB" w:rsidRPr="00177FCB">
        <w:t>.</w:t>
      </w:r>
      <w:r w:rsidR="00E409A4">
        <w:t xml:space="preserve"> </w:t>
      </w:r>
      <w:r w:rsidR="00177FCB" w:rsidRPr="00177FCB">
        <w:t xml:space="preserve"> Reflector savings can be observed in </w:t>
      </w:r>
      <w:fldSimple w:instr=" REF _Ref285534924 \h  \* MERGEFORMAT ">
        <w:r w:rsidR="00D5167B">
          <w:t xml:space="preserve">Figure </w:t>
        </w:r>
        <w:r w:rsidR="00D5167B">
          <w:rPr>
            <w:noProof/>
          </w:rPr>
          <w:t>4.13</w:t>
        </w:r>
      </w:fldSimple>
      <w:r w:rsidR="00177FCB" w:rsidRPr="003E77A1">
        <w:t xml:space="preserve">, </w:t>
      </w:r>
      <w:fldSimple w:instr=" REF _Ref285534956 \h  \* MERGEFORMAT ">
        <w:r w:rsidR="00D5167B">
          <w:t xml:space="preserve">Figure </w:t>
        </w:r>
        <w:r w:rsidR="00D5167B">
          <w:rPr>
            <w:noProof/>
          </w:rPr>
          <w:t>4.15</w:t>
        </w:r>
      </w:fldSimple>
      <w:r w:rsidR="00177FCB" w:rsidRPr="003E77A1">
        <w:t xml:space="preserve">, and </w:t>
      </w:r>
      <w:fldSimple w:instr=" REF _Ref285534966 \h  \* MERGEFORMAT ">
        <w:r w:rsidR="00D5167B">
          <w:t xml:space="preserve">Figure </w:t>
        </w:r>
        <w:r w:rsidR="00D5167B">
          <w:rPr>
            <w:noProof/>
          </w:rPr>
          <w:t>4.18</w:t>
        </w:r>
      </w:fldSimple>
      <w:r w:rsidR="003E77A1">
        <w:t xml:space="preserve"> </w:t>
      </w:r>
      <w:r w:rsidR="00177FCB" w:rsidRPr="00177FCB">
        <w:t>because foils located at the edges are analyzed here and water is located at these edges.</w:t>
      </w:r>
    </w:p>
    <w:p w:rsidR="00E409A4" w:rsidRDefault="00E409A4" w:rsidP="00A52A92">
      <w:pPr>
        <w:ind w:firstLine="0"/>
        <w:jc w:val="center"/>
      </w:pPr>
    </w:p>
    <w:p w:rsidR="00946F5C" w:rsidRDefault="00946F5C" w:rsidP="00A52A92">
      <w:pPr>
        <w:ind w:firstLine="0"/>
        <w:jc w:val="center"/>
      </w:pPr>
    </w:p>
    <w:p w:rsidR="00946F5C" w:rsidRDefault="00946F5C" w:rsidP="00A52A92">
      <w:pPr>
        <w:ind w:firstLine="0"/>
        <w:jc w:val="center"/>
      </w:pPr>
    </w:p>
    <w:p w:rsidR="00946F5C" w:rsidRDefault="00946F5C" w:rsidP="00A52A92">
      <w:pPr>
        <w:ind w:firstLine="0"/>
        <w:jc w:val="center"/>
      </w:pPr>
    </w:p>
    <w:p w:rsidR="00946F5C" w:rsidRDefault="00946F5C" w:rsidP="00A52A92">
      <w:pPr>
        <w:ind w:firstLine="0"/>
        <w:jc w:val="center"/>
      </w:pPr>
    </w:p>
    <w:p w:rsidR="00E409A4" w:rsidRPr="00E409A4" w:rsidRDefault="00E409A4" w:rsidP="004C3625">
      <w:pPr>
        <w:spacing w:line="240" w:lineRule="auto"/>
        <w:ind w:firstLine="0"/>
        <w:jc w:val="center"/>
        <w:rPr>
          <w:b/>
        </w:rPr>
      </w:pPr>
      <w:r w:rsidRPr="00E409A4">
        <w:rPr>
          <w:b/>
          <w:noProof/>
        </w:rPr>
        <w:drawing>
          <wp:inline distT="0" distB="0" distL="0" distR="0">
            <wp:extent cx="5486400" cy="3474720"/>
            <wp:effectExtent l="19050" t="0" r="19050" b="0"/>
            <wp:docPr id="26"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E409A4" w:rsidRPr="00E409A4" w:rsidRDefault="003E77A1" w:rsidP="00946F5C">
      <w:pPr>
        <w:pStyle w:val="Caption"/>
        <w:spacing w:after="0"/>
      </w:pPr>
      <w:bookmarkStart w:id="159" w:name="_Ref285534924"/>
      <w:bookmarkStart w:id="160" w:name="_Toc295818199"/>
      <w:proofErr w:type="gramStart"/>
      <w:r>
        <w:t xml:space="preserve">Figure </w:t>
      </w:r>
      <w:r w:rsidR="007511FA">
        <w:fldChar w:fldCharType="begin"/>
      </w:r>
      <w:r w:rsidR="00AE17F8">
        <w:instrText xml:space="preserve"> STYLEREF 1 \s </w:instrText>
      </w:r>
      <w:r w:rsidR="007511FA">
        <w:fldChar w:fldCharType="separate"/>
      </w:r>
      <w:r w:rsidR="00D5167B">
        <w:rPr>
          <w:noProof/>
        </w:rPr>
        <w:t>4</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13</w:t>
      </w:r>
      <w:r w:rsidR="007511FA">
        <w:fldChar w:fldCharType="end"/>
      </w:r>
      <w:bookmarkEnd w:id="159"/>
      <w:r w:rsidR="00E409A4" w:rsidRPr="00E409A4">
        <w:t xml:space="preserve">.  </w:t>
      </w:r>
      <w:proofErr w:type="gramStart"/>
      <w:r w:rsidR="00E409A4" w:rsidRPr="00E409A4">
        <w:t>Radial relative power profile at horizontal midplane under fully poisoned core conditions.</w:t>
      </w:r>
      <w:bookmarkEnd w:id="160"/>
      <w:proofErr w:type="gramEnd"/>
      <w:r w:rsidR="00E409A4">
        <w:rPr>
          <w:sz w:val="24"/>
        </w:rPr>
        <w:br w:type="page"/>
      </w:r>
    </w:p>
    <w:p w:rsidR="00E409A4" w:rsidRPr="00E409A4" w:rsidRDefault="00E409A4" w:rsidP="004C3625">
      <w:pPr>
        <w:spacing w:line="240" w:lineRule="auto"/>
        <w:ind w:firstLine="0"/>
        <w:jc w:val="center"/>
        <w:rPr>
          <w:b/>
        </w:rPr>
      </w:pPr>
      <w:r w:rsidRPr="00E409A4">
        <w:rPr>
          <w:b/>
          <w:noProof/>
        </w:rPr>
        <w:lastRenderedPageBreak/>
        <w:drawing>
          <wp:inline distT="0" distB="0" distL="0" distR="0">
            <wp:extent cx="5486400" cy="3474720"/>
            <wp:effectExtent l="19050" t="0" r="19050" b="0"/>
            <wp:docPr id="11"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E409A4" w:rsidRPr="00E409A4" w:rsidRDefault="003E77A1" w:rsidP="00946F5C">
      <w:pPr>
        <w:pStyle w:val="Caption"/>
        <w:spacing w:after="0"/>
      </w:pPr>
      <w:bookmarkStart w:id="161" w:name="_Ref285534935"/>
      <w:bookmarkStart w:id="162" w:name="_Toc295818200"/>
      <w:proofErr w:type="gramStart"/>
      <w:r>
        <w:t xml:space="preserve">Figure </w:t>
      </w:r>
      <w:r w:rsidR="007511FA">
        <w:fldChar w:fldCharType="begin"/>
      </w:r>
      <w:r w:rsidR="00AE17F8">
        <w:instrText xml:space="preserve"> STYLEREF 1 \s </w:instrText>
      </w:r>
      <w:r w:rsidR="007511FA">
        <w:fldChar w:fldCharType="separate"/>
      </w:r>
      <w:r w:rsidR="00D5167B">
        <w:rPr>
          <w:noProof/>
        </w:rPr>
        <w:t>4</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14</w:t>
      </w:r>
      <w:r w:rsidR="007511FA">
        <w:fldChar w:fldCharType="end"/>
      </w:r>
      <w:bookmarkEnd w:id="161"/>
      <w:r w:rsidR="00E409A4" w:rsidRPr="00E409A4">
        <w:t>.  Axial relative power profile of Foil 1 in IFE under fully poisoned</w:t>
      </w:r>
      <w:r w:rsidR="00E409A4">
        <w:t xml:space="preserve"> </w:t>
      </w:r>
      <w:r w:rsidR="00E409A4" w:rsidRPr="00E409A4">
        <w:t>core conditions.</w:t>
      </w:r>
      <w:bookmarkEnd w:id="162"/>
    </w:p>
    <w:p w:rsidR="00E409A4" w:rsidRPr="004C3625" w:rsidRDefault="00E409A4" w:rsidP="00A52A92">
      <w:pPr>
        <w:ind w:firstLine="0"/>
        <w:jc w:val="center"/>
        <w:rPr>
          <w:sz w:val="24"/>
        </w:rPr>
      </w:pPr>
    </w:p>
    <w:p w:rsidR="00E409A4" w:rsidRPr="00E409A4" w:rsidRDefault="00E409A4" w:rsidP="004C3625">
      <w:pPr>
        <w:spacing w:line="240" w:lineRule="auto"/>
        <w:ind w:firstLine="0"/>
        <w:jc w:val="center"/>
        <w:rPr>
          <w:b/>
        </w:rPr>
      </w:pPr>
      <w:r w:rsidRPr="00E409A4">
        <w:rPr>
          <w:b/>
          <w:noProof/>
        </w:rPr>
        <w:drawing>
          <wp:inline distT="0" distB="0" distL="0" distR="0">
            <wp:extent cx="5486400" cy="3474720"/>
            <wp:effectExtent l="19050" t="0" r="19050" b="0"/>
            <wp:docPr id="6"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E409A4" w:rsidRPr="00E409A4" w:rsidRDefault="003E77A1" w:rsidP="00946F5C">
      <w:pPr>
        <w:pStyle w:val="Caption"/>
        <w:spacing w:after="0"/>
      </w:pPr>
      <w:bookmarkStart w:id="163" w:name="_Ref285534956"/>
      <w:bookmarkStart w:id="164" w:name="_Toc295818201"/>
      <w:proofErr w:type="gramStart"/>
      <w:r>
        <w:t xml:space="preserve">Figure </w:t>
      </w:r>
      <w:r w:rsidR="007511FA">
        <w:fldChar w:fldCharType="begin"/>
      </w:r>
      <w:r w:rsidR="00AE17F8">
        <w:instrText xml:space="preserve"> STYLEREF 1 \s </w:instrText>
      </w:r>
      <w:r w:rsidR="007511FA">
        <w:fldChar w:fldCharType="separate"/>
      </w:r>
      <w:r w:rsidR="00D5167B">
        <w:rPr>
          <w:noProof/>
        </w:rPr>
        <w:t>4</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15</w:t>
      </w:r>
      <w:r w:rsidR="007511FA">
        <w:fldChar w:fldCharType="end"/>
      </w:r>
      <w:bookmarkEnd w:id="163"/>
      <w:r w:rsidR="00E409A4" w:rsidRPr="00E409A4">
        <w:t>.  Axial relative power profile of Foil 4 in IFE under fully poisoned</w:t>
      </w:r>
      <w:r w:rsidR="00E409A4">
        <w:t xml:space="preserve"> </w:t>
      </w:r>
      <w:r w:rsidR="00E409A4" w:rsidRPr="00E409A4">
        <w:t>core conditions.</w:t>
      </w:r>
      <w:bookmarkEnd w:id="164"/>
    </w:p>
    <w:p w:rsidR="00E409A4" w:rsidRPr="00E409A4" w:rsidRDefault="00E409A4" w:rsidP="004C3625">
      <w:pPr>
        <w:spacing w:line="240" w:lineRule="auto"/>
        <w:ind w:firstLine="0"/>
        <w:jc w:val="center"/>
        <w:rPr>
          <w:b/>
        </w:rPr>
      </w:pPr>
      <w:r w:rsidRPr="00E409A4">
        <w:rPr>
          <w:b/>
          <w:noProof/>
        </w:rPr>
        <w:lastRenderedPageBreak/>
        <w:drawing>
          <wp:inline distT="0" distB="0" distL="0" distR="0">
            <wp:extent cx="5486400" cy="3474720"/>
            <wp:effectExtent l="19050" t="0" r="19050" b="0"/>
            <wp:docPr id="2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E409A4" w:rsidRPr="00E409A4" w:rsidRDefault="003E77A1" w:rsidP="00946F5C">
      <w:pPr>
        <w:pStyle w:val="Caption"/>
        <w:spacing w:after="0"/>
      </w:pPr>
      <w:bookmarkStart w:id="165" w:name="_Toc295818202"/>
      <w:proofErr w:type="gramStart"/>
      <w:r>
        <w:t xml:space="preserve">Figure </w:t>
      </w:r>
      <w:r w:rsidR="007511FA">
        <w:fldChar w:fldCharType="begin"/>
      </w:r>
      <w:r w:rsidR="00AE17F8">
        <w:instrText xml:space="preserve"> STYLEREF 1 \s </w:instrText>
      </w:r>
      <w:r w:rsidR="007511FA">
        <w:fldChar w:fldCharType="separate"/>
      </w:r>
      <w:r w:rsidR="00D5167B">
        <w:rPr>
          <w:noProof/>
        </w:rPr>
        <w:t>4</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16</w:t>
      </w:r>
      <w:r w:rsidR="007511FA">
        <w:fldChar w:fldCharType="end"/>
      </w:r>
      <w:r w:rsidR="00E409A4" w:rsidRPr="00E409A4">
        <w:t>.  Axial relative power profile of Foil 6 in IFE under fully poisoned</w:t>
      </w:r>
      <w:r w:rsidR="00E409A4">
        <w:t xml:space="preserve"> </w:t>
      </w:r>
      <w:r w:rsidR="00E409A4" w:rsidRPr="00E409A4">
        <w:t>core conditions.</w:t>
      </w:r>
      <w:bookmarkEnd w:id="165"/>
    </w:p>
    <w:p w:rsidR="00E409A4" w:rsidRPr="004C3625" w:rsidRDefault="00E409A4" w:rsidP="00A52A92">
      <w:pPr>
        <w:ind w:firstLine="0"/>
        <w:jc w:val="center"/>
        <w:rPr>
          <w:sz w:val="24"/>
        </w:rPr>
      </w:pPr>
    </w:p>
    <w:p w:rsidR="00E409A4" w:rsidRPr="00E409A4" w:rsidRDefault="00E409A4" w:rsidP="004C3625">
      <w:pPr>
        <w:spacing w:line="240" w:lineRule="auto"/>
        <w:ind w:firstLine="0"/>
        <w:jc w:val="center"/>
        <w:rPr>
          <w:b/>
        </w:rPr>
      </w:pPr>
      <w:r w:rsidRPr="00E409A4">
        <w:rPr>
          <w:b/>
          <w:noProof/>
        </w:rPr>
        <w:drawing>
          <wp:inline distT="0" distB="0" distL="0" distR="0">
            <wp:extent cx="5486400" cy="3474720"/>
            <wp:effectExtent l="19050" t="0" r="19050" b="0"/>
            <wp:docPr id="27"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E409A4" w:rsidRPr="00E409A4" w:rsidRDefault="003E77A1" w:rsidP="00946F5C">
      <w:pPr>
        <w:pStyle w:val="Caption"/>
        <w:spacing w:after="0"/>
      </w:pPr>
      <w:bookmarkStart w:id="166" w:name="_Toc295818203"/>
      <w:proofErr w:type="gramStart"/>
      <w:r>
        <w:t xml:space="preserve">Figure </w:t>
      </w:r>
      <w:r w:rsidR="007511FA">
        <w:fldChar w:fldCharType="begin"/>
      </w:r>
      <w:r w:rsidR="00AE17F8">
        <w:instrText xml:space="preserve"> STYLEREF 1 \s </w:instrText>
      </w:r>
      <w:r w:rsidR="007511FA">
        <w:fldChar w:fldCharType="separate"/>
      </w:r>
      <w:r w:rsidR="00D5167B">
        <w:rPr>
          <w:noProof/>
        </w:rPr>
        <w:t>4</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17</w:t>
      </w:r>
      <w:r w:rsidR="007511FA">
        <w:fldChar w:fldCharType="end"/>
      </w:r>
      <w:r w:rsidR="00E409A4" w:rsidRPr="00E409A4">
        <w:t>.  Axial relative power profile of Foil 1 in OFE under fully poisoned</w:t>
      </w:r>
      <w:r w:rsidR="00E409A4">
        <w:t xml:space="preserve"> </w:t>
      </w:r>
      <w:r w:rsidR="00E409A4" w:rsidRPr="00E409A4">
        <w:t>core conditions.</w:t>
      </w:r>
      <w:bookmarkEnd w:id="166"/>
    </w:p>
    <w:p w:rsidR="00E409A4" w:rsidRPr="00E409A4" w:rsidRDefault="00E409A4" w:rsidP="004C3625">
      <w:pPr>
        <w:spacing w:line="240" w:lineRule="auto"/>
        <w:ind w:firstLine="0"/>
        <w:jc w:val="center"/>
        <w:rPr>
          <w:b/>
        </w:rPr>
      </w:pPr>
      <w:r w:rsidRPr="00E409A4">
        <w:rPr>
          <w:b/>
          <w:noProof/>
        </w:rPr>
        <w:lastRenderedPageBreak/>
        <w:drawing>
          <wp:inline distT="0" distB="0" distL="0" distR="0">
            <wp:extent cx="5486400" cy="3474720"/>
            <wp:effectExtent l="19050" t="0" r="19050" b="0"/>
            <wp:docPr id="29"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E409A4" w:rsidRPr="00E409A4" w:rsidRDefault="003E77A1" w:rsidP="00946F5C">
      <w:pPr>
        <w:pStyle w:val="Caption"/>
        <w:spacing w:after="0"/>
      </w:pPr>
      <w:bookmarkStart w:id="167" w:name="_Ref285534966"/>
      <w:bookmarkStart w:id="168" w:name="_Toc295818204"/>
      <w:proofErr w:type="gramStart"/>
      <w:r>
        <w:t xml:space="preserve">Figure </w:t>
      </w:r>
      <w:r w:rsidR="007511FA">
        <w:fldChar w:fldCharType="begin"/>
      </w:r>
      <w:r w:rsidR="00AE17F8">
        <w:instrText xml:space="preserve"> STYLEREF 1 \s </w:instrText>
      </w:r>
      <w:r w:rsidR="007511FA">
        <w:fldChar w:fldCharType="separate"/>
      </w:r>
      <w:r w:rsidR="00D5167B">
        <w:rPr>
          <w:noProof/>
        </w:rPr>
        <w:t>4</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18</w:t>
      </w:r>
      <w:r w:rsidR="007511FA">
        <w:fldChar w:fldCharType="end"/>
      </w:r>
      <w:bookmarkEnd w:id="167"/>
      <w:r w:rsidR="00E409A4" w:rsidRPr="00E409A4">
        <w:t>.  Axial Relative power profile of Foil 4 in OFE under fully poisoned</w:t>
      </w:r>
      <w:r w:rsidR="00E409A4">
        <w:t xml:space="preserve"> </w:t>
      </w:r>
      <w:r w:rsidR="00E409A4" w:rsidRPr="00E409A4">
        <w:t>core conditions.</w:t>
      </w:r>
      <w:bookmarkEnd w:id="168"/>
    </w:p>
    <w:p w:rsidR="00E409A4" w:rsidRPr="004C3625" w:rsidRDefault="00E409A4" w:rsidP="00A52A92">
      <w:pPr>
        <w:ind w:firstLine="0"/>
        <w:jc w:val="center"/>
        <w:rPr>
          <w:sz w:val="24"/>
        </w:rPr>
      </w:pPr>
    </w:p>
    <w:p w:rsidR="00E409A4" w:rsidRDefault="00E409A4" w:rsidP="004C3625">
      <w:pPr>
        <w:spacing w:line="240" w:lineRule="auto"/>
        <w:ind w:firstLine="0"/>
        <w:jc w:val="center"/>
        <w:rPr>
          <w:b/>
          <w:sz w:val="24"/>
        </w:rPr>
      </w:pPr>
      <w:r w:rsidRPr="00060BAF">
        <w:rPr>
          <w:b/>
          <w:noProof/>
          <w:sz w:val="24"/>
        </w:rPr>
        <w:drawing>
          <wp:inline distT="0" distB="0" distL="0" distR="0">
            <wp:extent cx="5486400" cy="3474720"/>
            <wp:effectExtent l="19050" t="0" r="19050" b="0"/>
            <wp:docPr id="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E409A4" w:rsidRDefault="003E77A1" w:rsidP="00946F5C">
      <w:pPr>
        <w:pStyle w:val="Caption"/>
        <w:spacing w:after="0"/>
      </w:pPr>
      <w:bookmarkStart w:id="169" w:name="_Ref285534942"/>
      <w:bookmarkStart w:id="170" w:name="_Toc295818205"/>
      <w:proofErr w:type="gramStart"/>
      <w:r>
        <w:t xml:space="preserve">Figure </w:t>
      </w:r>
      <w:r w:rsidR="007511FA">
        <w:fldChar w:fldCharType="begin"/>
      </w:r>
      <w:r w:rsidR="00AE17F8">
        <w:instrText xml:space="preserve"> STYLEREF 1 \s </w:instrText>
      </w:r>
      <w:r w:rsidR="007511FA">
        <w:fldChar w:fldCharType="separate"/>
      </w:r>
      <w:r w:rsidR="00D5167B">
        <w:rPr>
          <w:noProof/>
        </w:rPr>
        <w:t>4</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19</w:t>
      </w:r>
      <w:r w:rsidR="007511FA">
        <w:fldChar w:fldCharType="end"/>
      </w:r>
      <w:bookmarkEnd w:id="169"/>
      <w:r w:rsidR="00E409A4" w:rsidRPr="00E409A4">
        <w:t>.  Axial relative power profile of Foil 6 in OFE under fully poisoned core conditions.</w:t>
      </w:r>
      <w:bookmarkEnd w:id="170"/>
    </w:p>
    <w:p w:rsidR="00177FCB" w:rsidRPr="00177FCB" w:rsidRDefault="00E409A4" w:rsidP="00AA149C">
      <w:pPr>
        <w:pStyle w:val="Heading2"/>
      </w:pPr>
      <w:bookmarkStart w:id="171" w:name="_Toc295818125"/>
      <w:r>
        <w:lastRenderedPageBreak/>
        <w:t>HFIRCE-3 Summary</w:t>
      </w:r>
      <w:bookmarkEnd w:id="171"/>
    </w:p>
    <w:p w:rsidR="00E409A4" w:rsidRPr="00E409A4" w:rsidRDefault="00E409A4" w:rsidP="00E409A4">
      <w:pPr>
        <w:autoSpaceDE w:val="0"/>
        <w:autoSpaceDN w:val="0"/>
        <w:adjustRightInd w:val="0"/>
      </w:pPr>
      <w:r w:rsidRPr="00E409A4">
        <w:t xml:space="preserve">Critical experiments for HFIR were modeled for two configurations - clean core and fully poisoned core (designated as configurations from the series HFIRCE-3). </w:t>
      </w:r>
      <w:r>
        <w:t xml:space="preserve"> </w:t>
      </w:r>
      <w:r w:rsidRPr="00E409A4">
        <w:t xml:space="preserve">Multiplication factors and power density distributions were calculated and good agreement between the calculated and experimental measurements was found. </w:t>
      </w:r>
      <w:r>
        <w:t xml:space="preserve"> </w:t>
      </w:r>
      <w:r w:rsidRPr="00E409A4">
        <w:t>Power density profiles revealed that MCNP can calculate power densities with reasonable confi</w:t>
      </w:r>
      <w:r>
        <w:t>dence within the core interior.</w:t>
      </w:r>
    </w:p>
    <w:p w:rsidR="00E409A4" w:rsidRPr="00E409A4" w:rsidRDefault="00E409A4" w:rsidP="00E409A4">
      <w:pPr>
        <w:autoSpaceDE w:val="0"/>
        <w:autoSpaceDN w:val="0"/>
        <w:adjustRightInd w:val="0"/>
      </w:pPr>
      <w:r w:rsidRPr="00E409A4">
        <w:t xml:space="preserve">The calculated </w:t>
      </w:r>
      <w:r>
        <w:t>multiplication factor</w:t>
      </w:r>
      <w:r w:rsidRPr="00E409A4">
        <w:t xml:space="preserve"> under the clean core and fully poisoned conditions was 0.99561 ± 0.00013 and 1.00593 ± 0.00013</w:t>
      </w:r>
      <w:r>
        <w:t>,</w:t>
      </w:r>
      <w:r w:rsidRPr="00E409A4">
        <w:t xml:space="preserve"> respectively. </w:t>
      </w:r>
      <w:r>
        <w:t xml:space="preserve"> </w:t>
      </w:r>
      <w:r w:rsidRPr="00E409A4">
        <w:t xml:space="preserve">The model accurately predicted the multiplication factor for the reactor to within 1 %. </w:t>
      </w:r>
      <w:r>
        <w:t xml:space="preserve"> </w:t>
      </w:r>
      <w:r w:rsidRPr="00E409A4">
        <w:t>The less than 1 % estimation of k</w:t>
      </w:r>
      <w:r w:rsidRPr="00E409A4">
        <w:rPr>
          <w:vertAlign w:val="subscript"/>
        </w:rPr>
        <w:t>eff</w:t>
      </w:r>
      <w:r w:rsidRPr="00E409A4">
        <w:t xml:space="preserve"> could be due to many reasons.</w:t>
      </w:r>
      <w:r>
        <w:t xml:space="preserve"> </w:t>
      </w:r>
      <w:r w:rsidRPr="00E409A4">
        <w:t xml:space="preserve"> The most obvious are the spatially dependent atom densities and nuclear data utilized.</w:t>
      </w:r>
      <w:r>
        <w:t xml:space="preserve"> </w:t>
      </w:r>
      <w:r w:rsidRPr="00E409A4">
        <w:t xml:space="preserve"> A few assumptions were made in the modeling, and many regions were homogenized.</w:t>
      </w:r>
      <w:r>
        <w:t xml:space="preserve"> </w:t>
      </w:r>
      <w:r w:rsidRPr="00E409A4">
        <w:t xml:space="preserve"> The exact atom density of many materials and the presence of trace elements effects neutrons and thus k</w:t>
      </w:r>
      <w:r w:rsidRPr="00E409A4">
        <w:rPr>
          <w:vertAlign w:val="subscript"/>
        </w:rPr>
        <w:t>eff</w:t>
      </w:r>
      <w:r w:rsidRPr="00E409A4">
        <w:t xml:space="preserve">. </w:t>
      </w:r>
      <w:r>
        <w:t xml:space="preserve"> </w:t>
      </w:r>
      <w:r w:rsidRPr="00E409A4">
        <w:t>Also, cross section data are not perfect, and the results of eigenvalue calculations will vary depe</w:t>
      </w:r>
      <w:r>
        <w:t>nding on which library is used.</w:t>
      </w:r>
    </w:p>
    <w:p w:rsidR="00336989" w:rsidRDefault="00E409A4" w:rsidP="004C3625">
      <w:pPr>
        <w:autoSpaceDE w:val="0"/>
        <w:autoSpaceDN w:val="0"/>
        <w:adjustRightInd w:val="0"/>
      </w:pPr>
      <w:r w:rsidRPr="00E409A4">
        <w:t xml:space="preserve">However, per </w:t>
      </w:r>
      <w:r w:rsidR="007511FA">
        <w:fldChar w:fldCharType="begin"/>
      </w:r>
      <w:r w:rsidR="00C67546">
        <w:instrText xml:space="preserve"> REF _Ref285636804 \n \h </w:instrText>
      </w:r>
      <w:r w:rsidR="007511FA">
        <w:fldChar w:fldCharType="separate"/>
      </w:r>
      <w:r w:rsidR="00D5167B">
        <w:t>[66]</w:t>
      </w:r>
      <w:r w:rsidR="007511FA">
        <w:fldChar w:fldCharType="end"/>
      </w:r>
      <w:r w:rsidRPr="00E409A4">
        <w:t>, criticality was not always achieved during the critical experiments, which rationalizes the subcritical clean core calculation.</w:t>
      </w:r>
      <w:r>
        <w:t xml:space="preserve"> </w:t>
      </w:r>
      <w:r w:rsidRPr="00E409A4">
        <w:t xml:space="preserve"> Also according to</w:t>
      </w:r>
      <w:r w:rsidR="00C67546">
        <w:t xml:space="preserve"> </w:t>
      </w:r>
      <w:r w:rsidR="007511FA">
        <w:fldChar w:fldCharType="begin"/>
      </w:r>
      <w:r w:rsidR="00C67546">
        <w:instrText xml:space="preserve"> REF _Ref285636804 \n \h </w:instrText>
      </w:r>
      <w:r w:rsidR="007511FA">
        <w:fldChar w:fldCharType="separate"/>
      </w:r>
      <w:r w:rsidR="00D5167B">
        <w:t>[66]</w:t>
      </w:r>
      <w:r w:rsidR="007511FA">
        <w:fldChar w:fldCharType="end"/>
      </w:r>
      <w:r w:rsidRPr="00E409A4">
        <w:t xml:space="preserve">, acid rinses were performed periodically and the control elements were “essentially” fully withdrawn for the fully poisoned experiment. </w:t>
      </w:r>
      <w:r>
        <w:t xml:space="preserve"> </w:t>
      </w:r>
      <w:r w:rsidRPr="00E409A4">
        <w:t>Each of these conditions would introduce negative reactivity that was not explicitly modeled and justify the 0.00593 overestimation in k</w:t>
      </w:r>
      <w:r w:rsidRPr="00E409A4">
        <w:rPr>
          <w:vertAlign w:val="subscript"/>
        </w:rPr>
        <w:t>eff</w:t>
      </w:r>
      <w:r w:rsidRPr="00E409A4">
        <w:t xml:space="preserve"> for the poisoned core condition.  Per</w:t>
      </w:r>
      <w:r w:rsidR="00C67546">
        <w:t xml:space="preserve"> </w:t>
      </w:r>
      <w:r w:rsidR="007511FA">
        <w:fldChar w:fldCharType="begin"/>
      </w:r>
      <w:r w:rsidR="00C67546">
        <w:instrText xml:space="preserve"> REF _Ref285637047 \n \h </w:instrText>
      </w:r>
      <w:r w:rsidR="007511FA">
        <w:fldChar w:fldCharType="separate"/>
      </w:r>
      <w:r w:rsidR="00D5167B">
        <w:t>[70]</w:t>
      </w:r>
      <w:r w:rsidR="007511FA">
        <w:fldChar w:fldCharType="end"/>
      </w:r>
      <w:r w:rsidRPr="00E409A4">
        <w:t xml:space="preserve">, eigenvalues for critical systems are typically calculated within ± 1 % accuracy for systems utilizing HEU fuel, which was observed during the validation of KENO-VI, another Monte Carlo code. </w:t>
      </w:r>
      <w:r>
        <w:t xml:space="preserve"> </w:t>
      </w:r>
      <w:r w:rsidRPr="00E409A4">
        <w:t>The 0.00439 underestimation and the 0.00593 overestimation in k</w:t>
      </w:r>
      <w:r w:rsidRPr="00E409A4">
        <w:rPr>
          <w:vertAlign w:val="subscript"/>
        </w:rPr>
        <w:t>eff</w:t>
      </w:r>
      <w:r w:rsidRPr="00E409A4">
        <w:t xml:space="preserve"> </w:t>
      </w:r>
      <w:proofErr w:type="gramStart"/>
      <w:r w:rsidRPr="00E409A4">
        <w:t>has</w:t>
      </w:r>
      <w:proofErr w:type="gramEnd"/>
      <w:r w:rsidRPr="00E409A4">
        <w:t xml:space="preserve"> essentially no impact on the relative power distributions.</w:t>
      </w:r>
      <w:r>
        <w:t xml:space="preserve"> </w:t>
      </w:r>
      <w:r w:rsidRPr="00E409A4">
        <w:t xml:space="preserve"> After reviewing the results from this analysis, it was determined that a bias factor is not necessary for current design studies.</w:t>
      </w:r>
      <w:r w:rsidR="00336989">
        <w:br w:type="page"/>
      </w:r>
    </w:p>
    <w:p w:rsidR="008C2185" w:rsidRDefault="008C2185" w:rsidP="008C2185">
      <w:pPr>
        <w:pStyle w:val="Heading1"/>
      </w:pPr>
      <w:bookmarkStart w:id="172" w:name="_Toc295818126"/>
      <w:r>
        <w:lastRenderedPageBreak/>
        <w:t xml:space="preserve">Exposure-Dependent </w:t>
      </w:r>
      <w:r w:rsidR="00535B14">
        <w:t>Nuclide Inventory</w:t>
      </w:r>
      <w:bookmarkEnd w:id="172"/>
    </w:p>
    <w:p w:rsidR="0049691B" w:rsidRDefault="0049691B" w:rsidP="0049691B">
      <w:r w:rsidRPr="00CB4813">
        <w:t xml:space="preserve">The purpose of this </w:t>
      </w:r>
      <w:r>
        <w:t>chapter</w:t>
      </w:r>
      <w:r w:rsidRPr="00CB4813">
        <w:t xml:space="preserve"> is to validate a Monte Carlo based depletion methodology by comparing calculated post-irradiation uranium isotopic compositions in the fuel elements of the </w:t>
      </w:r>
      <w:r>
        <w:t>High Flux Isotope Reactor</w:t>
      </w:r>
      <w:r w:rsidRPr="00CB4813">
        <w:t xml:space="preserve"> core to values measured using uranium mass spectrographic analysis.  The spatial power distribution in HFIR changes significantly as irradiation time increases due to control element movement.  Accurate calculation of the end-of-life uranium isotopic inventory is a good indicator that the power distribution variation as a function of space and time is accurately calculated, i.e. an in</w:t>
      </w:r>
      <w:r>
        <w:t>tegral check.  T</w:t>
      </w:r>
      <w:r w:rsidRPr="00CB4813">
        <w:t xml:space="preserve">ime dependent </w:t>
      </w:r>
      <w:r>
        <w:t>power distribution profiles</w:t>
      </w:r>
      <w:r w:rsidRPr="00CB4813">
        <w:t xml:space="preserve"> </w:t>
      </w:r>
      <w:r>
        <w:t xml:space="preserve">are </w:t>
      </w:r>
      <w:r w:rsidRPr="00CB4813">
        <w:t xml:space="preserve">needed for reactor core thermal hydraulic </w:t>
      </w:r>
      <w:r>
        <w:t>and reactor kinetic analyses</w:t>
      </w:r>
      <w:r w:rsidR="00F06122">
        <w:t>,</w:t>
      </w:r>
      <w:r>
        <w:t xml:space="preserve"> and thus</w:t>
      </w:r>
      <w:r w:rsidR="00F06122">
        <w:t>,</w:t>
      </w:r>
      <w:r>
        <w:t xml:space="preserve"> the purpose of this chapter is to validate a methodology to </w:t>
      </w:r>
      <w:r w:rsidRPr="00CB4813">
        <w:t>accurate</w:t>
      </w:r>
      <w:r>
        <w:t xml:space="preserve">ly </w:t>
      </w:r>
      <w:r w:rsidR="00F06122">
        <w:t>calculate the power distribution</w:t>
      </w:r>
      <w:r w:rsidRPr="00CB4813">
        <w:t xml:space="preserve"> for highly enriched uranium (HEU) fuel.</w:t>
      </w:r>
    </w:p>
    <w:p w:rsidR="00535B14" w:rsidRDefault="00535B14" w:rsidP="00535B14"/>
    <w:p w:rsidR="00F06122" w:rsidRDefault="00F06122" w:rsidP="00AA149C">
      <w:pPr>
        <w:pStyle w:val="Heading2"/>
      </w:pPr>
      <w:bookmarkStart w:id="173" w:name="_Toc295818127"/>
      <w:r>
        <w:t>Post-Irradiation Data</w:t>
      </w:r>
      <w:bookmarkEnd w:id="173"/>
    </w:p>
    <w:p w:rsidR="00F06122" w:rsidRDefault="00F06122" w:rsidP="00F06122">
      <w:r>
        <w:t>T</w:t>
      </w:r>
      <w:r w:rsidRPr="00081A59">
        <w:t xml:space="preserve">hree sets of </w:t>
      </w:r>
      <w:r w:rsidR="00C67546">
        <w:t xml:space="preserve">post-irradiation uranium isotopic </w:t>
      </w:r>
      <w:r w:rsidRPr="00081A59">
        <w:t>experimental data we</w:t>
      </w:r>
      <w:r>
        <w:t>re obtained from</w:t>
      </w:r>
      <w:r w:rsidR="00C67546">
        <w:t xml:space="preserve"> </w:t>
      </w:r>
      <w:r w:rsidR="007511FA">
        <w:fldChar w:fldCharType="begin"/>
      </w:r>
      <w:r w:rsidR="00C67546">
        <w:instrText xml:space="preserve"> REF _Ref285637078 \n \h </w:instrText>
      </w:r>
      <w:r w:rsidR="007511FA">
        <w:fldChar w:fldCharType="separate"/>
      </w:r>
      <w:r w:rsidR="00D5167B">
        <w:t>[71]</w:t>
      </w:r>
      <w:r w:rsidR="007511FA">
        <w:fldChar w:fldCharType="end"/>
      </w:r>
      <w:r w:rsidRPr="00081A59">
        <w:t xml:space="preserve">.  The report describes the results of the post-irradiation examination and evaluation of several spent fuel elements from </w:t>
      </w:r>
      <w:r>
        <w:t>the High Flux Isotope Reactor (</w:t>
      </w:r>
      <w:r w:rsidRPr="00081A59">
        <w:t>HFIR</w:t>
      </w:r>
      <w:r>
        <w:t>)</w:t>
      </w:r>
      <w:r w:rsidRPr="00081A59">
        <w:t xml:space="preserve"> that were irradiated in the mid to late 1960s.  These fuel elements were examined in order to determine their overall condition, as well as to ensure no unexpected problems existed that would compromise continued operations.  Gamma scanning and analytical </w:t>
      </w:r>
      <w:r w:rsidR="00050B54">
        <w:t>burnup</w:t>
      </w:r>
      <w:r w:rsidRPr="00081A59">
        <w:t xml:space="preserve"> determinations showed that the time-integrated power and </w:t>
      </w:r>
      <w:r w:rsidR="00050B54">
        <w:t>burnup</w:t>
      </w:r>
      <w:r w:rsidRPr="00081A59">
        <w:t xml:space="preserve"> distributions within these fuel elements agreed well with design predictions.</w:t>
      </w:r>
      <w:r>
        <w:t xml:space="preserve">  The purpose of this study is to validate a Monte Carlo based depletion methodology for calculating the </w:t>
      </w:r>
      <w:r w:rsidR="00050B54">
        <w:t>burnup</w:t>
      </w:r>
      <w:r>
        <w:t xml:space="preserve"> dependent nuclide inventory, specifically the post-irradiation uranium isotopic composition, for the HFIR core.</w:t>
      </w:r>
    </w:p>
    <w:p w:rsidR="00F06122" w:rsidRDefault="00F06122" w:rsidP="00F06122">
      <w:r>
        <w:t xml:space="preserve">A fuel plate from three different fuel elements was selected for post-irradiation </w:t>
      </w:r>
      <w:r w:rsidR="00050B54">
        <w:t>burnup</w:t>
      </w:r>
      <w:r>
        <w:t xml:space="preserve"> examination.  </w:t>
      </w:r>
      <w:r w:rsidRPr="00FC41F3">
        <w:t xml:space="preserve">A </w:t>
      </w:r>
      <w:r>
        <w:t xml:space="preserve">fuel </w:t>
      </w:r>
      <w:r w:rsidRPr="00FC41F3">
        <w:t xml:space="preserve">plate from each element was sectioned for analytical </w:t>
      </w:r>
      <w:r w:rsidR="00050B54">
        <w:t>burnup</w:t>
      </w:r>
      <w:r w:rsidRPr="00FC41F3">
        <w:t xml:space="preserve"> determinations via a water-cooled abrasive cutoff wheel.  </w:t>
      </w:r>
      <w:r>
        <w:t xml:space="preserve">Five axial zones </w:t>
      </w:r>
      <w:r w:rsidRPr="00FC41F3">
        <w:t>were selected for analysis</w:t>
      </w:r>
      <w:r>
        <w:t>:</w:t>
      </w:r>
      <w:r w:rsidRPr="00FC41F3">
        <w:t xml:space="preserve"> </w:t>
      </w:r>
      <w:r>
        <w:t>two</w:t>
      </w:r>
      <w:r w:rsidRPr="00FC41F3">
        <w:t xml:space="preserve"> nominally minimum </w:t>
      </w:r>
      <w:r w:rsidR="00050B54">
        <w:t>burnup</w:t>
      </w:r>
      <w:r w:rsidRPr="00FC41F3">
        <w:t xml:space="preserve"> </w:t>
      </w:r>
      <w:r w:rsidRPr="00FC41F3">
        <w:lastRenderedPageBreak/>
        <w:t xml:space="preserve">regions (top and bottom of the fuel plate), two nominally intermediate </w:t>
      </w:r>
      <w:r w:rsidR="00050B54">
        <w:t>burnup</w:t>
      </w:r>
      <w:r w:rsidRPr="00FC41F3">
        <w:t xml:space="preserve"> regions (between the horizontal midplane and top and bottom of the fuel plate), and the nominally maximum </w:t>
      </w:r>
      <w:r w:rsidR="00050B54">
        <w:t>burnup</w:t>
      </w:r>
      <w:r w:rsidRPr="00FC41F3">
        <w:t xml:space="preserve"> region (middle of the fuel plate).  These specimens were cut out from the inner (labeled I), outer (labeled O), and central </w:t>
      </w:r>
      <w:r>
        <w:t xml:space="preserve">(labeled H) </w:t>
      </w:r>
      <w:r w:rsidRPr="00FC41F3">
        <w:t>regions</w:t>
      </w:r>
      <w:r>
        <w:t xml:space="preserve"> prior to analysis.</w:t>
      </w:r>
      <w:r w:rsidRPr="00FC41F3">
        <w:t xml:space="preserve">  The samples were then submitted for uranium mass-spectrographic analysis and the atomic percent of the uranium isotopes was calculated for each sample.  Thus, for each fuel plate examined, 15 specimens were submitted to mass spectrographic analysis.  </w:t>
      </w:r>
      <w:r>
        <w:t>The locations of the specimens extracted for mass-spectrographic analysis are shown in</w:t>
      </w:r>
      <w:r w:rsidR="003E77A1">
        <w:t xml:space="preserve"> </w:t>
      </w:r>
      <w:r w:rsidR="007511FA">
        <w:fldChar w:fldCharType="begin"/>
      </w:r>
      <w:r w:rsidR="003E77A1">
        <w:instrText xml:space="preserve"> REF _Ref285535365 \h </w:instrText>
      </w:r>
      <w:r w:rsidR="007511FA">
        <w:fldChar w:fldCharType="separate"/>
      </w:r>
      <w:r w:rsidR="00D5167B">
        <w:t xml:space="preserve">Figure </w:t>
      </w:r>
      <w:r w:rsidR="00D5167B">
        <w:rPr>
          <w:noProof/>
        </w:rPr>
        <w:t>5</w:t>
      </w:r>
      <w:r w:rsidR="00D5167B">
        <w:t>.</w:t>
      </w:r>
      <w:r w:rsidR="00D5167B">
        <w:rPr>
          <w:noProof/>
        </w:rPr>
        <w:t>1</w:t>
      </w:r>
      <w:r w:rsidR="007511FA">
        <w:fldChar w:fldCharType="end"/>
      </w:r>
      <w:r>
        <w:t>.</w:t>
      </w:r>
    </w:p>
    <w:p w:rsidR="00F06122" w:rsidRPr="00FC41F3" w:rsidRDefault="00F06122" w:rsidP="00F06122">
      <w:r w:rsidRPr="00FC41F3">
        <w:t>Fuel elements 5-I (I denotes IFE) and 5-O (O denotes OFE) were present in the first core to operate continuously at full power in HFIR (cycle 4).  This core was brought to power on September 9, 1966 and operated at 100 MW until September 30</w:t>
      </w:r>
      <w:r w:rsidRPr="00FC41F3">
        <w:rPr>
          <w:vertAlign w:val="superscript"/>
        </w:rPr>
        <w:t>th</w:t>
      </w:r>
      <w:r w:rsidRPr="00FC41F3">
        <w:t xml:space="preserve"> when a plant-wide electrical failure caused a premature shutdown after 2046 MWd of operation.  The in-reactor performance was slightly affected by a special pretreatment given to fuel elements in the first few HFIR fuel cores.  Fuel element 5 was immersed in boiling </w:t>
      </w:r>
      <w:proofErr w:type="spellStart"/>
      <w:r w:rsidRPr="00FC41F3">
        <w:t>deionized</w:t>
      </w:r>
      <w:proofErr w:type="spellEnd"/>
      <w:r w:rsidRPr="00FC41F3">
        <w:t xml:space="preserve"> water for 24 hours before being placed in the reactor.  This was done to increase corrosion resistance during pre-operation and low-power runs.  The corrosion-product films on the surfaces of the fuel plates were thicker than the other elements.  Pretreatment was performed because fuel elements were often placed in the reactor pool for up to three months before being placed in the reactor.  The pretreatment was used to produce a thin semi-protective oxide film on the fuel plate surfaces to avoid the formation of a thick, gelatinous, corrosion product film prior to being placed into service.  Following irradiation, these elements were stored in the fuel pool until October 12, 1967, when they were transferred to the High Radiation Level Examination Laboratory (HRLEL) hot cells for examination.</w:t>
      </w:r>
    </w:p>
    <w:p w:rsidR="00F06122" w:rsidRDefault="00F06122">
      <w:pPr>
        <w:spacing w:before="0" w:after="200" w:line="276" w:lineRule="auto"/>
      </w:pPr>
      <w:r>
        <w:br w:type="page"/>
      </w:r>
    </w:p>
    <w:p w:rsidR="00F06122" w:rsidRDefault="00F06122" w:rsidP="00A52A92">
      <w:pPr>
        <w:ind w:firstLine="0"/>
        <w:jc w:val="center"/>
        <w:rPr>
          <w:b/>
        </w:rPr>
      </w:pPr>
      <w:r>
        <w:rPr>
          <w:b/>
          <w:noProof/>
        </w:rPr>
        <w:lastRenderedPageBreak/>
        <w:drawing>
          <wp:inline distT="0" distB="0" distL="0" distR="0">
            <wp:extent cx="4572000" cy="4791616"/>
            <wp:effectExtent l="19050" t="0" r="0" b="0"/>
            <wp:docPr id="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cstate="print"/>
                    <a:srcRect l="51177" t="19465" r="23733" b="14882"/>
                    <a:stretch>
                      <a:fillRect/>
                    </a:stretch>
                  </pic:blipFill>
                  <pic:spPr bwMode="auto">
                    <a:xfrm>
                      <a:off x="0" y="0"/>
                      <a:ext cx="4572000" cy="4791616"/>
                    </a:xfrm>
                    <a:prstGeom prst="rect">
                      <a:avLst/>
                    </a:prstGeom>
                    <a:noFill/>
                    <a:ln w="9525">
                      <a:noFill/>
                      <a:miter lim="800000"/>
                      <a:headEnd/>
                      <a:tailEnd/>
                    </a:ln>
                  </pic:spPr>
                </pic:pic>
              </a:graphicData>
            </a:graphic>
          </wp:inline>
        </w:drawing>
      </w:r>
    </w:p>
    <w:p w:rsidR="00F06122" w:rsidRPr="003E77A1" w:rsidRDefault="003E77A1" w:rsidP="003E77A1">
      <w:pPr>
        <w:pStyle w:val="Caption"/>
      </w:pPr>
      <w:bookmarkStart w:id="174" w:name="_Ref285535365"/>
      <w:bookmarkStart w:id="175" w:name="_Toc295818206"/>
      <w:proofErr w:type="gramStart"/>
      <w:r>
        <w:t xml:space="preserve">Figure </w:t>
      </w:r>
      <w:r w:rsidR="007511FA">
        <w:fldChar w:fldCharType="begin"/>
      </w:r>
      <w:r w:rsidR="00AE17F8">
        <w:instrText xml:space="preserve"> STYLEREF 1 \s </w:instrText>
      </w:r>
      <w:r w:rsidR="007511FA">
        <w:fldChar w:fldCharType="separate"/>
      </w:r>
      <w:r w:rsidR="00D5167B">
        <w:rPr>
          <w:noProof/>
        </w:rPr>
        <w:t>5</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1</w:t>
      </w:r>
      <w:r w:rsidR="007511FA">
        <w:fldChar w:fldCharType="end"/>
      </w:r>
      <w:bookmarkEnd w:id="174"/>
      <w:r w:rsidR="00F06122" w:rsidRPr="003E77A1">
        <w:t xml:space="preserve">.  </w:t>
      </w:r>
      <w:proofErr w:type="gramStart"/>
      <w:r w:rsidR="00F06122" w:rsidRPr="003E77A1">
        <w:t xml:space="preserve">Axial and radial locations of </w:t>
      </w:r>
      <w:r w:rsidR="00050B54">
        <w:t>burnup</w:t>
      </w:r>
      <w:r w:rsidR="00F06122" w:rsidRPr="003E77A1">
        <w:t xml:space="preserve"> specimens (cm).</w:t>
      </w:r>
      <w:bookmarkEnd w:id="175"/>
      <w:proofErr w:type="gramEnd"/>
    </w:p>
    <w:p w:rsidR="00F06122" w:rsidRDefault="00F06122">
      <w:pPr>
        <w:spacing w:before="0" w:after="200" w:line="276" w:lineRule="auto"/>
      </w:pPr>
      <w:r>
        <w:br w:type="page"/>
      </w:r>
    </w:p>
    <w:p w:rsidR="00F06122" w:rsidRDefault="00F06122" w:rsidP="00F06122">
      <w:r w:rsidRPr="00FC41F3">
        <w:lastRenderedPageBreak/>
        <w:t xml:space="preserve">Fuel elements 21-I and 21–O were used during cycle 16, which was brought to power on December 10, 1967 and operated at a power level of 100 MW until January 2, 1968.  Cycle 16 ended after 2309 MWd of operation due to insufficient reactivity remaining in the fuel to operate at full power, which was due to </w:t>
      </w:r>
      <w:r w:rsidR="00050B54">
        <w:t>burnup</w:t>
      </w:r>
      <w:r w:rsidRPr="00FC41F3">
        <w:t xml:space="preserve">.  These fuel elements were then stored in the pool until December 16, 1968, when fuel element 21-O was transferred to the HRLEL hot cells.  Fuel elements 49-I and 49–O were used during cycle 35, which was brought to power on May 19, 1969 and operated at 100 MW until June 11, 1969 when loss of reactivity, again due to expended fuel, caused a shutdown after 2319 MWd </w:t>
      </w:r>
      <w:r w:rsidR="00050B54">
        <w:t>burnup</w:t>
      </w:r>
      <w:r w:rsidRPr="00FC41F3">
        <w:t>.  These fuel elements were then stored in the pool until February 11, 1970 when fuel element 49-I was transferred to the hot cells.  Fuel elements 21-O and 49-I were selected because their in-reactor behavior appeared to be typical of the standard fuel elements and because they became available during convenient periods for hot cell scheduling.  Neither fuel element was treated with the special pretreatment received by fuel element 5.</w:t>
      </w:r>
      <w:r>
        <w:t xml:space="preserve">  </w:t>
      </w:r>
      <w:r w:rsidRPr="00FC41F3">
        <w:t>A summary of the fuel elements analyzed is provided in</w:t>
      </w:r>
      <w:r w:rsidR="003E77A1">
        <w:t xml:space="preserve"> </w:t>
      </w:r>
      <w:r w:rsidR="007511FA">
        <w:fldChar w:fldCharType="begin"/>
      </w:r>
      <w:r w:rsidR="003E77A1">
        <w:instrText xml:space="preserve"> REF _Ref285535384 \h </w:instrText>
      </w:r>
      <w:r w:rsidR="007511FA">
        <w:fldChar w:fldCharType="separate"/>
      </w:r>
      <w:r w:rsidR="00D5167B">
        <w:t xml:space="preserve">Table </w:t>
      </w:r>
      <w:r w:rsidR="00D5167B">
        <w:rPr>
          <w:noProof/>
        </w:rPr>
        <w:t>5</w:t>
      </w:r>
      <w:r w:rsidR="00D5167B">
        <w:t>.</w:t>
      </w:r>
      <w:r w:rsidR="00D5167B">
        <w:rPr>
          <w:noProof/>
        </w:rPr>
        <w:t>1</w:t>
      </w:r>
      <w:r w:rsidR="007511FA">
        <w:fldChar w:fldCharType="end"/>
      </w:r>
      <w:r w:rsidRPr="00FC41F3">
        <w:t>.  No estimates of uncertainty in the measurements or the dimensions</w:t>
      </w:r>
      <w:r>
        <w:t xml:space="preserve"> of specimens were provided in </w:t>
      </w:r>
      <w:r w:rsidR="007511FA">
        <w:fldChar w:fldCharType="begin"/>
      </w:r>
      <w:r w:rsidR="00C67546">
        <w:instrText xml:space="preserve"> REF _Ref285637078 \n \h </w:instrText>
      </w:r>
      <w:r w:rsidR="007511FA">
        <w:fldChar w:fldCharType="separate"/>
      </w:r>
      <w:r w:rsidR="00D5167B">
        <w:t>[71]</w:t>
      </w:r>
      <w:r w:rsidR="007511FA">
        <w:fldChar w:fldCharType="end"/>
      </w:r>
      <w:r w:rsidRPr="00653FB7">
        <w:t>.</w:t>
      </w:r>
    </w:p>
    <w:p w:rsidR="00F06122" w:rsidRDefault="00F06122" w:rsidP="00F06122"/>
    <w:p w:rsidR="00A52A92" w:rsidRDefault="00A52A92" w:rsidP="00F06122"/>
    <w:p w:rsidR="00A52A92" w:rsidRDefault="00A52A92" w:rsidP="00F06122"/>
    <w:p w:rsidR="00F06122" w:rsidRPr="003E77A1" w:rsidRDefault="003E77A1" w:rsidP="003E77A1">
      <w:pPr>
        <w:pStyle w:val="Caption"/>
      </w:pPr>
      <w:bookmarkStart w:id="176" w:name="_Ref285535384"/>
      <w:bookmarkStart w:id="177" w:name="_Toc295818272"/>
      <w:proofErr w:type="gramStart"/>
      <w:r>
        <w:t xml:space="preserve">Table </w:t>
      </w:r>
      <w:r w:rsidR="007511FA">
        <w:fldChar w:fldCharType="begin"/>
      </w:r>
      <w:r w:rsidR="00AE17F8">
        <w:instrText xml:space="preserve"> STYLEREF 1 \s </w:instrText>
      </w:r>
      <w:r w:rsidR="007511FA">
        <w:fldChar w:fldCharType="separate"/>
      </w:r>
      <w:r w:rsidR="00D5167B">
        <w:rPr>
          <w:noProof/>
        </w:rPr>
        <w:t>5</w:t>
      </w:r>
      <w:r w:rsidR="007511FA">
        <w:fldChar w:fldCharType="end"/>
      </w:r>
      <w:r w:rsidR="00DE5151">
        <w:t>.</w:t>
      </w:r>
      <w:proofErr w:type="gramEnd"/>
      <w:r w:rsidR="007511FA">
        <w:fldChar w:fldCharType="begin"/>
      </w:r>
      <w:r w:rsidR="00C43F40">
        <w:instrText xml:space="preserve"> SEQ Table \* ARABIC \s 1 </w:instrText>
      </w:r>
      <w:r w:rsidR="007511FA">
        <w:fldChar w:fldCharType="separate"/>
      </w:r>
      <w:r w:rsidR="00D5167B">
        <w:rPr>
          <w:noProof/>
        </w:rPr>
        <w:t>1</w:t>
      </w:r>
      <w:r w:rsidR="007511FA">
        <w:fldChar w:fldCharType="end"/>
      </w:r>
      <w:bookmarkEnd w:id="176"/>
      <w:r w:rsidR="00F06122" w:rsidRPr="003E77A1">
        <w:t>.  Summary of fuel elements analyzed.</w:t>
      </w:r>
      <w:bookmarkEnd w:id="177"/>
    </w:p>
    <w:tbl>
      <w:tblPr>
        <w:tblStyle w:val="TableGrid"/>
        <w:tblW w:w="5717" w:type="dxa"/>
        <w:jc w:val="center"/>
        <w:tblLook w:val="00A0"/>
      </w:tblPr>
      <w:tblGrid>
        <w:gridCol w:w="2746"/>
        <w:gridCol w:w="994"/>
        <w:gridCol w:w="961"/>
        <w:gridCol w:w="1016"/>
      </w:tblGrid>
      <w:tr w:rsidR="00F06122" w:rsidRPr="000610AB" w:rsidTr="00F06122">
        <w:trPr>
          <w:trHeight w:val="300"/>
          <w:jc w:val="center"/>
        </w:trPr>
        <w:tc>
          <w:tcPr>
            <w:tcW w:w="2746" w:type="dxa"/>
            <w:noWrap/>
            <w:vAlign w:val="center"/>
          </w:tcPr>
          <w:p w:rsidR="00F06122" w:rsidRPr="00E47D50" w:rsidRDefault="00F06122" w:rsidP="00A52A92">
            <w:pPr>
              <w:spacing w:before="0" w:after="0" w:line="240" w:lineRule="auto"/>
              <w:ind w:firstLine="0"/>
              <w:rPr>
                <w:b/>
                <w:color w:val="000000"/>
              </w:rPr>
            </w:pPr>
            <w:r w:rsidRPr="00E47D50">
              <w:rPr>
                <w:b/>
                <w:color w:val="000000"/>
              </w:rPr>
              <w:t>Fuel Element Designation</w:t>
            </w:r>
          </w:p>
        </w:tc>
        <w:tc>
          <w:tcPr>
            <w:tcW w:w="994" w:type="dxa"/>
            <w:noWrap/>
            <w:vAlign w:val="center"/>
          </w:tcPr>
          <w:p w:rsidR="00F06122" w:rsidRPr="00E47D50" w:rsidRDefault="00F06122" w:rsidP="00A52A92">
            <w:pPr>
              <w:spacing w:before="0" w:after="0" w:line="240" w:lineRule="auto"/>
              <w:ind w:firstLine="0"/>
              <w:jc w:val="center"/>
              <w:rPr>
                <w:b/>
                <w:bCs/>
                <w:color w:val="000000"/>
              </w:rPr>
            </w:pPr>
            <w:r w:rsidRPr="00E47D50">
              <w:rPr>
                <w:b/>
                <w:bCs/>
                <w:color w:val="000000"/>
              </w:rPr>
              <w:t>5-O</w:t>
            </w:r>
          </w:p>
        </w:tc>
        <w:tc>
          <w:tcPr>
            <w:tcW w:w="961" w:type="dxa"/>
            <w:noWrap/>
            <w:vAlign w:val="center"/>
          </w:tcPr>
          <w:p w:rsidR="00F06122" w:rsidRPr="00E47D50" w:rsidRDefault="00F06122" w:rsidP="00A52A92">
            <w:pPr>
              <w:spacing w:before="0" w:after="0" w:line="240" w:lineRule="auto"/>
              <w:ind w:firstLine="0"/>
              <w:jc w:val="center"/>
              <w:rPr>
                <w:b/>
                <w:bCs/>
                <w:color w:val="000000"/>
              </w:rPr>
            </w:pPr>
            <w:r w:rsidRPr="00E47D50">
              <w:rPr>
                <w:b/>
                <w:bCs/>
                <w:color w:val="000000"/>
              </w:rPr>
              <w:t>21-O</w:t>
            </w:r>
          </w:p>
        </w:tc>
        <w:tc>
          <w:tcPr>
            <w:tcW w:w="1016" w:type="dxa"/>
            <w:noWrap/>
            <w:vAlign w:val="center"/>
          </w:tcPr>
          <w:p w:rsidR="00F06122" w:rsidRPr="00E47D50" w:rsidRDefault="00F06122" w:rsidP="00A52A92">
            <w:pPr>
              <w:spacing w:before="0" w:after="0" w:line="240" w:lineRule="auto"/>
              <w:ind w:firstLine="0"/>
              <w:jc w:val="center"/>
              <w:rPr>
                <w:b/>
                <w:bCs/>
                <w:color w:val="000000"/>
              </w:rPr>
            </w:pPr>
            <w:r w:rsidRPr="00E47D50">
              <w:rPr>
                <w:b/>
                <w:bCs/>
                <w:color w:val="000000"/>
              </w:rPr>
              <w:t>49-I</w:t>
            </w:r>
          </w:p>
        </w:tc>
      </w:tr>
      <w:tr w:rsidR="00F06122" w:rsidRPr="000610AB" w:rsidTr="00F06122">
        <w:trPr>
          <w:trHeight w:val="300"/>
          <w:jc w:val="center"/>
        </w:trPr>
        <w:tc>
          <w:tcPr>
            <w:tcW w:w="2746" w:type="dxa"/>
            <w:noWrap/>
            <w:vAlign w:val="center"/>
          </w:tcPr>
          <w:p w:rsidR="00F06122" w:rsidRPr="00E47D50" w:rsidRDefault="00F06122" w:rsidP="00A52A92">
            <w:pPr>
              <w:spacing w:before="0" w:after="0" w:line="240" w:lineRule="auto"/>
              <w:ind w:firstLine="0"/>
              <w:rPr>
                <w:bCs/>
                <w:color w:val="000000"/>
              </w:rPr>
            </w:pPr>
            <w:r w:rsidRPr="00E47D50">
              <w:rPr>
                <w:bCs/>
                <w:color w:val="000000"/>
              </w:rPr>
              <w:t>Core Number</w:t>
            </w:r>
          </w:p>
        </w:tc>
        <w:tc>
          <w:tcPr>
            <w:tcW w:w="994" w:type="dxa"/>
            <w:noWrap/>
            <w:vAlign w:val="center"/>
          </w:tcPr>
          <w:p w:rsidR="00F06122" w:rsidRPr="00E47D50" w:rsidRDefault="00F06122" w:rsidP="00A52A92">
            <w:pPr>
              <w:spacing w:before="0" w:after="0" w:line="240" w:lineRule="auto"/>
              <w:ind w:firstLine="0"/>
              <w:jc w:val="center"/>
              <w:rPr>
                <w:color w:val="000000"/>
              </w:rPr>
            </w:pPr>
            <w:r w:rsidRPr="00E47D50">
              <w:rPr>
                <w:color w:val="000000"/>
              </w:rPr>
              <w:t>5</w:t>
            </w:r>
          </w:p>
        </w:tc>
        <w:tc>
          <w:tcPr>
            <w:tcW w:w="961" w:type="dxa"/>
            <w:noWrap/>
            <w:vAlign w:val="center"/>
          </w:tcPr>
          <w:p w:rsidR="00F06122" w:rsidRPr="00E47D50" w:rsidRDefault="00F06122" w:rsidP="00A52A92">
            <w:pPr>
              <w:spacing w:before="0" w:after="0" w:line="240" w:lineRule="auto"/>
              <w:ind w:firstLine="0"/>
              <w:jc w:val="center"/>
              <w:rPr>
                <w:color w:val="000000"/>
              </w:rPr>
            </w:pPr>
            <w:r w:rsidRPr="00E47D50">
              <w:rPr>
                <w:color w:val="000000"/>
              </w:rPr>
              <w:t>21</w:t>
            </w:r>
          </w:p>
        </w:tc>
        <w:tc>
          <w:tcPr>
            <w:tcW w:w="1016" w:type="dxa"/>
            <w:noWrap/>
            <w:vAlign w:val="center"/>
          </w:tcPr>
          <w:p w:rsidR="00F06122" w:rsidRPr="00E47D50" w:rsidRDefault="00F06122" w:rsidP="00A52A92">
            <w:pPr>
              <w:spacing w:before="0" w:after="0" w:line="240" w:lineRule="auto"/>
              <w:ind w:firstLine="0"/>
              <w:jc w:val="center"/>
              <w:rPr>
                <w:color w:val="000000"/>
              </w:rPr>
            </w:pPr>
            <w:r w:rsidRPr="00E47D50">
              <w:rPr>
                <w:color w:val="000000"/>
              </w:rPr>
              <w:t>49</w:t>
            </w:r>
          </w:p>
        </w:tc>
      </w:tr>
      <w:tr w:rsidR="00F06122" w:rsidRPr="000610AB" w:rsidTr="00F06122">
        <w:trPr>
          <w:trHeight w:val="300"/>
          <w:jc w:val="center"/>
        </w:trPr>
        <w:tc>
          <w:tcPr>
            <w:tcW w:w="2746" w:type="dxa"/>
            <w:noWrap/>
            <w:vAlign w:val="center"/>
          </w:tcPr>
          <w:p w:rsidR="00F06122" w:rsidRPr="00E47D50" w:rsidRDefault="00F06122" w:rsidP="00A52A92">
            <w:pPr>
              <w:spacing w:before="0" w:after="0" w:line="240" w:lineRule="auto"/>
              <w:ind w:firstLine="0"/>
              <w:rPr>
                <w:bCs/>
                <w:color w:val="000000"/>
              </w:rPr>
            </w:pPr>
            <w:r w:rsidRPr="00E47D50">
              <w:rPr>
                <w:bCs/>
                <w:color w:val="000000"/>
              </w:rPr>
              <w:t>Fuel Element</w:t>
            </w:r>
          </w:p>
        </w:tc>
        <w:tc>
          <w:tcPr>
            <w:tcW w:w="994" w:type="dxa"/>
            <w:noWrap/>
            <w:vAlign w:val="center"/>
          </w:tcPr>
          <w:p w:rsidR="00F06122" w:rsidRPr="00E47D50" w:rsidRDefault="00F06122" w:rsidP="00A52A92">
            <w:pPr>
              <w:spacing w:before="0" w:after="0" w:line="240" w:lineRule="auto"/>
              <w:ind w:firstLine="0"/>
              <w:jc w:val="center"/>
              <w:rPr>
                <w:color w:val="000000"/>
              </w:rPr>
            </w:pPr>
            <w:r w:rsidRPr="00E47D50">
              <w:rPr>
                <w:color w:val="000000"/>
              </w:rPr>
              <w:t>outer</w:t>
            </w:r>
          </w:p>
        </w:tc>
        <w:tc>
          <w:tcPr>
            <w:tcW w:w="961" w:type="dxa"/>
            <w:noWrap/>
            <w:vAlign w:val="center"/>
          </w:tcPr>
          <w:p w:rsidR="00F06122" w:rsidRPr="00E47D50" w:rsidRDefault="00F06122" w:rsidP="00A52A92">
            <w:pPr>
              <w:spacing w:before="0" w:after="0" w:line="240" w:lineRule="auto"/>
              <w:ind w:firstLine="0"/>
              <w:jc w:val="center"/>
              <w:rPr>
                <w:color w:val="000000"/>
              </w:rPr>
            </w:pPr>
            <w:r w:rsidRPr="00E47D50">
              <w:rPr>
                <w:color w:val="000000"/>
              </w:rPr>
              <w:t>outer</w:t>
            </w:r>
          </w:p>
        </w:tc>
        <w:tc>
          <w:tcPr>
            <w:tcW w:w="1016" w:type="dxa"/>
            <w:noWrap/>
            <w:vAlign w:val="center"/>
          </w:tcPr>
          <w:p w:rsidR="00F06122" w:rsidRPr="00E47D50" w:rsidRDefault="00F06122" w:rsidP="00A52A92">
            <w:pPr>
              <w:spacing w:before="0" w:after="0" w:line="240" w:lineRule="auto"/>
              <w:ind w:firstLine="0"/>
              <w:jc w:val="center"/>
              <w:rPr>
                <w:color w:val="000000"/>
              </w:rPr>
            </w:pPr>
            <w:r w:rsidRPr="00E47D50">
              <w:rPr>
                <w:color w:val="000000"/>
              </w:rPr>
              <w:t>inner</w:t>
            </w:r>
          </w:p>
        </w:tc>
      </w:tr>
      <w:tr w:rsidR="00F06122" w:rsidRPr="000610AB" w:rsidTr="00F06122">
        <w:trPr>
          <w:trHeight w:val="300"/>
          <w:jc w:val="center"/>
        </w:trPr>
        <w:tc>
          <w:tcPr>
            <w:tcW w:w="2746" w:type="dxa"/>
            <w:noWrap/>
            <w:vAlign w:val="center"/>
          </w:tcPr>
          <w:p w:rsidR="00F06122" w:rsidRPr="00E47D50" w:rsidRDefault="00F06122" w:rsidP="00A52A92">
            <w:pPr>
              <w:spacing w:before="0" w:after="0" w:line="240" w:lineRule="auto"/>
              <w:ind w:firstLine="0"/>
              <w:rPr>
                <w:bCs/>
                <w:color w:val="000000"/>
              </w:rPr>
            </w:pPr>
            <w:r w:rsidRPr="00E47D50">
              <w:rPr>
                <w:bCs/>
                <w:color w:val="000000"/>
              </w:rPr>
              <w:t>Fuel Plate</w:t>
            </w:r>
          </w:p>
        </w:tc>
        <w:tc>
          <w:tcPr>
            <w:tcW w:w="994" w:type="dxa"/>
            <w:noWrap/>
            <w:vAlign w:val="center"/>
          </w:tcPr>
          <w:p w:rsidR="00F06122" w:rsidRPr="00E47D50" w:rsidRDefault="00F06122" w:rsidP="00A52A92">
            <w:pPr>
              <w:spacing w:before="0" w:after="0" w:line="240" w:lineRule="auto"/>
              <w:ind w:firstLine="0"/>
              <w:jc w:val="center"/>
              <w:rPr>
                <w:color w:val="000000"/>
              </w:rPr>
            </w:pPr>
            <w:r w:rsidRPr="00E47D50">
              <w:rPr>
                <w:color w:val="000000"/>
              </w:rPr>
              <w:t>O-111-8</w:t>
            </w:r>
          </w:p>
        </w:tc>
        <w:tc>
          <w:tcPr>
            <w:tcW w:w="961" w:type="dxa"/>
            <w:noWrap/>
            <w:vAlign w:val="center"/>
          </w:tcPr>
          <w:p w:rsidR="00F06122" w:rsidRPr="00E47D50" w:rsidRDefault="00F06122" w:rsidP="00A52A92">
            <w:pPr>
              <w:spacing w:before="0" w:after="0" w:line="240" w:lineRule="auto"/>
              <w:ind w:firstLine="0"/>
              <w:jc w:val="center"/>
              <w:rPr>
                <w:color w:val="000000"/>
              </w:rPr>
            </w:pPr>
            <w:r w:rsidRPr="00E47D50">
              <w:rPr>
                <w:color w:val="000000"/>
              </w:rPr>
              <w:t>O-350-I</w:t>
            </w:r>
          </w:p>
        </w:tc>
        <w:tc>
          <w:tcPr>
            <w:tcW w:w="1016" w:type="dxa"/>
            <w:noWrap/>
            <w:vAlign w:val="center"/>
          </w:tcPr>
          <w:p w:rsidR="00F06122" w:rsidRPr="00E47D50" w:rsidRDefault="00F06122" w:rsidP="00A52A92">
            <w:pPr>
              <w:spacing w:before="0" w:after="0" w:line="240" w:lineRule="auto"/>
              <w:ind w:firstLine="0"/>
              <w:jc w:val="center"/>
              <w:rPr>
                <w:color w:val="000000"/>
              </w:rPr>
            </w:pPr>
            <w:r w:rsidRPr="00E47D50">
              <w:rPr>
                <w:color w:val="000000"/>
              </w:rPr>
              <w:t>I-417-24</w:t>
            </w:r>
          </w:p>
        </w:tc>
      </w:tr>
      <w:tr w:rsidR="00F06122" w:rsidRPr="000610AB" w:rsidTr="00F06122">
        <w:trPr>
          <w:trHeight w:val="300"/>
          <w:jc w:val="center"/>
        </w:trPr>
        <w:tc>
          <w:tcPr>
            <w:tcW w:w="2746" w:type="dxa"/>
            <w:noWrap/>
            <w:vAlign w:val="center"/>
          </w:tcPr>
          <w:p w:rsidR="00F06122" w:rsidRPr="00E47D50" w:rsidRDefault="00F06122" w:rsidP="00A52A92">
            <w:pPr>
              <w:spacing w:before="0" w:after="0" w:line="240" w:lineRule="auto"/>
              <w:ind w:firstLine="0"/>
              <w:rPr>
                <w:bCs/>
                <w:color w:val="000000"/>
              </w:rPr>
            </w:pPr>
            <w:r w:rsidRPr="00E47D50">
              <w:rPr>
                <w:bCs/>
                <w:color w:val="000000"/>
              </w:rPr>
              <w:t>Cycle</w:t>
            </w:r>
          </w:p>
        </w:tc>
        <w:tc>
          <w:tcPr>
            <w:tcW w:w="994" w:type="dxa"/>
            <w:noWrap/>
            <w:vAlign w:val="center"/>
          </w:tcPr>
          <w:p w:rsidR="00F06122" w:rsidRPr="00E47D50" w:rsidRDefault="00F06122" w:rsidP="00A52A92">
            <w:pPr>
              <w:spacing w:before="0" w:after="0" w:line="240" w:lineRule="auto"/>
              <w:ind w:firstLine="0"/>
              <w:jc w:val="center"/>
              <w:rPr>
                <w:color w:val="000000"/>
              </w:rPr>
            </w:pPr>
            <w:r w:rsidRPr="00E47D50">
              <w:rPr>
                <w:color w:val="000000"/>
              </w:rPr>
              <w:t>4</w:t>
            </w:r>
          </w:p>
        </w:tc>
        <w:tc>
          <w:tcPr>
            <w:tcW w:w="961" w:type="dxa"/>
            <w:noWrap/>
            <w:vAlign w:val="center"/>
          </w:tcPr>
          <w:p w:rsidR="00F06122" w:rsidRPr="00E47D50" w:rsidRDefault="00F06122" w:rsidP="00A52A92">
            <w:pPr>
              <w:spacing w:before="0" w:after="0" w:line="240" w:lineRule="auto"/>
              <w:ind w:firstLine="0"/>
              <w:jc w:val="center"/>
              <w:rPr>
                <w:color w:val="000000"/>
              </w:rPr>
            </w:pPr>
            <w:r w:rsidRPr="00E47D50">
              <w:rPr>
                <w:color w:val="000000"/>
              </w:rPr>
              <w:t>16</w:t>
            </w:r>
          </w:p>
        </w:tc>
        <w:tc>
          <w:tcPr>
            <w:tcW w:w="1016" w:type="dxa"/>
            <w:noWrap/>
            <w:vAlign w:val="center"/>
          </w:tcPr>
          <w:p w:rsidR="00F06122" w:rsidRPr="00E47D50" w:rsidRDefault="00F06122" w:rsidP="00A52A92">
            <w:pPr>
              <w:spacing w:before="0" w:after="0" w:line="240" w:lineRule="auto"/>
              <w:ind w:firstLine="0"/>
              <w:jc w:val="center"/>
              <w:rPr>
                <w:color w:val="000000"/>
              </w:rPr>
            </w:pPr>
            <w:r w:rsidRPr="00E47D50">
              <w:rPr>
                <w:color w:val="000000"/>
              </w:rPr>
              <w:t>35</w:t>
            </w:r>
          </w:p>
        </w:tc>
      </w:tr>
      <w:tr w:rsidR="00F06122" w:rsidRPr="000610AB" w:rsidTr="00F06122">
        <w:trPr>
          <w:trHeight w:val="300"/>
          <w:jc w:val="center"/>
        </w:trPr>
        <w:tc>
          <w:tcPr>
            <w:tcW w:w="2746" w:type="dxa"/>
            <w:noWrap/>
            <w:vAlign w:val="center"/>
          </w:tcPr>
          <w:p w:rsidR="00F06122" w:rsidRPr="00E47D50" w:rsidRDefault="00F06122" w:rsidP="00A52A92">
            <w:pPr>
              <w:spacing w:before="0" w:after="0" w:line="240" w:lineRule="auto"/>
              <w:ind w:firstLine="0"/>
              <w:rPr>
                <w:bCs/>
                <w:color w:val="000000"/>
              </w:rPr>
            </w:pPr>
            <w:r w:rsidRPr="00E47D50">
              <w:rPr>
                <w:bCs/>
                <w:color w:val="000000"/>
              </w:rPr>
              <w:t>Power (MW)</w:t>
            </w:r>
          </w:p>
        </w:tc>
        <w:tc>
          <w:tcPr>
            <w:tcW w:w="994" w:type="dxa"/>
            <w:noWrap/>
            <w:vAlign w:val="center"/>
          </w:tcPr>
          <w:p w:rsidR="00F06122" w:rsidRPr="00E47D50" w:rsidRDefault="00F06122" w:rsidP="00A52A92">
            <w:pPr>
              <w:spacing w:before="0" w:after="0" w:line="240" w:lineRule="auto"/>
              <w:ind w:firstLine="0"/>
              <w:jc w:val="center"/>
              <w:rPr>
                <w:color w:val="000000"/>
              </w:rPr>
            </w:pPr>
            <w:r w:rsidRPr="00E47D50">
              <w:rPr>
                <w:color w:val="000000"/>
              </w:rPr>
              <w:t>100</w:t>
            </w:r>
          </w:p>
        </w:tc>
        <w:tc>
          <w:tcPr>
            <w:tcW w:w="961" w:type="dxa"/>
            <w:noWrap/>
            <w:vAlign w:val="center"/>
          </w:tcPr>
          <w:p w:rsidR="00F06122" w:rsidRPr="00E47D50" w:rsidRDefault="00F06122" w:rsidP="00A52A92">
            <w:pPr>
              <w:spacing w:before="0" w:after="0" w:line="240" w:lineRule="auto"/>
              <w:ind w:firstLine="0"/>
              <w:jc w:val="center"/>
              <w:rPr>
                <w:color w:val="000000"/>
              </w:rPr>
            </w:pPr>
            <w:r w:rsidRPr="00E47D50">
              <w:rPr>
                <w:color w:val="000000"/>
              </w:rPr>
              <w:t>100</w:t>
            </w:r>
          </w:p>
        </w:tc>
        <w:tc>
          <w:tcPr>
            <w:tcW w:w="1016" w:type="dxa"/>
            <w:noWrap/>
            <w:vAlign w:val="center"/>
          </w:tcPr>
          <w:p w:rsidR="00F06122" w:rsidRPr="00E47D50" w:rsidRDefault="00F06122" w:rsidP="00A52A92">
            <w:pPr>
              <w:spacing w:before="0" w:after="0" w:line="240" w:lineRule="auto"/>
              <w:ind w:firstLine="0"/>
              <w:jc w:val="center"/>
              <w:rPr>
                <w:color w:val="000000"/>
              </w:rPr>
            </w:pPr>
            <w:r w:rsidRPr="00E47D50">
              <w:rPr>
                <w:color w:val="000000"/>
              </w:rPr>
              <w:t>100</w:t>
            </w:r>
          </w:p>
        </w:tc>
      </w:tr>
      <w:tr w:rsidR="00F06122" w:rsidRPr="000610AB" w:rsidTr="00F06122">
        <w:trPr>
          <w:trHeight w:val="300"/>
          <w:jc w:val="center"/>
        </w:trPr>
        <w:tc>
          <w:tcPr>
            <w:tcW w:w="2746" w:type="dxa"/>
            <w:noWrap/>
            <w:vAlign w:val="center"/>
          </w:tcPr>
          <w:p w:rsidR="00F06122" w:rsidRPr="00E47D50" w:rsidRDefault="00F06122" w:rsidP="00A52A92">
            <w:pPr>
              <w:spacing w:before="0" w:after="0" w:line="240" w:lineRule="auto"/>
              <w:ind w:firstLine="0"/>
              <w:rPr>
                <w:bCs/>
                <w:color w:val="000000"/>
              </w:rPr>
            </w:pPr>
            <w:r w:rsidRPr="00E47D50">
              <w:rPr>
                <w:bCs/>
                <w:color w:val="000000"/>
              </w:rPr>
              <w:t>Exposure (MWd)</w:t>
            </w:r>
          </w:p>
        </w:tc>
        <w:tc>
          <w:tcPr>
            <w:tcW w:w="994" w:type="dxa"/>
            <w:noWrap/>
            <w:vAlign w:val="center"/>
          </w:tcPr>
          <w:p w:rsidR="00F06122" w:rsidRPr="00E47D50" w:rsidRDefault="00F06122" w:rsidP="00A52A92">
            <w:pPr>
              <w:spacing w:before="0" w:after="0" w:line="240" w:lineRule="auto"/>
              <w:ind w:firstLine="0"/>
              <w:jc w:val="center"/>
              <w:rPr>
                <w:color w:val="000000"/>
              </w:rPr>
            </w:pPr>
            <w:r w:rsidRPr="00E47D50">
              <w:rPr>
                <w:color w:val="000000"/>
              </w:rPr>
              <w:t>2046</w:t>
            </w:r>
          </w:p>
        </w:tc>
        <w:tc>
          <w:tcPr>
            <w:tcW w:w="961" w:type="dxa"/>
            <w:noWrap/>
            <w:vAlign w:val="center"/>
          </w:tcPr>
          <w:p w:rsidR="00F06122" w:rsidRPr="00E47D50" w:rsidRDefault="00F06122" w:rsidP="00A52A92">
            <w:pPr>
              <w:spacing w:before="0" w:after="0" w:line="240" w:lineRule="auto"/>
              <w:ind w:firstLine="0"/>
              <w:jc w:val="center"/>
              <w:rPr>
                <w:color w:val="000000"/>
              </w:rPr>
            </w:pPr>
            <w:r w:rsidRPr="00E47D50">
              <w:rPr>
                <w:color w:val="000000"/>
              </w:rPr>
              <w:t>2309</w:t>
            </w:r>
          </w:p>
        </w:tc>
        <w:tc>
          <w:tcPr>
            <w:tcW w:w="1016" w:type="dxa"/>
            <w:noWrap/>
            <w:vAlign w:val="center"/>
          </w:tcPr>
          <w:p w:rsidR="00F06122" w:rsidRPr="00E47D50" w:rsidRDefault="00F06122" w:rsidP="00A52A92">
            <w:pPr>
              <w:spacing w:before="0" w:after="0" w:line="240" w:lineRule="auto"/>
              <w:ind w:firstLine="0"/>
              <w:jc w:val="center"/>
              <w:rPr>
                <w:color w:val="000000"/>
              </w:rPr>
            </w:pPr>
            <w:r w:rsidRPr="00E47D50">
              <w:rPr>
                <w:color w:val="000000"/>
              </w:rPr>
              <w:t>2319</w:t>
            </w:r>
          </w:p>
        </w:tc>
      </w:tr>
      <w:tr w:rsidR="00F06122" w:rsidRPr="000610AB" w:rsidTr="00F06122">
        <w:trPr>
          <w:trHeight w:val="300"/>
          <w:jc w:val="center"/>
        </w:trPr>
        <w:tc>
          <w:tcPr>
            <w:tcW w:w="2746" w:type="dxa"/>
            <w:noWrap/>
            <w:vAlign w:val="center"/>
          </w:tcPr>
          <w:p w:rsidR="00F06122" w:rsidRPr="00E47D50" w:rsidRDefault="00F06122" w:rsidP="00A52A92">
            <w:pPr>
              <w:spacing w:before="0" w:after="0" w:line="240" w:lineRule="auto"/>
              <w:ind w:firstLine="0"/>
              <w:rPr>
                <w:bCs/>
                <w:color w:val="000000"/>
              </w:rPr>
            </w:pPr>
            <w:r w:rsidRPr="00E47D50">
              <w:rPr>
                <w:bCs/>
                <w:color w:val="000000"/>
              </w:rPr>
              <w:t xml:space="preserve">Pre-Irradiation </w:t>
            </w:r>
            <w:r w:rsidRPr="00E47D50">
              <w:rPr>
                <w:bCs/>
                <w:color w:val="000000"/>
                <w:vertAlign w:val="superscript"/>
              </w:rPr>
              <w:t>234</w:t>
            </w:r>
            <w:r w:rsidRPr="00E47D50">
              <w:rPr>
                <w:bCs/>
                <w:color w:val="000000"/>
              </w:rPr>
              <w:t>U at. %</w:t>
            </w:r>
          </w:p>
        </w:tc>
        <w:tc>
          <w:tcPr>
            <w:tcW w:w="994" w:type="dxa"/>
            <w:noWrap/>
            <w:vAlign w:val="center"/>
          </w:tcPr>
          <w:p w:rsidR="00F06122" w:rsidRPr="00E47D50" w:rsidRDefault="00F06122" w:rsidP="00A52A92">
            <w:pPr>
              <w:spacing w:before="0" w:after="0" w:line="240" w:lineRule="auto"/>
              <w:ind w:firstLine="0"/>
              <w:jc w:val="center"/>
              <w:rPr>
                <w:color w:val="000000"/>
              </w:rPr>
            </w:pPr>
            <w:r w:rsidRPr="00E47D50">
              <w:rPr>
                <w:color w:val="000000"/>
              </w:rPr>
              <w:t>0.96</w:t>
            </w:r>
          </w:p>
        </w:tc>
        <w:tc>
          <w:tcPr>
            <w:tcW w:w="961" w:type="dxa"/>
            <w:noWrap/>
            <w:vAlign w:val="center"/>
          </w:tcPr>
          <w:p w:rsidR="00F06122" w:rsidRPr="00E47D50" w:rsidRDefault="00F06122" w:rsidP="00A52A92">
            <w:pPr>
              <w:spacing w:before="0" w:after="0" w:line="240" w:lineRule="auto"/>
              <w:ind w:firstLine="0"/>
              <w:jc w:val="center"/>
              <w:rPr>
                <w:color w:val="000000"/>
              </w:rPr>
            </w:pPr>
            <w:r w:rsidRPr="00E47D50">
              <w:rPr>
                <w:color w:val="000000"/>
              </w:rPr>
              <w:t>1.00</w:t>
            </w:r>
          </w:p>
        </w:tc>
        <w:tc>
          <w:tcPr>
            <w:tcW w:w="1016" w:type="dxa"/>
            <w:noWrap/>
            <w:vAlign w:val="center"/>
          </w:tcPr>
          <w:p w:rsidR="00F06122" w:rsidRPr="00E47D50" w:rsidRDefault="00F06122" w:rsidP="00A52A92">
            <w:pPr>
              <w:spacing w:before="0" w:after="0" w:line="240" w:lineRule="auto"/>
              <w:ind w:firstLine="0"/>
              <w:jc w:val="center"/>
              <w:rPr>
                <w:color w:val="000000"/>
              </w:rPr>
            </w:pPr>
            <w:r w:rsidRPr="00E47D50">
              <w:rPr>
                <w:color w:val="000000"/>
              </w:rPr>
              <w:t>1.00</w:t>
            </w:r>
          </w:p>
        </w:tc>
      </w:tr>
      <w:tr w:rsidR="00F06122" w:rsidRPr="000610AB" w:rsidTr="00F06122">
        <w:trPr>
          <w:trHeight w:val="300"/>
          <w:jc w:val="center"/>
        </w:trPr>
        <w:tc>
          <w:tcPr>
            <w:tcW w:w="2746" w:type="dxa"/>
            <w:noWrap/>
            <w:vAlign w:val="center"/>
          </w:tcPr>
          <w:p w:rsidR="00F06122" w:rsidRPr="00E47D50" w:rsidRDefault="00F06122" w:rsidP="00A52A92">
            <w:pPr>
              <w:spacing w:before="0" w:after="0" w:line="240" w:lineRule="auto"/>
              <w:ind w:firstLine="0"/>
              <w:rPr>
                <w:bCs/>
                <w:color w:val="000000"/>
              </w:rPr>
            </w:pPr>
            <w:r w:rsidRPr="00E47D50">
              <w:rPr>
                <w:bCs/>
                <w:color w:val="000000"/>
              </w:rPr>
              <w:t xml:space="preserve">Pre-Irradiation </w:t>
            </w:r>
            <w:r w:rsidRPr="00E47D50">
              <w:rPr>
                <w:bCs/>
                <w:color w:val="000000"/>
                <w:vertAlign w:val="superscript"/>
              </w:rPr>
              <w:t>235</w:t>
            </w:r>
            <w:r w:rsidRPr="00E47D50">
              <w:rPr>
                <w:bCs/>
                <w:color w:val="000000"/>
              </w:rPr>
              <w:t>U at. %</w:t>
            </w:r>
          </w:p>
        </w:tc>
        <w:tc>
          <w:tcPr>
            <w:tcW w:w="994" w:type="dxa"/>
            <w:noWrap/>
            <w:vAlign w:val="center"/>
          </w:tcPr>
          <w:p w:rsidR="00F06122" w:rsidRPr="00E47D50" w:rsidRDefault="00F06122" w:rsidP="00A52A92">
            <w:pPr>
              <w:spacing w:before="0" w:after="0" w:line="240" w:lineRule="auto"/>
              <w:ind w:firstLine="0"/>
              <w:jc w:val="center"/>
              <w:rPr>
                <w:color w:val="000000"/>
              </w:rPr>
            </w:pPr>
            <w:r w:rsidRPr="00E47D50">
              <w:rPr>
                <w:color w:val="000000"/>
              </w:rPr>
              <w:t>93.21</w:t>
            </w:r>
          </w:p>
        </w:tc>
        <w:tc>
          <w:tcPr>
            <w:tcW w:w="961" w:type="dxa"/>
            <w:noWrap/>
            <w:vAlign w:val="center"/>
          </w:tcPr>
          <w:p w:rsidR="00F06122" w:rsidRPr="00E47D50" w:rsidRDefault="00F06122" w:rsidP="00A52A92">
            <w:pPr>
              <w:spacing w:before="0" w:after="0" w:line="240" w:lineRule="auto"/>
              <w:ind w:firstLine="0"/>
              <w:jc w:val="center"/>
              <w:rPr>
                <w:color w:val="000000"/>
              </w:rPr>
            </w:pPr>
            <w:r w:rsidRPr="00E47D50">
              <w:rPr>
                <w:color w:val="000000"/>
              </w:rPr>
              <w:t>93.22</w:t>
            </w:r>
          </w:p>
        </w:tc>
        <w:tc>
          <w:tcPr>
            <w:tcW w:w="1016" w:type="dxa"/>
            <w:noWrap/>
            <w:vAlign w:val="center"/>
          </w:tcPr>
          <w:p w:rsidR="00F06122" w:rsidRPr="00E47D50" w:rsidRDefault="00F06122" w:rsidP="00A52A92">
            <w:pPr>
              <w:spacing w:before="0" w:after="0" w:line="240" w:lineRule="auto"/>
              <w:ind w:firstLine="0"/>
              <w:jc w:val="center"/>
              <w:rPr>
                <w:color w:val="000000"/>
              </w:rPr>
            </w:pPr>
            <w:r w:rsidRPr="00E47D50">
              <w:rPr>
                <w:color w:val="000000"/>
              </w:rPr>
              <w:t>93.24</w:t>
            </w:r>
          </w:p>
        </w:tc>
      </w:tr>
      <w:tr w:rsidR="00F06122" w:rsidRPr="000610AB" w:rsidTr="00F06122">
        <w:trPr>
          <w:trHeight w:val="300"/>
          <w:jc w:val="center"/>
        </w:trPr>
        <w:tc>
          <w:tcPr>
            <w:tcW w:w="2746" w:type="dxa"/>
            <w:noWrap/>
            <w:vAlign w:val="center"/>
          </w:tcPr>
          <w:p w:rsidR="00F06122" w:rsidRPr="00E47D50" w:rsidRDefault="00F06122" w:rsidP="00A52A92">
            <w:pPr>
              <w:spacing w:before="0" w:after="0" w:line="240" w:lineRule="auto"/>
              <w:ind w:firstLine="0"/>
              <w:rPr>
                <w:bCs/>
                <w:color w:val="000000"/>
              </w:rPr>
            </w:pPr>
            <w:r w:rsidRPr="00E47D50">
              <w:rPr>
                <w:bCs/>
                <w:color w:val="000000"/>
              </w:rPr>
              <w:t xml:space="preserve">Pre-Irradiation </w:t>
            </w:r>
            <w:r w:rsidRPr="00E47D50">
              <w:rPr>
                <w:bCs/>
                <w:color w:val="000000"/>
                <w:vertAlign w:val="superscript"/>
              </w:rPr>
              <w:t>236</w:t>
            </w:r>
            <w:r w:rsidRPr="00E47D50">
              <w:rPr>
                <w:bCs/>
                <w:color w:val="000000"/>
              </w:rPr>
              <w:t>U at. %</w:t>
            </w:r>
          </w:p>
        </w:tc>
        <w:tc>
          <w:tcPr>
            <w:tcW w:w="994" w:type="dxa"/>
            <w:noWrap/>
            <w:vAlign w:val="center"/>
          </w:tcPr>
          <w:p w:rsidR="00F06122" w:rsidRPr="00E47D50" w:rsidRDefault="00F06122" w:rsidP="00A52A92">
            <w:pPr>
              <w:spacing w:before="0" w:after="0" w:line="240" w:lineRule="auto"/>
              <w:ind w:firstLine="0"/>
              <w:jc w:val="center"/>
              <w:rPr>
                <w:color w:val="000000"/>
              </w:rPr>
            </w:pPr>
            <w:r w:rsidRPr="00E47D50">
              <w:rPr>
                <w:color w:val="000000"/>
              </w:rPr>
              <w:t>0.32</w:t>
            </w:r>
          </w:p>
        </w:tc>
        <w:tc>
          <w:tcPr>
            <w:tcW w:w="961" w:type="dxa"/>
            <w:noWrap/>
            <w:vAlign w:val="center"/>
          </w:tcPr>
          <w:p w:rsidR="00F06122" w:rsidRPr="00E47D50" w:rsidRDefault="00F06122" w:rsidP="00A52A92">
            <w:pPr>
              <w:spacing w:before="0" w:after="0" w:line="240" w:lineRule="auto"/>
              <w:ind w:firstLine="0"/>
              <w:jc w:val="center"/>
              <w:rPr>
                <w:color w:val="000000"/>
              </w:rPr>
            </w:pPr>
            <w:r w:rsidRPr="00E47D50">
              <w:rPr>
                <w:color w:val="000000"/>
              </w:rPr>
              <w:t>0.33</w:t>
            </w:r>
          </w:p>
        </w:tc>
        <w:tc>
          <w:tcPr>
            <w:tcW w:w="1016" w:type="dxa"/>
            <w:noWrap/>
            <w:vAlign w:val="center"/>
          </w:tcPr>
          <w:p w:rsidR="00F06122" w:rsidRPr="00E47D50" w:rsidRDefault="00F06122" w:rsidP="00A52A92">
            <w:pPr>
              <w:spacing w:before="0" w:after="0" w:line="240" w:lineRule="auto"/>
              <w:ind w:firstLine="0"/>
              <w:jc w:val="center"/>
              <w:rPr>
                <w:color w:val="000000"/>
              </w:rPr>
            </w:pPr>
            <w:r w:rsidRPr="00E47D50">
              <w:rPr>
                <w:color w:val="000000"/>
              </w:rPr>
              <w:t>0.43</w:t>
            </w:r>
          </w:p>
        </w:tc>
      </w:tr>
      <w:tr w:rsidR="00F06122" w:rsidRPr="000610AB" w:rsidTr="00F06122">
        <w:trPr>
          <w:trHeight w:val="300"/>
          <w:jc w:val="center"/>
        </w:trPr>
        <w:tc>
          <w:tcPr>
            <w:tcW w:w="2746" w:type="dxa"/>
            <w:noWrap/>
            <w:vAlign w:val="center"/>
          </w:tcPr>
          <w:p w:rsidR="00F06122" w:rsidRPr="00E47D50" w:rsidRDefault="00F06122" w:rsidP="00A52A92">
            <w:pPr>
              <w:spacing w:before="0" w:after="0" w:line="240" w:lineRule="auto"/>
              <w:ind w:firstLine="0"/>
              <w:rPr>
                <w:bCs/>
                <w:color w:val="000000"/>
              </w:rPr>
            </w:pPr>
            <w:r w:rsidRPr="00E47D50">
              <w:rPr>
                <w:bCs/>
                <w:color w:val="000000"/>
              </w:rPr>
              <w:t xml:space="preserve">Pre-Irradiation </w:t>
            </w:r>
            <w:r w:rsidRPr="00E47D50">
              <w:rPr>
                <w:bCs/>
                <w:color w:val="000000"/>
                <w:vertAlign w:val="superscript"/>
              </w:rPr>
              <w:t>238</w:t>
            </w:r>
            <w:r w:rsidRPr="00E47D50">
              <w:rPr>
                <w:bCs/>
                <w:color w:val="000000"/>
              </w:rPr>
              <w:t>U at. %</w:t>
            </w:r>
          </w:p>
        </w:tc>
        <w:tc>
          <w:tcPr>
            <w:tcW w:w="994" w:type="dxa"/>
            <w:noWrap/>
            <w:vAlign w:val="center"/>
          </w:tcPr>
          <w:p w:rsidR="00F06122" w:rsidRPr="00E47D50" w:rsidRDefault="00F06122" w:rsidP="00A52A92">
            <w:pPr>
              <w:spacing w:before="0" w:after="0" w:line="240" w:lineRule="auto"/>
              <w:ind w:firstLine="0"/>
              <w:jc w:val="center"/>
              <w:rPr>
                <w:color w:val="000000"/>
              </w:rPr>
            </w:pPr>
            <w:r w:rsidRPr="00E47D50">
              <w:rPr>
                <w:color w:val="000000"/>
              </w:rPr>
              <w:t>5.51</w:t>
            </w:r>
          </w:p>
        </w:tc>
        <w:tc>
          <w:tcPr>
            <w:tcW w:w="961" w:type="dxa"/>
            <w:noWrap/>
            <w:vAlign w:val="center"/>
          </w:tcPr>
          <w:p w:rsidR="00F06122" w:rsidRPr="00E47D50" w:rsidRDefault="00F06122" w:rsidP="00A52A92">
            <w:pPr>
              <w:spacing w:before="0" w:after="0" w:line="240" w:lineRule="auto"/>
              <w:ind w:firstLine="0"/>
              <w:jc w:val="center"/>
              <w:rPr>
                <w:color w:val="000000"/>
              </w:rPr>
            </w:pPr>
            <w:r w:rsidRPr="00E47D50">
              <w:rPr>
                <w:color w:val="000000"/>
              </w:rPr>
              <w:t>5.44</w:t>
            </w:r>
          </w:p>
        </w:tc>
        <w:tc>
          <w:tcPr>
            <w:tcW w:w="1016" w:type="dxa"/>
            <w:noWrap/>
            <w:vAlign w:val="center"/>
          </w:tcPr>
          <w:p w:rsidR="00F06122" w:rsidRPr="00E47D50" w:rsidRDefault="00F06122" w:rsidP="00A52A92">
            <w:pPr>
              <w:spacing w:before="0" w:after="0" w:line="240" w:lineRule="auto"/>
              <w:ind w:firstLine="0"/>
              <w:jc w:val="center"/>
              <w:rPr>
                <w:color w:val="000000"/>
              </w:rPr>
            </w:pPr>
            <w:r w:rsidRPr="00E47D50">
              <w:rPr>
                <w:color w:val="000000"/>
              </w:rPr>
              <w:t>5.33</w:t>
            </w:r>
          </w:p>
        </w:tc>
      </w:tr>
    </w:tbl>
    <w:p w:rsidR="00535B14" w:rsidRDefault="00CD6A8D" w:rsidP="00CD6A8D">
      <w:pPr>
        <w:pStyle w:val="Heading2"/>
      </w:pPr>
      <w:bookmarkStart w:id="178" w:name="_Toc295818128"/>
      <w:r>
        <w:lastRenderedPageBreak/>
        <w:t>Computational Model Development</w:t>
      </w:r>
      <w:bookmarkEnd w:id="178"/>
    </w:p>
    <w:p w:rsidR="00CD6A8D" w:rsidRDefault="00CD6A8D" w:rsidP="00CD6A8D">
      <w:r w:rsidRPr="00E9482C">
        <w:t>ALEPH</w:t>
      </w:r>
      <w:r w:rsidR="00C67546">
        <w:t xml:space="preserve"> </w:t>
      </w:r>
      <w:r w:rsidR="007511FA">
        <w:fldChar w:fldCharType="begin"/>
      </w:r>
      <w:r w:rsidR="00C67546">
        <w:instrText xml:space="preserve"> REF _Ref285636647 \n \h </w:instrText>
      </w:r>
      <w:r w:rsidR="007511FA">
        <w:fldChar w:fldCharType="separate"/>
      </w:r>
      <w:r w:rsidR="00D5167B">
        <w:t>[53]</w:t>
      </w:r>
      <w:r w:rsidR="007511FA">
        <w:fldChar w:fldCharType="end"/>
      </w:r>
      <w:r>
        <w:t>,</w:t>
      </w:r>
      <w:r w:rsidRPr="00E9482C">
        <w:t xml:space="preserve"> a Monte Carlo based </w:t>
      </w:r>
      <w:r>
        <w:t>depletion</w:t>
      </w:r>
      <w:r w:rsidRPr="00E9482C">
        <w:t xml:space="preserve"> code</w:t>
      </w:r>
      <w:r>
        <w:t xml:space="preserve"> </w:t>
      </w:r>
      <w:r w:rsidRPr="00E9482C">
        <w:t>developed at SCK•CEN in Belgium</w:t>
      </w:r>
      <w:r w:rsidRPr="00313743">
        <w:t xml:space="preserve"> </w:t>
      </w:r>
      <w:r>
        <w:t xml:space="preserve">that links </w:t>
      </w:r>
      <w:r w:rsidR="00C67546">
        <w:t xml:space="preserve">MCNP and ORIGEN 2.2, and VESTA </w:t>
      </w:r>
      <w:r w:rsidR="007511FA">
        <w:fldChar w:fldCharType="begin"/>
      </w:r>
      <w:r w:rsidR="00C67546">
        <w:instrText xml:space="preserve"> REF _Ref285636657 \n \h </w:instrText>
      </w:r>
      <w:r w:rsidR="007511FA">
        <w:fldChar w:fldCharType="separate"/>
      </w:r>
      <w:r w:rsidR="00D5167B">
        <w:t>[54]</w:t>
      </w:r>
      <w:r w:rsidR="007511FA">
        <w:fldChar w:fldCharType="end"/>
      </w:r>
      <w:r>
        <w:t xml:space="preserve">, </w:t>
      </w:r>
      <w:r w:rsidRPr="00E9482C">
        <w:t xml:space="preserve">a Monte Carlo based </w:t>
      </w:r>
      <w:r>
        <w:t>depletion</w:t>
      </w:r>
      <w:r w:rsidRPr="00E9482C">
        <w:t xml:space="preserve"> code</w:t>
      </w:r>
      <w:r>
        <w:t xml:space="preserve"> </w:t>
      </w:r>
      <w:r w:rsidRPr="00E9482C">
        <w:t xml:space="preserve">developed at </w:t>
      </w:r>
      <w:r>
        <w:t>IRSN</w:t>
      </w:r>
      <w:r w:rsidRPr="00E9482C">
        <w:t xml:space="preserve"> in </w:t>
      </w:r>
      <w:r>
        <w:t>France</w:t>
      </w:r>
      <w:r w:rsidRPr="00313743">
        <w:t xml:space="preserve"> </w:t>
      </w:r>
      <w:r>
        <w:t>that links MCNP and ORIGEN 2.2, were utilized for this study</w:t>
      </w:r>
      <w:r w:rsidRPr="00E9482C">
        <w:t>.  The input file</w:t>
      </w:r>
      <w:r>
        <w:t>s for both codes</w:t>
      </w:r>
      <w:r w:rsidRPr="00E9482C">
        <w:t xml:space="preserve"> consist of the </w:t>
      </w:r>
      <w:r>
        <w:t>depletion</w:t>
      </w:r>
      <w:r w:rsidRPr="00E9482C">
        <w:t xml:space="preserve"> code options as well as </w:t>
      </w:r>
      <w:r>
        <w:t>the MCNP input file.  The major</w:t>
      </w:r>
      <w:r w:rsidRPr="00E9482C">
        <w:t xml:space="preserve"> input options</w:t>
      </w:r>
      <w:r>
        <w:t xml:space="preserve"> for ALEPH and VESTA</w:t>
      </w:r>
      <w:r w:rsidRPr="00E9482C">
        <w:t xml:space="preserve"> include: the materials to be burned, the libraries and executables to be utilized, the group structure, and the irradiation history.  </w:t>
      </w:r>
      <w:r>
        <w:t>The process coded into both VESTA and ALEPH is similar in that a</w:t>
      </w:r>
      <w:r w:rsidRPr="00E9482C">
        <w:t xml:space="preserve">fter processing the </w:t>
      </w:r>
      <w:proofErr w:type="gramStart"/>
      <w:r w:rsidRPr="00E9482C">
        <w:t>input,</w:t>
      </w:r>
      <w:proofErr w:type="gramEnd"/>
      <w:r w:rsidRPr="00E9482C">
        <w:t xml:space="preserve"> </w:t>
      </w:r>
      <w:r>
        <w:t xml:space="preserve">an </w:t>
      </w:r>
      <w:r w:rsidRPr="00E9482C">
        <w:t>MCNP input</w:t>
      </w:r>
      <w:r>
        <w:t xml:space="preserve"> file is created and executed</w:t>
      </w:r>
      <w:r w:rsidRPr="00E9482C">
        <w:t xml:space="preserve">.  </w:t>
      </w:r>
      <w:r>
        <w:t xml:space="preserve">Then, </w:t>
      </w:r>
      <w:r w:rsidRPr="00E9482C">
        <w:t xml:space="preserve">ORIGEN libraries and input files are created based on the neutron spectra for the applicable </w:t>
      </w:r>
      <w:r w:rsidR="00050B54">
        <w:t>burnup</w:t>
      </w:r>
      <w:r w:rsidRPr="00E9482C">
        <w:t xml:space="preserve"> zones</w:t>
      </w:r>
      <w:r>
        <w:t xml:space="preserve"> and ORIGEN is then executed</w:t>
      </w:r>
      <w:r w:rsidRPr="00E9482C">
        <w:t xml:space="preserve">.  </w:t>
      </w:r>
      <w:r>
        <w:t>The</w:t>
      </w:r>
      <w:r w:rsidRPr="00E9482C">
        <w:t xml:space="preserve"> process </w:t>
      </w:r>
      <w:r>
        <w:t>r</w:t>
      </w:r>
      <w:r w:rsidRPr="00E9482C">
        <w:t>epeats starting with the creation of a new MCNP input file that is updated based on the new isotopic compositions and any changes listed in the ALEPH</w:t>
      </w:r>
      <w:r>
        <w:t xml:space="preserve">/VESTA </w:t>
      </w:r>
      <w:r w:rsidRPr="00E9482C">
        <w:t>input options (</w:t>
      </w:r>
      <w:r>
        <w:t>i.e. temperature, density,</w:t>
      </w:r>
      <w:r w:rsidRPr="00E9482C">
        <w:t xml:space="preserve"> material, or </w:t>
      </w:r>
      <w:r>
        <w:t>surface transformation changes).</w:t>
      </w:r>
    </w:p>
    <w:p w:rsidR="00CD6A8D" w:rsidRDefault="00CD6A8D" w:rsidP="00CD6A8D">
      <w:r w:rsidRPr="00B47C49">
        <w:t>A Monte Carlo based methodology was chosen for this study because Monte Carlo simulations are accurate and powerful for reactor core calculati</w:t>
      </w:r>
      <w:r>
        <w:t>ons and allow for complex three-</w:t>
      </w:r>
      <w:r w:rsidRPr="00B47C49">
        <w:t xml:space="preserve">dimensional geometries to be modeled.  Most Monte Carlo </w:t>
      </w:r>
      <w:r w:rsidR="00050B54">
        <w:t>burnup</w:t>
      </w:r>
      <w:r w:rsidRPr="00B47C49">
        <w:t xml:space="preserve"> codes are demanding on calculation time, but ALEPH</w:t>
      </w:r>
      <w:r>
        <w:t xml:space="preserve"> and VESTA speed</w:t>
      </w:r>
      <w:r w:rsidRPr="00B47C49">
        <w:t xml:space="preserve"> up the calculation time through the use of the </w:t>
      </w:r>
      <w:proofErr w:type="spellStart"/>
      <w:r w:rsidRPr="00B47C49">
        <w:t>multigroup</w:t>
      </w:r>
      <w:proofErr w:type="spellEnd"/>
      <w:r w:rsidRPr="00B47C49">
        <w:t xml:space="preserve"> binning approach.  A fine </w:t>
      </w:r>
      <w:proofErr w:type="spellStart"/>
      <w:r w:rsidRPr="00B47C49">
        <w:t>multigroup</w:t>
      </w:r>
      <w:proofErr w:type="spellEnd"/>
      <w:r w:rsidRPr="00B47C49">
        <w:t xml:space="preserve"> spectrum is calculated in MCNP which is used to determine the reaction rates outside of MCNP and to calculate the one-group collapsed cross sections needed for the ORIGEN calculations.  The ability to accurately model HFIR’s geometry and calculate essential physics parameters in MCNP along with the proven efficiency of ALEPH</w:t>
      </w:r>
      <w:r>
        <w:t xml:space="preserve"> and VESTA and the ability to explicitly simulate control element movement during the cycle</w:t>
      </w:r>
      <w:r w:rsidRPr="00B47C49">
        <w:t xml:space="preserve"> are the incentives behind using ALEPH</w:t>
      </w:r>
      <w:r>
        <w:t xml:space="preserve"> and VESTA</w:t>
      </w:r>
      <w:r w:rsidRPr="00B47C49">
        <w:t xml:space="preserve"> in this study. </w:t>
      </w:r>
    </w:p>
    <w:p w:rsidR="00CD6A8D" w:rsidRDefault="00CD6A8D" w:rsidP="00CD6A8D">
      <w:pPr>
        <w:autoSpaceDE w:val="0"/>
        <w:autoSpaceDN w:val="0"/>
        <w:adjustRightInd w:val="0"/>
      </w:pPr>
      <w:r>
        <w:t>For this stu</w:t>
      </w:r>
      <w:r w:rsidR="00FB1E06">
        <w:t>dy, version 5 of the MCNP code</w:t>
      </w:r>
      <w:r w:rsidR="00C67546">
        <w:t xml:space="preserve"> </w:t>
      </w:r>
      <w:r w:rsidR="007511FA">
        <w:fldChar w:fldCharType="begin"/>
      </w:r>
      <w:r w:rsidR="00C67546">
        <w:instrText xml:space="preserve"> REF _Ref285636602 \n \h </w:instrText>
      </w:r>
      <w:r w:rsidR="007511FA">
        <w:fldChar w:fldCharType="separate"/>
      </w:r>
      <w:r w:rsidR="00D5167B">
        <w:t>[50]</w:t>
      </w:r>
      <w:r w:rsidR="007511FA">
        <w:fldChar w:fldCharType="end"/>
      </w:r>
      <w:r>
        <w:t xml:space="preserve"> was employed</w:t>
      </w:r>
      <w:r w:rsidR="000D290D">
        <w:t>.</w:t>
      </w:r>
      <w:r>
        <w:t xml:space="preserve">  </w:t>
      </w:r>
      <w:r w:rsidR="000D290D">
        <w:t>C</w:t>
      </w:r>
      <w:r>
        <w:t>ontinuous energy neutron ENDF/B-VI.8</w:t>
      </w:r>
      <w:r w:rsidR="00C67546">
        <w:t xml:space="preserve"> </w:t>
      </w:r>
      <w:r w:rsidR="007511FA">
        <w:fldChar w:fldCharType="begin"/>
      </w:r>
      <w:r w:rsidR="00C67546">
        <w:instrText xml:space="preserve"> REF _Ref285636928 \n \h </w:instrText>
      </w:r>
      <w:r w:rsidR="007511FA">
        <w:fldChar w:fldCharType="separate"/>
      </w:r>
      <w:r w:rsidR="00D5167B">
        <w:t>[69]</w:t>
      </w:r>
      <w:r w:rsidR="007511FA">
        <w:fldChar w:fldCharType="end"/>
      </w:r>
      <w:r>
        <w:t xml:space="preserve"> and JENDL 3.3</w:t>
      </w:r>
      <w:r w:rsidR="00FB1E06">
        <w:t xml:space="preserve"> </w:t>
      </w:r>
      <w:r w:rsidR="007511FA">
        <w:fldChar w:fldCharType="begin"/>
      </w:r>
      <w:r w:rsidR="00C67546">
        <w:instrText xml:space="preserve"> REF _Ref285637188 \n \h </w:instrText>
      </w:r>
      <w:r w:rsidR="007511FA">
        <w:fldChar w:fldCharType="separate"/>
      </w:r>
      <w:r w:rsidR="00D5167B">
        <w:t>[72]</w:t>
      </w:r>
      <w:r w:rsidR="007511FA">
        <w:fldChar w:fldCharType="end"/>
      </w:r>
      <w:r>
        <w:t xml:space="preserve"> cross section data were used for the ALEPH cal</w:t>
      </w:r>
      <w:r w:rsidR="000D290D">
        <w:t>culations and continuous energy neutron ENDF/B-II cross section data were used for the VESTA calculations</w:t>
      </w:r>
      <w:r w:rsidRPr="00313743">
        <w:t xml:space="preserve">.  </w:t>
      </w:r>
      <w:r w:rsidR="000D290D">
        <w:t xml:space="preserve">For the ALEPH calculation, </w:t>
      </w:r>
      <w:r w:rsidRPr="00313743">
        <w:t>ENDF/B-VI.8 cross</w:t>
      </w:r>
      <w:r>
        <w:t xml:space="preserve"> </w:t>
      </w:r>
      <w:r w:rsidRPr="00313743">
        <w:t xml:space="preserve">section libraries were used for all nuclides except for those of </w:t>
      </w:r>
      <w:r w:rsidRPr="00313743">
        <w:lastRenderedPageBreak/>
        <w:t>magnesium and titanium because ENDF/B-VI.8 data are not available for these elements</w:t>
      </w:r>
      <w:r>
        <w:t xml:space="preserve">.  </w:t>
      </w:r>
      <w:r w:rsidRPr="00313743">
        <w:t>JENDL 3.3 cross</w:t>
      </w:r>
      <w:r>
        <w:t xml:space="preserve"> </w:t>
      </w:r>
      <w:r w:rsidRPr="00313743">
        <w:t xml:space="preserve">section data were utilized for the isotopes of these two elements. </w:t>
      </w:r>
      <w:r w:rsidR="000D290D">
        <w:t xml:space="preserve"> The more recent ENDF/B-VII library was used with VESTA because calculations were first performed with ALEPH. About a year later both VESTA and the ENDF/B-VII library were released, utilized, and compared to the ALEPH calculations.</w:t>
      </w:r>
    </w:p>
    <w:p w:rsidR="00CD6A8D" w:rsidRDefault="00CD6A8D" w:rsidP="000D290D">
      <w:r w:rsidRPr="00B47C49">
        <w:t>The depletion code ORIGEN 2.2 requires one-group collapsed cross sections for the (</w:t>
      </w:r>
      <w:proofErr w:type="spellStart"/>
      <w:r w:rsidRPr="00B47C49">
        <w:t>n</w:t>
      </w:r>
      <w:proofErr w:type="gramStart"/>
      <w:r w:rsidRPr="00B47C49">
        <w:t>,γ</w:t>
      </w:r>
      <w:proofErr w:type="spellEnd"/>
      <w:proofErr w:type="gramEnd"/>
      <w:r w:rsidRPr="00B47C49">
        <w:t>), (n,2n), (n,3n), (</w:t>
      </w:r>
      <w:proofErr w:type="spellStart"/>
      <w:r w:rsidRPr="00B47C49">
        <w:t>n,α</w:t>
      </w:r>
      <w:proofErr w:type="spellEnd"/>
      <w:r w:rsidRPr="00B47C49">
        <w:t>), (</w:t>
      </w:r>
      <w:proofErr w:type="spellStart"/>
      <w:r w:rsidRPr="00B47C49">
        <w:t>n,p</w:t>
      </w:r>
      <w:proofErr w:type="spellEnd"/>
      <w:r w:rsidRPr="00B47C49">
        <w:t xml:space="preserve">), and fission reactions.  These cross sections are obtained by weighting available </w:t>
      </w:r>
      <w:proofErr w:type="spellStart"/>
      <w:r w:rsidRPr="00B47C49">
        <w:t>pointwise</w:t>
      </w:r>
      <w:proofErr w:type="spellEnd"/>
      <w:r w:rsidRPr="00B47C49">
        <w:t xml:space="preserve"> c</w:t>
      </w:r>
      <w:r>
        <w:t xml:space="preserve">ross section data with the MCNP </w:t>
      </w:r>
      <w:r w:rsidRPr="00B47C49">
        <w:t xml:space="preserve">calculated fine-group flux.  The </w:t>
      </w:r>
      <w:proofErr w:type="spellStart"/>
      <w:r w:rsidRPr="00B47C49">
        <w:t>pointwise</w:t>
      </w:r>
      <w:proofErr w:type="spellEnd"/>
      <w:r w:rsidRPr="00B47C49">
        <w:t xml:space="preserve"> cross section data are consistent with the cross section data used in the MCNP transport calculation since they are both pre-computed based on the same ENDF/B data f</w:t>
      </w:r>
      <w:r w:rsidR="00FB1E06">
        <w:t>iles that are generated by NJOY</w:t>
      </w:r>
      <w:r w:rsidR="000D290D">
        <w:t>.</w:t>
      </w:r>
      <w:r w:rsidRPr="00B47C49">
        <w:t xml:space="preserve">  A total of 43,000 energy groups between 10</w:t>
      </w:r>
      <w:r w:rsidRPr="00B47C49">
        <w:rPr>
          <w:vertAlign w:val="superscript"/>
        </w:rPr>
        <w:t>-5</w:t>
      </w:r>
      <w:r w:rsidRPr="00B47C49">
        <w:t xml:space="preserve"> </w:t>
      </w:r>
      <w:proofErr w:type="spellStart"/>
      <w:r w:rsidRPr="00B47C49">
        <w:t>eV</w:t>
      </w:r>
      <w:proofErr w:type="spellEnd"/>
      <w:r w:rsidRPr="00B47C49">
        <w:t xml:space="preserve"> to 20 </w:t>
      </w:r>
      <w:proofErr w:type="spellStart"/>
      <w:r w:rsidRPr="00B47C49">
        <w:t>MeV</w:t>
      </w:r>
      <w:proofErr w:type="spellEnd"/>
      <w:r w:rsidRPr="00B47C49">
        <w:t xml:space="preserve"> are used to t</w:t>
      </w:r>
      <w:r w:rsidR="000D290D">
        <w:t xml:space="preserve">ally the fine </w:t>
      </w:r>
      <w:proofErr w:type="spellStart"/>
      <w:r w:rsidR="000D290D">
        <w:t>multigroup</w:t>
      </w:r>
      <w:proofErr w:type="spellEnd"/>
      <w:r w:rsidR="000D290D">
        <w:t xml:space="preserve"> flux.</w:t>
      </w:r>
    </w:p>
    <w:p w:rsidR="00CD6A8D" w:rsidRDefault="00CD6A8D" w:rsidP="000D290D">
      <w:r w:rsidRPr="00313743">
        <w:t>All cross section data were used at a temperature of 300 K, which is slightly less than the average core temperature, which is approximately 360 K</w:t>
      </w:r>
      <w:r w:rsidR="00C67546">
        <w:t xml:space="preserve"> </w:t>
      </w:r>
      <w:r w:rsidR="007511FA">
        <w:fldChar w:fldCharType="begin"/>
      </w:r>
      <w:r w:rsidR="00C67546">
        <w:instrText xml:space="preserve"> REF _Ref285636331 \n \h </w:instrText>
      </w:r>
      <w:r w:rsidR="007511FA">
        <w:fldChar w:fldCharType="separate"/>
      </w:r>
      <w:r w:rsidR="00D5167B">
        <w:t>[27]</w:t>
      </w:r>
      <w:r w:rsidR="007511FA">
        <w:fldChar w:fldCharType="end"/>
      </w:r>
      <w:r w:rsidRPr="00313743">
        <w:t>.  The typical temperature range in the fuel is approximately between 340 and 380 K.  Reactivity effects such as Doppler effects caused by the difference between the spatially dependent actual core temperatures and the modeled temperature of 300 K are not significant</w:t>
      </w:r>
      <w:r w:rsidR="000D290D">
        <w:t xml:space="preserve"> </w:t>
      </w:r>
      <w:r w:rsidR="007511FA">
        <w:fldChar w:fldCharType="begin"/>
      </w:r>
      <w:r w:rsidR="00C67546">
        <w:instrText xml:space="preserve"> REF _Ref285637235 \n \h </w:instrText>
      </w:r>
      <w:r w:rsidR="007511FA">
        <w:fldChar w:fldCharType="separate"/>
      </w:r>
      <w:r w:rsidR="00D5167B">
        <w:t>[73]</w:t>
      </w:r>
      <w:r w:rsidR="007511FA">
        <w:fldChar w:fldCharType="end"/>
      </w:r>
      <w:r w:rsidRPr="00313743">
        <w:t xml:space="preserve">.  Analyses such as assigning a fraction of the HEU fuel to 300 K and </w:t>
      </w:r>
      <w:r>
        <w:t>the remainder</w:t>
      </w:r>
      <w:r w:rsidRPr="00313743">
        <w:t xml:space="preserve"> to 600 K have been performed on HFIR models and no notable differences were </w:t>
      </w:r>
      <w:r>
        <w:t>observed</w:t>
      </w:r>
      <w:r w:rsidRPr="00313743">
        <w:t>.</w:t>
      </w:r>
    </w:p>
    <w:p w:rsidR="000D290D" w:rsidRDefault="00CD6A8D" w:rsidP="00A52A92">
      <w:r w:rsidRPr="004F2125">
        <w:t>In order to calculate the post-irradiation uranium isotopic compositions in the fuel elements, an existing ALEPH</w:t>
      </w:r>
      <w:r>
        <w:t>/MCNP</w:t>
      </w:r>
      <w:r w:rsidRPr="004F2125">
        <w:t xml:space="preserve"> model</w:t>
      </w:r>
      <w:r w:rsidR="00C67546">
        <w:t xml:space="preserve"> </w:t>
      </w:r>
      <w:r w:rsidR="007511FA">
        <w:fldChar w:fldCharType="begin"/>
      </w:r>
      <w:r w:rsidR="00C67546">
        <w:instrText xml:space="preserve"> REF _Ref285637248 \n \h </w:instrText>
      </w:r>
      <w:r w:rsidR="007511FA">
        <w:fldChar w:fldCharType="separate"/>
      </w:r>
      <w:r w:rsidR="00D5167B">
        <w:t>[74]</w:t>
      </w:r>
      <w:r w:rsidR="007511FA">
        <w:fldChar w:fldCharType="end"/>
      </w:r>
      <w:r w:rsidRPr="004F2125">
        <w:t xml:space="preserve"> that was created for the HFIR fuel cycle designated as cycle 400 was modified to reflect the cores of cycles 4, 16, and 35.  Cells were created in the fuel elements to represent the locations of the </w:t>
      </w:r>
      <w:r w:rsidR="00050B54">
        <w:t>burnup</w:t>
      </w:r>
      <w:r w:rsidRPr="004F2125">
        <w:t xml:space="preserve"> specimens and transformation cards were used to simulate the control element withdrawal as a function of cycle time.  The cores were irradiated at a </w:t>
      </w:r>
      <w:r>
        <w:t xml:space="preserve">constant </w:t>
      </w:r>
      <w:r w:rsidRPr="004F2125">
        <w:t>power of 100 MW and the end-of-life uranium isotopic concentrations were extracted from the output</w:t>
      </w:r>
      <w:r w:rsidR="000D290D">
        <w:t>s and analyzed.</w:t>
      </w:r>
      <w:r w:rsidR="000D290D">
        <w:br w:type="page"/>
      </w:r>
    </w:p>
    <w:p w:rsidR="00CD6A8D" w:rsidRDefault="000D290D" w:rsidP="00AA149C">
      <w:pPr>
        <w:pStyle w:val="Heading3"/>
      </w:pPr>
      <w:bookmarkStart w:id="179" w:name="_Toc295818129"/>
      <w:r>
        <w:lastRenderedPageBreak/>
        <w:t>HFIR MCNP Model Development</w:t>
      </w:r>
      <w:bookmarkEnd w:id="179"/>
    </w:p>
    <w:p w:rsidR="000D290D" w:rsidRPr="004F2125" w:rsidRDefault="000D290D" w:rsidP="000D290D">
      <w:r>
        <w:t>The ALEPH/MCNP model modified for this study is based on t</w:t>
      </w:r>
      <w:r w:rsidRPr="004F2125">
        <w:t xml:space="preserve">he HFIR cycle 400 </w:t>
      </w:r>
      <w:r>
        <w:t xml:space="preserve">MCNP </w:t>
      </w:r>
      <w:r w:rsidRPr="004F2125">
        <w:t>model</w:t>
      </w:r>
      <w:r>
        <w:t>, which</w:t>
      </w:r>
      <w:r w:rsidRPr="004F2125">
        <w:t xml:space="preserve"> </w:t>
      </w:r>
      <w:r>
        <w:t xml:space="preserve">is </w:t>
      </w:r>
      <w:r w:rsidR="0023146E">
        <w:t>a 3-D MCNP model, named HFV4.0</w:t>
      </w:r>
      <w:r w:rsidR="00C67546">
        <w:t xml:space="preserve"> </w:t>
      </w:r>
      <w:r w:rsidR="007511FA">
        <w:fldChar w:fldCharType="begin"/>
      </w:r>
      <w:r w:rsidR="00C67546">
        <w:instrText xml:space="preserve"> REF _Ref285636274 \n \h </w:instrText>
      </w:r>
      <w:r w:rsidR="007511FA">
        <w:fldChar w:fldCharType="separate"/>
      </w:r>
      <w:r w:rsidR="00D5167B">
        <w:t>[23]</w:t>
      </w:r>
      <w:r w:rsidR="007511FA">
        <w:fldChar w:fldCharType="end"/>
      </w:r>
      <w:r w:rsidRPr="009C7726">
        <w:t xml:space="preserve"> that accurately represents the HFIR as loaded in cycle 400 (April – May, 2004).  HFV4.0 is based on an older model previously developed at ORNL.  These models are quality</w:t>
      </w:r>
      <w:r w:rsidRPr="004F2125">
        <w:t>-controlled and have been set up such that the user can modify the input cards to reflect any changes to the model or future experimental rearrangements such as the flux trap loading.</w:t>
      </w:r>
      <w:r>
        <w:t xml:space="preserve">  </w:t>
      </w:r>
      <w:r w:rsidRPr="004F2125">
        <w:t>The MCNP model is broken up into six major regions (parts) as listed in</w:t>
      </w:r>
      <w:r w:rsidR="003E77A1">
        <w:t xml:space="preserve"> </w:t>
      </w:r>
      <w:r w:rsidR="007511FA">
        <w:fldChar w:fldCharType="begin"/>
      </w:r>
      <w:r w:rsidR="003E77A1">
        <w:instrText xml:space="preserve"> REF _Ref285535407 \h </w:instrText>
      </w:r>
      <w:r w:rsidR="007511FA">
        <w:fldChar w:fldCharType="separate"/>
      </w:r>
      <w:r w:rsidR="00D5167B">
        <w:t xml:space="preserve">Table </w:t>
      </w:r>
      <w:r w:rsidR="00D5167B">
        <w:rPr>
          <w:noProof/>
        </w:rPr>
        <w:t>5</w:t>
      </w:r>
      <w:r w:rsidR="00D5167B">
        <w:t>.</w:t>
      </w:r>
      <w:r w:rsidR="00D5167B">
        <w:rPr>
          <w:noProof/>
        </w:rPr>
        <w:t>2</w:t>
      </w:r>
      <w:r w:rsidR="007511FA">
        <w:fldChar w:fldCharType="end"/>
      </w:r>
      <w:r w:rsidRPr="00653FB7">
        <w:t>.</w:t>
      </w:r>
    </w:p>
    <w:p w:rsidR="000D290D" w:rsidRDefault="000D290D" w:rsidP="000D290D"/>
    <w:p w:rsidR="000D290D" w:rsidRPr="00700F9A" w:rsidRDefault="003E77A1" w:rsidP="003E77A1">
      <w:pPr>
        <w:pStyle w:val="Caption"/>
        <w:keepNext/>
      </w:pPr>
      <w:bookmarkStart w:id="180" w:name="_Ref285535407"/>
      <w:bookmarkStart w:id="181" w:name="_Toc295818273"/>
      <w:proofErr w:type="gramStart"/>
      <w:r>
        <w:t xml:space="preserve">Table </w:t>
      </w:r>
      <w:r w:rsidR="007511FA">
        <w:fldChar w:fldCharType="begin"/>
      </w:r>
      <w:r w:rsidR="00AE17F8">
        <w:instrText xml:space="preserve"> STYLEREF 1 \s </w:instrText>
      </w:r>
      <w:r w:rsidR="007511FA">
        <w:fldChar w:fldCharType="separate"/>
      </w:r>
      <w:r w:rsidR="00D5167B">
        <w:rPr>
          <w:noProof/>
        </w:rPr>
        <w:t>5</w:t>
      </w:r>
      <w:r w:rsidR="007511FA">
        <w:fldChar w:fldCharType="end"/>
      </w:r>
      <w:r w:rsidR="00DE5151">
        <w:t>.</w:t>
      </w:r>
      <w:proofErr w:type="gramEnd"/>
      <w:r w:rsidR="007511FA">
        <w:fldChar w:fldCharType="begin"/>
      </w:r>
      <w:r w:rsidR="00C43F40">
        <w:instrText xml:space="preserve"> SEQ Table \* ARABIC \s 1 </w:instrText>
      </w:r>
      <w:r w:rsidR="007511FA">
        <w:fldChar w:fldCharType="separate"/>
      </w:r>
      <w:r w:rsidR="00D5167B">
        <w:rPr>
          <w:noProof/>
        </w:rPr>
        <w:t>2</w:t>
      </w:r>
      <w:r w:rsidR="007511FA">
        <w:fldChar w:fldCharType="end"/>
      </w:r>
      <w:bookmarkEnd w:id="180"/>
      <w:r w:rsidR="000D290D" w:rsidRPr="00DF5709">
        <w:t>.  Radial dimensions of major HFIR model regions.</w:t>
      </w:r>
      <w:bookmarkEnd w:id="181"/>
    </w:p>
    <w:tbl>
      <w:tblPr>
        <w:tblStyle w:val="TableGrid"/>
        <w:tblW w:w="0" w:type="auto"/>
        <w:jc w:val="center"/>
        <w:tblLook w:val="04A0"/>
      </w:tblPr>
      <w:tblGrid>
        <w:gridCol w:w="3632"/>
        <w:gridCol w:w="1961"/>
        <w:gridCol w:w="2086"/>
      </w:tblGrid>
      <w:tr w:rsidR="000D290D" w:rsidTr="004F42F4">
        <w:trPr>
          <w:trHeight w:hRule="exact" w:val="360"/>
          <w:jc w:val="center"/>
        </w:trPr>
        <w:tc>
          <w:tcPr>
            <w:tcW w:w="3632" w:type="dxa"/>
            <w:vAlign w:val="center"/>
          </w:tcPr>
          <w:p w:rsidR="000D290D" w:rsidRPr="00DF5709" w:rsidRDefault="000D290D" w:rsidP="00A52A92">
            <w:pPr>
              <w:tabs>
                <w:tab w:val="left" w:pos="360"/>
              </w:tabs>
              <w:spacing w:line="240" w:lineRule="auto"/>
              <w:ind w:firstLine="0"/>
              <w:jc w:val="center"/>
              <w:rPr>
                <w:b/>
              </w:rPr>
            </w:pPr>
            <w:r w:rsidRPr="00DF5709">
              <w:rPr>
                <w:b/>
              </w:rPr>
              <w:t>Region</w:t>
            </w:r>
          </w:p>
        </w:tc>
        <w:tc>
          <w:tcPr>
            <w:tcW w:w="1961" w:type="dxa"/>
            <w:vAlign w:val="center"/>
          </w:tcPr>
          <w:p w:rsidR="000D290D" w:rsidRPr="00DF5709" w:rsidRDefault="000D290D" w:rsidP="00A52A92">
            <w:pPr>
              <w:tabs>
                <w:tab w:val="left" w:pos="360"/>
              </w:tabs>
              <w:spacing w:line="240" w:lineRule="auto"/>
              <w:ind w:firstLine="0"/>
              <w:jc w:val="center"/>
              <w:rPr>
                <w:b/>
              </w:rPr>
            </w:pPr>
            <w:r w:rsidRPr="00DF5709">
              <w:rPr>
                <w:b/>
              </w:rPr>
              <w:t>Inner Radius (cm)</w:t>
            </w:r>
          </w:p>
        </w:tc>
        <w:tc>
          <w:tcPr>
            <w:tcW w:w="2086" w:type="dxa"/>
            <w:vAlign w:val="center"/>
          </w:tcPr>
          <w:p w:rsidR="000D290D" w:rsidRPr="00DF5709" w:rsidRDefault="000D290D" w:rsidP="00A52A92">
            <w:pPr>
              <w:tabs>
                <w:tab w:val="left" w:pos="360"/>
              </w:tabs>
              <w:spacing w:line="240" w:lineRule="auto"/>
              <w:ind w:firstLine="0"/>
              <w:jc w:val="center"/>
              <w:rPr>
                <w:b/>
              </w:rPr>
            </w:pPr>
            <w:r w:rsidRPr="00DF5709">
              <w:rPr>
                <w:b/>
              </w:rPr>
              <w:t>Outer Radius (cm)</w:t>
            </w:r>
          </w:p>
        </w:tc>
      </w:tr>
      <w:tr w:rsidR="000D290D" w:rsidTr="004F42F4">
        <w:trPr>
          <w:trHeight w:hRule="exact" w:val="360"/>
          <w:jc w:val="center"/>
        </w:trPr>
        <w:tc>
          <w:tcPr>
            <w:tcW w:w="3632" w:type="dxa"/>
            <w:vAlign w:val="center"/>
          </w:tcPr>
          <w:p w:rsidR="000D290D" w:rsidRPr="00DF5709" w:rsidRDefault="000D290D" w:rsidP="00A52A92">
            <w:pPr>
              <w:tabs>
                <w:tab w:val="left" w:pos="360"/>
              </w:tabs>
              <w:spacing w:line="240" w:lineRule="auto"/>
              <w:ind w:firstLine="0"/>
              <w:jc w:val="left"/>
            </w:pPr>
            <w:r>
              <w:t xml:space="preserve">[1] </w:t>
            </w:r>
            <w:r w:rsidRPr="00DF5709">
              <w:t>Flux Trap Target Region (FTT)</w:t>
            </w:r>
          </w:p>
        </w:tc>
        <w:tc>
          <w:tcPr>
            <w:tcW w:w="1961" w:type="dxa"/>
            <w:vAlign w:val="center"/>
          </w:tcPr>
          <w:p w:rsidR="000D290D" w:rsidRPr="00DF5709" w:rsidRDefault="000D290D" w:rsidP="00A52A92">
            <w:pPr>
              <w:tabs>
                <w:tab w:val="left" w:pos="360"/>
              </w:tabs>
              <w:spacing w:line="240" w:lineRule="auto"/>
              <w:ind w:firstLine="0"/>
              <w:jc w:val="center"/>
            </w:pPr>
            <w:r w:rsidRPr="00DF5709">
              <w:t>0</w:t>
            </w:r>
            <w:r>
              <w:t>.00</w:t>
            </w:r>
          </w:p>
        </w:tc>
        <w:tc>
          <w:tcPr>
            <w:tcW w:w="2086" w:type="dxa"/>
            <w:vAlign w:val="center"/>
          </w:tcPr>
          <w:p w:rsidR="000D290D" w:rsidRPr="00DF5709" w:rsidRDefault="000D290D" w:rsidP="00A52A92">
            <w:pPr>
              <w:tabs>
                <w:tab w:val="left" w:pos="360"/>
              </w:tabs>
              <w:spacing w:line="240" w:lineRule="auto"/>
              <w:ind w:firstLine="0"/>
              <w:jc w:val="center"/>
            </w:pPr>
            <w:r w:rsidRPr="00DF5709">
              <w:t>6.43</w:t>
            </w:r>
          </w:p>
        </w:tc>
      </w:tr>
      <w:tr w:rsidR="000D290D" w:rsidTr="004F42F4">
        <w:trPr>
          <w:trHeight w:hRule="exact" w:val="360"/>
          <w:jc w:val="center"/>
        </w:trPr>
        <w:tc>
          <w:tcPr>
            <w:tcW w:w="3632" w:type="dxa"/>
            <w:vAlign w:val="center"/>
          </w:tcPr>
          <w:p w:rsidR="000D290D" w:rsidRPr="00DF5709" w:rsidRDefault="000D290D" w:rsidP="00A52A92">
            <w:pPr>
              <w:tabs>
                <w:tab w:val="left" w:pos="360"/>
              </w:tabs>
              <w:spacing w:line="240" w:lineRule="auto"/>
              <w:ind w:firstLine="0"/>
              <w:jc w:val="left"/>
            </w:pPr>
            <w:r>
              <w:t xml:space="preserve">[2] </w:t>
            </w:r>
            <w:r w:rsidRPr="00DF5709">
              <w:t>Active Inner Fuel Element (IFE)</w:t>
            </w:r>
          </w:p>
        </w:tc>
        <w:tc>
          <w:tcPr>
            <w:tcW w:w="1961" w:type="dxa"/>
            <w:vAlign w:val="center"/>
          </w:tcPr>
          <w:p w:rsidR="000D290D" w:rsidRPr="00DF5709" w:rsidRDefault="000D290D" w:rsidP="00A52A92">
            <w:pPr>
              <w:tabs>
                <w:tab w:val="left" w:pos="360"/>
              </w:tabs>
              <w:spacing w:line="240" w:lineRule="auto"/>
              <w:ind w:firstLine="0"/>
              <w:jc w:val="center"/>
            </w:pPr>
            <w:r w:rsidRPr="00DF5709">
              <w:t>7.14</w:t>
            </w:r>
          </w:p>
        </w:tc>
        <w:tc>
          <w:tcPr>
            <w:tcW w:w="2086" w:type="dxa"/>
            <w:vAlign w:val="center"/>
          </w:tcPr>
          <w:p w:rsidR="000D290D" w:rsidRPr="00DF5709" w:rsidRDefault="000D290D" w:rsidP="00A52A92">
            <w:pPr>
              <w:tabs>
                <w:tab w:val="left" w:pos="360"/>
              </w:tabs>
              <w:spacing w:line="240" w:lineRule="auto"/>
              <w:ind w:firstLine="0"/>
              <w:jc w:val="center"/>
            </w:pPr>
            <w:r w:rsidRPr="00DF5709">
              <w:t>12.60</w:t>
            </w:r>
          </w:p>
        </w:tc>
      </w:tr>
      <w:tr w:rsidR="000D290D" w:rsidTr="004F42F4">
        <w:trPr>
          <w:trHeight w:hRule="exact" w:val="360"/>
          <w:jc w:val="center"/>
        </w:trPr>
        <w:tc>
          <w:tcPr>
            <w:tcW w:w="3632" w:type="dxa"/>
            <w:vAlign w:val="center"/>
          </w:tcPr>
          <w:p w:rsidR="000D290D" w:rsidRPr="00DF5709" w:rsidRDefault="000D290D" w:rsidP="00A52A92">
            <w:pPr>
              <w:tabs>
                <w:tab w:val="left" w:pos="360"/>
              </w:tabs>
              <w:spacing w:line="240" w:lineRule="auto"/>
              <w:ind w:firstLine="0"/>
              <w:jc w:val="left"/>
            </w:pPr>
            <w:r>
              <w:t>[3]</w:t>
            </w:r>
            <w:r w:rsidRPr="00DF5709">
              <w:t xml:space="preserve"> Active Outer Fuel Element (OFE)</w:t>
            </w:r>
          </w:p>
        </w:tc>
        <w:tc>
          <w:tcPr>
            <w:tcW w:w="1961" w:type="dxa"/>
            <w:vAlign w:val="center"/>
          </w:tcPr>
          <w:p w:rsidR="000D290D" w:rsidRPr="00DF5709" w:rsidRDefault="000D290D" w:rsidP="00A52A92">
            <w:pPr>
              <w:tabs>
                <w:tab w:val="left" w:pos="360"/>
              </w:tabs>
              <w:spacing w:line="240" w:lineRule="auto"/>
              <w:ind w:firstLine="0"/>
              <w:jc w:val="center"/>
            </w:pPr>
            <w:r w:rsidRPr="00DF5709">
              <w:t>15.13</w:t>
            </w:r>
          </w:p>
        </w:tc>
        <w:tc>
          <w:tcPr>
            <w:tcW w:w="2086" w:type="dxa"/>
            <w:vAlign w:val="center"/>
          </w:tcPr>
          <w:p w:rsidR="000D290D" w:rsidRPr="00DF5709" w:rsidRDefault="000D290D" w:rsidP="00A52A92">
            <w:pPr>
              <w:tabs>
                <w:tab w:val="left" w:pos="360"/>
              </w:tabs>
              <w:spacing w:line="240" w:lineRule="auto"/>
              <w:ind w:firstLine="0"/>
              <w:jc w:val="center"/>
            </w:pPr>
            <w:r w:rsidRPr="00DF5709">
              <w:t>20.98</w:t>
            </w:r>
          </w:p>
        </w:tc>
      </w:tr>
      <w:tr w:rsidR="000D290D" w:rsidTr="004F42F4">
        <w:trPr>
          <w:trHeight w:hRule="exact" w:val="360"/>
          <w:jc w:val="center"/>
        </w:trPr>
        <w:tc>
          <w:tcPr>
            <w:tcW w:w="3632" w:type="dxa"/>
            <w:vAlign w:val="center"/>
          </w:tcPr>
          <w:p w:rsidR="000D290D" w:rsidRPr="00DF5709" w:rsidRDefault="000D290D" w:rsidP="00A52A92">
            <w:pPr>
              <w:tabs>
                <w:tab w:val="left" w:pos="360"/>
              </w:tabs>
              <w:spacing w:line="240" w:lineRule="auto"/>
              <w:ind w:firstLine="0"/>
              <w:jc w:val="left"/>
            </w:pPr>
            <w:r>
              <w:t xml:space="preserve">[4] </w:t>
            </w:r>
            <w:r w:rsidRPr="00DF5709">
              <w:t>Control Elements (CE)</w:t>
            </w:r>
          </w:p>
        </w:tc>
        <w:tc>
          <w:tcPr>
            <w:tcW w:w="1961" w:type="dxa"/>
            <w:vAlign w:val="center"/>
          </w:tcPr>
          <w:p w:rsidR="000D290D" w:rsidRPr="00DF5709" w:rsidRDefault="000D290D" w:rsidP="00A52A92">
            <w:pPr>
              <w:tabs>
                <w:tab w:val="left" w:pos="360"/>
              </w:tabs>
              <w:spacing w:line="240" w:lineRule="auto"/>
              <w:ind w:firstLine="0"/>
              <w:jc w:val="center"/>
            </w:pPr>
            <w:r w:rsidRPr="00DF5709">
              <w:t>21.75</w:t>
            </w:r>
          </w:p>
        </w:tc>
        <w:tc>
          <w:tcPr>
            <w:tcW w:w="2086" w:type="dxa"/>
            <w:vAlign w:val="center"/>
          </w:tcPr>
          <w:p w:rsidR="000D290D" w:rsidRPr="00DF5709" w:rsidRDefault="000D290D" w:rsidP="00A52A92">
            <w:pPr>
              <w:tabs>
                <w:tab w:val="left" w:pos="360"/>
              </w:tabs>
              <w:spacing w:line="240" w:lineRule="auto"/>
              <w:ind w:firstLine="0"/>
              <w:jc w:val="center"/>
            </w:pPr>
            <w:r w:rsidRPr="00DF5709">
              <w:t>23.97</w:t>
            </w:r>
          </w:p>
        </w:tc>
      </w:tr>
      <w:tr w:rsidR="000D290D" w:rsidTr="004F42F4">
        <w:trPr>
          <w:trHeight w:hRule="exact" w:val="360"/>
          <w:jc w:val="center"/>
        </w:trPr>
        <w:tc>
          <w:tcPr>
            <w:tcW w:w="3632" w:type="dxa"/>
            <w:vAlign w:val="center"/>
          </w:tcPr>
          <w:p w:rsidR="000D290D" w:rsidRPr="00DF5709" w:rsidRDefault="000D290D" w:rsidP="00A52A92">
            <w:pPr>
              <w:tabs>
                <w:tab w:val="left" w:pos="360"/>
              </w:tabs>
              <w:spacing w:line="240" w:lineRule="auto"/>
              <w:ind w:firstLine="0"/>
              <w:jc w:val="left"/>
            </w:pPr>
            <w:r>
              <w:t xml:space="preserve">[5] </w:t>
            </w:r>
            <w:r w:rsidRPr="00DF5709">
              <w:t>Removable Reflector (RB)</w:t>
            </w:r>
          </w:p>
        </w:tc>
        <w:tc>
          <w:tcPr>
            <w:tcW w:w="1961" w:type="dxa"/>
            <w:vAlign w:val="center"/>
          </w:tcPr>
          <w:p w:rsidR="000D290D" w:rsidRPr="00DF5709" w:rsidRDefault="000D290D" w:rsidP="00A52A92">
            <w:pPr>
              <w:tabs>
                <w:tab w:val="left" w:pos="360"/>
              </w:tabs>
              <w:spacing w:line="240" w:lineRule="auto"/>
              <w:ind w:firstLine="0"/>
              <w:jc w:val="center"/>
            </w:pPr>
            <w:r w:rsidRPr="00DF5709">
              <w:t>23.97</w:t>
            </w:r>
          </w:p>
        </w:tc>
        <w:tc>
          <w:tcPr>
            <w:tcW w:w="2086" w:type="dxa"/>
            <w:vAlign w:val="center"/>
          </w:tcPr>
          <w:p w:rsidR="000D290D" w:rsidRPr="00DF5709" w:rsidRDefault="000D290D" w:rsidP="00A52A92">
            <w:pPr>
              <w:tabs>
                <w:tab w:val="left" w:pos="360"/>
              </w:tabs>
              <w:spacing w:line="240" w:lineRule="auto"/>
              <w:ind w:firstLine="0"/>
              <w:jc w:val="center"/>
            </w:pPr>
            <w:r w:rsidRPr="00DF5709">
              <w:t>30.17</w:t>
            </w:r>
          </w:p>
        </w:tc>
      </w:tr>
      <w:tr w:rsidR="000D290D" w:rsidTr="004F42F4">
        <w:trPr>
          <w:trHeight w:hRule="exact" w:val="360"/>
          <w:jc w:val="center"/>
        </w:trPr>
        <w:tc>
          <w:tcPr>
            <w:tcW w:w="3632" w:type="dxa"/>
            <w:vAlign w:val="center"/>
          </w:tcPr>
          <w:p w:rsidR="000D290D" w:rsidRPr="00DF5709" w:rsidRDefault="000D290D" w:rsidP="00A52A92">
            <w:pPr>
              <w:tabs>
                <w:tab w:val="left" w:pos="360"/>
              </w:tabs>
              <w:spacing w:line="240" w:lineRule="auto"/>
              <w:ind w:firstLine="0"/>
              <w:jc w:val="left"/>
            </w:pPr>
            <w:r>
              <w:t xml:space="preserve">[6] </w:t>
            </w:r>
            <w:r w:rsidRPr="00DF5709">
              <w:t>Permanent Reflector (PB)</w:t>
            </w:r>
          </w:p>
        </w:tc>
        <w:tc>
          <w:tcPr>
            <w:tcW w:w="1961" w:type="dxa"/>
            <w:vAlign w:val="center"/>
          </w:tcPr>
          <w:p w:rsidR="000D290D" w:rsidRPr="00DF5709" w:rsidRDefault="000D290D" w:rsidP="00A52A92">
            <w:pPr>
              <w:tabs>
                <w:tab w:val="left" w:pos="360"/>
              </w:tabs>
              <w:spacing w:line="240" w:lineRule="auto"/>
              <w:ind w:firstLine="0"/>
              <w:jc w:val="center"/>
            </w:pPr>
            <w:r w:rsidRPr="00DF5709">
              <w:t>30.17</w:t>
            </w:r>
          </w:p>
        </w:tc>
        <w:tc>
          <w:tcPr>
            <w:tcW w:w="2086" w:type="dxa"/>
            <w:vAlign w:val="center"/>
          </w:tcPr>
          <w:p w:rsidR="000D290D" w:rsidRPr="00DF5709" w:rsidRDefault="000D290D" w:rsidP="00A52A92">
            <w:pPr>
              <w:tabs>
                <w:tab w:val="left" w:pos="360"/>
              </w:tabs>
              <w:spacing w:line="240" w:lineRule="auto"/>
              <w:ind w:firstLine="0"/>
              <w:jc w:val="center"/>
            </w:pPr>
            <w:r w:rsidRPr="00DF5709">
              <w:t>54.61</w:t>
            </w:r>
          </w:p>
        </w:tc>
      </w:tr>
    </w:tbl>
    <w:p w:rsidR="000D290D" w:rsidRDefault="000D290D" w:rsidP="000D290D"/>
    <w:p w:rsidR="000D290D" w:rsidRPr="004F2125" w:rsidRDefault="000D290D" w:rsidP="000B6F66">
      <w:r>
        <w:t xml:space="preserve">The current ALEPH/MCNP model </w:t>
      </w:r>
      <w:r w:rsidRPr="004F2125">
        <w:t>was modified to replicate the core and components as well as the operational history as they were during cycles</w:t>
      </w:r>
      <w:r>
        <w:t xml:space="preserve"> 4, 16, and 35.  </w:t>
      </w:r>
      <w:r w:rsidRPr="004F2125">
        <w:t xml:space="preserve">Thus, the old core design is being validated in this work.  However, the differences between the reactor in the </w:t>
      </w:r>
      <w:r w:rsidR="000B6F66">
        <w:t>19</w:t>
      </w:r>
      <w:r w:rsidRPr="004F2125">
        <w:t>60s and the reactor of today are small, and thus the spectrum hasn’t been significantly altered.  An analysis was performed to show the effects due to the alterations of HFIR over the years and is described in Appendix A of</w:t>
      </w:r>
      <w:r w:rsidR="00C67546">
        <w:t xml:space="preserve"> </w:t>
      </w:r>
      <w:r w:rsidR="007511FA">
        <w:fldChar w:fldCharType="begin"/>
      </w:r>
      <w:r w:rsidR="00C67546">
        <w:instrText xml:space="preserve"> REF _Ref285635951 \n \h </w:instrText>
      </w:r>
      <w:r w:rsidR="007511FA">
        <w:fldChar w:fldCharType="separate"/>
      </w:r>
      <w:r w:rsidR="00D5167B">
        <w:t>[7]</w:t>
      </w:r>
      <w:r w:rsidR="007511FA">
        <w:fldChar w:fldCharType="end"/>
      </w:r>
      <w:r w:rsidRPr="00653FB7">
        <w:rPr>
          <w:color w:val="7030A0"/>
        </w:rPr>
        <w:t>.</w:t>
      </w:r>
      <w:r w:rsidRPr="004F2125">
        <w:t xml:space="preserve">  The changes made to the </w:t>
      </w:r>
      <w:r>
        <w:t>MCNP</w:t>
      </w:r>
      <w:r w:rsidRPr="004F2125">
        <w:t xml:space="preserve"> model are described by properly characterizing the regions listed </w:t>
      </w:r>
      <w:r>
        <w:t xml:space="preserve">in </w:t>
      </w:r>
      <w:r w:rsidRPr="00653FB7">
        <w:t>Table 2.</w:t>
      </w:r>
    </w:p>
    <w:p w:rsidR="000D290D" w:rsidRPr="005F5300" w:rsidRDefault="000D290D" w:rsidP="000B6F66">
      <w:r w:rsidRPr="009C7726">
        <w:t>In the revised model, the hydraulic tube</w:t>
      </w:r>
      <w:r>
        <w:t xml:space="preserve"> (HT)</w:t>
      </w:r>
      <w:r w:rsidRPr="009C7726">
        <w:t xml:space="preserve"> was moved from </w:t>
      </w:r>
      <w:r>
        <w:t xml:space="preserve">location </w:t>
      </w:r>
      <w:r w:rsidRPr="009C7726">
        <w:t xml:space="preserve">B3 to D4 (the center of the flux trap), the position at which it was originally located.  No documents were found that described the exact flux trap loadings from cycles 4, 16, or 35, but some brief flux trap loadings for other contemporary </w:t>
      </w:r>
      <w:r w:rsidRPr="009C7726">
        <w:lastRenderedPageBreak/>
        <w:t>and representative cycles were found</w:t>
      </w:r>
      <w:r w:rsidR="00C67546">
        <w:t xml:space="preserve"> </w:t>
      </w:r>
      <w:r w:rsidR="007511FA">
        <w:fldChar w:fldCharType="begin"/>
      </w:r>
      <w:r w:rsidR="00C67546">
        <w:instrText xml:space="preserve"> REF _Ref285637294 \n \h </w:instrText>
      </w:r>
      <w:r w:rsidR="007511FA">
        <w:fldChar w:fldCharType="separate"/>
      </w:r>
      <w:r w:rsidR="00D5167B">
        <w:t>[75]</w:t>
      </w:r>
      <w:r w:rsidR="007511FA">
        <w:fldChar w:fldCharType="end"/>
      </w:r>
      <w:r w:rsidR="00C67546">
        <w:t xml:space="preserve"> - </w:t>
      </w:r>
      <w:r w:rsidR="007511FA">
        <w:fldChar w:fldCharType="begin"/>
      </w:r>
      <w:r w:rsidR="00C67546">
        <w:instrText xml:space="preserve"> REF _Ref285637305 \n \h </w:instrText>
      </w:r>
      <w:r w:rsidR="007511FA">
        <w:fldChar w:fldCharType="separate"/>
      </w:r>
      <w:r w:rsidR="00D5167B">
        <w:t>[78]</w:t>
      </w:r>
      <w:r w:rsidR="007511FA">
        <w:fldChar w:fldCharType="end"/>
      </w:r>
      <w:r w:rsidRPr="009C7726">
        <w:t xml:space="preserve">.  The descriptions were limited in details, but most (22 to 25) of the 30 interior positions were labeled to have plutonium-242 targets with 7.65 grams </w:t>
      </w:r>
      <w:r w:rsidRPr="009C7726">
        <w:rPr>
          <w:vertAlign w:val="superscript"/>
        </w:rPr>
        <w:t>242</w:t>
      </w:r>
      <w:r w:rsidRPr="009C7726">
        <w:t xml:space="preserve">Pu in each target rod.  So, the interior targets less the hydraulic tube were modeled as such.  The pellets in the target rods were modeled as a single homogenized rod of </w:t>
      </w:r>
      <w:r w:rsidRPr="009C7726">
        <w:rPr>
          <w:vertAlign w:val="superscript"/>
        </w:rPr>
        <w:t>242</w:t>
      </w:r>
      <w:r w:rsidRPr="009C7726">
        <w:t>PuO</w:t>
      </w:r>
      <w:r w:rsidRPr="009C7726">
        <w:rPr>
          <w:vertAlign w:val="subscript"/>
        </w:rPr>
        <w:t>2</w:t>
      </w:r>
      <w:r w:rsidRPr="009C7726">
        <w:t xml:space="preserve"> and Al</w:t>
      </w:r>
      <w:r w:rsidRPr="009C7726">
        <w:rPr>
          <w:vertAlign w:val="subscript"/>
        </w:rPr>
        <w:t>2</w:t>
      </w:r>
      <w:r w:rsidRPr="009C7726">
        <w:t>O</w:t>
      </w:r>
      <w:r w:rsidRPr="009C7726">
        <w:rPr>
          <w:vertAlign w:val="subscript"/>
        </w:rPr>
        <w:t>3</w:t>
      </w:r>
      <w:r>
        <w:t>.  The as modeled target rods were composed of 7.41187x10</w:t>
      </w:r>
      <w:r>
        <w:rPr>
          <w:vertAlign w:val="superscript"/>
        </w:rPr>
        <w:t>-2</w:t>
      </w:r>
      <w:r w:rsidR="000B6F66">
        <w:t xml:space="preserve"> at/b/</w:t>
      </w:r>
      <w:r>
        <w:t xml:space="preserve">cm </w:t>
      </w:r>
      <w:r>
        <w:rPr>
          <w:vertAlign w:val="superscript"/>
        </w:rPr>
        <w:t>16</w:t>
      </w:r>
      <w:r>
        <w:t>O (19.27 grams), 4.68192x10</w:t>
      </w:r>
      <w:r>
        <w:rPr>
          <w:vertAlign w:val="superscript"/>
        </w:rPr>
        <w:t>-2</w:t>
      </w:r>
      <w:r w:rsidR="000B6F66">
        <w:t xml:space="preserve"> at/b/</w:t>
      </w:r>
      <w:r>
        <w:t xml:space="preserve">cm </w:t>
      </w:r>
      <w:r>
        <w:rPr>
          <w:vertAlign w:val="superscript"/>
        </w:rPr>
        <w:t>27</w:t>
      </w:r>
      <w:r>
        <w:t>Al (20.55 grams), and 1.94494x10</w:t>
      </w:r>
      <w:r>
        <w:rPr>
          <w:vertAlign w:val="superscript"/>
        </w:rPr>
        <w:t>-3</w:t>
      </w:r>
      <w:r w:rsidR="000B6F66">
        <w:t xml:space="preserve"> at/b/</w:t>
      </w:r>
      <w:r>
        <w:t xml:space="preserve">cm </w:t>
      </w:r>
      <w:r>
        <w:rPr>
          <w:vertAlign w:val="superscript"/>
        </w:rPr>
        <w:t>242</w:t>
      </w:r>
      <w:r>
        <w:t xml:space="preserve">Pu (7.65 grams).  </w:t>
      </w:r>
      <w:r w:rsidRPr="005F5300">
        <w:t xml:space="preserve">The loadings in the peripheral target positions (PTPs) and the </w:t>
      </w:r>
      <w:r>
        <w:t xml:space="preserve">HT </w:t>
      </w:r>
      <w:r w:rsidRPr="005F5300">
        <w:t>are unknown, but it can be inferred that they must have been occupied to satisfy the target flow distribution requirement.  Therefore, the PTPs</w:t>
      </w:r>
      <w:r>
        <w:t xml:space="preserve"> and HT</w:t>
      </w:r>
      <w:r w:rsidRPr="005F5300">
        <w:t xml:space="preserve"> were modeled to include “dummy” aluminum rods</w:t>
      </w:r>
      <w:r>
        <w:t>.</w:t>
      </w:r>
    </w:p>
    <w:p w:rsidR="000D290D" w:rsidRPr="005F5300" w:rsidRDefault="000D290D" w:rsidP="000B6F66">
      <w:r w:rsidRPr="005F5300">
        <w:t xml:space="preserve">The HFIR fuel elements are modeled by dividing them into radial regions of varying, </w:t>
      </w:r>
      <w:r>
        <w:t>spatially-averaged</w:t>
      </w:r>
      <w:r w:rsidRPr="005F5300">
        <w:t xml:space="preserve"> </w:t>
      </w:r>
      <w:r w:rsidRPr="005F5300">
        <w:rPr>
          <w:vertAlign w:val="superscript"/>
        </w:rPr>
        <w:t>235</w:t>
      </w:r>
      <w:r w:rsidRPr="005F5300">
        <w:t>U concentrations.  These regions are modeled by homogenizing</w:t>
      </w:r>
      <w:r>
        <w:t xml:space="preserve"> the fuel, Al filler,</w:t>
      </w:r>
      <w:r w:rsidRPr="005F5300">
        <w:t xml:space="preserve"> bur</w:t>
      </w:r>
      <w:r>
        <w:t>nable poison (boron in IFE),</w:t>
      </w:r>
      <w:r w:rsidRPr="005F5300">
        <w:t xml:space="preserve"> Al side walls, and the water in the channels between the involute fuel plates.  In order to accurately model the </w:t>
      </w:r>
      <w:r w:rsidR="00050B54">
        <w:t>burnup</w:t>
      </w:r>
      <w:r w:rsidRPr="005F5300">
        <w:t xml:space="preserve"> specimens, the radial region boundaries from the cycle 400 MCNP model had to be adjusted to match the radial boundaries of the specimens </w:t>
      </w:r>
      <w:r>
        <w:t xml:space="preserve">analyzed.  </w:t>
      </w:r>
      <w:r w:rsidRPr="005F5300">
        <w:t>The IFE is modeled as 8 concentric radial zones and the OFE is modeled as 9 concentric radial zones.</w:t>
      </w:r>
    </w:p>
    <w:p w:rsidR="000B6F66" w:rsidRDefault="000D290D" w:rsidP="000B6F66">
      <w:pPr>
        <w:ind w:firstLine="450"/>
      </w:pPr>
      <w:r w:rsidRPr="005F5300">
        <w:t xml:space="preserve">The axial zones were also altered to properly model the specimens extracted for analysis.  </w:t>
      </w:r>
      <w:r w:rsidR="007511FA">
        <w:fldChar w:fldCharType="begin"/>
      </w:r>
      <w:r w:rsidR="00C67546">
        <w:instrText xml:space="preserve"> REF _Ref285637078 \n \h </w:instrText>
      </w:r>
      <w:r w:rsidR="007511FA">
        <w:fldChar w:fldCharType="separate"/>
      </w:r>
      <w:r w:rsidR="00D5167B">
        <w:t>[71]</w:t>
      </w:r>
      <w:r w:rsidR="007511FA">
        <w:fldChar w:fldCharType="end"/>
      </w:r>
      <w:r w:rsidRPr="005F5300">
        <w:t xml:space="preserve"> </w:t>
      </w:r>
      <w:proofErr w:type="gramStart"/>
      <w:r w:rsidRPr="005F5300">
        <w:t>did</w:t>
      </w:r>
      <w:proofErr w:type="gramEnd"/>
      <w:r w:rsidRPr="005F5300">
        <w:t xml:space="preserve"> not report the axial height of the specimens, so it was assumed that they were 0.5 cm in </w:t>
      </w:r>
      <w:r>
        <w:t>height.</w:t>
      </w:r>
      <w:r w:rsidRPr="005F5300">
        <w:t xml:space="preserve">  Thus, the specimens were modeled with axial boundaries 0.25 cm above and below the reported locations.  An x-z cross section of the</w:t>
      </w:r>
      <w:r>
        <w:t xml:space="preserve"> modeled</w:t>
      </w:r>
      <w:r w:rsidRPr="005F5300">
        <w:t xml:space="preserve"> HFIR </w:t>
      </w:r>
      <w:r>
        <w:t>fuel elements</w:t>
      </w:r>
      <w:r w:rsidRPr="005F5300">
        <w:t xml:space="preserve"> is illustrated in </w:t>
      </w:r>
      <w:r w:rsidR="007511FA">
        <w:fldChar w:fldCharType="begin"/>
      </w:r>
      <w:r w:rsidR="003E77A1">
        <w:instrText xml:space="preserve"> REF _Ref285535446 \h </w:instrText>
      </w:r>
      <w:r w:rsidR="007511FA">
        <w:fldChar w:fldCharType="separate"/>
      </w:r>
      <w:r w:rsidR="00D5167B">
        <w:t xml:space="preserve">Figure </w:t>
      </w:r>
      <w:r w:rsidR="00D5167B">
        <w:rPr>
          <w:noProof/>
        </w:rPr>
        <w:t>5</w:t>
      </w:r>
      <w:r w:rsidR="00D5167B">
        <w:t>.</w:t>
      </w:r>
      <w:r w:rsidR="00D5167B">
        <w:rPr>
          <w:noProof/>
        </w:rPr>
        <w:t>2</w:t>
      </w:r>
      <w:r w:rsidR="007511FA">
        <w:fldChar w:fldCharType="end"/>
      </w:r>
      <w:r w:rsidR="003E77A1">
        <w:t xml:space="preserve"> </w:t>
      </w:r>
      <w:r>
        <w:t>along with their locations expressed by their distance from the core axial midplane and their radial location [inner (I), central (H), and outer (O)].</w:t>
      </w:r>
      <w:r w:rsidRPr="005F5300">
        <w:t xml:space="preserve">  As illustrated in </w:t>
      </w:r>
      <w:r w:rsidR="007511FA">
        <w:rPr>
          <w:highlight w:val="yellow"/>
        </w:rPr>
        <w:fldChar w:fldCharType="begin"/>
      </w:r>
      <w:r w:rsidR="003E77A1">
        <w:instrText xml:space="preserve"> REF _Ref285535446 \h </w:instrText>
      </w:r>
      <w:r w:rsidR="007511FA">
        <w:rPr>
          <w:highlight w:val="yellow"/>
        </w:rPr>
      </w:r>
      <w:r w:rsidR="007511FA">
        <w:rPr>
          <w:highlight w:val="yellow"/>
        </w:rPr>
        <w:fldChar w:fldCharType="separate"/>
      </w:r>
      <w:r w:rsidR="00D5167B">
        <w:t xml:space="preserve">Figure </w:t>
      </w:r>
      <w:r w:rsidR="00D5167B">
        <w:rPr>
          <w:noProof/>
        </w:rPr>
        <w:t>5</w:t>
      </w:r>
      <w:r w:rsidR="00D5167B">
        <w:t>.</w:t>
      </w:r>
      <w:r w:rsidR="00D5167B">
        <w:rPr>
          <w:noProof/>
        </w:rPr>
        <w:t>2</w:t>
      </w:r>
      <w:r w:rsidR="007511FA">
        <w:rPr>
          <w:highlight w:val="yellow"/>
        </w:rPr>
        <w:fldChar w:fldCharType="end"/>
      </w:r>
      <w:r w:rsidRPr="005F5300">
        <w:t xml:space="preserve">, </w:t>
      </w:r>
      <w:r>
        <w:t>the fuel element being analyzed was divided into 24 axial regions.  T</w:t>
      </w:r>
      <w:r w:rsidRPr="005F5300">
        <w:t xml:space="preserve">he axial divisions of the </w:t>
      </w:r>
      <w:r>
        <w:t>fuel element of interest were</w:t>
      </w:r>
      <w:r w:rsidRPr="005F5300">
        <w:t xml:space="preserve"> altered such that 4 zones of equal height (2.7325 cm) were modeled in between each </w:t>
      </w:r>
      <w:r w:rsidR="00050B54">
        <w:t>burnup</w:t>
      </w:r>
      <w:r w:rsidRPr="005F5300">
        <w:t xml:space="preserve"> specimen.  </w:t>
      </w:r>
      <w:r>
        <w:t>The fuel element that wasn’t being examined was divided into 19 axial zones, which was</w:t>
      </w:r>
      <w:r w:rsidRPr="005F5300">
        <w:t xml:space="preserve"> unchanged </w:t>
      </w:r>
      <w:r>
        <w:t>from</w:t>
      </w:r>
      <w:r w:rsidRPr="005F5300">
        <w:t xml:space="preserve"> the cycle 400 </w:t>
      </w:r>
      <w:r w:rsidR="000B6F66">
        <w:t>ALEPH/MCNP model.</w:t>
      </w:r>
      <w:r w:rsidR="000B6F66">
        <w:br w:type="page"/>
      </w:r>
    </w:p>
    <w:p w:rsidR="000D290D" w:rsidRPr="005F5300" w:rsidRDefault="000B6F66" w:rsidP="00A52A92">
      <w:pPr>
        <w:ind w:firstLine="0"/>
        <w:jc w:val="center"/>
      </w:pPr>
      <w:r>
        <w:rPr>
          <w:noProof/>
        </w:rPr>
        <w:lastRenderedPageBreak/>
        <w:drawing>
          <wp:inline distT="0" distB="0" distL="0" distR="0">
            <wp:extent cx="4038600" cy="5753100"/>
            <wp:effectExtent l="19050" t="0" r="0" b="0"/>
            <wp:docPr id="34" name="Picture 1" descr="C:\Users\dcz\Desktop\FE-MCNP-discretiza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cz\Desktop\FE-MCNP-discretizations.png"/>
                    <pic:cNvPicPr>
                      <a:picLocks noChangeAspect="1" noChangeArrowheads="1"/>
                    </pic:cNvPicPr>
                  </pic:nvPicPr>
                  <pic:blipFill>
                    <a:blip r:embed="rId36" cstate="print"/>
                    <a:srcRect/>
                    <a:stretch>
                      <a:fillRect/>
                    </a:stretch>
                  </pic:blipFill>
                  <pic:spPr bwMode="auto">
                    <a:xfrm>
                      <a:off x="0" y="0"/>
                      <a:ext cx="4038600" cy="5753100"/>
                    </a:xfrm>
                    <a:prstGeom prst="rect">
                      <a:avLst/>
                    </a:prstGeom>
                    <a:noFill/>
                    <a:ln w="9525">
                      <a:noFill/>
                      <a:miter lim="800000"/>
                      <a:headEnd/>
                      <a:tailEnd/>
                    </a:ln>
                  </pic:spPr>
                </pic:pic>
              </a:graphicData>
            </a:graphic>
          </wp:inline>
        </w:drawing>
      </w:r>
    </w:p>
    <w:p w:rsidR="00535B14" w:rsidRPr="000B6F66" w:rsidRDefault="003E77A1" w:rsidP="003E77A1">
      <w:pPr>
        <w:pStyle w:val="Caption"/>
      </w:pPr>
      <w:bookmarkStart w:id="182" w:name="_Ref285535446"/>
      <w:bookmarkStart w:id="183" w:name="_Toc295818207"/>
      <w:proofErr w:type="gramStart"/>
      <w:r>
        <w:t xml:space="preserve">Figure </w:t>
      </w:r>
      <w:r w:rsidR="007511FA">
        <w:fldChar w:fldCharType="begin"/>
      </w:r>
      <w:r w:rsidR="00AE17F8">
        <w:instrText xml:space="preserve"> STYLEREF 1 \s </w:instrText>
      </w:r>
      <w:r w:rsidR="007511FA">
        <w:fldChar w:fldCharType="separate"/>
      </w:r>
      <w:r w:rsidR="00D5167B">
        <w:rPr>
          <w:noProof/>
        </w:rPr>
        <w:t>5</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2</w:t>
      </w:r>
      <w:r w:rsidR="007511FA">
        <w:fldChar w:fldCharType="end"/>
      </w:r>
      <w:bookmarkEnd w:id="182"/>
      <w:r w:rsidR="000B6F66">
        <w:t xml:space="preserve">.  </w:t>
      </w:r>
      <w:proofErr w:type="gramStart"/>
      <w:r w:rsidR="000B6F66">
        <w:t>MCNP as modeled locations of specimens in IFE (left) and OFE (right).</w:t>
      </w:r>
      <w:bookmarkEnd w:id="183"/>
      <w:proofErr w:type="gramEnd"/>
    </w:p>
    <w:p w:rsidR="000B6F66" w:rsidRDefault="000B6F66">
      <w:pPr>
        <w:spacing w:before="0" w:after="200" w:line="276" w:lineRule="auto"/>
      </w:pPr>
      <w:r>
        <w:br w:type="page"/>
      </w:r>
    </w:p>
    <w:p w:rsidR="000B6F66" w:rsidRPr="00A13E33" w:rsidRDefault="000B6F66" w:rsidP="000B6F66">
      <w:r w:rsidRPr="00A13E33">
        <w:lastRenderedPageBreak/>
        <w:t>Since the OFE radial regions were altered, the OFE isotopic concentrations had to be changed, and in order to be consistent, the concentrations in the IFE had to be changed using the same methodology.  Appendix C</w:t>
      </w:r>
      <w:r>
        <w:t xml:space="preserve"> of</w:t>
      </w:r>
      <w:r w:rsidR="00C67546">
        <w:t xml:space="preserve"> </w:t>
      </w:r>
      <w:r w:rsidR="007511FA">
        <w:fldChar w:fldCharType="begin"/>
      </w:r>
      <w:r w:rsidR="00C67546">
        <w:instrText xml:space="preserve"> REF _Ref285635951 \n \h </w:instrText>
      </w:r>
      <w:r w:rsidR="007511FA">
        <w:fldChar w:fldCharType="separate"/>
      </w:r>
      <w:r w:rsidR="00D5167B">
        <w:t>[7]</w:t>
      </w:r>
      <w:r w:rsidR="007511FA">
        <w:fldChar w:fldCharType="end"/>
      </w:r>
      <w:r w:rsidRPr="00DF20E4">
        <w:t xml:space="preserve"> provides</w:t>
      </w:r>
      <w:r w:rsidRPr="00A13E33">
        <w:t xml:space="preserve"> documentation on the method of calculating the atomic densities in the fuel elements.  Since the radial region boundaries were altered, along with the atomic compositions of each of the regions, it was necessary to benchmark the fuel element </w:t>
      </w:r>
      <w:proofErr w:type="spellStart"/>
      <w:r w:rsidRPr="00A13E33">
        <w:t>renodalization</w:t>
      </w:r>
      <w:proofErr w:type="spellEnd"/>
      <w:r w:rsidRPr="00A13E33">
        <w:t xml:space="preserve"> utilized in this study against the cycle 400 model.  An analysis was performed and documented in Appendix D </w:t>
      </w:r>
      <w:r>
        <w:t xml:space="preserve">of </w:t>
      </w:r>
      <w:r w:rsidR="007511FA">
        <w:fldChar w:fldCharType="begin"/>
      </w:r>
      <w:r w:rsidR="00C67546">
        <w:instrText xml:space="preserve"> REF _Ref285635951 \n \h </w:instrText>
      </w:r>
      <w:r w:rsidR="007511FA">
        <w:fldChar w:fldCharType="separate"/>
      </w:r>
      <w:r w:rsidR="00D5167B">
        <w:t>[7]</w:t>
      </w:r>
      <w:r w:rsidR="007511FA">
        <w:fldChar w:fldCharType="end"/>
      </w:r>
      <w:r w:rsidR="00C67546">
        <w:t xml:space="preserve"> </w:t>
      </w:r>
      <w:r w:rsidRPr="00A13E33">
        <w:t>and the spectrums across the core horizontal midplane and the effective multiplication factors were shown to agree very well for both mo</w:t>
      </w:r>
      <w:r>
        <w:t>dels.</w:t>
      </w:r>
    </w:p>
    <w:p w:rsidR="00E9030C" w:rsidRDefault="000B6F66" w:rsidP="000B6F66">
      <w:r w:rsidRPr="00A13E33">
        <w:t>Today eight RB facilities exist, but during the time the subject measurements were made there were only four removable beryllium facilities, so RB-1B, RB-3B, RB-5B, and RB-7B were removed from the ref</w:t>
      </w:r>
      <w:r>
        <w:t>lector in the cycle 400 model.</w:t>
      </w:r>
      <w:r w:rsidRPr="00A13E33">
        <w:t xml:space="preserve">  The europium liner in RB-7A was changed to aluminum and the content of RB-3A was changed from an aluminum target to a beryllium plug.  Horizontal </w:t>
      </w:r>
      <w:r>
        <w:t xml:space="preserve">beam tubes 2 </w:t>
      </w:r>
      <w:r w:rsidRPr="00A13E33">
        <w:t>and 4</w:t>
      </w:r>
      <w:r>
        <w:t xml:space="preserve"> (HB-2 and HB-4)</w:t>
      </w:r>
      <w:r w:rsidRPr="00A13E33">
        <w:t xml:space="preserve"> were modified to replicate their original configurations and the two engineering facilities (EF-3 and EF-4) that were physically removed in 2000 were reinserted into the berylliu</w:t>
      </w:r>
      <w:r>
        <w:t>m reflector in the MCNP model.</w:t>
      </w:r>
      <w:r w:rsidR="00D3484A">
        <w:t xml:space="preserve">  </w:t>
      </w:r>
      <w:r w:rsidR="00D3484A" w:rsidRPr="00050B54">
        <w:t>Chapter 4</w:t>
      </w:r>
      <w:r w:rsidRPr="00A13E33">
        <w:t xml:space="preserve"> was utilized to determine these changes.</w:t>
      </w:r>
      <w:r w:rsidR="00E9030C">
        <w:t xml:space="preserve">  The final MCNP geometry utilized for this study after making all the changes described in the previous paragraphs are illustrated in </w:t>
      </w:r>
      <w:r w:rsidR="007511FA">
        <w:rPr>
          <w:highlight w:val="yellow"/>
        </w:rPr>
        <w:fldChar w:fldCharType="begin"/>
      </w:r>
      <w:r w:rsidR="003E77A1">
        <w:instrText xml:space="preserve"> REF _Ref285535465 \h </w:instrText>
      </w:r>
      <w:r w:rsidR="007511FA">
        <w:rPr>
          <w:highlight w:val="yellow"/>
        </w:rPr>
      </w:r>
      <w:r w:rsidR="007511FA">
        <w:rPr>
          <w:highlight w:val="yellow"/>
        </w:rPr>
        <w:fldChar w:fldCharType="separate"/>
      </w:r>
      <w:r w:rsidR="00D5167B">
        <w:t xml:space="preserve">Figure </w:t>
      </w:r>
      <w:r w:rsidR="00D5167B">
        <w:rPr>
          <w:noProof/>
        </w:rPr>
        <w:t>5</w:t>
      </w:r>
      <w:r w:rsidR="00D5167B">
        <w:t>.</w:t>
      </w:r>
      <w:r w:rsidR="00D5167B">
        <w:rPr>
          <w:noProof/>
        </w:rPr>
        <w:t>3</w:t>
      </w:r>
      <w:r w:rsidR="007511FA">
        <w:rPr>
          <w:highlight w:val="yellow"/>
        </w:rPr>
        <w:fldChar w:fldCharType="end"/>
      </w:r>
      <w:r w:rsidR="00E9030C">
        <w:t xml:space="preserve"> (x-y cross section) and </w:t>
      </w:r>
      <w:r w:rsidR="007511FA">
        <w:rPr>
          <w:highlight w:val="yellow"/>
        </w:rPr>
        <w:fldChar w:fldCharType="begin"/>
      </w:r>
      <w:r w:rsidR="003E77A1">
        <w:instrText xml:space="preserve"> REF _Ref285535470 \h </w:instrText>
      </w:r>
      <w:r w:rsidR="007511FA">
        <w:rPr>
          <w:highlight w:val="yellow"/>
        </w:rPr>
      </w:r>
      <w:r w:rsidR="007511FA">
        <w:rPr>
          <w:highlight w:val="yellow"/>
        </w:rPr>
        <w:fldChar w:fldCharType="separate"/>
      </w:r>
      <w:r w:rsidR="00D5167B">
        <w:t xml:space="preserve">Figure </w:t>
      </w:r>
      <w:r w:rsidR="00D5167B">
        <w:rPr>
          <w:noProof/>
        </w:rPr>
        <w:t>5</w:t>
      </w:r>
      <w:r w:rsidR="00D5167B">
        <w:t>.</w:t>
      </w:r>
      <w:r w:rsidR="00D5167B">
        <w:rPr>
          <w:noProof/>
        </w:rPr>
        <w:t>4</w:t>
      </w:r>
      <w:r w:rsidR="007511FA">
        <w:rPr>
          <w:highlight w:val="yellow"/>
        </w:rPr>
        <w:fldChar w:fldCharType="end"/>
      </w:r>
      <w:r w:rsidR="00E9030C">
        <w:t xml:space="preserve"> (x-z cross section).</w:t>
      </w:r>
    </w:p>
    <w:p w:rsidR="00E9030C" w:rsidRDefault="00E9030C">
      <w:pPr>
        <w:spacing w:before="0" w:after="200" w:line="276" w:lineRule="auto"/>
      </w:pPr>
      <w:r>
        <w:br w:type="page"/>
      </w:r>
    </w:p>
    <w:p w:rsidR="000B6F66" w:rsidRDefault="00E9030C" w:rsidP="00946F5C">
      <w:pPr>
        <w:spacing w:before="0" w:after="0" w:line="240" w:lineRule="auto"/>
        <w:ind w:firstLine="0"/>
        <w:jc w:val="center"/>
      </w:pPr>
      <w:r w:rsidRPr="00E9030C">
        <w:rPr>
          <w:noProof/>
        </w:rPr>
        <w:lastRenderedPageBreak/>
        <w:drawing>
          <wp:inline distT="0" distB="0" distL="0" distR="0">
            <wp:extent cx="4311880" cy="3374967"/>
            <wp:effectExtent l="19050" t="0" r="0" b="0"/>
            <wp:docPr id="42" name="Object 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348288" cy="4389437"/>
                      <a:chOff x="114300" y="868363"/>
                      <a:chExt cx="5348288" cy="4389437"/>
                    </a:xfrm>
                  </a:grpSpPr>
                  <a:grpSp>
                    <a:nvGrpSpPr>
                      <a:cNvPr id="26" name="Group 25"/>
                      <a:cNvGrpSpPr/>
                    </a:nvGrpSpPr>
                    <a:grpSpPr>
                      <a:xfrm>
                        <a:off x="114300" y="868363"/>
                        <a:ext cx="5348288" cy="4389437"/>
                        <a:chOff x="114300" y="868363"/>
                        <a:chExt cx="5348288" cy="4389437"/>
                      </a:xfrm>
                    </a:grpSpPr>
                    <a:pic>
                      <a:nvPicPr>
                        <a:cNvPr id="4" name="Picture 2"/>
                        <a:cNvPicPr>
                          <a:picLocks noChangeArrowheads="1"/>
                        </a:cNvPicPr>
                      </a:nvPicPr>
                      <a:blipFill>
                        <a:blip r:embed="rId37" cstate="print"/>
                        <a:srcRect l="3438" t="14063" r="58749" b="7031"/>
                        <a:stretch>
                          <a:fillRect/>
                        </a:stretch>
                      </a:blipFill>
                      <a:spPr bwMode="auto">
                        <a:xfrm>
                          <a:off x="258763" y="868363"/>
                          <a:ext cx="4389437" cy="4389437"/>
                        </a:xfrm>
                        <a:prstGeom prst="rect">
                          <a:avLst/>
                        </a:prstGeom>
                        <a:noFill/>
                        <a:ln w="9525">
                          <a:noFill/>
                          <a:miter lim="800000"/>
                          <a:headEnd/>
                          <a:tailEnd/>
                        </a:ln>
                      </a:spPr>
                    </a:pic>
                    <a:grpSp>
                      <a:nvGrpSpPr>
                        <a:cNvPr id="5" name="Group 71"/>
                        <a:cNvGrpSpPr>
                          <a:grpSpLocks/>
                        </a:cNvGrpSpPr>
                      </a:nvGrpSpPr>
                      <a:grpSpPr bwMode="auto">
                        <a:xfrm>
                          <a:off x="114302" y="942973"/>
                          <a:ext cx="5348290" cy="4216396"/>
                          <a:chOff x="4555750" y="1126173"/>
                          <a:chExt cx="5302551" cy="4186513"/>
                        </a:xfrm>
                      </a:grpSpPr>
                      <a:sp>
                        <a:nvSpPr>
                          <a:cNvPr id="6" name="TextBox 38"/>
                          <a:cNvSpPr txBox="1">
                            <a:spLocks noChangeArrowheads="1"/>
                          </a:cNvSpPr>
                        </a:nvSpPr>
                        <a:spPr bwMode="auto">
                          <a:xfrm>
                            <a:off x="4648193" y="3119327"/>
                            <a:ext cx="815339" cy="276970"/>
                          </a:xfrm>
                          <a:prstGeom prst="rect">
                            <a:avLst/>
                          </a:prstGeom>
                          <a:noFill/>
                          <a:ln w="9525">
                            <a:noFill/>
                            <a:miter lim="800000"/>
                            <a:headEnd/>
                            <a:tailEnd/>
                          </a:ln>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1200">
                                  <a:latin typeface="Arial Black" pitchFamily="34" charset="0"/>
                                </a:rPr>
                                <a:t>HB-2</a:t>
                              </a:r>
                            </a:p>
                          </a:txBody>
                          <a:useSpRect/>
                        </a:txSp>
                      </a:sp>
                      <a:sp>
                        <a:nvSpPr>
                          <a:cNvPr id="7" name="TextBox 39"/>
                          <a:cNvSpPr txBox="1">
                            <a:spLocks noChangeArrowheads="1"/>
                          </a:cNvSpPr>
                        </a:nvSpPr>
                        <a:spPr bwMode="auto">
                          <a:xfrm rot="-3683501">
                            <a:off x="6643341" y="4683871"/>
                            <a:ext cx="815340" cy="307734"/>
                          </a:xfrm>
                          <a:prstGeom prst="rect">
                            <a:avLst/>
                          </a:prstGeom>
                          <a:noFill/>
                          <a:ln w="9525">
                            <a:noFill/>
                            <a:miter lim="800000"/>
                            <a:headEnd/>
                            <a:tailEnd/>
                          </a:ln>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400">
                                  <a:latin typeface="Arial Black" pitchFamily="34" charset="0"/>
                                </a:rPr>
                                <a:t>HB-3</a:t>
                              </a:r>
                            </a:p>
                          </a:txBody>
                          <a:useSpRect/>
                        </a:txSp>
                      </a:sp>
                      <a:sp>
                        <a:nvSpPr>
                          <a:cNvPr id="8" name="TextBox 40"/>
                          <a:cNvSpPr txBox="1">
                            <a:spLocks noChangeArrowheads="1"/>
                          </a:cNvSpPr>
                        </a:nvSpPr>
                        <a:spPr bwMode="auto">
                          <a:xfrm rot="3705901">
                            <a:off x="7233262" y="1642593"/>
                            <a:ext cx="815340" cy="276960"/>
                          </a:xfrm>
                          <a:prstGeom prst="rect">
                            <a:avLst/>
                          </a:prstGeom>
                          <a:noFill/>
                          <a:ln w="9525">
                            <a:noFill/>
                            <a:miter lim="800000"/>
                            <a:headEnd/>
                            <a:tailEnd/>
                          </a:ln>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1200">
                                  <a:latin typeface="Arial Black" pitchFamily="34" charset="0"/>
                                </a:rPr>
                                <a:t>HB-1</a:t>
                              </a:r>
                            </a:p>
                          </a:txBody>
                          <a:useSpRect/>
                        </a:txSp>
                      </a:sp>
                      <a:sp>
                        <a:nvSpPr>
                          <a:cNvPr id="9" name="TextBox 41"/>
                          <a:cNvSpPr txBox="1">
                            <a:spLocks noChangeArrowheads="1"/>
                          </a:cNvSpPr>
                        </a:nvSpPr>
                        <a:spPr bwMode="auto">
                          <a:xfrm rot="3548744">
                            <a:off x="8049718" y="3050453"/>
                            <a:ext cx="815340" cy="276960"/>
                          </a:xfrm>
                          <a:prstGeom prst="rect">
                            <a:avLst/>
                          </a:prstGeom>
                          <a:noFill/>
                          <a:ln w="9525">
                            <a:noFill/>
                            <a:miter lim="800000"/>
                            <a:headEnd/>
                            <a:tailEnd/>
                          </a:ln>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1200">
                                  <a:latin typeface="Arial Black" pitchFamily="34" charset="0"/>
                                </a:rPr>
                                <a:t>HB-4</a:t>
                              </a:r>
                            </a:p>
                          </a:txBody>
                          <a:useSpRect/>
                        </a:txSp>
                      </a:sp>
                      <a:sp>
                        <a:nvSpPr>
                          <a:cNvPr id="10" name="TextBox 42"/>
                          <a:cNvSpPr txBox="1">
                            <a:spLocks noChangeArrowheads="1"/>
                          </a:cNvSpPr>
                        </a:nvSpPr>
                        <a:spPr bwMode="auto">
                          <a:xfrm>
                            <a:off x="4646652" y="1805936"/>
                            <a:ext cx="609513" cy="276970"/>
                          </a:xfrm>
                          <a:prstGeom prst="rect">
                            <a:avLst/>
                          </a:prstGeom>
                          <a:noFill/>
                          <a:ln w="22225" cap="rnd">
                            <a:solidFill>
                              <a:schemeClr val="tx1"/>
                            </a:solidFill>
                            <a:miter lim="800000"/>
                            <a:headEnd/>
                            <a:tailEnd/>
                          </a:ln>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1200">
                                  <a:latin typeface="Arial Black" pitchFamily="34" charset="0"/>
                                </a:rPr>
                                <a:t>EF-3</a:t>
                              </a:r>
                            </a:p>
                          </a:txBody>
                          <a:useSpRect/>
                        </a:txSp>
                      </a:sp>
                      <a:sp>
                        <a:nvSpPr>
                          <a:cNvPr id="11" name="TextBox 43"/>
                          <a:cNvSpPr txBox="1">
                            <a:spLocks noChangeArrowheads="1"/>
                          </a:cNvSpPr>
                        </a:nvSpPr>
                        <a:spPr bwMode="auto">
                          <a:xfrm>
                            <a:off x="4555750" y="4170032"/>
                            <a:ext cx="601894" cy="276970"/>
                          </a:xfrm>
                          <a:prstGeom prst="rect">
                            <a:avLst/>
                          </a:prstGeom>
                          <a:noFill/>
                          <a:ln w="22225" cap="rnd">
                            <a:solidFill>
                              <a:schemeClr val="tx1"/>
                            </a:solidFill>
                            <a:miter lim="800000"/>
                            <a:headEnd/>
                            <a:tailEnd/>
                          </a:ln>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1200">
                                  <a:latin typeface="Arial Black" pitchFamily="34" charset="0"/>
                                </a:rPr>
                                <a:t>EF-4</a:t>
                              </a:r>
                            </a:p>
                          </a:txBody>
                          <a:useSpRect/>
                        </a:txSp>
                      </a:sp>
                      <a:sp>
                        <a:nvSpPr>
                          <a:cNvPr id="12" name="TextBox 44"/>
                          <a:cNvSpPr txBox="1">
                            <a:spLocks noChangeArrowheads="1"/>
                          </a:cNvSpPr>
                        </a:nvSpPr>
                        <a:spPr bwMode="auto">
                          <a:xfrm>
                            <a:off x="5462348" y="1126173"/>
                            <a:ext cx="594145" cy="276970"/>
                          </a:xfrm>
                          <a:prstGeom prst="rect">
                            <a:avLst/>
                          </a:prstGeom>
                          <a:noFill/>
                          <a:ln w="22225" cap="rnd">
                            <a:solidFill>
                              <a:schemeClr val="tx1"/>
                            </a:solidFill>
                            <a:miter lim="800000"/>
                            <a:headEnd/>
                            <a:tailEnd/>
                          </a:ln>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1200">
                                  <a:latin typeface="Arial Black" pitchFamily="34" charset="0"/>
                                </a:rPr>
                                <a:t>EF-2</a:t>
                              </a:r>
                            </a:p>
                          </a:txBody>
                          <a:useSpRect/>
                        </a:txSp>
                      </a:sp>
                      <a:sp>
                        <a:nvSpPr>
                          <a:cNvPr id="13" name="TextBox 45"/>
                          <a:cNvSpPr txBox="1">
                            <a:spLocks noChangeArrowheads="1"/>
                          </a:cNvSpPr>
                        </a:nvSpPr>
                        <a:spPr bwMode="auto">
                          <a:xfrm>
                            <a:off x="8348443" y="1515161"/>
                            <a:ext cx="570898" cy="276970"/>
                          </a:xfrm>
                          <a:prstGeom prst="rect">
                            <a:avLst/>
                          </a:prstGeom>
                          <a:noFill/>
                          <a:ln w="22225" cap="rnd">
                            <a:solidFill>
                              <a:schemeClr val="tx1"/>
                            </a:solidFill>
                            <a:miter lim="800000"/>
                            <a:headEnd/>
                            <a:tailEnd/>
                          </a:ln>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1200">
                                  <a:latin typeface="Arial Black" pitchFamily="34" charset="0"/>
                                </a:rPr>
                                <a:t>EF-1</a:t>
                              </a:r>
                            </a:p>
                          </a:txBody>
                          <a:useSpRect/>
                        </a:txSp>
                      </a:sp>
                      <a:cxnSp>
                        <a:nvCxnSpPr>
                          <a:cNvPr id="14" name="Straight Arrow Connector 13"/>
                          <a:cNvCxnSpPr/>
                        </a:nvCxnSpPr>
                        <a:spPr bwMode="auto">
                          <a:xfrm rot="16200000" flipH="1">
                            <a:off x="4776656" y="2134334"/>
                            <a:ext cx="313673" cy="204610"/>
                          </a:xfrm>
                          <a:prstGeom prst="straightConnector1">
                            <a:avLst/>
                          </a:prstGeom>
                          <a:ln>
                            <a:headEnd type="none" w="med" len="med"/>
                            <a:tailEnd type="arrow"/>
                          </a:ln>
                        </a:spPr>
                        <a:style>
                          <a:lnRef idx="2">
                            <a:schemeClr val="dk1"/>
                          </a:lnRef>
                          <a:fillRef idx="0">
                            <a:schemeClr val="dk1"/>
                          </a:fillRef>
                          <a:effectRef idx="1">
                            <a:schemeClr val="dk1"/>
                          </a:effectRef>
                          <a:fontRef idx="minor">
                            <a:schemeClr val="tx1"/>
                          </a:fontRef>
                        </a:style>
                      </a:cxnSp>
                      <a:cxnSp>
                        <a:nvCxnSpPr>
                          <a:cNvPr id="15" name="Straight Arrow Connector 14"/>
                          <a:cNvCxnSpPr/>
                        </a:nvCxnSpPr>
                        <a:spPr bwMode="auto">
                          <a:xfrm rot="5400000" flipH="1" flipV="1">
                            <a:off x="4774267" y="3950944"/>
                            <a:ext cx="349927" cy="182575"/>
                          </a:xfrm>
                          <a:prstGeom prst="straightConnector1">
                            <a:avLst/>
                          </a:prstGeom>
                          <a:ln>
                            <a:headEnd type="none" w="med" len="med"/>
                            <a:tailEnd type="arrow"/>
                          </a:ln>
                        </a:spPr>
                        <a:style>
                          <a:lnRef idx="2">
                            <a:schemeClr val="dk1"/>
                          </a:lnRef>
                          <a:fillRef idx="0">
                            <a:schemeClr val="dk1"/>
                          </a:fillRef>
                          <a:effectRef idx="1">
                            <a:schemeClr val="dk1"/>
                          </a:effectRef>
                          <a:fontRef idx="minor">
                            <a:schemeClr val="tx1"/>
                          </a:fontRef>
                        </a:style>
                      </a:cxnSp>
                      <a:cxnSp>
                        <a:nvCxnSpPr>
                          <a:cNvPr id="16" name="Straight Arrow Connector 15"/>
                          <a:cNvCxnSpPr/>
                        </a:nvCxnSpPr>
                        <a:spPr bwMode="auto">
                          <a:xfrm rot="5400000">
                            <a:off x="8428132" y="1974992"/>
                            <a:ext cx="351503" cy="12591"/>
                          </a:xfrm>
                          <a:prstGeom prst="straightConnector1">
                            <a:avLst/>
                          </a:prstGeom>
                          <a:ln>
                            <a:headEnd type="none" w="med" len="med"/>
                            <a:tailEnd type="arrow"/>
                          </a:ln>
                        </a:spPr>
                        <a:style>
                          <a:lnRef idx="2">
                            <a:schemeClr val="dk1"/>
                          </a:lnRef>
                          <a:fillRef idx="0">
                            <a:schemeClr val="dk1"/>
                          </a:fillRef>
                          <a:effectRef idx="1">
                            <a:schemeClr val="dk1"/>
                          </a:effectRef>
                          <a:fontRef idx="minor">
                            <a:schemeClr val="tx1"/>
                          </a:fontRef>
                        </a:style>
                      </a:cxnSp>
                      <a:cxnSp>
                        <a:nvCxnSpPr>
                          <a:cNvPr id="17" name="Straight Arrow Connector 16"/>
                          <a:cNvCxnSpPr/>
                        </a:nvCxnSpPr>
                        <a:spPr bwMode="auto">
                          <a:xfrm>
                            <a:off x="5991169" y="1201833"/>
                            <a:ext cx="440699" cy="132405"/>
                          </a:xfrm>
                          <a:prstGeom prst="straightConnector1">
                            <a:avLst/>
                          </a:prstGeom>
                          <a:ln>
                            <a:headEnd type="none" w="med" len="med"/>
                            <a:tailEnd type="arrow"/>
                          </a:ln>
                        </a:spPr>
                        <a:style>
                          <a:lnRef idx="2">
                            <a:schemeClr val="dk1"/>
                          </a:lnRef>
                          <a:fillRef idx="0">
                            <a:schemeClr val="dk1"/>
                          </a:fillRef>
                          <a:effectRef idx="1">
                            <a:schemeClr val="dk1"/>
                          </a:effectRef>
                          <a:fontRef idx="minor">
                            <a:schemeClr val="tx1"/>
                          </a:fontRef>
                        </a:style>
                      </a:cxnSp>
                      <a:cxnSp>
                        <a:nvCxnSpPr>
                          <a:cNvPr id="18" name="Straight Arrow Connector 17"/>
                          <a:cNvCxnSpPr/>
                        </a:nvCxnSpPr>
                        <a:spPr bwMode="auto">
                          <a:xfrm rot="16200000" flipH="1">
                            <a:off x="4796299" y="1764258"/>
                            <a:ext cx="1421775" cy="665769"/>
                          </a:xfrm>
                          <a:prstGeom prst="straightConnector1">
                            <a:avLst/>
                          </a:prstGeom>
                          <a:ln>
                            <a:headEnd type="none" w="med" len="med"/>
                            <a:tailEnd type="arrow"/>
                          </a:ln>
                        </a:spPr>
                        <a:style>
                          <a:lnRef idx="2">
                            <a:schemeClr val="dk1"/>
                          </a:lnRef>
                          <a:fillRef idx="0">
                            <a:schemeClr val="dk1"/>
                          </a:fillRef>
                          <a:effectRef idx="1">
                            <a:schemeClr val="dk1"/>
                          </a:effectRef>
                          <a:fontRef idx="minor">
                            <a:schemeClr val="tx1"/>
                          </a:fontRef>
                        </a:style>
                      </a:cxnSp>
                      <a:sp>
                        <a:nvSpPr>
                          <a:cNvPr id="19" name="TextBox 57"/>
                          <a:cNvSpPr txBox="1">
                            <a:spLocks noChangeArrowheads="1"/>
                          </a:cNvSpPr>
                        </a:nvSpPr>
                        <a:spPr bwMode="auto">
                          <a:xfrm>
                            <a:off x="4747228" y="1127736"/>
                            <a:ext cx="662833" cy="276970"/>
                          </a:xfrm>
                          <a:prstGeom prst="rect">
                            <a:avLst/>
                          </a:prstGeom>
                          <a:noFill/>
                          <a:ln w="22225" cap="rnd">
                            <a:solidFill>
                              <a:schemeClr val="tx1"/>
                            </a:solidFill>
                            <a:miter lim="800000"/>
                            <a:headEnd/>
                            <a:tailEnd/>
                          </a:ln>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1200">
                                  <a:latin typeface="Arial Black" pitchFamily="34" charset="0"/>
                                </a:rPr>
                                <a:t>CRAP</a:t>
                              </a:r>
                            </a:p>
                          </a:txBody>
                          <a:useSpRect/>
                        </a:txSp>
                      </a:sp>
                      <a:sp>
                        <a:nvSpPr>
                          <a:cNvPr id="20" name="TextBox 59"/>
                          <a:cNvSpPr txBox="1">
                            <a:spLocks noChangeArrowheads="1"/>
                          </a:cNvSpPr>
                        </a:nvSpPr>
                        <a:spPr bwMode="auto">
                          <a:xfrm>
                            <a:off x="4631300" y="4851069"/>
                            <a:ext cx="1089497" cy="461617"/>
                          </a:xfrm>
                          <a:prstGeom prst="rect">
                            <a:avLst/>
                          </a:prstGeom>
                          <a:noFill/>
                          <a:ln w="22225" cap="rnd">
                            <a:solidFill>
                              <a:schemeClr val="tx1"/>
                            </a:solidFill>
                            <a:miter lim="800000"/>
                            <a:headEnd/>
                            <a:tailEnd/>
                          </a:ln>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1200">
                                  <a:latin typeface="Arial Black" pitchFamily="34" charset="0"/>
                                </a:rPr>
                                <a:t>Small &amp; Large VXF</a:t>
                              </a:r>
                            </a:p>
                          </a:txBody>
                          <a:useSpRect/>
                        </a:txSp>
                      </a:sp>
                      <a:cxnSp>
                        <a:nvCxnSpPr>
                          <a:cNvPr id="21" name="Straight Arrow Connector 20"/>
                          <a:cNvCxnSpPr/>
                        </a:nvCxnSpPr>
                        <a:spPr bwMode="auto">
                          <a:xfrm rot="5400000" flipH="1" flipV="1">
                            <a:off x="5266773" y="4441235"/>
                            <a:ext cx="529619" cy="289602"/>
                          </a:xfrm>
                          <a:prstGeom prst="straightConnector1">
                            <a:avLst/>
                          </a:prstGeom>
                          <a:ln>
                            <a:headEnd type="none" w="med" len="med"/>
                            <a:tailEnd type="arrow"/>
                          </a:ln>
                        </a:spPr>
                        <a:style>
                          <a:lnRef idx="2">
                            <a:schemeClr val="dk1"/>
                          </a:lnRef>
                          <a:fillRef idx="0">
                            <a:schemeClr val="dk1"/>
                          </a:fillRef>
                          <a:effectRef idx="1">
                            <a:schemeClr val="dk1"/>
                          </a:effectRef>
                          <a:fontRef idx="minor">
                            <a:schemeClr val="tx1"/>
                          </a:fontRef>
                        </a:style>
                      </a:cxnSp>
                      <a:cxnSp>
                        <a:nvCxnSpPr>
                          <a:cNvPr id="22" name="Straight Arrow Connector 21"/>
                          <a:cNvCxnSpPr/>
                        </a:nvCxnSpPr>
                        <a:spPr bwMode="auto">
                          <a:xfrm flipV="1">
                            <a:off x="5585096" y="4690069"/>
                            <a:ext cx="377742" cy="302639"/>
                          </a:xfrm>
                          <a:prstGeom prst="straightConnector1">
                            <a:avLst/>
                          </a:prstGeom>
                          <a:ln>
                            <a:headEnd type="none" w="med" len="med"/>
                            <a:tailEnd type="arrow"/>
                          </a:ln>
                        </a:spPr>
                        <a:style>
                          <a:lnRef idx="2">
                            <a:schemeClr val="dk1"/>
                          </a:lnRef>
                          <a:fillRef idx="0">
                            <a:schemeClr val="dk1"/>
                          </a:fillRef>
                          <a:effectRef idx="1">
                            <a:schemeClr val="dk1"/>
                          </a:effectRef>
                          <a:fontRef idx="minor">
                            <a:schemeClr val="tx1"/>
                          </a:fontRef>
                        </a:style>
                      </a:cxnSp>
                      <a:sp>
                        <a:nvSpPr>
                          <a:cNvPr id="23" name="TextBox 64"/>
                          <a:cNvSpPr txBox="1">
                            <a:spLocks noChangeArrowheads="1"/>
                          </a:cNvSpPr>
                        </a:nvSpPr>
                        <a:spPr bwMode="auto">
                          <a:xfrm>
                            <a:off x="8182138" y="2393659"/>
                            <a:ext cx="1676163" cy="276970"/>
                          </a:xfrm>
                          <a:prstGeom prst="rect">
                            <a:avLst/>
                          </a:prstGeom>
                          <a:noFill/>
                          <a:ln w="22225" cap="rnd">
                            <a:solidFill>
                              <a:schemeClr val="tx1"/>
                            </a:solidFill>
                            <a:miter lim="800000"/>
                            <a:headEnd/>
                            <a:tailEnd/>
                          </a:ln>
                        </a:spPr>
                        <a:txSp>
                          <a:txBody>
                            <a:bodyPr>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1200">
                                  <a:latin typeface="Arial Black" pitchFamily="34" charset="0"/>
                                </a:rPr>
                                <a:t>Small &amp; Large RB</a:t>
                              </a:r>
                            </a:p>
                          </a:txBody>
                          <a:useSpRect/>
                        </a:txSp>
                      </a:sp>
                      <a:cxnSp>
                        <a:nvCxnSpPr>
                          <a:cNvPr id="24" name="Straight Arrow Connector 23"/>
                          <a:cNvCxnSpPr>
                            <a:stCxn id="23" idx="1"/>
                          </a:cNvCxnSpPr>
                        </a:nvCxnSpPr>
                        <a:spPr bwMode="auto">
                          <a:xfrm rot="10800000">
                            <a:off x="7162168" y="2308359"/>
                            <a:ext cx="1019903" cy="223827"/>
                          </a:xfrm>
                          <a:prstGeom prst="straightConnector1">
                            <a:avLst/>
                          </a:prstGeom>
                          <a:ln>
                            <a:headEnd type="none" w="med" len="med"/>
                            <a:tailEnd type="arrow"/>
                          </a:ln>
                        </a:spPr>
                        <a:style>
                          <a:lnRef idx="2">
                            <a:schemeClr val="dk1"/>
                          </a:lnRef>
                          <a:fillRef idx="0">
                            <a:schemeClr val="dk1"/>
                          </a:fillRef>
                          <a:effectRef idx="1">
                            <a:schemeClr val="dk1"/>
                          </a:effectRef>
                          <a:fontRef idx="minor">
                            <a:schemeClr val="tx1"/>
                          </a:fontRef>
                        </a:style>
                      </a:cxnSp>
                      <a:cxnSp>
                        <a:nvCxnSpPr>
                          <a:cNvPr id="25" name="Straight Arrow Connector 24"/>
                          <a:cNvCxnSpPr>
                            <a:stCxn id="23" idx="1"/>
                          </a:cNvCxnSpPr>
                        </a:nvCxnSpPr>
                        <a:spPr bwMode="auto">
                          <a:xfrm rot="10800000" flipV="1">
                            <a:off x="7766555" y="2532186"/>
                            <a:ext cx="415516" cy="230132"/>
                          </a:xfrm>
                          <a:prstGeom prst="straightConnector1">
                            <a:avLst/>
                          </a:prstGeom>
                          <a:ln>
                            <a:headEnd type="none" w="med" len="med"/>
                            <a:tailEnd type="arrow"/>
                          </a:ln>
                        </a:spPr>
                        <a:style>
                          <a:lnRef idx="2">
                            <a:schemeClr val="dk1"/>
                          </a:lnRef>
                          <a:fillRef idx="0">
                            <a:schemeClr val="dk1"/>
                          </a:fillRef>
                          <a:effectRef idx="1">
                            <a:schemeClr val="dk1"/>
                          </a:effectRef>
                          <a:fontRef idx="minor">
                            <a:schemeClr val="tx1"/>
                          </a:fontRef>
                        </a:style>
                      </a:cxnSp>
                    </a:grpSp>
                  </a:grpSp>
                </lc:lockedCanvas>
              </a:graphicData>
            </a:graphic>
          </wp:inline>
        </w:drawing>
      </w:r>
    </w:p>
    <w:p w:rsidR="00E9030C" w:rsidRPr="00E9030C" w:rsidRDefault="003E77A1" w:rsidP="00946F5C">
      <w:pPr>
        <w:pStyle w:val="Caption"/>
        <w:spacing w:after="0"/>
      </w:pPr>
      <w:bookmarkStart w:id="184" w:name="_Ref285535465"/>
      <w:bookmarkStart w:id="185" w:name="_Toc295818208"/>
      <w:proofErr w:type="gramStart"/>
      <w:r>
        <w:t xml:space="preserve">Figure </w:t>
      </w:r>
      <w:r w:rsidR="007511FA">
        <w:fldChar w:fldCharType="begin"/>
      </w:r>
      <w:r w:rsidR="00AE17F8">
        <w:instrText xml:space="preserve"> STYLEREF 1 \s </w:instrText>
      </w:r>
      <w:r w:rsidR="007511FA">
        <w:fldChar w:fldCharType="separate"/>
      </w:r>
      <w:r w:rsidR="00D5167B">
        <w:rPr>
          <w:noProof/>
        </w:rPr>
        <w:t>5</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3</w:t>
      </w:r>
      <w:r w:rsidR="007511FA">
        <w:fldChar w:fldCharType="end"/>
      </w:r>
      <w:bookmarkEnd w:id="184"/>
      <w:r w:rsidR="00E9030C">
        <w:t xml:space="preserve">.  </w:t>
      </w:r>
      <w:proofErr w:type="gramStart"/>
      <w:r w:rsidR="00E9030C">
        <w:t xml:space="preserve">Cross </w:t>
      </w:r>
      <w:r w:rsidR="00E9030C" w:rsidRPr="00382712">
        <w:t xml:space="preserve">section </w:t>
      </w:r>
      <w:r w:rsidR="00E9030C">
        <w:t xml:space="preserve">of HFIR MCNP model </w:t>
      </w:r>
      <w:r w:rsidR="00E9030C" w:rsidRPr="00382712">
        <w:t>at the horizontal midplane</w:t>
      </w:r>
      <w:r w:rsidR="00E9030C">
        <w:t>.</w:t>
      </w:r>
      <w:bookmarkEnd w:id="185"/>
      <w:proofErr w:type="gramEnd"/>
    </w:p>
    <w:p w:rsidR="00E9030C" w:rsidRDefault="00E9030C" w:rsidP="00946F5C">
      <w:pPr>
        <w:spacing w:before="0" w:after="200"/>
      </w:pPr>
    </w:p>
    <w:p w:rsidR="00E9030C" w:rsidRDefault="00E9030C" w:rsidP="00946F5C">
      <w:pPr>
        <w:spacing w:before="0" w:after="0" w:line="240" w:lineRule="auto"/>
        <w:ind w:firstLine="0"/>
        <w:jc w:val="center"/>
      </w:pPr>
      <w:r w:rsidRPr="00E9030C">
        <w:rPr>
          <w:noProof/>
        </w:rPr>
        <w:drawing>
          <wp:inline distT="0" distB="0" distL="0" distR="0">
            <wp:extent cx="2840528" cy="3707476"/>
            <wp:effectExtent l="19050" t="0" r="0" b="0"/>
            <wp:docPr id="44" name="Object 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409950" cy="5029200"/>
                      <a:chOff x="5553075" y="857250"/>
                      <a:chExt cx="3409950" cy="5029200"/>
                    </a:xfrm>
                  </a:grpSpPr>
                  <a:pic>
                    <a:nvPicPr>
                      <a:cNvPr id="15371" name="Picture 1"/>
                      <a:cNvPicPr>
                        <a:picLocks noChangeAspect="1" noChangeArrowheads="1"/>
                      </a:cNvPicPr>
                    </a:nvPicPr>
                    <a:blipFill>
                      <a:blip r:embed="rId38" cstate="print"/>
                      <a:srcRect l="15936" t="15625" r="65627" b="16406"/>
                      <a:stretch>
                        <a:fillRect/>
                      </a:stretch>
                    </a:blipFill>
                    <a:spPr bwMode="auto">
                      <a:xfrm>
                        <a:off x="5553075" y="857250"/>
                        <a:ext cx="3409950" cy="5029200"/>
                      </a:xfrm>
                      <a:prstGeom prst="rect">
                        <a:avLst/>
                      </a:prstGeom>
                      <a:noFill/>
                      <a:ln w="9525">
                        <a:noFill/>
                        <a:miter lim="800000"/>
                        <a:headEnd/>
                        <a:tailEnd/>
                      </a:ln>
                    </a:spPr>
                  </a:pic>
                  <a:sp>
                    <a:nvSpPr>
                      <a:cNvPr id="66" name="Left Brace 65"/>
                      <a:cNvSpPr/>
                    </a:nvSpPr>
                    <a:spPr bwMode="auto">
                      <a:xfrm rot="5400000">
                        <a:off x="7867650" y="1543050"/>
                        <a:ext cx="304800" cy="438150"/>
                      </a:xfrm>
                      <a:prstGeom prst="leftBrace">
                        <a:avLst/>
                      </a:prstGeom>
                    </a:spPr>
                    <a:txSp>
                      <a:txBody>
                        <a:bodyPr anchor="ctr"/>
                        <a:lstStyle>
                          <a:defPPr>
                            <a:defRPr lang="en-US"/>
                          </a:defPPr>
                          <a:lvl1pPr algn="l" rtl="0" fontAlgn="base">
                            <a:spcBef>
                              <a:spcPct val="0"/>
                            </a:spcBef>
                            <a:spcAft>
                              <a:spcPct val="0"/>
                            </a:spcAft>
                            <a:defRPr kern="1200">
                              <a:solidFill>
                                <a:schemeClr val="tx1"/>
                              </a:solidFill>
                              <a:latin typeface="+mn-lt"/>
                              <a:ea typeface="+mn-ea"/>
                              <a:cs typeface="+mn-cs"/>
                            </a:defRPr>
                          </a:lvl1pPr>
                          <a:lvl2pPr marL="457200" algn="l" rtl="0" fontAlgn="base">
                            <a:spcBef>
                              <a:spcPct val="0"/>
                            </a:spcBef>
                            <a:spcAft>
                              <a:spcPct val="0"/>
                            </a:spcAft>
                            <a:defRPr kern="1200">
                              <a:solidFill>
                                <a:schemeClr val="tx1"/>
                              </a:solidFill>
                              <a:latin typeface="+mn-lt"/>
                              <a:ea typeface="+mn-ea"/>
                              <a:cs typeface="+mn-cs"/>
                            </a:defRPr>
                          </a:lvl2pPr>
                          <a:lvl3pPr marL="914400" algn="l" rtl="0" fontAlgn="base">
                            <a:spcBef>
                              <a:spcPct val="0"/>
                            </a:spcBef>
                            <a:spcAft>
                              <a:spcPct val="0"/>
                            </a:spcAft>
                            <a:defRPr kern="1200">
                              <a:solidFill>
                                <a:schemeClr val="tx1"/>
                              </a:solidFill>
                              <a:latin typeface="+mn-lt"/>
                              <a:ea typeface="+mn-ea"/>
                              <a:cs typeface="+mn-cs"/>
                            </a:defRPr>
                          </a:lvl3pPr>
                          <a:lvl4pPr marL="1371600" algn="l" rtl="0" fontAlgn="base">
                            <a:spcBef>
                              <a:spcPct val="0"/>
                            </a:spcBef>
                            <a:spcAft>
                              <a:spcPct val="0"/>
                            </a:spcAft>
                            <a:defRPr kern="1200">
                              <a:solidFill>
                                <a:schemeClr val="tx1"/>
                              </a:solidFill>
                              <a:latin typeface="+mn-lt"/>
                              <a:ea typeface="+mn-ea"/>
                              <a:cs typeface="+mn-cs"/>
                            </a:defRPr>
                          </a:lvl4pPr>
                          <a:lvl5pPr marL="1828800" algn="l" rtl="0" fontAlgn="base">
                            <a:spcBef>
                              <a:spcPct val="0"/>
                            </a:spcBef>
                            <a:spcAft>
                              <a:spcPct val="0"/>
                            </a:spcAft>
                            <a:defRPr kern="1200">
                              <a:solidFill>
                                <a:schemeClr val="tx1"/>
                              </a:solidFill>
                              <a:latin typeface="+mn-lt"/>
                              <a:ea typeface="+mn-ea"/>
                              <a:cs typeface="+mn-cs"/>
                            </a:defRPr>
                          </a:lvl5pPr>
                          <a:lvl6pPr marL="2286000" algn="l" defTabSz="914400" rtl="0" eaLnBrk="1" latinLnBrk="0" hangingPunct="1">
                            <a:defRPr kern="1200">
                              <a:solidFill>
                                <a:schemeClr val="tx1"/>
                              </a:solidFill>
                              <a:latin typeface="+mn-lt"/>
                              <a:ea typeface="+mn-ea"/>
                              <a:cs typeface="+mn-cs"/>
                            </a:defRPr>
                          </a:lvl6pPr>
                          <a:lvl7pPr marL="2743200" algn="l" defTabSz="914400" rtl="0" eaLnBrk="1" latinLnBrk="0" hangingPunct="1">
                            <a:defRPr kern="1200">
                              <a:solidFill>
                                <a:schemeClr val="tx1"/>
                              </a:solidFill>
                              <a:latin typeface="+mn-lt"/>
                              <a:ea typeface="+mn-ea"/>
                              <a:cs typeface="+mn-cs"/>
                            </a:defRPr>
                          </a:lvl7pPr>
                          <a:lvl8pPr marL="3200400" algn="l" defTabSz="914400" rtl="0" eaLnBrk="1" latinLnBrk="0" hangingPunct="1">
                            <a:defRPr kern="1200">
                              <a:solidFill>
                                <a:schemeClr val="tx1"/>
                              </a:solidFill>
                              <a:latin typeface="+mn-lt"/>
                              <a:ea typeface="+mn-ea"/>
                              <a:cs typeface="+mn-cs"/>
                            </a:defRPr>
                          </a:lvl8pPr>
                          <a:lvl9pPr marL="3657600" algn="l" defTabSz="914400" rtl="0" eaLnBrk="1" latinLnBrk="0" hangingPunct="1">
                            <a:defRPr kern="1200">
                              <a:solidFill>
                                <a:schemeClr val="tx1"/>
                              </a:solidFill>
                              <a:latin typeface="+mn-lt"/>
                              <a:ea typeface="+mn-ea"/>
                              <a:cs typeface="+mn-cs"/>
                            </a:defRPr>
                          </a:lvl9pPr>
                        </a:lstStyle>
                        <a:p>
                          <a:pPr algn="ctr">
                            <a:defRPr/>
                          </a:pPr>
                          <a:endParaRPr lang="en-US"/>
                        </a:p>
                      </a:txBody>
                      <a:useSpRect/>
                    </a:txSp>
                    <a:style>
                      <a:lnRef idx="2">
                        <a:schemeClr val="dk1"/>
                      </a:lnRef>
                      <a:fillRef idx="0">
                        <a:schemeClr val="dk1"/>
                      </a:fillRef>
                      <a:effectRef idx="1">
                        <a:schemeClr val="dk1"/>
                      </a:effectRef>
                      <a:fontRef idx="minor">
                        <a:schemeClr val="tx1"/>
                      </a:fontRef>
                    </a:style>
                  </a:sp>
                  <a:sp>
                    <a:nvSpPr>
                      <a:cNvPr id="15377" name="TextBox 67"/>
                      <a:cNvSpPr txBox="1">
                        <a:spLocks noChangeArrowheads="1"/>
                      </a:cNvSpPr>
                    </a:nvSpPr>
                    <a:spPr bwMode="auto">
                      <a:xfrm>
                        <a:off x="7801199" y="1371600"/>
                        <a:ext cx="457112" cy="276999"/>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lgn="ctr"/>
                          <a:r>
                            <a:rPr lang="en-US" sz="1200" b="1"/>
                            <a:t>IFE</a:t>
                          </a:r>
                        </a:p>
                      </a:txBody>
                      <a:useSpRect/>
                    </a:txSp>
                  </a:sp>
                  <a:sp>
                    <a:nvSpPr>
                      <a:cNvPr id="67" name="Left Brace 66"/>
                      <a:cNvSpPr/>
                    </a:nvSpPr>
                    <a:spPr bwMode="auto">
                      <a:xfrm rot="5400000">
                        <a:off x="8505825" y="1533525"/>
                        <a:ext cx="304800" cy="457200"/>
                      </a:xfrm>
                      <a:prstGeom prst="leftBrace">
                        <a:avLst/>
                      </a:prstGeom>
                    </a:spPr>
                    <a:txSp>
                      <a:txBody>
                        <a:bodyPr anchor="ctr"/>
                        <a:lstStyle>
                          <a:defPPr>
                            <a:defRPr lang="en-US"/>
                          </a:defPPr>
                          <a:lvl1pPr algn="l" rtl="0" fontAlgn="base">
                            <a:spcBef>
                              <a:spcPct val="0"/>
                            </a:spcBef>
                            <a:spcAft>
                              <a:spcPct val="0"/>
                            </a:spcAft>
                            <a:defRPr kern="1200">
                              <a:solidFill>
                                <a:schemeClr val="tx1"/>
                              </a:solidFill>
                              <a:latin typeface="+mn-lt"/>
                              <a:ea typeface="+mn-ea"/>
                              <a:cs typeface="+mn-cs"/>
                            </a:defRPr>
                          </a:lvl1pPr>
                          <a:lvl2pPr marL="457200" algn="l" rtl="0" fontAlgn="base">
                            <a:spcBef>
                              <a:spcPct val="0"/>
                            </a:spcBef>
                            <a:spcAft>
                              <a:spcPct val="0"/>
                            </a:spcAft>
                            <a:defRPr kern="1200">
                              <a:solidFill>
                                <a:schemeClr val="tx1"/>
                              </a:solidFill>
                              <a:latin typeface="+mn-lt"/>
                              <a:ea typeface="+mn-ea"/>
                              <a:cs typeface="+mn-cs"/>
                            </a:defRPr>
                          </a:lvl2pPr>
                          <a:lvl3pPr marL="914400" algn="l" rtl="0" fontAlgn="base">
                            <a:spcBef>
                              <a:spcPct val="0"/>
                            </a:spcBef>
                            <a:spcAft>
                              <a:spcPct val="0"/>
                            </a:spcAft>
                            <a:defRPr kern="1200">
                              <a:solidFill>
                                <a:schemeClr val="tx1"/>
                              </a:solidFill>
                              <a:latin typeface="+mn-lt"/>
                              <a:ea typeface="+mn-ea"/>
                              <a:cs typeface="+mn-cs"/>
                            </a:defRPr>
                          </a:lvl3pPr>
                          <a:lvl4pPr marL="1371600" algn="l" rtl="0" fontAlgn="base">
                            <a:spcBef>
                              <a:spcPct val="0"/>
                            </a:spcBef>
                            <a:spcAft>
                              <a:spcPct val="0"/>
                            </a:spcAft>
                            <a:defRPr kern="1200">
                              <a:solidFill>
                                <a:schemeClr val="tx1"/>
                              </a:solidFill>
                              <a:latin typeface="+mn-lt"/>
                              <a:ea typeface="+mn-ea"/>
                              <a:cs typeface="+mn-cs"/>
                            </a:defRPr>
                          </a:lvl4pPr>
                          <a:lvl5pPr marL="1828800" algn="l" rtl="0" fontAlgn="base">
                            <a:spcBef>
                              <a:spcPct val="0"/>
                            </a:spcBef>
                            <a:spcAft>
                              <a:spcPct val="0"/>
                            </a:spcAft>
                            <a:defRPr kern="1200">
                              <a:solidFill>
                                <a:schemeClr val="tx1"/>
                              </a:solidFill>
                              <a:latin typeface="+mn-lt"/>
                              <a:ea typeface="+mn-ea"/>
                              <a:cs typeface="+mn-cs"/>
                            </a:defRPr>
                          </a:lvl5pPr>
                          <a:lvl6pPr marL="2286000" algn="l" defTabSz="914400" rtl="0" eaLnBrk="1" latinLnBrk="0" hangingPunct="1">
                            <a:defRPr kern="1200">
                              <a:solidFill>
                                <a:schemeClr val="tx1"/>
                              </a:solidFill>
                              <a:latin typeface="+mn-lt"/>
                              <a:ea typeface="+mn-ea"/>
                              <a:cs typeface="+mn-cs"/>
                            </a:defRPr>
                          </a:lvl6pPr>
                          <a:lvl7pPr marL="2743200" algn="l" defTabSz="914400" rtl="0" eaLnBrk="1" latinLnBrk="0" hangingPunct="1">
                            <a:defRPr kern="1200">
                              <a:solidFill>
                                <a:schemeClr val="tx1"/>
                              </a:solidFill>
                              <a:latin typeface="+mn-lt"/>
                              <a:ea typeface="+mn-ea"/>
                              <a:cs typeface="+mn-cs"/>
                            </a:defRPr>
                          </a:lvl7pPr>
                          <a:lvl8pPr marL="3200400" algn="l" defTabSz="914400" rtl="0" eaLnBrk="1" latinLnBrk="0" hangingPunct="1">
                            <a:defRPr kern="1200">
                              <a:solidFill>
                                <a:schemeClr val="tx1"/>
                              </a:solidFill>
                              <a:latin typeface="+mn-lt"/>
                              <a:ea typeface="+mn-ea"/>
                              <a:cs typeface="+mn-cs"/>
                            </a:defRPr>
                          </a:lvl8pPr>
                          <a:lvl9pPr marL="3657600" algn="l" defTabSz="914400" rtl="0" eaLnBrk="1" latinLnBrk="0" hangingPunct="1">
                            <a:defRPr kern="1200">
                              <a:solidFill>
                                <a:schemeClr val="tx1"/>
                              </a:solidFill>
                              <a:latin typeface="+mn-lt"/>
                              <a:ea typeface="+mn-ea"/>
                              <a:cs typeface="+mn-cs"/>
                            </a:defRPr>
                          </a:lvl9pPr>
                        </a:lstStyle>
                        <a:p>
                          <a:pPr algn="ctr">
                            <a:defRPr/>
                          </a:pPr>
                          <a:endParaRPr lang="en-US"/>
                        </a:p>
                      </a:txBody>
                      <a:useSpRect/>
                    </a:txSp>
                    <a:style>
                      <a:lnRef idx="2">
                        <a:schemeClr val="dk1"/>
                      </a:lnRef>
                      <a:fillRef idx="0">
                        <a:schemeClr val="dk1"/>
                      </a:fillRef>
                      <a:effectRef idx="1">
                        <a:schemeClr val="dk1"/>
                      </a:effectRef>
                      <a:fontRef idx="minor">
                        <a:schemeClr val="tx1"/>
                      </a:fontRef>
                    </a:style>
                  </a:sp>
                  <a:sp>
                    <a:nvSpPr>
                      <a:cNvPr id="15375" name="TextBox 68"/>
                      <a:cNvSpPr txBox="1">
                        <a:spLocks noChangeArrowheads="1"/>
                      </a:cNvSpPr>
                    </a:nvSpPr>
                    <a:spPr bwMode="auto">
                      <a:xfrm>
                        <a:off x="8410681" y="1362075"/>
                        <a:ext cx="514251" cy="276999"/>
                      </a:xfrm>
                      <a:prstGeom prst="rect">
                        <a:avLst/>
                      </a:prstGeom>
                      <a:noFill/>
                      <a:ln w="9525">
                        <a:noFill/>
                        <a:miter lim="800000"/>
                        <a:headEnd/>
                        <a:tailEnd/>
                      </a:ln>
                    </a:spPr>
                    <a:txSp>
                      <a:txBody>
                        <a:bodyPr>
                          <a:spAutoFit/>
                        </a:bodyPr>
                        <a:lstStyle>
                          <a:defPPr>
                            <a:defRPr lang="en-US"/>
                          </a:defPPr>
                          <a:lvl1pPr algn="l" rtl="0" fontAlgn="base">
                            <a:spcBef>
                              <a:spcPct val="0"/>
                            </a:spcBef>
                            <a:spcAft>
                              <a:spcPct val="0"/>
                            </a:spcAft>
                            <a:defRPr kern="1200">
                              <a:solidFill>
                                <a:schemeClr val="tx1"/>
                              </a:solidFill>
                              <a:latin typeface="Arial" charset="0"/>
                              <a:ea typeface="+mn-ea"/>
                              <a:cs typeface="Arial" charset="0"/>
                            </a:defRPr>
                          </a:lvl1pPr>
                          <a:lvl2pPr marL="457200" algn="l" rtl="0" fontAlgn="base">
                            <a:spcBef>
                              <a:spcPct val="0"/>
                            </a:spcBef>
                            <a:spcAft>
                              <a:spcPct val="0"/>
                            </a:spcAft>
                            <a:defRPr kern="1200">
                              <a:solidFill>
                                <a:schemeClr val="tx1"/>
                              </a:solidFill>
                              <a:latin typeface="Arial" charset="0"/>
                              <a:ea typeface="+mn-ea"/>
                              <a:cs typeface="Arial" charset="0"/>
                            </a:defRPr>
                          </a:lvl2pPr>
                          <a:lvl3pPr marL="914400" algn="l" rtl="0" fontAlgn="base">
                            <a:spcBef>
                              <a:spcPct val="0"/>
                            </a:spcBef>
                            <a:spcAft>
                              <a:spcPct val="0"/>
                            </a:spcAft>
                            <a:defRPr kern="1200">
                              <a:solidFill>
                                <a:schemeClr val="tx1"/>
                              </a:solidFill>
                              <a:latin typeface="Arial" charset="0"/>
                              <a:ea typeface="+mn-ea"/>
                              <a:cs typeface="Arial" charset="0"/>
                            </a:defRPr>
                          </a:lvl3pPr>
                          <a:lvl4pPr marL="1371600" algn="l" rtl="0" fontAlgn="base">
                            <a:spcBef>
                              <a:spcPct val="0"/>
                            </a:spcBef>
                            <a:spcAft>
                              <a:spcPct val="0"/>
                            </a:spcAft>
                            <a:defRPr kern="1200">
                              <a:solidFill>
                                <a:schemeClr val="tx1"/>
                              </a:solidFill>
                              <a:latin typeface="Arial" charset="0"/>
                              <a:ea typeface="+mn-ea"/>
                              <a:cs typeface="Arial" charset="0"/>
                            </a:defRPr>
                          </a:lvl4pPr>
                          <a:lvl5pPr marL="1828800" algn="l" rtl="0" fontAlgn="base">
                            <a:spcBef>
                              <a:spcPct val="0"/>
                            </a:spcBef>
                            <a:spcAft>
                              <a:spcPct val="0"/>
                            </a:spcAft>
                            <a:defRPr kern="1200">
                              <a:solidFill>
                                <a:schemeClr val="tx1"/>
                              </a:solidFill>
                              <a:latin typeface="Arial" charset="0"/>
                              <a:ea typeface="+mn-ea"/>
                              <a:cs typeface="Arial" charset="0"/>
                            </a:defRPr>
                          </a:lvl5pPr>
                          <a:lvl6pPr marL="2286000" algn="l" defTabSz="914400" rtl="0" eaLnBrk="1" latinLnBrk="0" hangingPunct="1">
                            <a:defRPr kern="1200">
                              <a:solidFill>
                                <a:schemeClr val="tx1"/>
                              </a:solidFill>
                              <a:latin typeface="Arial" charset="0"/>
                              <a:ea typeface="+mn-ea"/>
                              <a:cs typeface="Arial" charset="0"/>
                            </a:defRPr>
                          </a:lvl6pPr>
                          <a:lvl7pPr marL="2743200" algn="l" defTabSz="914400" rtl="0" eaLnBrk="1" latinLnBrk="0" hangingPunct="1">
                            <a:defRPr kern="1200">
                              <a:solidFill>
                                <a:schemeClr val="tx1"/>
                              </a:solidFill>
                              <a:latin typeface="Arial" charset="0"/>
                              <a:ea typeface="+mn-ea"/>
                              <a:cs typeface="Arial" charset="0"/>
                            </a:defRPr>
                          </a:lvl7pPr>
                          <a:lvl8pPr marL="3200400" algn="l" defTabSz="914400" rtl="0" eaLnBrk="1" latinLnBrk="0" hangingPunct="1">
                            <a:defRPr kern="1200">
                              <a:solidFill>
                                <a:schemeClr val="tx1"/>
                              </a:solidFill>
                              <a:latin typeface="Arial" charset="0"/>
                              <a:ea typeface="+mn-ea"/>
                              <a:cs typeface="Arial" charset="0"/>
                            </a:defRPr>
                          </a:lvl8pPr>
                          <a:lvl9pPr marL="3657600" algn="l" defTabSz="914400" rtl="0" eaLnBrk="1" latinLnBrk="0" hangingPunct="1">
                            <a:defRPr kern="1200">
                              <a:solidFill>
                                <a:schemeClr val="tx1"/>
                              </a:solidFill>
                              <a:latin typeface="Arial" charset="0"/>
                              <a:ea typeface="+mn-ea"/>
                              <a:cs typeface="Arial" charset="0"/>
                            </a:defRPr>
                          </a:lvl9pPr>
                        </a:lstStyle>
                        <a:p>
                          <a:pPr algn="ctr"/>
                          <a:r>
                            <a:rPr lang="en-US" sz="1200" b="1"/>
                            <a:t>OFE</a:t>
                          </a:r>
                        </a:p>
                      </a:txBody>
                      <a:useSpRect/>
                    </a:txSp>
                  </a:sp>
                </lc:lockedCanvas>
              </a:graphicData>
            </a:graphic>
          </wp:inline>
        </w:drawing>
      </w:r>
    </w:p>
    <w:p w:rsidR="00E9030C" w:rsidRDefault="003E77A1" w:rsidP="00946F5C">
      <w:pPr>
        <w:pStyle w:val="Caption"/>
        <w:spacing w:after="0"/>
      </w:pPr>
      <w:bookmarkStart w:id="186" w:name="_Ref285535470"/>
      <w:bookmarkStart w:id="187" w:name="_Toc295818209"/>
      <w:proofErr w:type="gramStart"/>
      <w:r>
        <w:t xml:space="preserve">Figure </w:t>
      </w:r>
      <w:r w:rsidR="007511FA">
        <w:fldChar w:fldCharType="begin"/>
      </w:r>
      <w:r w:rsidR="00AE17F8">
        <w:instrText xml:space="preserve"> STYLEREF 1 \s </w:instrText>
      </w:r>
      <w:r w:rsidR="007511FA">
        <w:fldChar w:fldCharType="separate"/>
      </w:r>
      <w:r w:rsidR="00D5167B">
        <w:rPr>
          <w:noProof/>
        </w:rPr>
        <w:t>5</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4</w:t>
      </w:r>
      <w:r w:rsidR="007511FA">
        <w:fldChar w:fldCharType="end"/>
      </w:r>
      <w:bookmarkEnd w:id="186"/>
      <w:r w:rsidR="00E9030C">
        <w:t xml:space="preserve">.  </w:t>
      </w:r>
      <w:proofErr w:type="gramStart"/>
      <w:r w:rsidR="00417ABA">
        <w:t>X-Z c</w:t>
      </w:r>
      <w:r w:rsidR="00E9030C">
        <w:t xml:space="preserve">ross </w:t>
      </w:r>
      <w:r w:rsidR="00E9030C" w:rsidRPr="00382712">
        <w:t xml:space="preserve">section </w:t>
      </w:r>
      <w:r w:rsidR="00E9030C">
        <w:t>of HFIR MCNP model.</w:t>
      </w:r>
      <w:bookmarkEnd w:id="187"/>
      <w:proofErr w:type="gramEnd"/>
      <w:r w:rsidR="00E9030C">
        <w:br w:type="page"/>
      </w:r>
    </w:p>
    <w:p w:rsidR="000B6F66" w:rsidRDefault="000B6F66" w:rsidP="003F2B43">
      <w:r w:rsidRPr="00A13E33">
        <w:lastRenderedPageBreak/>
        <w:t>Transformation cards were utilized to simulate the control element wi</w:t>
      </w:r>
      <w:r>
        <w:t>thdrawal as a function of time</w:t>
      </w:r>
      <w:r w:rsidRPr="00A13E33">
        <w:t xml:space="preserve">.  The inner control element is driven downward and the outer control element is driven upward as a function of time to compensate for the loss of reactivity due to </w:t>
      </w:r>
      <w:r w:rsidR="00050B54">
        <w:t>burnup</w:t>
      </w:r>
      <w:r w:rsidRPr="00A13E33">
        <w:t xml:space="preserve"> in the fuel.  </w:t>
      </w:r>
      <w:r w:rsidR="00D3484A">
        <w:t>For the ALEPH calculations, 24</w:t>
      </w:r>
      <w:r w:rsidRPr="00A13E33">
        <w:t xml:space="preserve">, </w:t>
      </w:r>
      <w:r w:rsidR="00D3484A">
        <w:t>23</w:t>
      </w:r>
      <w:r w:rsidRPr="00A13E33">
        <w:t xml:space="preserve">, and </w:t>
      </w:r>
      <w:r w:rsidR="00D3484A">
        <w:t>25</w:t>
      </w:r>
      <w:r w:rsidRPr="00A13E33">
        <w:t xml:space="preserve"> different control element positions were utilized for cycles 4, 16, and 35, respectively.  More steps per exposure time were analyzed for cycle 4, even though it was shutdown prematurely at an exposure of 2046 MWd, to examine the sensitivity of the </w:t>
      </w:r>
      <w:r w:rsidR="00050B54">
        <w:t>burnup</w:t>
      </w:r>
      <w:r w:rsidRPr="00A13E33">
        <w:t xml:space="preserve"> determinations.  When simulating the movement of the control elements, the change in control element positions from one </w:t>
      </w:r>
      <w:r w:rsidR="00050B54">
        <w:t>burnup</w:t>
      </w:r>
      <w:r w:rsidRPr="00A13E33">
        <w:t xml:space="preserve"> step to the next was kept under 1 cm except for short exposure durations at BOC and EOC when the control elements are being withdrawn more rapi</w:t>
      </w:r>
      <w:r w:rsidR="00D3484A">
        <w:t>dly.</w:t>
      </w:r>
    </w:p>
    <w:p w:rsidR="000B6F66" w:rsidRPr="00A13E33" w:rsidRDefault="000B6F66" w:rsidP="003F2B43">
      <w:r w:rsidRPr="00A13E33">
        <w:t>The actual control element withdrawal curves, along with the simulated control element positions</w:t>
      </w:r>
      <w:r>
        <w:t xml:space="preserve"> and calculated k</w:t>
      </w:r>
      <w:r>
        <w:rPr>
          <w:vertAlign w:val="subscript"/>
        </w:rPr>
        <w:t>eff</w:t>
      </w:r>
      <w:r>
        <w:t xml:space="preserve"> values</w:t>
      </w:r>
      <w:r w:rsidRPr="00A13E33">
        <w:t xml:space="preserve"> as a function of </w:t>
      </w:r>
      <w:r w:rsidR="00050B54">
        <w:t>burnup</w:t>
      </w:r>
      <w:r w:rsidRPr="00A13E33">
        <w:t xml:space="preserve"> are reported in Appendix E</w:t>
      </w:r>
      <w:r>
        <w:t xml:space="preserve"> of </w:t>
      </w:r>
      <w:r w:rsidR="007511FA">
        <w:fldChar w:fldCharType="begin"/>
      </w:r>
      <w:r w:rsidR="00C67546">
        <w:instrText xml:space="preserve"> REF _Ref285635951 \n \h </w:instrText>
      </w:r>
      <w:r w:rsidR="007511FA">
        <w:fldChar w:fldCharType="separate"/>
      </w:r>
      <w:r w:rsidR="00D5167B">
        <w:t>[7]</w:t>
      </w:r>
      <w:r w:rsidR="007511FA">
        <w:fldChar w:fldCharType="end"/>
      </w:r>
      <w:r w:rsidRPr="00DF20E4">
        <w:t xml:space="preserve">.  A BOC control element position sensitivity analysis was performed in Appendix F of </w:t>
      </w:r>
      <w:r w:rsidR="007511FA">
        <w:fldChar w:fldCharType="begin"/>
      </w:r>
      <w:r w:rsidR="00C67546">
        <w:instrText xml:space="preserve"> REF _Ref285635951 \n \h </w:instrText>
      </w:r>
      <w:r w:rsidR="007511FA">
        <w:fldChar w:fldCharType="separate"/>
      </w:r>
      <w:r w:rsidR="00D5167B">
        <w:t>[7]</w:t>
      </w:r>
      <w:r w:rsidR="007511FA">
        <w:fldChar w:fldCharType="end"/>
      </w:r>
      <w:r w:rsidRPr="00DF20E4">
        <w:t xml:space="preserve"> which </w:t>
      </w:r>
      <w:proofErr w:type="gramStart"/>
      <w:r w:rsidRPr="00DF20E4">
        <w:t>lead</w:t>
      </w:r>
      <w:proofErr w:type="gramEnd"/>
      <w:r w:rsidRPr="00DF20E4">
        <w:t xml:space="preserve"> to a full cycle control element position sensitivity analysis, which was performed and documented in Appendix G</w:t>
      </w:r>
      <w:r w:rsidR="00D3484A">
        <w:t xml:space="preserve"> of </w:t>
      </w:r>
      <w:r w:rsidR="007511FA">
        <w:fldChar w:fldCharType="begin"/>
      </w:r>
      <w:r w:rsidR="00C67546">
        <w:instrText xml:space="preserve"> REF _Ref285635951 \n \h </w:instrText>
      </w:r>
      <w:r w:rsidR="007511FA">
        <w:fldChar w:fldCharType="separate"/>
      </w:r>
      <w:r w:rsidR="00D5167B">
        <w:t>[7]</w:t>
      </w:r>
      <w:r w:rsidR="007511FA">
        <w:fldChar w:fldCharType="end"/>
      </w:r>
      <w:r w:rsidRPr="00DF20E4">
        <w:t>.  Two cases were examined: one case in which the control elements</w:t>
      </w:r>
      <w:r w:rsidRPr="00A13E33">
        <w:t xml:space="preserve"> were positioned in the middle of the </w:t>
      </w:r>
      <w:r w:rsidR="00050B54">
        <w:t>burnup</w:t>
      </w:r>
      <w:r w:rsidRPr="00A13E33">
        <w:t xml:space="preserve"> steps (MOS) and one in which the control elements were positioned at the beginning of the </w:t>
      </w:r>
      <w:r w:rsidR="00050B54">
        <w:t>burnup</w:t>
      </w:r>
      <w:r w:rsidRPr="00A13E33">
        <w:t xml:space="preserve"> steps (BOS).  </w:t>
      </w:r>
      <w:r>
        <w:t>No significant differences were observed</w:t>
      </w:r>
      <w:r w:rsidRPr="00A13E33">
        <w:t xml:space="preserve">, but the case modeling the control elements in the middle of the </w:t>
      </w:r>
      <w:r w:rsidR="00050B54">
        <w:t>burnup</w:t>
      </w:r>
      <w:r w:rsidRPr="00A13E33">
        <w:t xml:space="preserve"> steps </w:t>
      </w:r>
      <w:r>
        <w:t>is</w:t>
      </w:r>
      <w:r w:rsidRPr="00A13E33">
        <w:t xml:space="preserve"> preferred because the best average spectrum over the entire step is calculated and employed for the entire step.</w:t>
      </w:r>
    </w:p>
    <w:p w:rsidR="00D3484A" w:rsidRDefault="00D3484A" w:rsidP="00A52A92">
      <w:r>
        <w:t xml:space="preserve">For the VESTA calculations however, the control elements withdrawal methodology was a little different in comparison to what was described previously for ALEPH.  During the VESTA calculations, the control elements were positioned at the beginning of each </w:t>
      </w:r>
      <w:r w:rsidR="00050B54">
        <w:t>burnup</w:t>
      </w:r>
      <w:r>
        <w:t xml:space="preserve"> step and the </w:t>
      </w:r>
      <w:r w:rsidR="00050B54">
        <w:t>burnup</w:t>
      </w:r>
      <w:r>
        <w:t xml:space="preserve"> steps consisted of one day irradiations, both of which were changed to be consistent with the methodology being used currently for LEU studies.</w:t>
      </w:r>
    </w:p>
    <w:p w:rsidR="00D3484A" w:rsidRDefault="00D3484A" w:rsidP="00AA149C">
      <w:pPr>
        <w:pStyle w:val="Heading3"/>
      </w:pPr>
      <w:bookmarkStart w:id="188" w:name="_Toc295818130"/>
      <w:r>
        <w:lastRenderedPageBreak/>
        <w:t>Computation Model Input Parameters</w:t>
      </w:r>
      <w:bookmarkEnd w:id="188"/>
    </w:p>
    <w:p w:rsidR="00D3484A" w:rsidRPr="00A13E33" w:rsidRDefault="00D3484A" w:rsidP="000F6DFD">
      <w:r w:rsidRPr="00A13E33">
        <w:t xml:space="preserve">Cell flux tallies were used to calculate the neutron spectra for the </w:t>
      </w:r>
      <w:r w:rsidR="00050B54">
        <w:t>burnup</w:t>
      </w:r>
      <w:r w:rsidRPr="00A13E33">
        <w:t xml:space="preserve"> zones</w:t>
      </w:r>
      <w:r>
        <w:t xml:space="preserve"> (fuel and target rods)</w:t>
      </w:r>
      <w:r w:rsidRPr="00A13E33">
        <w:t xml:space="preserve">, which </w:t>
      </w:r>
      <w:r>
        <w:t>were</w:t>
      </w:r>
      <w:r w:rsidRPr="00A13E33">
        <w:t xml:space="preserve"> passed on for building the new ORIGEN libraries and ORIGEN input files.  The MCNP KCODE card was used to calculate the effective multiplication fact</w:t>
      </w:r>
      <w:r>
        <w:t xml:space="preserve">or at each of the </w:t>
      </w:r>
      <w:r w:rsidR="00050B54">
        <w:t>burnup</w:t>
      </w:r>
      <w:r>
        <w:t xml:space="preserve"> steps and was defined to simulate</w:t>
      </w:r>
      <w:r w:rsidRPr="00A13E33">
        <w:t xml:space="preserve"> 100,000 histories per </w:t>
      </w:r>
      <w:r>
        <w:t>generation</w:t>
      </w:r>
      <w:r w:rsidRPr="00A13E33">
        <w:t xml:space="preserve"> and 350 </w:t>
      </w:r>
      <w:r>
        <w:t xml:space="preserve">total generations </w:t>
      </w:r>
      <w:r w:rsidRPr="00A13E33">
        <w:t>with the first 50 being skipped.</w:t>
      </w:r>
    </w:p>
    <w:p w:rsidR="00D3484A" w:rsidRDefault="00D3484A" w:rsidP="000F6DFD">
      <w:r w:rsidRPr="00A13E33">
        <w:t xml:space="preserve">The </w:t>
      </w:r>
      <w:r w:rsidR="000F6DFD">
        <w:t>burn</w:t>
      </w:r>
      <w:r w:rsidRPr="00A13E33">
        <w:t xml:space="preserve"> and </w:t>
      </w:r>
      <w:r w:rsidR="000F6DFD">
        <w:t>volume</w:t>
      </w:r>
      <w:r w:rsidRPr="00A13E33">
        <w:t xml:space="preserve"> cards were inserted into the </w:t>
      </w:r>
      <w:r w:rsidR="000F6DFD">
        <w:t>depletion specific</w:t>
      </w:r>
      <w:r w:rsidRPr="00A13E33">
        <w:t xml:space="preserve"> input</w:t>
      </w:r>
      <w:r w:rsidR="000F6DFD">
        <w:t>s</w:t>
      </w:r>
      <w:r w:rsidRPr="00A13E33">
        <w:t xml:space="preserve"> to </w:t>
      </w:r>
      <w:r w:rsidR="000F6DFD">
        <w:t>define</w:t>
      </w:r>
      <w:r w:rsidRPr="00A13E33">
        <w:t xml:space="preserve"> all of the materials in the fuel and the </w:t>
      </w:r>
      <w:r w:rsidRPr="00A13E33">
        <w:rPr>
          <w:vertAlign w:val="superscript"/>
        </w:rPr>
        <w:t>242</w:t>
      </w:r>
      <w:r w:rsidRPr="00A13E33">
        <w:t>Pu target</w:t>
      </w:r>
      <w:r>
        <w:t xml:space="preserve"> rod</w:t>
      </w:r>
      <w:r w:rsidRPr="00A13E33">
        <w:t>s in the interior positions of the flux trap</w:t>
      </w:r>
      <w:r w:rsidR="000F6DFD">
        <w:t xml:space="preserve"> to deplete</w:t>
      </w:r>
      <w:r w:rsidRPr="00A13E33">
        <w:t xml:space="preserve">.  The material numbers and volumes corresponding to the materials to be burned were specified in the </w:t>
      </w:r>
      <w:r w:rsidR="000F6DFD">
        <w:t>burn</w:t>
      </w:r>
      <w:r w:rsidRPr="00A13E33">
        <w:t xml:space="preserve"> and </w:t>
      </w:r>
      <w:r w:rsidR="000F6DFD">
        <w:t>volume</w:t>
      </w:r>
      <w:r w:rsidRPr="00A13E33">
        <w:t xml:space="preserve"> cards, respectively.  The </w:t>
      </w:r>
      <w:r w:rsidR="00050B54">
        <w:t>burnup</w:t>
      </w:r>
      <w:r w:rsidRPr="00A13E33">
        <w:t xml:space="preserve"> history was specified with multiple constant power (100 MW) irradiation steps</w:t>
      </w:r>
      <w:r>
        <w:t>;</w:t>
      </w:r>
      <w:r w:rsidRPr="00A13E33">
        <w:t xml:space="preserve"> one </w:t>
      </w:r>
      <w:r w:rsidR="00050B54">
        <w:t>burnup</w:t>
      </w:r>
      <w:r w:rsidRPr="00A13E33">
        <w:t xml:space="preserve"> step for each control element position.  A fractional absorption criterion of 0.9999 was utilized, which truncates the material composition calculated by ORIGEN.  </w:t>
      </w:r>
      <w:r w:rsidR="000F6DFD">
        <w:t>T</w:t>
      </w:r>
      <w:r w:rsidRPr="00A13E33">
        <w:t xml:space="preserve">he total absorption of every nuclide </w:t>
      </w:r>
      <w:r w:rsidR="000F6DFD">
        <w:t xml:space="preserve">is calculated </w:t>
      </w:r>
      <w:r w:rsidRPr="00A13E33">
        <w:t>and only the nuclides that contribute to 99.99</w:t>
      </w:r>
      <w:r>
        <w:t xml:space="preserve"> </w:t>
      </w:r>
      <w:r w:rsidRPr="00A13E33">
        <w:t>% of the total absorption plus all of the initial user specified nuclides are added to the list.  The temperatures of the materials were set to 300 K and a total of 43,000 energy groups</w:t>
      </w:r>
      <w:r>
        <w:t xml:space="preserve"> were used for the flux tallies</w:t>
      </w:r>
      <w:r w:rsidRPr="00A13E33">
        <w:t>.</w:t>
      </w:r>
    </w:p>
    <w:p w:rsidR="00D3484A" w:rsidRDefault="00D3484A">
      <w:pPr>
        <w:spacing w:before="0" w:after="200" w:line="276" w:lineRule="auto"/>
      </w:pPr>
    </w:p>
    <w:p w:rsidR="00D3484A" w:rsidRDefault="000F6DFD" w:rsidP="00AA149C">
      <w:pPr>
        <w:pStyle w:val="Heading2"/>
      </w:pPr>
      <w:bookmarkStart w:id="189" w:name="_Toc295818131"/>
      <w:r>
        <w:t>Post-Irradiation Inventory Results</w:t>
      </w:r>
      <w:bookmarkEnd w:id="189"/>
    </w:p>
    <w:p w:rsidR="000F6DFD" w:rsidRPr="00A13E33" w:rsidRDefault="000F6DFD" w:rsidP="000F6DFD">
      <w:r w:rsidRPr="00A13E33">
        <w:t xml:space="preserve">The </w:t>
      </w:r>
      <w:r>
        <w:t>post-irradiation</w:t>
      </w:r>
      <w:r w:rsidRPr="00A13E33">
        <w:t xml:space="preserve"> </w:t>
      </w:r>
      <w:r w:rsidRPr="00A13E33">
        <w:rPr>
          <w:vertAlign w:val="superscript"/>
        </w:rPr>
        <w:t>234</w:t>
      </w:r>
      <w:r w:rsidRPr="00A13E33">
        <w:t xml:space="preserve">U, </w:t>
      </w:r>
      <w:r w:rsidRPr="00A13E33">
        <w:rPr>
          <w:vertAlign w:val="superscript"/>
        </w:rPr>
        <w:t>235</w:t>
      </w:r>
      <w:r w:rsidRPr="00A13E33">
        <w:t xml:space="preserve">U, </w:t>
      </w:r>
      <w:r w:rsidRPr="00A13E33">
        <w:rPr>
          <w:vertAlign w:val="superscript"/>
        </w:rPr>
        <w:t>236</w:t>
      </w:r>
      <w:r w:rsidRPr="00A13E33">
        <w:t xml:space="preserve">U, and </w:t>
      </w:r>
      <w:r w:rsidRPr="00A13E33">
        <w:rPr>
          <w:vertAlign w:val="superscript"/>
        </w:rPr>
        <w:t>238</w:t>
      </w:r>
      <w:r w:rsidRPr="00A13E33">
        <w:t xml:space="preserve">U </w:t>
      </w:r>
      <w:r>
        <w:t>content were</w:t>
      </w:r>
      <w:r w:rsidRPr="00A13E33">
        <w:t xml:space="preserve"> extracted from the output</w:t>
      </w:r>
      <w:r>
        <w:t xml:space="preserve">, inserted into a spreadsheet, and then converted into </w:t>
      </w:r>
      <w:r w:rsidRPr="00A13E33">
        <w:t xml:space="preserve">atomic percentages.  For specimens that spanned two radial regions, the volume averaged atomic percentages were calculated.  Although the radial regions were changed to accommodate the locations of the specimens, some of the specimens still spanned two radial regions.  The effective </w:t>
      </w:r>
      <w:r w:rsidRPr="00A13E33">
        <w:rPr>
          <w:vertAlign w:val="superscript"/>
        </w:rPr>
        <w:t>235</w:t>
      </w:r>
      <w:r w:rsidRPr="00A13E33">
        <w:t xml:space="preserve">U concentration varies non-uniformly along the arc of the involute fuel plate and thus the gradient of the fuel has to be considered when </w:t>
      </w:r>
      <w:proofErr w:type="spellStart"/>
      <w:r w:rsidRPr="00A13E33">
        <w:t>discretizing</w:t>
      </w:r>
      <w:proofErr w:type="spellEnd"/>
      <w:r w:rsidRPr="00A13E33">
        <w:t xml:space="preserve">/homogenizing the fuel into radial regions.  Therefore, specimens that span two radial regions are located where the </w:t>
      </w:r>
      <w:r>
        <w:t>gradient of the fuel is steep.</w:t>
      </w:r>
    </w:p>
    <w:p w:rsidR="000F6DFD" w:rsidRDefault="000F6DFD" w:rsidP="003F2B43">
      <w:r w:rsidRPr="009527F8">
        <w:lastRenderedPageBreak/>
        <w:t>The calculated data and the measured data obtained from</w:t>
      </w:r>
      <w:r w:rsidR="00C67546">
        <w:t xml:space="preserve"> </w:t>
      </w:r>
      <w:r w:rsidR="007511FA">
        <w:fldChar w:fldCharType="begin"/>
      </w:r>
      <w:r w:rsidR="00C67546">
        <w:instrText xml:space="preserve"> REF _Ref285637078 \n \h </w:instrText>
      </w:r>
      <w:r w:rsidR="007511FA">
        <w:fldChar w:fldCharType="separate"/>
      </w:r>
      <w:r w:rsidR="00D5167B">
        <w:t>[71]</w:t>
      </w:r>
      <w:r w:rsidR="007511FA">
        <w:fldChar w:fldCharType="end"/>
      </w:r>
      <w:r w:rsidRPr="009527F8">
        <w:t xml:space="preserve"> are interdependent.  Thus, an inaccurate calculation (or measurement) of the total amount of any of the four uranium isotopes will lead to an inaccurate calculation of atomic percentages for all of the isotopes.  </w:t>
      </w:r>
      <w:proofErr w:type="gramStart"/>
      <w:r w:rsidRPr="009527F8">
        <w:t xml:space="preserve">If </w:t>
      </w:r>
      <w:r>
        <w:t>Reference</w:t>
      </w:r>
      <w:r w:rsidRPr="009527F8">
        <w:t xml:space="preserve"> </w:t>
      </w:r>
      <w:r>
        <w:t xml:space="preserve">1 </w:t>
      </w:r>
      <w:r w:rsidRPr="009527F8">
        <w:t>had reported the mass or density of the four isotopes in each specimen rather than the atomic densities there would be no cross correlations in the values.</w:t>
      </w:r>
      <w:proofErr w:type="gramEnd"/>
      <w:r>
        <w:t xml:space="preserve">  No uncertainties are listed along with the results since experimental uncertainties (dimensions or atomic percentages) were not reported in</w:t>
      </w:r>
      <w:r w:rsidR="00C67546">
        <w:t xml:space="preserve"> </w:t>
      </w:r>
      <w:r w:rsidR="007511FA">
        <w:fldChar w:fldCharType="begin"/>
      </w:r>
      <w:r w:rsidR="00C67546">
        <w:instrText xml:space="preserve"> REF _Ref285637078 \n \h </w:instrText>
      </w:r>
      <w:r w:rsidR="007511FA">
        <w:fldChar w:fldCharType="separate"/>
      </w:r>
      <w:r w:rsidR="00D5167B">
        <w:t>[71]</w:t>
      </w:r>
      <w:r w:rsidR="007511FA">
        <w:fldChar w:fldCharType="end"/>
      </w:r>
      <w:r>
        <w:t xml:space="preserve"> and </w:t>
      </w:r>
      <w:r w:rsidR="00E9030C">
        <w:t>ORIGEN</w:t>
      </w:r>
      <w:r>
        <w:t xml:space="preserve"> doesn’t calculate uncertainties associated with the nuclide densities.</w:t>
      </w:r>
    </w:p>
    <w:p w:rsidR="00363E8D" w:rsidRDefault="00363E8D" w:rsidP="000F6DFD"/>
    <w:p w:rsidR="00E9030C" w:rsidRDefault="00EF7134" w:rsidP="00AA149C">
      <w:pPr>
        <w:pStyle w:val="Heading3"/>
      </w:pPr>
      <w:bookmarkStart w:id="190" w:name="_Toc295818132"/>
      <w:r>
        <w:t>Time-Dependent Eigenvalue Results</w:t>
      </w:r>
      <w:bookmarkEnd w:id="190"/>
    </w:p>
    <w:p w:rsidR="00EF7134" w:rsidRPr="00B13142" w:rsidRDefault="00C91AD5" w:rsidP="00C91AD5">
      <w:r>
        <w:t xml:space="preserve">The calculated time-dependent effective eigenvalues are shown for cycles 4, 16, and 35 in </w:t>
      </w:r>
      <w:fldSimple w:instr=" REF _Ref285535492 \h  \* MERGEFORMAT ">
        <w:r w:rsidR="00D5167B">
          <w:t xml:space="preserve">Figure </w:t>
        </w:r>
        <w:r w:rsidR="00D5167B">
          <w:rPr>
            <w:noProof/>
          </w:rPr>
          <w:t>5.5</w:t>
        </w:r>
      </w:fldSimple>
      <w:r w:rsidRPr="003E77A1">
        <w:t>,</w:t>
      </w:r>
      <w:r w:rsidR="003E77A1" w:rsidRPr="003E77A1">
        <w:t xml:space="preserve"> </w:t>
      </w:r>
      <w:fldSimple w:instr=" REF _Ref285535500 \h  \* MERGEFORMAT ">
        <w:r w:rsidR="00D5167B">
          <w:t xml:space="preserve">Figure </w:t>
        </w:r>
        <w:r w:rsidR="00D5167B">
          <w:rPr>
            <w:noProof/>
          </w:rPr>
          <w:t>5.6</w:t>
        </w:r>
      </w:fldSimple>
      <w:r w:rsidR="003E77A1" w:rsidRPr="003E77A1">
        <w:t xml:space="preserve">, and </w:t>
      </w:r>
      <w:fldSimple w:instr=" REF _Ref285535508 \h  \* MERGEFORMAT ">
        <w:r w:rsidR="00D5167B">
          <w:t xml:space="preserve">Figure </w:t>
        </w:r>
        <w:r w:rsidR="00D5167B">
          <w:rPr>
            <w:noProof/>
          </w:rPr>
          <w:t>5.7</w:t>
        </w:r>
      </w:fldSimple>
      <w:r w:rsidRPr="003E77A1">
        <w:t>, res</w:t>
      </w:r>
      <w:r>
        <w:t xml:space="preserve">pectively, along with the logged symmetrical control element positions and the modeled positions.  As discussed in previous paragraphs, the VESTA calculations modeled the control elements at the position corresponding to the beginning of the </w:t>
      </w:r>
      <w:r w:rsidR="00050B54">
        <w:t>burnup</w:t>
      </w:r>
      <w:r>
        <w:t xml:space="preserve"> step</w:t>
      </w:r>
      <w:r w:rsidR="00567EF7">
        <w:t xml:space="preserve"> and one </w:t>
      </w:r>
      <w:r w:rsidR="00050B54">
        <w:t>burnup</w:t>
      </w:r>
      <w:r w:rsidR="00567EF7">
        <w:t xml:space="preserve"> step was modeled for each day.  The ALEPH calculations modeled the control elements at a position in the middle of the </w:t>
      </w:r>
      <w:r w:rsidR="00050B54">
        <w:t>burnup</w:t>
      </w:r>
      <w:r w:rsidR="00567EF7">
        <w:t xml:space="preserve"> step and utilized small </w:t>
      </w:r>
      <w:r w:rsidR="00050B54">
        <w:t>burnup</w:t>
      </w:r>
      <w:r w:rsidR="00567EF7">
        <w:t xml:space="preserve"> steps at BOC and EOC and larger </w:t>
      </w:r>
      <w:r w:rsidR="00050B54">
        <w:t>burnup</w:t>
      </w:r>
      <w:r w:rsidR="00567EF7">
        <w:t xml:space="preserve"> steps in the MOC.  Since the control elements were withdrawn further in the ALEPH calculations in comparison to the VESTA calculation, the effective eigenvalue curves for the ALEPH calculations are typically above the VESTA eigenvalue curves.</w:t>
      </w:r>
      <w:r w:rsidR="00B13142">
        <w:t xml:space="preserve">  The shape of the eigenvalue curve theoretically should be a linear line corresponding to unity.  However, assumptions such as modeling fresh control elements, modeling no poisons (</w:t>
      </w:r>
      <w:r w:rsidR="00B13142">
        <w:rPr>
          <w:vertAlign w:val="superscript"/>
        </w:rPr>
        <w:t>3</w:t>
      </w:r>
      <w:r w:rsidR="00B13142">
        <w:t xml:space="preserve">He and </w:t>
      </w:r>
      <w:r w:rsidR="00B13142">
        <w:rPr>
          <w:vertAlign w:val="superscript"/>
        </w:rPr>
        <w:t>6</w:t>
      </w:r>
      <w:r w:rsidR="00B13142">
        <w:t xml:space="preserve">Li) in the removable and </w:t>
      </w:r>
      <w:proofErr w:type="spellStart"/>
      <w:r w:rsidR="00B13142">
        <w:t>semipermanent</w:t>
      </w:r>
      <w:proofErr w:type="spellEnd"/>
      <w:r w:rsidR="00B13142">
        <w:t xml:space="preserve"> reflectors, cross section data, and time-dependent control element positions cause the curve to vary. </w:t>
      </w:r>
      <w:r w:rsidR="00F92E87">
        <w:t xml:space="preserve"> Th</w:t>
      </w:r>
      <w:r w:rsidR="008C1450">
        <w:t>e</w:t>
      </w:r>
      <w:r w:rsidR="00F92E87">
        <w:t xml:space="preserve"> small variation in the effective multiplication factor was shown </w:t>
      </w:r>
      <w:r w:rsidR="008C1450">
        <w:t>to produce no notable effects in the post-irradiation uranium isotopic results.</w:t>
      </w:r>
    </w:p>
    <w:p w:rsidR="00EF7134" w:rsidRDefault="00EF7134">
      <w:pPr>
        <w:spacing w:before="0" w:after="200" w:line="276" w:lineRule="auto"/>
      </w:pPr>
      <w:r>
        <w:br w:type="page"/>
      </w:r>
    </w:p>
    <w:p w:rsidR="00EF7134" w:rsidRDefault="00C91AD5" w:rsidP="004C3625">
      <w:pPr>
        <w:spacing w:line="240" w:lineRule="auto"/>
        <w:ind w:firstLine="0"/>
        <w:jc w:val="center"/>
      </w:pPr>
      <w:r w:rsidRPr="00C91AD5">
        <w:rPr>
          <w:noProof/>
        </w:rPr>
        <w:lastRenderedPageBreak/>
        <w:drawing>
          <wp:inline distT="0" distB="0" distL="0" distR="0">
            <wp:extent cx="5486400" cy="3474720"/>
            <wp:effectExtent l="19050" t="0" r="19050" b="0"/>
            <wp:docPr id="62" name="Chart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EF7134" w:rsidRPr="00EF7134" w:rsidRDefault="003E77A1" w:rsidP="00946F5C">
      <w:pPr>
        <w:pStyle w:val="Caption"/>
        <w:spacing w:after="0"/>
      </w:pPr>
      <w:bookmarkStart w:id="191" w:name="_Ref285535492"/>
      <w:bookmarkStart w:id="192" w:name="_Toc295818210"/>
      <w:proofErr w:type="gramStart"/>
      <w:r>
        <w:t xml:space="preserve">Figure </w:t>
      </w:r>
      <w:r w:rsidR="007511FA">
        <w:fldChar w:fldCharType="begin"/>
      </w:r>
      <w:r w:rsidR="00AE17F8">
        <w:instrText xml:space="preserve"> STYLEREF 1 \s </w:instrText>
      </w:r>
      <w:r w:rsidR="007511FA">
        <w:fldChar w:fldCharType="separate"/>
      </w:r>
      <w:r w:rsidR="00D5167B">
        <w:rPr>
          <w:noProof/>
        </w:rPr>
        <w:t>5</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5</w:t>
      </w:r>
      <w:r w:rsidR="007511FA">
        <w:fldChar w:fldCharType="end"/>
      </w:r>
      <w:bookmarkEnd w:id="191"/>
      <w:r w:rsidR="00EF7134">
        <w:t>.  Control element and keff curve for cycle 4.</w:t>
      </w:r>
      <w:bookmarkEnd w:id="192"/>
    </w:p>
    <w:p w:rsidR="00EF7134" w:rsidRDefault="00EF7134" w:rsidP="00115CFC">
      <w:pPr>
        <w:spacing w:before="0" w:after="200"/>
        <w:ind w:firstLine="0"/>
        <w:jc w:val="center"/>
      </w:pPr>
    </w:p>
    <w:p w:rsidR="00EF7134" w:rsidRDefault="00EF7134" w:rsidP="004C3625">
      <w:pPr>
        <w:spacing w:line="240" w:lineRule="auto"/>
        <w:ind w:firstLine="0"/>
        <w:jc w:val="center"/>
      </w:pPr>
      <w:r w:rsidRPr="00EF7134">
        <w:rPr>
          <w:noProof/>
        </w:rPr>
        <w:drawing>
          <wp:inline distT="0" distB="0" distL="0" distR="0">
            <wp:extent cx="5486400" cy="3474720"/>
            <wp:effectExtent l="19050" t="0" r="19050" b="0"/>
            <wp:docPr id="45"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EF7134" w:rsidRDefault="003E77A1" w:rsidP="00115CFC">
      <w:pPr>
        <w:pStyle w:val="Caption"/>
        <w:spacing w:after="0"/>
      </w:pPr>
      <w:bookmarkStart w:id="193" w:name="_Ref285535500"/>
      <w:bookmarkStart w:id="194" w:name="_Toc295818211"/>
      <w:proofErr w:type="gramStart"/>
      <w:r>
        <w:t xml:space="preserve">Figure </w:t>
      </w:r>
      <w:r w:rsidR="007511FA">
        <w:fldChar w:fldCharType="begin"/>
      </w:r>
      <w:r w:rsidR="00AE17F8">
        <w:instrText xml:space="preserve"> STYLEREF 1 \s </w:instrText>
      </w:r>
      <w:r w:rsidR="007511FA">
        <w:fldChar w:fldCharType="separate"/>
      </w:r>
      <w:r w:rsidR="00D5167B">
        <w:rPr>
          <w:noProof/>
        </w:rPr>
        <w:t>5</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6</w:t>
      </w:r>
      <w:r w:rsidR="007511FA">
        <w:fldChar w:fldCharType="end"/>
      </w:r>
      <w:bookmarkEnd w:id="193"/>
      <w:r w:rsidR="00EF7134">
        <w:t>.  Control element and keff curve for cycle 16.</w:t>
      </w:r>
      <w:bookmarkEnd w:id="194"/>
      <w:r w:rsidR="00EF7134">
        <w:br w:type="page"/>
      </w:r>
    </w:p>
    <w:p w:rsidR="00EF7134" w:rsidRDefault="00C91AD5" w:rsidP="004C3625">
      <w:pPr>
        <w:spacing w:line="240" w:lineRule="auto"/>
        <w:ind w:firstLine="0"/>
        <w:jc w:val="center"/>
      </w:pPr>
      <w:r w:rsidRPr="00C91AD5">
        <w:rPr>
          <w:noProof/>
        </w:rPr>
        <w:lastRenderedPageBreak/>
        <w:drawing>
          <wp:inline distT="0" distB="0" distL="0" distR="0">
            <wp:extent cx="5486400" cy="3474720"/>
            <wp:effectExtent l="19050" t="0" r="19050" b="0"/>
            <wp:docPr id="63" name="Chart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EF7134" w:rsidRPr="00EF7134" w:rsidRDefault="003E77A1" w:rsidP="00115CFC">
      <w:pPr>
        <w:pStyle w:val="Caption"/>
        <w:spacing w:after="0"/>
      </w:pPr>
      <w:bookmarkStart w:id="195" w:name="_Ref285535508"/>
      <w:bookmarkStart w:id="196" w:name="_Toc295818212"/>
      <w:proofErr w:type="gramStart"/>
      <w:r>
        <w:t xml:space="preserve">Figure </w:t>
      </w:r>
      <w:r w:rsidR="007511FA">
        <w:fldChar w:fldCharType="begin"/>
      </w:r>
      <w:r w:rsidR="00AE17F8">
        <w:instrText xml:space="preserve"> STYLEREF 1 \s </w:instrText>
      </w:r>
      <w:r w:rsidR="007511FA">
        <w:fldChar w:fldCharType="separate"/>
      </w:r>
      <w:r w:rsidR="00D5167B">
        <w:rPr>
          <w:noProof/>
        </w:rPr>
        <w:t>5</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7</w:t>
      </w:r>
      <w:r w:rsidR="007511FA">
        <w:fldChar w:fldCharType="end"/>
      </w:r>
      <w:bookmarkEnd w:id="195"/>
      <w:r w:rsidR="00EF7134">
        <w:t>.  Control element and keff curve for cycle 35.</w:t>
      </w:r>
      <w:bookmarkEnd w:id="196"/>
    </w:p>
    <w:p w:rsidR="00EF7134" w:rsidRDefault="00EF7134">
      <w:pPr>
        <w:spacing w:before="0" w:after="200" w:line="276" w:lineRule="auto"/>
      </w:pPr>
    </w:p>
    <w:p w:rsidR="00115CFC" w:rsidRDefault="00115CFC">
      <w:pPr>
        <w:spacing w:before="0" w:after="200" w:line="276" w:lineRule="auto"/>
      </w:pPr>
    </w:p>
    <w:p w:rsidR="00D3484A" w:rsidRDefault="00E9030C" w:rsidP="00AA149C">
      <w:pPr>
        <w:pStyle w:val="Heading3"/>
      </w:pPr>
      <w:bookmarkStart w:id="197" w:name="_Toc295818133"/>
      <w:r>
        <w:t>Post-Irradiation Uranium Isotopic Results</w:t>
      </w:r>
      <w:bookmarkEnd w:id="197"/>
    </w:p>
    <w:p w:rsidR="00856BC8" w:rsidRDefault="00856BC8" w:rsidP="00856BC8">
      <w:r w:rsidRPr="009527F8">
        <w:t xml:space="preserve">The calculated and experimental post-irradiation atomic percentages of total uranium as a function of distance from the core centerline and horizontal midplane are illustrated in </w:t>
      </w:r>
      <w:fldSimple w:instr=" REF _Ref285535528 \h  \* MERGEFORMAT ">
        <w:r w:rsidR="00D5167B">
          <w:t xml:space="preserve">Figure </w:t>
        </w:r>
        <w:r w:rsidR="00D5167B">
          <w:rPr>
            <w:noProof/>
          </w:rPr>
          <w:t>5.8</w:t>
        </w:r>
      </w:fldSimple>
      <w:r w:rsidRPr="003E77A1">
        <w:rPr>
          <w:color w:val="FF0000"/>
        </w:rPr>
        <w:t xml:space="preserve"> </w:t>
      </w:r>
      <w:r w:rsidRPr="003E77A1">
        <w:t xml:space="preserve">through </w:t>
      </w:r>
      <w:fldSimple w:instr=" REF _Ref285535566 \h  \* MERGEFORMAT ">
        <w:r w:rsidR="00D5167B">
          <w:t xml:space="preserve">Figure </w:t>
        </w:r>
        <w:r w:rsidR="00D5167B">
          <w:rPr>
            <w:noProof/>
          </w:rPr>
          <w:t>5.19</w:t>
        </w:r>
      </w:fldSimple>
      <w:r>
        <w:t>.</w:t>
      </w:r>
      <w:r w:rsidRPr="009527F8">
        <w:t xml:space="preserve">  In these plots, the solid lines correspond to the calculated results and the solid data points correspond to the experimental data obtained via uranium mass spectrographic analysis.  In the legend of these plots, H represents the central </w:t>
      </w:r>
      <w:r w:rsidR="00050B54">
        <w:t>burnup</w:t>
      </w:r>
      <w:r w:rsidRPr="009527F8">
        <w:t xml:space="preserve"> samples, O represents the outer </w:t>
      </w:r>
      <w:r w:rsidR="00050B54">
        <w:t>burnup</w:t>
      </w:r>
      <w:r w:rsidRPr="009527F8">
        <w:t xml:space="preserve"> samples, and I </w:t>
      </w:r>
      <w:proofErr w:type="gramStart"/>
      <w:r w:rsidRPr="009527F8">
        <w:t>represents</w:t>
      </w:r>
      <w:proofErr w:type="gramEnd"/>
      <w:r w:rsidRPr="009527F8">
        <w:t xml:space="preserve"> the inner </w:t>
      </w:r>
      <w:r w:rsidR="00050B54">
        <w:t>burnup</w:t>
      </w:r>
      <w:r w:rsidRPr="009527F8">
        <w:t xml:space="preserve"> samples.  Refer to </w:t>
      </w:r>
      <w:fldSimple w:instr=" REF _Ref285535365 \h  \* MERGEFORMAT ">
        <w:r w:rsidR="00D5167B">
          <w:t xml:space="preserve">Figure </w:t>
        </w:r>
        <w:r w:rsidR="00D5167B">
          <w:rPr>
            <w:noProof/>
          </w:rPr>
          <w:t>5.1</w:t>
        </w:r>
      </w:fldSimple>
      <w:r w:rsidRPr="003E77A1">
        <w:t xml:space="preserve"> and </w:t>
      </w:r>
      <w:fldSimple w:instr=" REF _Ref285535446 \h  \* MERGEFORMAT ">
        <w:r w:rsidR="00D5167B">
          <w:t xml:space="preserve">Figure </w:t>
        </w:r>
        <w:r w:rsidR="00D5167B">
          <w:rPr>
            <w:noProof/>
          </w:rPr>
          <w:t>5.2</w:t>
        </w:r>
      </w:fldSimple>
      <w:r>
        <w:t xml:space="preserve"> </w:t>
      </w:r>
      <w:r w:rsidRPr="009527F8">
        <w:t xml:space="preserve">for the locations of these samples. </w:t>
      </w:r>
      <w:r>
        <w:t xml:space="preserve"> </w:t>
      </w:r>
      <w:r w:rsidRPr="009527F8">
        <w:t xml:space="preserve">The majority of the experimental results are slightly greater than the calculated results for </w:t>
      </w:r>
      <w:r w:rsidRPr="009527F8">
        <w:rPr>
          <w:vertAlign w:val="superscript"/>
        </w:rPr>
        <w:t>234</w:t>
      </w:r>
      <w:r w:rsidRPr="009527F8">
        <w:t xml:space="preserve">U.  The </w:t>
      </w:r>
      <w:r>
        <w:t xml:space="preserve">observed differences between the </w:t>
      </w:r>
      <w:r w:rsidRPr="009527F8">
        <w:t xml:space="preserve">experimental and calculated results for </w:t>
      </w:r>
      <w:r w:rsidRPr="009527F8">
        <w:rPr>
          <w:vertAlign w:val="superscript"/>
        </w:rPr>
        <w:t>235</w:t>
      </w:r>
      <w:r w:rsidRPr="009527F8">
        <w:t>U</w:t>
      </w:r>
      <w:r>
        <w:t xml:space="preserve"> and </w:t>
      </w:r>
      <w:r w:rsidRPr="009527F8">
        <w:rPr>
          <w:vertAlign w:val="superscript"/>
        </w:rPr>
        <w:t>238</w:t>
      </w:r>
      <w:r w:rsidRPr="009527F8">
        <w:t xml:space="preserve">U </w:t>
      </w:r>
      <w:r>
        <w:t>were found to be minimal and t</w:t>
      </w:r>
      <w:r w:rsidRPr="009527F8">
        <w:t xml:space="preserve">he experimental and calculated results for </w:t>
      </w:r>
      <w:r w:rsidRPr="009527F8">
        <w:rPr>
          <w:vertAlign w:val="superscript"/>
        </w:rPr>
        <w:t>236</w:t>
      </w:r>
      <w:r w:rsidRPr="009527F8">
        <w:t xml:space="preserve">U </w:t>
      </w:r>
      <w:r>
        <w:t>were found to agree well.</w:t>
      </w:r>
    </w:p>
    <w:p w:rsidR="0095789C" w:rsidRPr="009527F8" w:rsidRDefault="0095789C" w:rsidP="00856BC8">
      <w:r>
        <w:lastRenderedPageBreak/>
        <w:t xml:space="preserve">The </w:t>
      </w:r>
      <w:r w:rsidR="00070634">
        <w:t>OFE</w:t>
      </w:r>
      <w:r>
        <w:t xml:space="preserve"> is studied for cycles 4 and 16</w:t>
      </w:r>
      <w:r w:rsidR="00070634">
        <w:t xml:space="preserve"> and the OFE is surrounded by the IFE and a water channel to its inside, water on top of and below it, and the control region and the beryllium reflector to its outside.  The effects from these regions are apparent in the plots for cycles 4 and 16.  The most depleted (least amount of post-irradiation </w:t>
      </w:r>
      <w:r w:rsidR="00070634" w:rsidRPr="00070634">
        <w:rPr>
          <w:vertAlign w:val="superscript"/>
        </w:rPr>
        <w:t>235</w:t>
      </w:r>
      <w:r w:rsidR="00070634">
        <w:t xml:space="preserve">U) region is the outer edge of the OFE at the horizontal midplane and this is because the water and beryllium regions to the outside of the OFE moderate fast neutrons that leak from the OFE and reflect them back into the OFE as thermal neutrons.  The IFE is studied in cycle 35 and the IFE is surrounded by the flux trap to its inside, a water channel and the OFE to its outside and water on top of and below it.  The most depleted region in the IFE occurs at the inner edge of the plates at horizontal midplane and this is because fast neutrons leak from the IFE region into the flux trap which moderates </w:t>
      </w:r>
      <w:r w:rsidR="00486F5D">
        <w:t xml:space="preserve">fast neutrons </w:t>
      </w:r>
      <w:r w:rsidR="00070634">
        <w:t xml:space="preserve">and reflects </w:t>
      </w:r>
      <w:r w:rsidR="00486F5D">
        <w:t>them back into the IFE as thermal neutrons.</w:t>
      </w:r>
    </w:p>
    <w:p w:rsidR="00535B14" w:rsidRDefault="00535B14" w:rsidP="00385B6D">
      <w:pPr>
        <w:spacing w:before="0" w:after="200" w:line="276" w:lineRule="auto"/>
        <w:ind w:firstLine="0"/>
      </w:pPr>
    </w:p>
    <w:p w:rsidR="00115CFC" w:rsidRDefault="00115CFC" w:rsidP="00385B6D">
      <w:pPr>
        <w:spacing w:before="0" w:after="200" w:line="276" w:lineRule="auto"/>
        <w:ind w:firstLine="0"/>
      </w:pPr>
    </w:p>
    <w:p w:rsidR="00EF7134" w:rsidRDefault="00856BC8" w:rsidP="004C3625">
      <w:pPr>
        <w:spacing w:line="240" w:lineRule="auto"/>
        <w:ind w:firstLine="0"/>
        <w:jc w:val="center"/>
      </w:pPr>
      <w:r w:rsidRPr="00856BC8">
        <w:rPr>
          <w:noProof/>
        </w:rPr>
        <w:drawing>
          <wp:inline distT="0" distB="0" distL="0" distR="0">
            <wp:extent cx="5486400" cy="3474720"/>
            <wp:effectExtent l="19050" t="0" r="19050" b="0"/>
            <wp:docPr id="50"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EF7134" w:rsidRDefault="003E77A1" w:rsidP="00115CFC">
      <w:pPr>
        <w:pStyle w:val="Caption"/>
        <w:spacing w:after="0"/>
      </w:pPr>
      <w:bookmarkStart w:id="198" w:name="_Ref285535528"/>
      <w:bookmarkStart w:id="199" w:name="_Toc295818213"/>
      <w:proofErr w:type="gramStart"/>
      <w:r>
        <w:t xml:space="preserve">Figure </w:t>
      </w:r>
      <w:r w:rsidR="007511FA">
        <w:fldChar w:fldCharType="begin"/>
      </w:r>
      <w:r w:rsidR="00AE17F8">
        <w:instrText xml:space="preserve"> STYLEREF 1 \s </w:instrText>
      </w:r>
      <w:r w:rsidR="007511FA">
        <w:fldChar w:fldCharType="separate"/>
      </w:r>
      <w:r w:rsidR="00D5167B">
        <w:rPr>
          <w:noProof/>
        </w:rPr>
        <w:t>5</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8</w:t>
      </w:r>
      <w:r w:rsidR="007511FA">
        <w:fldChar w:fldCharType="end"/>
      </w:r>
      <w:bookmarkEnd w:id="198"/>
      <w:r w:rsidR="00363E8D">
        <w:t xml:space="preserve">.  </w:t>
      </w:r>
      <w:proofErr w:type="gramStart"/>
      <w:r w:rsidR="00363E8D">
        <w:t xml:space="preserve">Cycle 4 OFE post-irradiation </w:t>
      </w:r>
      <w:r w:rsidR="00363E8D">
        <w:rPr>
          <w:vertAlign w:val="superscript"/>
        </w:rPr>
        <w:t>234</w:t>
      </w:r>
      <w:r w:rsidR="00363E8D">
        <w:t>U atomic percent.</w:t>
      </w:r>
      <w:bookmarkEnd w:id="199"/>
      <w:proofErr w:type="gramEnd"/>
      <w:r w:rsidR="00EF7134">
        <w:br w:type="page"/>
      </w:r>
    </w:p>
    <w:p w:rsidR="00363E8D" w:rsidRPr="00363E8D" w:rsidRDefault="00856BC8" w:rsidP="004C3625">
      <w:pPr>
        <w:spacing w:line="240" w:lineRule="auto"/>
        <w:ind w:firstLine="0"/>
        <w:jc w:val="center"/>
      </w:pPr>
      <w:r w:rsidRPr="00856BC8">
        <w:rPr>
          <w:noProof/>
        </w:rPr>
        <w:lastRenderedPageBreak/>
        <w:drawing>
          <wp:inline distT="0" distB="0" distL="0" distR="0">
            <wp:extent cx="5486400" cy="3474720"/>
            <wp:effectExtent l="19050" t="0" r="19050" b="0"/>
            <wp:docPr id="51"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363E8D" w:rsidRPr="00363E8D" w:rsidRDefault="003E77A1" w:rsidP="00115CFC">
      <w:pPr>
        <w:pStyle w:val="Caption"/>
        <w:spacing w:before="120" w:after="0"/>
      </w:pPr>
      <w:bookmarkStart w:id="200" w:name="_Toc295818214"/>
      <w:proofErr w:type="gramStart"/>
      <w:r>
        <w:t xml:space="preserve">Figure </w:t>
      </w:r>
      <w:r w:rsidR="007511FA">
        <w:fldChar w:fldCharType="begin"/>
      </w:r>
      <w:r w:rsidR="00AE17F8">
        <w:instrText xml:space="preserve"> STYLEREF 1 \s </w:instrText>
      </w:r>
      <w:r w:rsidR="007511FA">
        <w:fldChar w:fldCharType="separate"/>
      </w:r>
      <w:r w:rsidR="00D5167B">
        <w:rPr>
          <w:noProof/>
        </w:rPr>
        <w:t>5</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9</w:t>
      </w:r>
      <w:r w:rsidR="007511FA">
        <w:fldChar w:fldCharType="end"/>
      </w:r>
      <w:r w:rsidR="00363E8D">
        <w:t xml:space="preserve">.  </w:t>
      </w:r>
      <w:proofErr w:type="gramStart"/>
      <w:r w:rsidR="00363E8D">
        <w:t xml:space="preserve">Cycle 4 OFE post-irradiation </w:t>
      </w:r>
      <w:r w:rsidR="00363E8D">
        <w:rPr>
          <w:vertAlign w:val="superscript"/>
        </w:rPr>
        <w:t>235</w:t>
      </w:r>
      <w:r w:rsidR="00363E8D">
        <w:t>U atomic percent.</w:t>
      </w:r>
      <w:bookmarkEnd w:id="200"/>
      <w:proofErr w:type="gramEnd"/>
    </w:p>
    <w:p w:rsidR="00363E8D" w:rsidRDefault="00363E8D" w:rsidP="00A52A92">
      <w:pPr>
        <w:spacing w:before="0" w:after="200" w:line="276" w:lineRule="auto"/>
        <w:ind w:firstLine="0"/>
        <w:jc w:val="center"/>
      </w:pPr>
    </w:p>
    <w:p w:rsidR="00115CFC" w:rsidRDefault="00115CFC" w:rsidP="00A52A92">
      <w:pPr>
        <w:spacing w:before="0" w:after="200" w:line="276" w:lineRule="auto"/>
        <w:ind w:firstLine="0"/>
        <w:jc w:val="center"/>
      </w:pPr>
    </w:p>
    <w:p w:rsidR="00363E8D" w:rsidRPr="00363E8D" w:rsidRDefault="00856BC8" w:rsidP="004C3625">
      <w:pPr>
        <w:spacing w:line="240" w:lineRule="auto"/>
        <w:ind w:firstLine="0"/>
        <w:jc w:val="center"/>
      </w:pPr>
      <w:r w:rsidRPr="00856BC8">
        <w:rPr>
          <w:noProof/>
        </w:rPr>
        <w:drawing>
          <wp:inline distT="0" distB="0" distL="0" distR="0">
            <wp:extent cx="5486400" cy="3474720"/>
            <wp:effectExtent l="19050" t="0" r="19050" b="0"/>
            <wp:docPr id="52"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363E8D" w:rsidRDefault="003E77A1" w:rsidP="00115CFC">
      <w:pPr>
        <w:pStyle w:val="Caption"/>
        <w:spacing w:after="0"/>
      </w:pPr>
      <w:bookmarkStart w:id="201" w:name="_Toc295818215"/>
      <w:proofErr w:type="gramStart"/>
      <w:r>
        <w:t xml:space="preserve">Figure </w:t>
      </w:r>
      <w:r w:rsidR="007511FA">
        <w:fldChar w:fldCharType="begin"/>
      </w:r>
      <w:r w:rsidR="00AE17F8">
        <w:instrText xml:space="preserve"> STYLEREF 1 \s </w:instrText>
      </w:r>
      <w:r w:rsidR="007511FA">
        <w:fldChar w:fldCharType="separate"/>
      </w:r>
      <w:r w:rsidR="00D5167B">
        <w:rPr>
          <w:noProof/>
        </w:rPr>
        <w:t>5</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10</w:t>
      </w:r>
      <w:r w:rsidR="007511FA">
        <w:fldChar w:fldCharType="end"/>
      </w:r>
      <w:r w:rsidR="00363E8D">
        <w:t xml:space="preserve">.  </w:t>
      </w:r>
      <w:proofErr w:type="gramStart"/>
      <w:r w:rsidR="00363E8D">
        <w:t xml:space="preserve">Cycle 4 OFE post-irradiation </w:t>
      </w:r>
      <w:r w:rsidR="00363E8D">
        <w:rPr>
          <w:vertAlign w:val="superscript"/>
        </w:rPr>
        <w:t>236</w:t>
      </w:r>
      <w:r w:rsidR="00363E8D">
        <w:t>U atomic percent.</w:t>
      </w:r>
      <w:bookmarkEnd w:id="201"/>
      <w:proofErr w:type="gramEnd"/>
      <w:r w:rsidR="00363E8D">
        <w:br w:type="page"/>
      </w:r>
    </w:p>
    <w:p w:rsidR="00363E8D" w:rsidRPr="00363E8D" w:rsidRDefault="00856BC8" w:rsidP="004C3625">
      <w:pPr>
        <w:spacing w:line="240" w:lineRule="auto"/>
        <w:ind w:firstLine="0"/>
        <w:jc w:val="center"/>
      </w:pPr>
      <w:r w:rsidRPr="00856BC8">
        <w:rPr>
          <w:noProof/>
        </w:rPr>
        <w:lastRenderedPageBreak/>
        <w:drawing>
          <wp:inline distT="0" distB="0" distL="0" distR="0">
            <wp:extent cx="5489864" cy="3474720"/>
            <wp:effectExtent l="19050" t="0" r="15586" b="0"/>
            <wp:docPr id="53"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363E8D" w:rsidRPr="003E77A1" w:rsidRDefault="003E77A1" w:rsidP="00115CFC">
      <w:pPr>
        <w:pStyle w:val="Caption"/>
        <w:spacing w:after="0"/>
      </w:pPr>
      <w:bookmarkStart w:id="202" w:name="_Toc295818216"/>
      <w:proofErr w:type="gramStart"/>
      <w:r>
        <w:t xml:space="preserve">Figure </w:t>
      </w:r>
      <w:r w:rsidR="007511FA">
        <w:fldChar w:fldCharType="begin"/>
      </w:r>
      <w:r w:rsidR="00AE17F8">
        <w:instrText xml:space="preserve"> STYLEREF 1 \s </w:instrText>
      </w:r>
      <w:r w:rsidR="007511FA">
        <w:fldChar w:fldCharType="separate"/>
      </w:r>
      <w:r w:rsidR="00D5167B">
        <w:rPr>
          <w:noProof/>
        </w:rPr>
        <w:t>5</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11</w:t>
      </w:r>
      <w:r w:rsidR="007511FA">
        <w:fldChar w:fldCharType="end"/>
      </w:r>
      <w:r w:rsidR="00363E8D" w:rsidRPr="003E77A1">
        <w:t xml:space="preserve">.  </w:t>
      </w:r>
      <w:proofErr w:type="gramStart"/>
      <w:r w:rsidR="00363E8D" w:rsidRPr="003E77A1">
        <w:t>Cycle 4 OFE post-irradiation 238U atomic percent.</w:t>
      </w:r>
      <w:bookmarkEnd w:id="202"/>
      <w:proofErr w:type="gramEnd"/>
    </w:p>
    <w:p w:rsidR="00363E8D" w:rsidRDefault="00363E8D" w:rsidP="00A52A92">
      <w:pPr>
        <w:spacing w:before="0" w:after="200" w:line="276" w:lineRule="auto"/>
        <w:ind w:firstLine="0"/>
        <w:jc w:val="center"/>
      </w:pPr>
    </w:p>
    <w:p w:rsidR="00115CFC" w:rsidRDefault="00115CFC" w:rsidP="00A52A92">
      <w:pPr>
        <w:spacing w:before="0" w:after="200" w:line="276" w:lineRule="auto"/>
        <w:ind w:firstLine="0"/>
        <w:jc w:val="center"/>
      </w:pPr>
    </w:p>
    <w:p w:rsidR="00363E8D" w:rsidRPr="00363E8D" w:rsidRDefault="00856BC8" w:rsidP="004C3625">
      <w:pPr>
        <w:spacing w:line="240" w:lineRule="auto"/>
        <w:ind w:firstLine="0"/>
        <w:jc w:val="center"/>
      </w:pPr>
      <w:r w:rsidRPr="00856BC8">
        <w:rPr>
          <w:noProof/>
        </w:rPr>
        <w:drawing>
          <wp:inline distT="0" distB="0" distL="0" distR="0">
            <wp:extent cx="5486400" cy="3474720"/>
            <wp:effectExtent l="19050" t="0" r="19050" b="0"/>
            <wp:docPr id="54"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363E8D" w:rsidRDefault="003E77A1" w:rsidP="00115CFC">
      <w:pPr>
        <w:pStyle w:val="Caption"/>
        <w:spacing w:after="0"/>
      </w:pPr>
      <w:bookmarkStart w:id="203" w:name="_Toc295818217"/>
      <w:proofErr w:type="gramStart"/>
      <w:r>
        <w:t xml:space="preserve">Figure </w:t>
      </w:r>
      <w:r w:rsidR="007511FA">
        <w:fldChar w:fldCharType="begin"/>
      </w:r>
      <w:r w:rsidR="00AE17F8">
        <w:instrText xml:space="preserve"> STYLEREF 1 \s </w:instrText>
      </w:r>
      <w:r w:rsidR="007511FA">
        <w:fldChar w:fldCharType="separate"/>
      </w:r>
      <w:r w:rsidR="00D5167B">
        <w:rPr>
          <w:noProof/>
        </w:rPr>
        <w:t>5</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12</w:t>
      </w:r>
      <w:r w:rsidR="007511FA">
        <w:fldChar w:fldCharType="end"/>
      </w:r>
      <w:r w:rsidR="00363E8D">
        <w:t xml:space="preserve">.  </w:t>
      </w:r>
      <w:proofErr w:type="gramStart"/>
      <w:r w:rsidR="00363E8D">
        <w:t xml:space="preserve">Cycle 16 OFE post-irradiation </w:t>
      </w:r>
      <w:r w:rsidR="00363E8D">
        <w:rPr>
          <w:vertAlign w:val="superscript"/>
        </w:rPr>
        <w:t>234</w:t>
      </w:r>
      <w:r w:rsidR="00363E8D">
        <w:t>U atomic percent.</w:t>
      </w:r>
      <w:bookmarkEnd w:id="203"/>
      <w:proofErr w:type="gramEnd"/>
      <w:r w:rsidR="00363E8D">
        <w:br w:type="page"/>
      </w:r>
    </w:p>
    <w:p w:rsidR="00363E8D" w:rsidRPr="00363E8D" w:rsidRDefault="0095789C" w:rsidP="004C3625">
      <w:pPr>
        <w:spacing w:line="240" w:lineRule="auto"/>
        <w:ind w:firstLine="0"/>
        <w:jc w:val="center"/>
      </w:pPr>
      <w:r w:rsidRPr="0095789C">
        <w:rPr>
          <w:noProof/>
        </w:rPr>
        <w:lastRenderedPageBreak/>
        <w:drawing>
          <wp:inline distT="0" distB="0" distL="0" distR="0">
            <wp:extent cx="5486400" cy="3474720"/>
            <wp:effectExtent l="19050" t="0" r="19050" b="0"/>
            <wp:docPr id="55"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363E8D" w:rsidRPr="00363E8D" w:rsidRDefault="003E77A1" w:rsidP="00115CFC">
      <w:pPr>
        <w:pStyle w:val="Caption"/>
        <w:spacing w:after="0"/>
      </w:pPr>
      <w:bookmarkStart w:id="204" w:name="_Toc295818218"/>
      <w:proofErr w:type="gramStart"/>
      <w:r>
        <w:t xml:space="preserve">Figure </w:t>
      </w:r>
      <w:r w:rsidR="007511FA">
        <w:fldChar w:fldCharType="begin"/>
      </w:r>
      <w:r w:rsidR="00AE17F8">
        <w:instrText xml:space="preserve"> STYLEREF 1 \s </w:instrText>
      </w:r>
      <w:r w:rsidR="007511FA">
        <w:fldChar w:fldCharType="separate"/>
      </w:r>
      <w:r w:rsidR="00D5167B">
        <w:rPr>
          <w:noProof/>
        </w:rPr>
        <w:t>5</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13</w:t>
      </w:r>
      <w:r w:rsidR="007511FA">
        <w:fldChar w:fldCharType="end"/>
      </w:r>
      <w:r w:rsidR="00363E8D">
        <w:t xml:space="preserve">.  </w:t>
      </w:r>
      <w:proofErr w:type="gramStart"/>
      <w:r w:rsidR="00363E8D">
        <w:t xml:space="preserve">Cycle 16 OFE post-irradiation </w:t>
      </w:r>
      <w:r w:rsidR="00363E8D">
        <w:rPr>
          <w:vertAlign w:val="superscript"/>
        </w:rPr>
        <w:t>235</w:t>
      </w:r>
      <w:r w:rsidR="00363E8D">
        <w:t>U atomic percent.</w:t>
      </w:r>
      <w:bookmarkEnd w:id="204"/>
      <w:proofErr w:type="gramEnd"/>
    </w:p>
    <w:p w:rsidR="00363E8D" w:rsidRDefault="00363E8D" w:rsidP="00A52A92">
      <w:pPr>
        <w:spacing w:before="0" w:after="200" w:line="276" w:lineRule="auto"/>
        <w:ind w:firstLine="0"/>
        <w:jc w:val="center"/>
      </w:pPr>
    </w:p>
    <w:p w:rsidR="00115CFC" w:rsidRDefault="00115CFC" w:rsidP="00A52A92">
      <w:pPr>
        <w:spacing w:before="0" w:after="200" w:line="276" w:lineRule="auto"/>
        <w:ind w:firstLine="0"/>
        <w:jc w:val="center"/>
      </w:pPr>
    </w:p>
    <w:p w:rsidR="00363E8D" w:rsidRPr="00363E8D" w:rsidRDefault="0095789C" w:rsidP="004C3625">
      <w:pPr>
        <w:spacing w:line="240" w:lineRule="auto"/>
        <w:ind w:firstLine="0"/>
        <w:jc w:val="center"/>
      </w:pPr>
      <w:r w:rsidRPr="0095789C">
        <w:rPr>
          <w:noProof/>
        </w:rPr>
        <w:drawing>
          <wp:inline distT="0" distB="0" distL="0" distR="0">
            <wp:extent cx="5486400" cy="3474720"/>
            <wp:effectExtent l="19050" t="0" r="19050" b="0"/>
            <wp:docPr id="56"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363E8D" w:rsidRDefault="003E77A1" w:rsidP="00115CFC">
      <w:pPr>
        <w:pStyle w:val="Caption"/>
        <w:spacing w:after="0"/>
      </w:pPr>
      <w:bookmarkStart w:id="205" w:name="_Toc295818219"/>
      <w:proofErr w:type="gramStart"/>
      <w:r>
        <w:t xml:space="preserve">Figure </w:t>
      </w:r>
      <w:r w:rsidR="007511FA">
        <w:fldChar w:fldCharType="begin"/>
      </w:r>
      <w:r w:rsidR="00AE17F8">
        <w:instrText xml:space="preserve"> STYLEREF 1 \s </w:instrText>
      </w:r>
      <w:r w:rsidR="007511FA">
        <w:fldChar w:fldCharType="separate"/>
      </w:r>
      <w:r w:rsidR="00D5167B">
        <w:rPr>
          <w:noProof/>
        </w:rPr>
        <w:t>5</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14</w:t>
      </w:r>
      <w:r w:rsidR="007511FA">
        <w:fldChar w:fldCharType="end"/>
      </w:r>
      <w:r w:rsidR="00363E8D">
        <w:t xml:space="preserve">.  </w:t>
      </w:r>
      <w:proofErr w:type="gramStart"/>
      <w:r w:rsidR="00363E8D">
        <w:t xml:space="preserve">Cycle 16 OFE post-irradiation </w:t>
      </w:r>
      <w:r w:rsidR="00363E8D">
        <w:rPr>
          <w:vertAlign w:val="superscript"/>
        </w:rPr>
        <w:t>236</w:t>
      </w:r>
      <w:r w:rsidR="00363E8D">
        <w:t>U atomic percent.</w:t>
      </w:r>
      <w:bookmarkEnd w:id="205"/>
      <w:proofErr w:type="gramEnd"/>
      <w:r w:rsidR="00363E8D">
        <w:br w:type="page"/>
      </w:r>
    </w:p>
    <w:p w:rsidR="00363E8D" w:rsidRPr="00363E8D" w:rsidRDefault="0095789C" w:rsidP="004C3625">
      <w:pPr>
        <w:spacing w:line="240" w:lineRule="auto"/>
        <w:ind w:firstLine="0"/>
        <w:jc w:val="center"/>
      </w:pPr>
      <w:r w:rsidRPr="0095789C">
        <w:rPr>
          <w:noProof/>
        </w:rPr>
        <w:lastRenderedPageBreak/>
        <w:drawing>
          <wp:inline distT="0" distB="0" distL="0" distR="0">
            <wp:extent cx="5486400" cy="3474720"/>
            <wp:effectExtent l="19050" t="0" r="19050" b="0"/>
            <wp:docPr id="57"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363E8D" w:rsidRPr="00363E8D" w:rsidRDefault="003E77A1" w:rsidP="00FF33E0">
      <w:pPr>
        <w:pStyle w:val="Caption"/>
        <w:spacing w:after="0"/>
      </w:pPr>
      <w:bookmarkStart w:id="206" w:name="_Toc295818220"/>
      <w:proofErr w:type="gramStart"/>
      <w:r>
        <w:t xml:space="preserve">Figure </w:t>
      </w:r>
      <w:r w:rsidR="007511FA">
        <w:fldChar w:fldCharType="begin"/>
      </w:r>
      <w:r w:rsidR="00AE17F8">
        <w:instrText xml:space="preserve"> STYLEREF 1 \s </w:instrText>
      </w:r>
      <w:r w:rsidR="007511FA">
        <w:fldChar w:fldCharType="separate"/>
      </w:r>
      <w:r w:rsidR="00D5167B">
        <w:rPr>
          <w:noProof/>
        </w:rPr>
        <w:t>5</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15</w:t>
      </w:r>
      <w:r w:rsidR="007511FA">
        <w:fldChar w:fldCharType="end"/>
      </w:r>
      <w:r w:rsidR="00363E8D">
        <w:t xml:space="preserve">.  </w:t>
      </w:r>
      <w:proofErr w:type="gramStart"/>
      <w:r w:rsidR="00363E8D">
        <w:t xml:space="preserve">Cycle 16 OFE post-irradiation </w:t>
      </w:r>
      <w:r w:rsidR="00363E8D">
        <w:rPr>
          <w:vertAlign w:val="superscript"/>
        </w:rPr>
        <w:t>238</w:t>
      </w:r>
      <w:r w:rsidR="00363E8D">
        <w:t>U atomic percent.</w:t>
      </w:r>
      <w:bookmarkEnd w:id="206"/>
      <w:proofErr w:type="gramEnd"/>
    </w:p>
    <w:p w:rsidR="00363E8D" w:rsidRDefault="00363E8D" w:rsidP="00A52A92">
      <w:pPr>
        <w:spacing w:before="0" w:after="200" w:line="276" w:lineRule="auto"/>
        <w:ind w:firstLine="0"/>
        <w:jc w:val="center"/>
      </w:pPr>
    </w:p>
    <w:p w:rsidR="00FF33E0" w:rsidRDefault="00FF33E0" w:rsidP="00A52A92">
      <w:pPr>
        <w:spacing w:before="0" w:after="200" w:line="276" w:lineRule="auto"/>
        <w:ind w:firstLine="0"/>
        <w:jc w:val="center"/>
      </w:pPr>
    </w:p>
    <w:p w:rsidR="00363E8D" w:rsidRPr="00363E8D" w:rsidRDefault="0095789C" w:rsidP="004C3625">
      <w:pPr>
        <w:spacing w:line="240" w:lineRule="auto"/>
        <w:ind w:firstLine="0"/>
        <w:jc w:val="center"/>
      </w:pPr>
      <w:r w:rsidRPr="0095789C">
        <w:rPr>
          <w:noProof/>
        </w:rPr>
        <w:drawing>
          <wp:inline distT="0" distB="0" distL="0" distR="0">
            <wp:extent cx="5486400" cy="3474720"/>
            <wp:effectExtent l="19050" t="0" r="19050" b="0"/>
            <wp:docPr id="58"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363E8D" w:rsidRDefault="003E77A1" w:rsidP="00FF33E0">
      <w:pPr>
        <w:pStyle w:val="Caption"/>
      </w:pPr>
      <w:bookmarkStart w:id="207" w:name="_Toc295818221"/>
      <w:proofErr w:type="gramStart"/>
      <w:r>
        <w:t xml:space="preserve">Figure </w:t>
      </w:r>
      <w:r w:rsidR="007511FA">
        <w:fldChar w:fldCharType="begin"/>
      </w:r>
      <w:r w:rsidR="00AE17F8">
        <w:instrText xml:space="preserve"> STYLEREF 1 \s </w:instrText>
      </w:r>
      <w:r w:rsidR="007511FA">
        <w:fldChar w:fldCharType="separate"/>
      </w:r>
      <w:r w:rsidR="00D5167B">
        <w:rPr>
          <w:noProof/>
        </w:rPr>
        <w:t>5</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16</w:t>
      </w:r>
      <w:r w:rsidR="007511FA">
        <w:fldChar w:fldCharType="end"/>
      </w:r>
      <w:r w:rsidR="00363E8D">
        <w:t xml:space="preserve">.  </w:t>
      </w:r>
      <w:proofErr w:type="gramStart"/>
      <w:r w:rsidR="00363E8D">
        <w:t xml:space="preserve">Cycle 35 IFE post-irradiation </w:t>
      </w:r>
      <w:r w:rsidR="00363E8D">
        <w:rPr>
          <w:vertAlign w:val="superscript"/>
        </w:rPr>
        <w:t>234</w:t>
      </w:r>
      <w:r w:rsidR="00363E8D">
        <w:t>U atomic percent.</w:t>
      </w:r>
      <w:bookmarkEnd w:id="207"/>
      <w:proofErr w:type="gramEnd"/>
      <w:r w:rsidR="00363E8D">
        <w:br w:type="page"/>
      </w:r>
    </w:p>
    <w:p w:rsidR="00363E8D" w:rsidRPr="00363E8D" w:rsidRDefault="0095789C" w:rsidP="004C3625">
      <w:pPr>
        <w:spacing w:line="240" w:lineRule="auto"/>
        <w:ind w:firstLine="0"/>
        <w:jc w:val="center"/>
      </w:pPr>
      <w:r w:rsidRPr="0095789C">
        <w:rPr>
          <w:noProof/>
        </w:rPr>
        <w:lastRenderedPageBreak/>
        <w:drawing>
          <wp:inline distT="0" distB="0" distL="0" distR="0">
            <wp:extent cx="5486400" cy="3474720"/>
            <wp:effectExtent l="19050" t="0" r="19050" b="0"/>
            <wp:docPr id="59"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363E8D" w:rsidRPr="00363E8D" w:rsidRDefault="003E77A1" w:rsidP="00FF33E0">
      <w:pPr>
        <w:pStyle w:val="Caption"/>
        <w:spacing w:after="0"/>
      </w:pPr>
      <w:bookmarkStart w:id="208" w:name="_Toc295818222"/>
      <w:proofErr w:type="gramStart"/>
      <w:r>
        <w:t xml:space="preserve">Figure </w:t>
      </w:r>
      <w:r w:rsidR="007511FA">
        <w:fldChar w:fldCharType="begin"/>
      </w:r>
      <w:r w:rsidR="00AE17F8">
        <w:instrText xml:space="preserve"> STYLEREF 1 \s </w:instrText>
      </w:r>
      <w:r w:rsidR="007511FA">
        <w:fldChar w:fldCharType="separate"/>
      </w:r>
      <w:r w:rsidR="00D5167B">
        <w:rPr>
          <w:noProof/>
        </w:rPr>
        <w:t>5</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17</w:t>
      </w:r>
      <w:r w:rsidR="007511FA">
        <w:fldChar w:fldCharType="end"/>
      </w:r>
      <w:r w:rsidR="00363E8D">
        <w:t xml:space="preserve">.  </w:t>
      </w:r>
      <w:proofErr w:type="gramStart"/>
      <w:r w:rsidR="00363E8D">
        <w:t xml:space="preserve">Cycle 35 IFE post-irradiation </w:t>
      </w:r>
      <w:r w:rsidR="00363E8D">
        <w:rPr>
          <w:vertAlign w:val="superscript"/>
        </w:rPr>
        <w:t>235</w:t>
      </w:r>
      <w:r w:rsidR="00363E8D">
        <w:t>U atomic percent.</w:t>
      </w:r>
      <w:bookmarkEnd w:id="208"/>
      <w:proofErr w:type="gramEnd"/>
    </w:p>
    <w:p w:rsidR="00363E8D" w:rsidRDefault="00363E8D" w:rsidP="00A52A92">
      <w:pPr>
        <w:spacing w:before="0" w:after="200" w:line="276" w:lineRule="auto"/>
        <w:ind w:firstLine="0"/>
        <w:jc w:val="center"/>
      </w:pPr>
    </w:p>
    <w:p w:rsidR="00FF33E0" w:rsidRDefault="00FF33E0" w:rsidP="00A52A92">
      <w:pPr>
        <w:spacing w:before="0" w:after="200" w:line="276" w:lineRule="auto"/>
        <w:ind w:firstLine="0"/>
        <w:jc w:val="center"/>
      </w:pPr>
    </w:p>
    <w:p w:rsidR="00363E8D" w:rsidRPr="00363E8D" w:rsidRDefault="0095789C" w:rsidP="004C3625">
      <w:pPr>
        <w:spacing w:line="240" w:lineRule="auto"/>
        <w:ind w:firstLine="0"/>
        <w:jc w:val="center"/>
      </w:pPr>
      <w:r w:rsidRPr="0095789C">
        <w:rPr>
          <w:noProof/>
        </w:rPr>
        <w:drawing>
          <wp:inline distT="0" distB="0" distL="0" distR="0">
            <wp:extent cx="5486400" cy="3474720"/>
            <wp:effectExtent l="19050" t="0" r="19050" b="0"/>
            <wp:docPr id="60"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363E8D" w:rsidRDefault="003E77A1" w:rsidP="00FF33E0">
      <w:pPr>
        <w:pStyle w:val="Caption"/>
        <w:spacing w:after="0"/>
      </w:pPr>
      <w:bookmarkStart w:id="209" w:name="_Toc295818223"/>
      <w:proofErr w:type="gramStart"/>
      <w:r>
        <w:t xml:space="preserve">Figure </w:t>
      </w:r>
      <w:r w:rsidR="007511FA">
        <w:fldChar w:fldCharType="begin"/>
      </w:r>
      <w:r w:rsidR="00AE17F8">
        <w:instrText xml:space="preserve"> STYLEREF 1 \s </w:instrText>
      </w:r>
      <w:r w:rsidR="007511FA">
        <w:fldChar w:fldCharType="separate"/>
      </w:r>
      <w:r w:rsidR="00D5167B">
        <w:rPr>
          <w:noProof/>
        </w:rPr>
        <w:t>5</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18</w:t>
      </w:r>
      <w:r w:rsidR="007511FA">
        <w:fldChar w:fldCharType="end"/>
      </w:r>
      <w:r w:rsidR="00363E8D">
        <w:t xml:space="preserve">.  </w:t>
      </w:r>
      <w:proofErr w:type="gramStart"/>
      <w:r w:rsidR="00363E8D">
        <w:t xml:space="preserve">Cycle 35 IFE post-irradiation </w:t>
      </w:r>
      <w:r w:rsidR="00363E8D">
        <w:rPr>
          <w:vertAlign w:val="superscript"/>
        </w:rPr>
        <w:t>236</w:t>
      </w:r>
      <w:r w:rsidR="00363E8D">
        <w:t>U atomic percent.</w:t>
      </w:r>
      <w:bookmarkEnd w:id="209"/>
      <w:proofErr w:type="gramEnd"/>
      <w:r w:rsidR="00363E8D">
        <w:br w:type="page"/>
      </w:r>
    </w:p>
    <w:p w:rsidR="00363E8D" w:rsidRPr="00363E8D" w:rsidRDefault="0095789C" w:rsidP="00E644F3">
      <w:pPr>
        <w:spacing w:line="240" w:lineRule="auto"/>
        <w:ind w:firstLine="0"/>
        <w:jc w:val="center"/>
      </w:pPr>
      <w:r w:rsidRPr="0095789C">
        <w:rPr>
          <w:noProof/>
        </w:rPr>
        <w:lastRenderedPageBreak/>
        <w:drawing>
          <wp:inline distT="0" distB="0" distL="0" distR="0">
            <wp:extent cx="5486400" cy="3474720"/>
            <wp:effectExtent l="19050" t="0" r="19050" b="0"/>
            <wp:docPr id="61"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363E8D" w:rsidRPr="00363E8D" w:rsidRDefault="003E77A1" w:rsidP="00FF33E0">
      <w:pPr>
        <w:pStyle w:val="Caption"/>
        <w:spacing w:after="0"/>
      </w:pPr>
      <w:bookmarkStart w:id="210" w:name="_Ref285535566"/>
      <w:bookmarkStart w:id="211" w:name="_Toc295818224"/>
      <w:proofErr w:type="gramStart"/>
      <w:r>
        <w:t xml:space="preserve">Figure </w:t>
      </w:r>
      <w:r w:rsidR="007511FA">
        <w:fldChar w:fldCharType="begin"/>
      </w:r>
      <w:r w:rsidR="00AE17F8">
        <w:instrText xml:space="preserve"> STYLEREF 1 \s </w:instrText>
      </w:r>
      <w:r w:rsidR="007511FA">
        <w:fldChar w:fldCharType="separate"/>
      </w:r>
      <w:r w:rsidR="00D5167B">
        <w:rPr>
          <w:noProof/>
        </w:rPr>
        <w:t>5</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19</w:t>
      </w:r>
      <w:r w:rsidR="007511FA">
        <w:fldChar w:fldCharType="end"/>
      </w:r>
      <w:bookmarkEnd w:id="210"/>
      <w:r w:rsidR="00363E8D">
        <w:t xml:space="preserve">.  </w:t>
      </w:r>
      <w:proofErr w:type="gramStart"/>
      <w:r w:rsidR="00363E8D">
        <w:t xml:space="preserve">Cycle 35 IFE post-irradiation </w:t>
      </w:r>
      <w:r w:rsidR="00363E8D">
        <w:rPr>
          <w:vertAlign w:val="superscript"/>
        </w:rPr>
        <w:t>238</w:t>
      </w:r>
      <w:r w:rsidR="00363E8D">
        <w:t>U atomic percent.</w:t>
      </w:r>
      <w:bookmarkEnd w:id="211"/>
      <w:proofErr w:type="gramEnd"/>
    </w:p>
    <w:p w:rsidR="00363E8D" w:rsidRDefault="00363E8D">
      <w:pPr>
        <w:spacing w:before="0" w:after="200" w:line="276" w:lineRule="auto"/>
      </w:pPr>
    </w:p>
    <w:p w:rsidR="00FF33E0" w:rsidRDefault="00FF33E0">
      <w:pPr>
        <w:spacing w:before="0" w:after="200" w:line="276" w:lineRule="auto"/>
      </w:pPr>
    </w:p>
    <w:p w:rsidR="00363E8D" w:rsidRDefault="003F158A" w:rsidP="00AA149C">
      <w:pPr>
        <w:pStyle w:val="Heading3"/>
      </w:pPr>
      <w:bookmarkStart w:id="212" w:name="_Toc295818134"/>
      <w:r>
        <w:t>Fissile and Neutron Poison Nuclide Inventory</w:t>
      </w:r>
      <w:bookmarkEnd w:id="212"/>
    </w:p>
    <w:p w:rsidR="003F158A" w:rsidRDefault="002C0837" w:rsidP="003F158A">
      <w:r>
        <w:t xml:space="preserve">The results in this section correspond to the cycle 16 ALEPH calculation.  </w:t>
      </w:r>
      <w:r w:rsidR="003F158A">
        <w:t xml:space="preserve">The initial amount of </w:t>
      </w:r>
      <w:r w:rsidR="003F158A">
        <w:rPr>
          <w:vertAlign w:val="superscript"/>
        </w:rPr>
        <w:t>235</w:t>
      </w:r>
      <w:r w:rsidR="003F158A">
        <w:t xml:space="preserve">U in a HFIR </w:t>
      </w:r>
      <w:proofErr w:type="spellStart"/>
      <w:r w:rsidR="003F158A">
        <w:t>unirradiated</w:t>
      </w:r>
      <w:proofErr w:type="spellEnd"/>
      <w:r w:rsidR="003F158A">
        <w:t xml:space="preserve"> core is approximately 9.4 kilograms.  For cycle 16, a total of 9.404 kilograms of </w:t>
      </w:r>
      <w:r w:rsidR="003F158A">
        <w:rPr>
          <w:vertAlign w:val="superscript"/>
        </w:rPr>
        <w:t>235</w:t>
      </w:r>
      <w:r w:rsidR="003F158A">
        <w:t xml:space="preserve">U was modeled as the beginning-of-life </w:t>
      </w:r>
      <w:r w:rsidR="003F158A">
        <w:rPr>
          <w:vertAlign w:val="superscript"/>
        </w:rPr>
        <w:t>235</w:t>
      </w:r>
      <w:r w:rsidR="003F158A">
        <w:t xml:space="preserve">U inventory, which is within the allowed uncertainty.  At the end-of-cycle 16 (2309 MWd), a sum of 6.49 kilograms of </w:t>
      </w:r>
      <w:r w:rsidR="003F158A">
        <w:rPr>
          <w:vertAlign w:val="superscript"/>
        </w:rPr>
        <w:t>235</w:t>
      </w:r>
      <w:r w:rsidR="003F158A">
        <w:t xml:space="preserve">U remained in the core, which is 69 % of the initial </w:t>
      </w:r>
      <w:r w:rsidR="003F158A">
        <w:rPr>
          <w:vertAlign w:val="superscript"/>
        </w:rPr>
        <w:t>235</w:t>
      </w:r>
      <w:r w:rsidR="003F158A">
        <w:t xml:space="preserve">U.  Thus, only 31 % of the total uranium was burned and an average </w:t>
      </w:r>
      <w:r w:rsidR="00050B54">
        <w:t>burnup</w:t>
      </w:r>
      <w:r w:rsidR="003F158A">
        <w:t xml:space="preserve"> of about 245.5 MWd per kilogram initial </w:t>
      </w:r>
      <w:r w:rsidR="003F158A">
        <w:rPr>
          <w:vertAlign w:val="superscript"/>
        </w:rPr>
        <w:t>235</w:t>
      </w:r>
      <w:r w:rsidR="003F158A">
        <w:t xml:space="preserve">U was achieved.  As irradiation time increases and the </w:t>
      </w:r>
      <w:r w:rsidR="003F158A">
        <w:rPr>
          <w:vertAlign w:val="superscript"/>
        </w:rPr>
        <w:t>235</w:t>
      </w:r>
      <w:r w:rsidR="003F158A">
        <w:t xml:space="preserve">U inventory decreases, </w:t>
      </w:r>
      <w:r w:rsidR="003F158A">
        <w:rPr>
          <w:vertAlign w:val="superscript"/>
        </w:rPr>
        <w:t>239</w:t>
      </w:r>
      <w:r w:rsidR="003F158A">
        <w:t xml:space="preserve">Pu builds in by neutron capture from </w:t>
      </w:r>
      <w:r w:rsidR="003F158A">
        <w:rPr>
          <w:vertAlign w:val="superscript"/>
        </w:rPr>
        <w:t>238</w:t>
      </w:r>
      <w:r>
        <w:t xml:space="preserve">U. </w:t>
      </w:r>
      <w:r w:rsidR="003F158A">
        <w:t xml:space="preserve"> </w:t>
      </w:r>
      <w:r>
        <w:t xml:space="preserve">Plutonium-239 </w:t>
      </w:r>
      <w:r w:rsidR="003F158A">
        <w:t>is a fissile nuclide that is accountable for approximately 6 % of total fissions at the end of a typical HFIR fuel cycle</w:t>
      </w:r>
      <w:r w:rsidR="00C67546">
        <w:t xml:space="preserve"> </w:t>
      </w:r>
      <w:r w:rsidR="007511FA">
        <w:fldChar w:fldCharType="begin"/>
      </w:r>
      <w:r w:rsidR="00C67546">
        <w:instrText xml:space="preserve"> REF _Ref285636258 \n \h </w:instrText>
      </w:r>
      <w:r w:rsidR="007511FA">
        <w:fldChar w:fldCharType="separate"/>
      </w:r>
      <w:r w:rsidR="00D5167B">
        <w:t>[22]</w:t>
      </w:r>
      <w:r w:rsidR="007511FA">
        <w:fldChar w:fldCharType="end"/>
      </w:r>
      <w:r w:rsidR="003F158A">
        <w:t xml:space="preserve">.  The depletion of </w:t>
      </w:r>
      <w:r w:rsidR="003F158A">
        <w:rPr>
          <w:vertAlign w:val="superscript"/>
        </w:rPr>
        <w:t>235</w:t>
      </w:r>
      <w:r w:rsidR="003F158A">
        <w:t xml:space="preserve">U and the buildup of </w:t>
      </w:r>
      <w:r w:rsidR="003F158A">
        <w:rPr>
          <w:vertAlign w:val="superscript"/>
        </w:rPr>
        <w:t>239</w:t>
      </w:r>
      <w:r w:rsidR="003F158A">
        <w:t>Pu as a function of core exposure for cycle 16 are illustrated in</w:t>
      </w:r>
      <w:r w:rsidR="00385B6D">
        <w:t xml:space="preserve"> </w:t>
      </w:r>
      <w:r w:rsidR="007511FA">
        <w:fldChar w:fldCharType="begin"/>
      </w:r>
      <w:r w:rsidR="00385B6D">
        <w:instrText xml:space="preserve"> REF _Ref285535915 \h </w:instrText>
      </w:r>
      <w:r w:rsidR="007511FA">
        <w:fldChar w:fldCharType="separate"/>
      </w:r>
      <w:r w:rsidR="00D5167B">
        <w:t xml:space="preserve">Figure </w:t>
      </w:r>
      <w:r w:rsidR="00D5167B">
        <w:rPr>
          <w:noProof/>
        </w:rPr>
        <w:t>5</w:t>
      </w:r>
      <w:r w:rsidR="00D5167B">
        <w:t>.</w:t>
      </w:r>
      <w:r w:rsidR="00D5167B">
        <w:rPr>
          <w:noProof/>
        </w:rPr>
        <w:t>20</w:t>
      </w:r>
      <w:r w:rsidR="007511FA">
        <w:fldChar w:fldCharType="end"/>
      </w:r>
      <w:r w:rsidR="003F158A" w:rsidRPr="000C21B8">
        <w:t>.</w:t>
      </w:r>
    </w:p>
    <w:p w:rsidR="002C0837" w:rsidRDefault="002C0837" w:rsidP="00385B6D">
      <w:r>
        <w:lastRenderedPageBreak/>
        <w:t>Xenon-135</w:t>
      </w:r>
      <w:r w:rsidRPr="00585C45">
        <w:t xml:space="preserve"> and </w:t>
      </w:r>
      <w:r w:rsidRPr="00585C45">
        <w:rPr>
          <w:vertAlign w:val="superscript"/>
        </w:rPr>
        <w:t>149</w:t>
      </w:r>
      <w:r w:rsidRPr="00585C45">
        <w:t xml:space="preserve">Sm account for over 90 % of fission product poisoning in the HFIR core and therefore must be kept track of during depletion calculations.  </w:t>
      </w:r>
      <w:r>
        <w:t>Xenon-</w:t>
      </w:r>
      <w:proofErr w:type="gramStart"/>
      <w:r>
        <w:t>135</w:t>
      </w:r>
      <w:r w:rsidRPr="00585C45">
        <w:t xml:space="preserve">  and</w:t>
      </w:r>
      <w:proofErr w:type="gramEnd"/>
      <w:r w:rsidRPr="00585C45">
        <w:t xml:space="preserve"> </w:t>
      </w:r>
      <w:r w:rsidRPr="00585C45">
        <w:rPr>
          <w:vertAlign w:val="superscript"/>
        </w:rPr>
        <w:t>149</w:t>
      </w:r>
      <w:r w:rsidRPr="00585C45">
        <w:t>Sm have thermal neutron absorption cross sections of about 2.6x10</w:t>
      </w:r>
      <w:r w:rsidRPr="00585C45">
        <w:rPr>
          <w:vertAlign w:val="superscript"/>
        </w:rPr>
        <w:t>6</w:t>
      </w:r>
      <w:r w:rsidRPr="00585C45">
        <w:t xml:space="preserve"> and 4.1x10</w:t>
      </w:r>
      <w:r w:rsidRPr="00585C45">
        <w:rPr>
          <w:vertAlign w:val="superscript"/>
        </w:rPr>
        <w:t>4</w:t>
      </w:r>
      <w:r w:rsidRPr="00585C45">
        <w:t xml:space="preserve"> barns, respectively</w:t>
      </w:r>
      <w:r>
        <w:t>,</w:t>
      </w:r>
      <w:r w:rsidRPr="00585C45">
        <w:t xml:space="preserve"> and therefore introduce</w:t>
      </w:r>
      <w:r>
        <w:t xml:space="preserve"> large amounts of negative reactivity into the HFIR core.  The concentration of </w:t>
      </w:r>
      <w:r w:rsidRPr="007E5AF1">
        <w:rPr>
          <w:vertAlign w:val="superscript"/>
        </w:rPr>
        <w:t>135</w:t>
      </w:r>
      <w:r w:rsidRPr="007E5AF1">
        <w:t>Xe</w:t>
      </w:r>
      <w:r>
        <w:t xml:space="preserve"> rapidly increases and reaches an equilibrium concentration of about 0.075 grams in the HFIR core at approximately 175 MWd (1.75 days at 100 MW) and then decreases to about 0.051 grams.  This 31 % decrease in equilibrium xenon, which should theoretically remain constant, is thought to be due to the consumption of </w:t>
      </w:r>
      <w:r>
        <w:rPr>
          <w:vertAlign w:val="superscript"/>
        </w:rPr>
        <w:t>235</w:t>
      </w:r>
      <w:r>
        <w:t xml:space="preserve">U and the spatial/spectral effects as </w:t>
      </w:r>
      <w:r w:rsidR="0023146E">
        <w:t xml:space="preserve">a function of exposure in HFIR </w:t>
      </w:r>
      <w:r w:rsidR="007511FA">
        <w:fldChar w:fldCharType="begin"/>
      </w:r>
      <w:r w:rsidR="00C67546">
        <w:instrText xml:space="preserve"> REF _Ref285636258 \n \h </w:instrText>
      </w:r>
      <w:r w:rsidR="007511FA">
        <w:fldChar w:fldCharType="separate"/>
      </w:r>
      <w:r w:rsidR="00D5167B">
        <w:t>[22]</w:t>
      </w:r>
      <w:r w:rsidR="007511FA">
        <w:fldChar w:fldCharType="end"/>
      </w:r>
      <w:r>
        <w:t xml:space="preserve">.  The </w:t>
      </w:r>
      <w:r>
        <w:rPr>
          <w:vertAlign w:val="superscript"/>
        </w:rPr>
        <w:t>149</w:t>
      </w:r>
      <w:r>
        <w:t xml:space="preserve">Sm concentration reaches equilibrium at about 0.40 grams at approximately 1000 MWd (10 days at 100 MW) and decreases to about 0.36 grams at end-of-life.  The 10 % decrease in equilibrium </w:t>
      </w:r>
      <w:r>
        <w:rPr>
          <w:vertAlign w:val="superscript"/>
        </w:rPr>
        <w:t>149</w:t>
      </w:r>
      <w:r>
        <w:t xml:space="preserve">Sm, which should theoretically remain constant, is due to the consumption of </w:t>
      </w:r>
      <w:r>
        <w:rPr>
          <w:vertAlign w:val="superscript"/>
        </w:rPr>
        <w:t>235</w:t>
      </w:r>
      <w:r>
        <w:t>U and an increase in thermal flux at EOC</w:t>
      </w:r>
      <w:r w:rsidR="00C67546">
        <w:t xml:space="preserve"> </w:t>
      </w:r>
      <w:r w:rsidR="007511FA">
        <w:fldChar w:fldCharType="begin"/>
      </w:r>
      <w:r w:rsidR="00C67546">
        <w:instrText xml:space="preserve"> REF _Ref285636258 \n \h </w:instrText>
      </w:r>
      <w:r w:rsidR="007511FA">
        <w:fldChar w:fldCharType="separate"/>
      </w:r>
      <w:r w:rsidR="00D5167B">
        <w:t>[22]</w:t>
      </w:r>
      <w:r w:rsidR="007511FA">
        <w:fldChar w:fldCharType="end"/>
      </w:r>
      <w:r>
        <w:t xml:space="preserve">.  The buildup of </w:t>
      </w:r>
      <w:r w:rsidRPr="007E5AF1">
        <w:rPr>
          <w:vertAlign w:val="superscript"/>
        </w:rPr>
        <w:t>135</w:t>
      </w:r>
      <w:r w:rsidRPr="007E5AF1">
        <w:t xml:space="preserve">Xe and </w:t>
      </w:r>
      <w:r w:rsidRPr="007E5AF1">
        <w:rPr>
          <w:vertAlign w:val="superscript"/>
        </w:rPr>
        <w:t>149</w:t>
      </w:r>
      <w:r w:rsidRPr="007E5AF1">
        <w:t>Sm</w:t>
      </w:r>
      <w:r>
        <w:t xml:space="preserve"> as a function of exposure for cycle 16 is shown in </w:t>
      </w:r>
      <w:r w:rsidR="007511FA">
        <w:rPr>
          <w:highlight w:val="yellow"/>
        </w:rPr>
        <w:fldChar w:fldCharType="begin"/>
      </w:r>
      <w:r w:rsidR="00385B6D">
        <w:instrText xml:space="preserve"> REF _Ref285535938 \h </w:instrText>
      </w:r>
      <w:r w:rsidR="007511FA">
        <w:rPr>
          <w:highlight w:val="yellow"/>
        </w:rPr>
      </w:r>
      <w:r w:rsidR="007511FA">
        <w:rPr>
          <w:highlight w:val="yellow"/>
        </w:rPr>
        <w:fldChar w:fldCharType="separate"/>
      </w:r>
      <w:r w:rsidR="00D5167B">
        <w:t xml:space="preserve">Figure </w:t>
      </w:r>
      <w:r w:rsidR="00D5167B">
        <w:rPr>
          <w:noProof/>
        </w:rPr>
        <w:t>5</w:t>
      </w:r>
      <w:r w:rsidR="00D5167B">
        <w:t>.</w:t>
      </w:r>
      <w:r w:rsidR="00D5167B">
        <w:rPr>
          <w:noProof/>
        </w:rPr>
        <w:t>21</w:t>
      </w:r>
      <w:r w:rsidR="007511FA">
        <w:rPr>
          <w:highlight w:val="yellow"/>
        </w:rPr>
        <w:fldChar w:fldCharType="end"/>
      </w:r>
      <w:r w:rsidRPr="000C21B8">
        <w:t>.</w:t>
      </w:r>
    </w:p>
    <w:p w:rsidR="00FF33E0" w:rsidRDefault="00FF33E0" w:rsidP="00385B6D"/>
    <w:p w:rsidR="002C0837" w:rsidRDefault="002C0837" w:rsidP="00E644F3">
      <w:pPr>
        <w:spacing w:line="240" w:lineRule="auto"/>
        <w:ind w:firstLine="0"/>
        <w:jc w:val="center"/>
      </w:pPr>
      <w:r w:rsidRPr="006B1953">
        <w:rPr>
          <w:noProof/>
        </w:rPr>
        <w:drawing>
          <wp:inline distT="0" distB="0" distL="0" distR="0">
            <wp:extent cx="4575464" cy="3566160"/>
            <wp:effectExtent l="19050" t="0" r="15586" b="0"/>
            <wp:docPr id="4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2C0837" w:rsidRPr="003E77A1" w:rsidRDefault="003E77A1" w:rsidP="00811081">
      <w:pPr>
        <w:pStyle w:val="Caption"/>
        <w:spacing w:after="0"/>
      </w:pPr>
      <w:bookmarkStart w:id="213" w:name="_Ref285535915"/>
      <w:bookmarkStart w:id="214" w:name="_Toc295818225"/>
      <w:proofErr w:type="gramStart"/>
      <w:r>
        <w:t xml:space="preserve">Figure </w:t>
      </w:r>
      <w:r w:rsidR="007511FA">
        <w:fldChar w:fldCharType="begin"/>
      </w:r>
      <w:r w:rsidR="00AE17F8">
        <w:instrText xml:space="preserve"> STYLEREF 1 \s </w:instrText>
      </w:r>
      <w:r w:rsidR="007511FA">
        <w:fldChar w:fldCharType="separate"/>
      </w:r>
      <w:r w:rsidR="00D5167B">
        <w:rPr>
          <w:noProof/>
        </w:rPr>
        <w:t>5</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20</w:t>
      </w:r>
      <w:r w:rsidR="007511FA">
        <w:fldChar w:fldCharType="end"/>
      </w:r>
      <w:bookmarkEnd w:id="213"/>
      <w:r w:rsidR="002C0837" w:rsidRPr="003E77A1">
        <w:t xml:space="preserve">.  </w:t>
      </w:r>
      <w:r w:rsidR="002C0837" w:rsidRPr="003E77A1">
        <w:rPr>
          <w:vertAlign w:val="superscript"/>
        </w:rPr>
        <w:t>235</w:t>
      </w:r>
      <w:r w:rsidR="002C0837" w:rsidRPr="003E77A1">
        <w:t xml:space="preserve">U depletion and </w:t>
      </w:r>
      <w:r w:rsidR="002C0837" w:rsidRPr="003E77A1">
        <w:rPr>
          <w:vertAlign w:val="superscript"/>
        </w:rPr>
        <w:t>239</w:t>
      </w:r>
      <w:r w:rsidR="002C0837" w:rsidRPr="003E77A1">
        <w:t>Pu buildup as a function of exposure for HFIR cycle 16.</w:t>
      </w:r>
      <w:bookmarkEnd w:id="214"/>
    </w:p>
    <w:p w:rsidR="002C0837" w:rsidRDefault="002C0837" w:rsidP="00E644F3">
      <w:pPr>
        <w:spacing w:line="240" w:lineRule="auto"/>
        <w:ind w:firstLine="0"/>
        <w:jc w:val="center"/>
        <w:rPr>
          <w:sz w:val="24"/>
          <w:szCs w:val="24"/>
        </w:rPr>
      </w:pPr>
      <w:r w:rsidRPr="00AE20AE">
        <w:rPr>
          <w:noProof/>
          <w:sz w:val="24"/>
          <w:szCs w:val="24"/>
        </w:rPr>
        <w:lastRenderedPageBreak/>
        <w:drawing>
          <wp:inline distT="0" distB="0" distL="0" distR="0">
            <wp:extent cx="5486400" cy="3657600"/>
            <wp:effectExtent l="19050" t="0" r="19050" b="0"/>
            <wp:docPr id="48"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2C0837" w:rsidRPr="003E77A1" w:rsidRDefault="003E77A1" w:rsidP="00FE5512">
      <w:pPr>
        <w:pStyle w:val="Caption"/>
        <w:spacing w:after="0"/>
      </w:pPr>
      <w:bookmarkStart w:id="215" w:name="_Ref285535938"/>
      <w:bookmarkStart w:id="216" w:name="_Toc295818226"/>
      <w:proofErr w:type="gramStart"/>
      <w:r>
        <w:t xml:space="preserve">Figure </w:t>
      </w:r>
      <w:r w:rsidR="007511FA">
        <w:fldChar w:fldCharType="begin"/>
      </w:r>
      <w:r w:rsidR="00AE17F8">
        <w:instrText xml:space="preserve"> STYLEREF 1 \s </w:instrText>
      </w:r>
      <w:r w:rsidR="007511FA">
        <w:fldChar w:fldCharType="separate"/>
      </w:r>
      <w:r w:rsidR="00D5167B">
        <w:rPr>
          <w:noProof/>
        </w:rPr>
        <w:t>5</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21</w:t>
      </w:r>
      <w:r w:rsidR="007511FA">
        <w:fldChar w:fldCharType="end"/>
      </w:r>
      <w:bookmarkEnd w:id="215"/>
      <w:r w:rsidR="002C0837" w:rsidRPr="003E77A1">
        <w:t xml:space="preserve">.  </w:t>
      </w:r>
      <w:r w:rsidR="002C0837" w:rsidRPr="003E77A1">
        <w:rPr>
          <w:vertAlign w:val="superscript"/>
        </w:rPr>
        <w:t>135</w:t>
      </w:r>
      <w:r w:rsidR="002C0837" w:rsidRPr="003E77A1">
        <w:t xml:space="preserve">Xe and </w:t>
      </w:r>
      <w:r w:rsidR="002C0837" w:rsidRPr="003E77A1">
        <w:rPr>
          <w:vertAlign w:val="superscript"/>
        </w:rPr>
        <w:t>149</w:t>
      </w:r>
      <w:r w:rsidR="002C0837" w:rsidRPr="003E77A1">
        <w:t>Sm buildup as a function of exposure for HFIR cycle 16.</w:t>
      </w:r>
      <w:bookmarkEnd w:id="216"/>
    </w:p>
    <w:p w:rsidR="002C0837" w:rsidRDefault="002C0837" w:rsidP="002C0837"/>
    <w:p w:rsidR="00FE5512" w:rsidRDefault="00FE5512" w:rsidP="002C0837"/>
    <w:p w:rsidR="002C0837" w:rsidRDefault="002C0837" w:rsidP="002C0837">
      <w:r>
        <w:t>Boron-10 in a mixture of B</w:t>
      </w:r>
      <w:r>
        <w:rPr>
          <w:vertAlign w:val="subscript"/>
        </w:rPr>
        <w:t>4</w:t>
      </w:r>
      <w:r>
        <w:t xml:space="preserve">C is used as a burnable poison and is </w:t>
      </w:r>
      <w:proofErr w:type="spellStart"/>
      <w:r>
        <w:t>nonuniformly</w:t>
      </w:r>
      <w:proofErr w:type="spellEnd"/>
      <w:r>
        <w:t xml:space="preserve"> distributed along the arc of the IFE fuel plates.  The mixture is dispensed in the aluminum filler, which is separate from the fuel region.  The radial distribution of the burnable poison in the IFE fuel plates was chosen to limit the maximum-to-average power density ratio (</w:t>
      </w:r>
      <w:proofErr w:type="spellStart"/>
      <w:r>
        <w:t>q</w:t>
      </w:r>
      <w:r>
        <w:rPr>
          <w:vertAlign w:val="subscript"/>
        </w:rPr>
        <w:t>max</w:t>
      </w:r>
      <w:proofErr w:type="spellEnd"/>
      <w:r>
        <w:t>/</w:t>
      </w:r>
      <w:proofErr w:type="spellStart"/>
      <w:r>
        <w:t>q</w:t>
      </w:r>
      <w:r>
        <w:rPr>
          <w:vertAlign w:val="subscript"/>
        </w:rPr>
        <w:t>avg</w:t>
      </w:r>
      <w:proofErr w:type="spellEnd"/>
      <w:r>
        <w:t xml:space="preserve">) and to minimize the </w:t>
      </w:r>
      <w:r>
        <w:rPr>
          <w:vertAlign w:val="superscript"/>
        </w:rPr>
        <w:t>235</w:t>
      </w:r>
      <w:r>
        <w:t xml:space="preserve">U </w:t>
      </w:r>
      <w:r w:rsidR="00050B54">
        <w:t>burnup</w:t>
      </w:r>
      <w:r>
        <w:t xml:space="preserve"> at the edges of the fuel plates.  The initial </w:t>
      </w:r>
      <w:r>
        <w:rPr>
          <w:vertAlign w:val="superscript"/>
        </w:rPr>
        <w:t>10</w:t>
      </w:r>
      <w:r>
        <w:t xml:space="preserve">B loading in the HFIR core is 2.8 grams, which amounts to about 16.4 milligrams per IFE fuel plate.  According to the ALEPH calculation, approximately 0.16 grams of </w:t>
      </w:r>
      <w:r>
        <w:rPr>
          <w:vertAlign w:val="superscript"/>
        </w:rPr>
        <w:t>10</w:t>
      </w:r>
      <w:r>
        <w:t xml:space="preserve">B remained in the core following the discharge of cycle 16 (2309 MWd).  Thus, approximately 94 % of the initial </w:t>
      </w:r>
      <w:r>
        <w:rPr>
          <w:vertAlign w:val="superscript"/>
        </w:rPr>
        <w:t>10</w:t>
      </w:r>
      <w:r>
        <w:t xml:space="preserve">B was depleted.  The total IFE </w:t>
      </w:r>
      <w:r>
        <w:rPr>
          <w:vertAlign w:val="superscript"/>
        </w:rPr>
        <w:t>10</w:t>
      </w:r>
      <w:r>
        <w:t xml:space="preserve">B inventory as a function of exposure for cycle 16 is shown in </w:t>
      </w:r>
      <w:r w:rsidR="007511FA">
        <w:rPr>
          <w:highlight w:val="yellow"/>
        </w:rPr>
        <w:fldChar w:fldCharType="begin"/>
      </w:r>
      <w:r w:rsidR="00385B6D">
        <w:instrText xml:space="preserve"> REF _Ref285535953 \h </w:instrText>
      </w:r>
      <w:r w:rsidR="007511FA">
        <w:rPr>
          <w:highlight w:val="yellow"/>
        </w:rPr>
      </w:r>
      <w:r w:rsidR="007511FA">
        <w:rPr>
          <w:highlight w:val="yellow"/>
        </w:rPr>
        <w:fldChar w:fldCharType="separate"/>
      </w:r>
      <w:r w:rsidR="00D5167B">
        <w:t xml:space="preserve">Figure </w:t>
      </w:r>
      <w:r w:rsidR="00D5167B">
        <w:rPr>
          <w:noProof/>
        </w:rPr>
        <w:t>5</w:t>
      </w:r>
      <w:r w:rsidR="00D5167B">
        <w:t>.</w:t>
      </w:r>
      <w:r w:rsidR="00D5167B">
        <w:rPr>
          <w:noProof/>
        </w:rPr>
        <w:t>22</w:t>
      </w:r>
      <w:r w:rsidR="007511FA">
        <w:rPr>
          <w:highlight w:val="yellow"/>
        </w:rPr>
        <w:fldChar w:fldCharType="end"/>
      </w:r>
      <w:r w:rsidRPr="000C21B8">
        <w:t>.</w:t>
      </w:r>
      <w:r>
        <w:br w:type="page"/>
      </w:r>
    </w:p>
    <w:p w:rsidR="002C0837" w:rsidRDefault="002C0837" w:rsidP="00E644F3">
      <w:pPr>
        <w:pStyle w:val="Caption"/>
        <w:spacing w:before="120" w:after="120"/>
        <w:rPr>
          <w:sz w:val="22"/>
          <w:szCs w:val="22"/>
        </w:rPr>
      </w:pPr>
      <w:r w:rsidRPr="003C3FE8">
        <w:rPr>
          <w:noProof/>
          <w:sz w:val="22"/>
          <w:szCs w:val="22"/>
        </w:rPr>
        <w:lastRenderedPageBreak/>
        <w:drawing>
          <wp:inline distT="0" distB="0" distL="0" distR="0">
            <wp:extent cx="5486400" cy="3657600"/>
            <wp:effectExtent l="19050" t="0" r="19050" b="0"/>
            <wp:docPr id="49"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2C0837" w:rsidRPr="003E77A1" w:rsidRDefault="003E77A1" w:rsidP="00FE5512">
      <w:pPr>
        <w:pStyle w:val="Caption"/>
        <w:spacing w:after="0"/>
      </w:pPr>
      <w:bookmarkStart w:id="217" w:name="_Ref285535953"/>
      <w:bookmarkStart w:id="218" w:name="_Toc295818227"/>
      <w:proofErr w:type="gramStart"/>
      <w:r>
        <w:t xml:space="preserve">Figure </w:t>
      </w:r>
      <w:r w:rsidR="007511FA">
        <w:fldChar w:fldCharType="begin"/>
      </w:r>
      <w:r w:rsidR="00AE17F8">
        <w:instrText xml:space="preserve"> STYLEREF 1 \s </w:instrText>
      </w:r>
      <w:r w:rsidR="007511FA">
        <w:fldChar w:fldCharType="separate"/>
      </w:r>
      <w:r w:rsidR="00D5167B">
        <w:rPr>
          <w:noProof/>
        </w:rPr>
        <w:t>5</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22</w:t>
      </w:r>
      <w:r w:rsidR="007511FA">
        <w:fldChar w:fldCharType="end"/>
      </w:r>
      <w:bookmarkEnd w:id="217"/>
      <w:r w:rsidR="002C0837" w:rsidRPr="003E77A1">
        <w:t xml:space="preserve">.  </w:t>
      </w:r>
      <w:r w:rsidR="002C0837" w:rsidRPr="003E77A1">
        <w:rPr>
          <w:vertAlign w:val="superscript"/>
        </w:rPr>
        <w:t>10</w:t>
      </w:r>
      <w:r w:rsidR="002C0837" w:rsidRPr="003E77A1">
        <w:t>B inventory as a function of exposure for HFIR cycle 16.</w:t>
      </w:r>
      <w:bookmarkEnd w:id="218"/>
    </w:p>
    <w:p w:rsidR="009322C8" w:rsidRDefault="009322C8" w:rsidP="003E77A1">
      <w:pPr>
        <w:spacing w:before="0" w:after="200" w:line="276" w:lineRule="auto"/>
      </w:pPr>
    </w:p>
    <w:p w:rsidR="00FE5512" w:rsidRDefault="00FE5512" w:rsidP="003E77A1">
      <w:pPr>
        <w:spacing w:before="0" w:after="200" w:line="276" w:lineRule="auto"/>
      </w:pPr>
    </w:p>
    <w:p w:rsidR="002C0837" w:rsidRDefault="00300028" w:rsidP="00AA149C">
      <w:pPr>
        <w:pStyle w:val="Heading2"/>
      </w:pPr>
      <w:bookmarkStart w:id="219" w:name="_Toc295818135"/>
      <w:r>
        <w:t>Post-Irradiation Inventory Summary</w:t>
      </w:r>
      <w:bookmarkEnd w:id="219"/>
    </w:p>
    <w:p w:rsidR="00300028" w:rsidRPr="001274D2" w:rsidRDefault="00300028" w:rsidP="00300028">
      <w:pPr>
        <w:autoSpaceDE w:val="0"/>
        <w:autoSpaceDN w:val="0"/>
        <w:adjustRightInd w:val="0"/>
      </w:pPr>
      <w:r w:rsidRPr="001274D2">
        <w:t xml:space="preserve">HFIR </w:t>
      </w:r>
      <w:r>
        <w:t xml:space="preserve">fuel </w:t>
      </w:r>
      <w:r w:rsidRPr="001274D2">
        <w:t>cycles 4, 16, and 35 were modeled using ALEPH</w:t>
      </w:r>
      <w:r>
        <w:t xml:space="preserve"> and VESTA</w:t>
      </w:r>
      <w:r w:rsidRPr="001274D2">
        <w:t xml:space="preserve"> to calculate the post-irradiation isotopic atomic percentages of the uranium isotopes.  In order to validate the Monte Carlo based depletion methodology described </w:t>
      </w:r>
      <w:r>
        <w:t xml:space="preserve">in this </w:t>
      </w:r>
      <w:proofErr w:type="gramStart"/>
      <w:r>
        <w:t>chapter,</w:t>
      </w:r>
      <w:proofErr w:type="gramEnd"/>
      <w:r w:rsidRPr="001274D2">
        <w:t xml:space="preserve"> the</w:t>
      </w:r>
      <w:r>
        <w:t xml:space="preserve"> calculated</w:t>
      </w:r>
      <w:r w:rsidRPr="001274D2">
        <w:t xml:space="preserve"> results were compared against measured results that were obtained from uranium mass spectrographic analysis.  Good agreement was observed between the calculated and measured results, which reveal that </w:t>
      </w:r>
      <w:r>
        <w:t xml:space="preserve">both </w:t>
      </w:r>
      <w:r w:rsidRPr="001274D2">
        <w:t>ALEPH</w:t>
      </w:r>
      <w:r>
        <w:t xml:space="preserve"> and VESTA</w:t>
      </w:r>
      <w:r w:rsidRPr="001274D2">
        <w:t xml:space="preserve"> can be used to accurately calculate the </w:t>
      </w:r>
      <w:r w:rsidR="00050B54">
        <w:t>burnup</w:t>
      </w:r>
      <w:r w:rsidRPr="001274D2">
        <w:t xml:space="preserve"> dependent uranium inventory </w:t>
      </w:r>
      <w:r>
        <w:t>of the HFIR core</w:t>
      </w:r>
      <w:r w:rsidRPr="001274D2">
        <w:t>.  No trends were found while examining the C/E ratios as a function of radial or axial location and thus it was determined that a bias factor isn’t needed f</w:t>
      </w:r>
      <w:r>
        <w:t>or current fuel design studies.</w:t>
      </w:r>
    </w:p>
    <w:p w:rsidR="00300028" w:rsidRPr="001274D2" w:rsidRDefault="00300028" w:rsidP="00300028">
      <w:pPr>
        <w:autoSpaceDE w:val="0"/>
        <w:autoSpaceDN w:val="0"/>
        <w:adjustRightInd w:val="0"/>
      </w:pPr>
      <w:r w:rsidRPr="001274D2">
        <w:t xml:space="preserve">For all three cycles modeled, the calculated post-irradiation </w:t>
      </w:r>
      <w:r w:rsidRPr="001274D2">
        <w:rPr>
          <w:vertAlign w:val="superscript"/>
        </w:rPr>
        <w:t>235</w:t>
      </w:r>
      <w:r w:rsidRPr="001274D2">
        <w:t xml:space="preserve">U atomic percentages agreed best with the experimental data.  The majority of the </w:t>
      </w:r>
      <w:r w:rsidRPr="001274D2">
        <w:rPr>
          <w:vertAlign w:val="superscript"/>
        </w:rPr>
        <w:t>234</w:t>
      </w:r>
      <w:r w:rsidRPr="001274D2">
        <w:t xml:space="preserve">U C/E ratios were less than unity, and thus it is postulated </w:t>
      </w:r>
      <w:r w:rsidRPr="001274D2">
        <w:lastRenderedPageBreak/>
        <w:t xml:space="preserve">that the </w:t>
      </w:r>
      <w:r w:rsidRPr="001274D2">
        <w:rPr>
          <w:vertAlign w:val="superscript"/>
        </w:rPr>
        <w:t>234</w:t>
      </w:r>
      <w:r w:rsidRPr="001274D2">
        <w:t xml:space="preserve">U capture cross section </w:t>
      </w:r>
      <w:r>
        <w:t xml:space="preserve">and/or the </w:t>
      </w:r>
      <w:r w:rsidRPr="002B0F0F">
        <w:rPr>
          <w:vertAlign w:val="superscript"/>
        </w:rPr>
        <w:t>235</w:t>
      </w:r>
      <w:r w:rsidRPr="002B0F0F">
        <w:t>U (n</w:t>
      </w:r>
      <w:proofErr w:type="gramStart"/>
      <w:r w:rsidRPr="002B0F0F">
        <w:t>,2n</w:t>
      </w:r>
      <w:proofErr w:type="gramEnd"/>
      <w:r w:rsidRPr="002B0F0F">
        <w:t>) cross section may be too low.</w:t>
      </w:r>
      <w:r w:rsidRPr="001274D2">
        <w:t xml:space="preserve">  However, since no uncertainties are available for the measured data, it is not rational to declare that the</w:t>
      </w:r>
      <w:r>
        <w:t>se</w:t>
      </w:r>
      <w:r w:rsidRPr="001274D2">
        <w:t xml:space="preserve"> cross section</w:t>
      </w:r>
      <w:r>
        <w:t>s are</w:t>
      </w:r>
      <w:r w:rsidRPr="001274D2">
        <w:t xml:space="preserve"> too low.  The errors associated with calculating the </w:t>
      </w:r>
      <w:r w:rsidRPr="001274D2">
        <w:rPr>
          <w:vertAlign w:val="superscript"/>
        </w:rPr>
        <w:t>234</w:t>
      </w:r>
      <w:r w:rsidRPr="001274D2">
        <w:t>U content</w:t>
      </w:r>
      <w:r>
        <w:t xml:space="preserve"> (or the other uranium isotopic concentrations</w:t>
      </w:r>
      <w:r w:rsidRPr="001274D2">
        <w:t>) causes errors in the other isotopes since atomic percentages are being calculated (i.e. atomic percentages are interdependent).  However, if a 5</w:t>
      </w:r>
      <w:r>
        <w:t xml:space="preserve"> </w:t>
      </w:r>
      <w:r w:rsidRPr="001274D2">
        <w:t>% uncertainty was applied to the experime</w:t>
      </w:r>
      <w:r>
        <w:t>ntal results (a value noted in</w:t>
      </w:r>
      <w:r w:rsidR="00C67546">
        <w:t xml:space="preserve"> </w:t>
      </w:r>
      <w:r w:rsidR="007511FA">
        <w:fldChar w:fldCharType="begin"/>
      </w:r>
      <w:r w:rsidR="00C67546">
        <w:instrText xml:space="preserve"> REF _Ref285636804 \n \h </w:instrText>
      </w:r>
      <w:r w:rsidR="007511FA">
        <w:fldChar w:fldCharType="separate"/>
      </w:r>
      <w:r w:rsidR="00D5167B">
        <w:t>[66]</w:t>
      </w:r>
      <w:r w:rsidR="007511FA">
        <w:fldChar w:fldCharType="end"/>
      </w:r>
      <w:r w:rsidRPr="001274D2">
        <w:t xml:space="preserve"> as applicable to local power density determinations based on fission product gamma activity), 93</w:t>
      </w:r>
      <w:r>
        <w:t xml:space="preserve"> </w:t>
      </w:r>
      <w:r w:rsidRPr="001274D2">
        <w:t xml:space="preserve">% of the calculated </w:t>
      </w:r>
      <w:r w:rsidRPr="001274D2">
        <w:rPr>
          <w:vertAlign w:val="superscript"/>
        </w:rPr>
        <w:t>234</w:t>
      </w:r>
      <w:r w:rsidRPr="001274D2">
        <w:t>U atomic densities, 56</w:t>
      </w:r>
      <w:r>
        <w:t xml:space="preserve"> </w:t>
      </w:r>
      <w:r w:rsidRPr="001274D2">
        <w:t xml:space="preserve">% of the </w:t>
      </w:r>
      <w:r w:rsidRPr="001274D2">
        <w:rPr>
          <w:vertAlign w:val="superscript"/>
        </w:rPr>
        <w:t>236</w:t>
      </w:r>
      <w:r w:rsidRPr="001274D2">
        <w:t>U atomic densities, and 100</w:t>
      </w:r>
      <w:r>
        <w:t xml:space="preserve"> </w:t>
      </w:r>
      <w:r w:rsidRPr="001274D2">
        <w:t xml:space="preserve">% of the </w:t>
      </w:r>
      <w:r w:rsidRPr="001274D2">
        <w:rPr>
          <w:vertAlign w:val="superscript"/>
        </w:rPr>
        <w:t>235</w:t>
      </w:r>
      <w:r w:rsidRPr="001274D2">
        <w:t xml:space="preserve">U and </w:t>
      </w:r>
      <w:r w:rsidRPr="001274D2">
        <w:rPr>
          <w:vertAlign w:val="superscript"/>
        </w:rPr>
        <w:t>238</w:t>
      </w:r>
      <w:r w:rsidRPr="001274D2">
        <w:t>U atomic densities would fall within the experimental uncertainty range.</w:t>
      </w:r>
    </w:p>
    <w:p w:rsidR="00300028" w:rsidRDefault="00300028" w:rsidP="00FE5512">
      <w:pPr>
        <w:autoSpaceDE w:val="0"/>
        <w:autoSpaceDN w:val="0"/>
        <w:adjustRightInd w:val="0"/>
      </w:pPr>
      <w:r w:rsidRPr="001274D2">
        <w:t xml:space="preserve">The precise calculation of the </w:t>
      </w:r>
      <w:r w:rsidRPr="001274D2">
        <w:rPr>
          <w:vertAlign w:val="superscript"/>
        </w:rPr>
        <w:t>235</w:t>
      </w:r>
      <w:r w:rsidRPr="001274D2">
        <w:t>U distribution proves that the methodology described in this report could be used to accurately calculate the power distribution variation as a function of space and time (</w:t>
      </w:r>
      <w:r w:rsidR="00050B54">
        <w:t>burnup</w:t>
      </w:r>
      <w:r w:rsidRPr="001274D2">
        <w:t xml:space="preserve">) for the HFIR reactor fuelled with HEU.  </w:t>
      </w:r>
      <w:r w:rsidR="00956209">
        <w:t>Chapter 4</w:t>
      </w:r>
      <w:r w:rsidRPr="001274D2">
        <w:t xml:space="preserve"> documents power distribution comparisons between experimental and calculated results for two different scenarios: a clean core condition (control elements withdrawn 44.536 cm) which simulates BOC and a poisoned core condition (control elements fully withdrawn and 1.35 grams of boron per liter in the moderator) which simulates EOC.  </w:t>
      </w:r>
      <w:r w:rsidRPr="00956209">
        <w:t xml:space="preserve">The boron in the moderator was used to simulate fission product poisons present at EOC.  The results from </w:t>
      </w:r>
      <w:r w:rsidR="00956209" w:rsidRPr="00956209">
        <w:t xml:space="preserve">Chapter </w:t>
      </w:r>
      <w:r w:rsidRPr="00956209">
        <w:t xml:space="preserve">4 were insightful, but provided power distributions for </w:t>
      </w:r>
      <w:proofErr w:type="spellStart"/>
      <w:r w:rsidRPr="00956209">
        <w:t>unirradiated</w:t>
      </w:r>
      <w:proofErr w:type="spellEnd"/>
      <w:r w:rsidRPr="00956209">
        <w:t xml:space="preserve"> fuel conditions (i.e.</w:t>
      </w:r>
      <w:r w:rsidRPr="001274D2">
        <w:t xml:space="preserve"> not </w:t>
      </w:r>
      <w:r w:rsidR="00050B54">
        <w:t>burnup</w:t>
      </w:r>
      <w:r w:rsidRPr="001274D2">
        <w:t xml:space="preserve"> dependent).  This study, however, provided </w:t>
      </w:r>
      <w:r w:rsidR="00050B54">
        <w:t>burnup</w:t>
      </w:r>
      <w:r w:rsidRPr="001274D2">
        <w:t xml:space="preserve"> dependent cases which are important because the spatial power distribution in HFIR changes significantly during the cycle due to the control element movement.  Therefore, this study proves that the power distribution can be accurately calculated as a function of irradiation time, and thus time dependent </w:t>
      </w:r>
      <w:r>
        <w:t>power profiles</w:t>
      </w:r>
      <w:r w:rsidRPr="001274D2">
        <w:t xml:space="preserve"> needed for reactor core thermal hydraulic</w:t>
      </w:r>
      <w:r>
        <w:t xml:space="preserve"> and reactor kinetic analyse</w:t>
      </w:r>
      <w:r w:rsidRPr="001274D2">
        <w:t>s, if derived from this methodology, have been shown to be accurate for HEU fuel.</w:t>
      </w:r>
      <w:r>
        <w:br w:type="page"/>
      </w:r>
    </w:p>
    <w:p w:rsidR="00B8366E" w:rsidRDefault="00B8366E" w:rsidP="00B8366E">
      <w:pPr>
        <w:pStyle w:val="Heading1"/>
      </w:pPr>
      <w:bookmarkStart w:id="220" w:name="_Toc295818136"/>
      <w:r>
        <w:lastRenderedPageBreak/>
        <w:t>Beryllium Activation Impact</w:t>
      </w:r>
      <w:r w:rsidR="007511BD">
        <w:t>s</w:t>
      </w:r>
      <w:r>
        <w:t xml:space="preserve"> on Startup and Reflector Disposal</w:t>
      </w:r>
      <w:bookmarkEnd w:id="220"/>
    </w:p>
    <w:p w:rsidR="004F42F4" w:rsidRDefault="004F42F4" w:rsidP="004F42F4">
      <w:r>
        <w:t>HFIR utilizes a large annular beryllium reflector that is subdivided into three concentric regions and encompasses the compact reactor core.  Nuclear transmutations caused by neutron activation occur in the beryllium reflector regions, which leads to unwanted neutron absorbing and radiation emitting isotopes.  Two topics related to the HFIR beryllium reflector are presented in this chapter.  The first topic includes studying the neutron poison (helium-3 and lithium-6) buildup in the reflector regions and its affect on beginning-of-cycle reactivity.  The second topic includes studying the composition of the beryllium reflector regions at discharge as well as during post-discharge decay to assess the viability of transporting, storing, and ultimately disposing the reflector regions currently stored in the spent fuel pool.  The post-irradiation curie inventories are used to determine whether, for disposal purposes, the reflector regions are discharged as transuranic waste or become transuranic waste during the decay period and to determine the nuclear hazard category, which may affect the controls invoked for transportation and temporary storage.</w:t>
      </w:r>
    </w:p>
    <w:p w:rsidR="00A52A92" w:rsidRDefault="00A52A92" w:rsidP="004F42F4"/>
    <w:p w:rsidR="00B8366E" w:rsidRDefault="004F42F4" w:rsidP="00AA149C">
      <w:pPr>
        <w:pStyle w:val="Heading2"/>
      </w:pPr>
      <w:bookmarkStart w:id="221" w:name="_Toc295818137"/>
      <w:r>
        <w:t>Beryllium Activation Affects</w:t>
      </w:r>
      <w:bookmarkEnd w:id="221"/>
    </w:p>
    <w:p w:rsidR="004F42F4" w:rsidRPr="00213142" w:rsidRDefault="004F42F4" w:rsidP="00B32466">
      <w:r>
        <w:t>T</w:t>
      </w:r>
      <w:r w:rsidRPr="00213142">
        <w:t xml:space="preserve">wo topics related to </w:t>
      </w:r>
      <w:r>
        <w:t xml:space="preserve">the </w:t>
      </w:r>
      <w:r w:rsidRPr="00213142">
        <w:t xml:space="preserve">beryllium reflector </w:t>
      </w:r>
      <w:r>
        <w:t>are being studied</w:t>
      </w:r>
      <w:r w:rsidRPr="00213142">
        <w:t>.  The first topic include</w:t>
      </w:r>
      <w:r>
        <w:t>s</w:t>
      </w:r>
      <w:r w:rsidRPr="00213142">
        <w:t xml:space="preserve"> studying the poison (</w:t>
      </w:r>
      <w:r w:rsidRPr="00213142">
        <w:rPr>
          <w:vertAlign w:val="superscript"/>
        </w:rPr>
        <w:t>3</w:t>
      </w:r>
      <w:r w:rsidRPr="00213142">
        <w:t xml:space="preserve">He and </w:t>
      </w:r>
      <w:r w:rsidRPr="00213142">
        <w:rPr>
          <w:vertAlign w:val="superscript"/>
        </w:rPr>
        <w:t>6</w:t>
      </w:r>
      <w:r w:rsidRPr="00213142">
        <w:t>Li) buildup in the reflector regions and its affect on beginning-of-cycle (BOC) reactivity and the startup symmetrical critical control element positions.  A reactivity difference of $1.55, which is approximately equal to 0.5 inches in control element position at startup, is the maximum reactivity difference allowed at startup and if exceeded, a technical evaluation is performed to resolve the discrepancy prior to a restart.  After a 484 day outage following cycle 407</w:t>
      </w:r>
      <w:r>
        <w:t xml:space="preserve"> (Jan</w:t>
      </w:r>
      <w:r w:rsidRPr="00213142">
        <w:t>. 200</w:t>
      </w:r>
      <w:r>
        <w:t>6 to May 2007</w:t>
      </w:r>
      <w:r w:rsidRPr="00213142">
        <w:t xml:space="preserve">), the reactivity attributed to </w:t>
      </w:r>
      <w:r w:rsidRPr="00213142">
        <w:rPr>
          <w:vertAlign w:val="superscript"/>
        </w:rPr>
        <w:t>3</w:t>
      </w:r>
      <w:r w:rsidRPr="00213142">
        <w:t xml:space="preserve">He was erroneously calculated using the current methodology.  This occurrence is the motivation for developing a new methodology to predict the reactivity impact </w:t>
      </w:r>
      <w:r w:rsidRPr="00213142">
        <w:rPr>
          <w:vertAlign w:val="superscript"/>
        </w:rPr>
        <w:t>3</w:t>
      </w:r>
      <w:r w:rsidRPr="00213142">
        <w:t>He has on reactor startup following long outages.</w:t>
      </w:r>
      <w:r w:rsidR="00B32466">
        <w:t xml:space="preserve">  This study will be referred to as study number 1 for the duration of this chapter.</w:t>
      </w:r>
    </w:p>
    <w:p w:rsidR="00B32466" w:rsidRDefault="004F42F4" w:rsidP="00B32466">
      <w:r w:rsidRPr="00213142">
        <w:lastRenderedPageBreak/>
        <w:t>The second topic include</w:t>
      </w:r>
      <w:r w:rsidR="00B32466">
        <w:t>s</w:t>
      </w:r>
      <w:r w:rsidRPr="00213142">
        <w:t xml:space="preserve"> studying the composition of the beryllium reflector regions at discharge as well as during </w:t>
      </w:r>
      <w:r>
        <w:t xml:space="preserve">post-discharge </w:t>
      </w:r>
      <w:r w:rsidRPr="00213142">
        <w:t>decay to assess the viability of transporting, storing, and ultimately disposing the reflector regions currently stored in the HFIR spent fuel pool.  The post-irradiation curie inventories determine whether the reflector regions are discharged as transuranic waste</w:t>
      </w:r>
      <w:r>
        <w:t>,</w:t>
      </w:r>
      <w:r w:rsidRPr="00213142">
        <w:t xml:space="preserve"> become transuranic waste during </w:t>
      </w:r>
      <w:r>
        <w:t>some</w:t>
      </w:r>
      <w:r w:rsidRPr="00213142">
        <w:t xml:space="preserve"> period </w:t>
      </w:r>
      <w:r>
        <w:t xml:space="preserve">of decay or are not transuranic waste.  Categorization is necessary </w:t>
      </w:r>
      <w:r w:rsidRPr="00213142">
        <w:t>for</w:t>
      </w:r>
      <w:r>
        <w:t xml:space="preserve"> determination of path to</w:t>
      </w:r>
      <w:r w:rsidRPr="00213142">
        <w:t xml:space="preserve"> disposal and to </w:t>
      </w:r>
      <w:r>
        <w:t>establish</w:t>
      </w:r>
      <w:r w:rsidRPr="00213142">
        <w:t xml:space="preserve"> the nuclear hazard category</w:t>
      </w:r>
      <w:r>
        <w:t>; the category designation</w:t>
      </w:r>
      <w:r w:rsidRPr="00213142">
        <w:t xml:space="preserve"> affect</w:t>
      </w:r>
      <w:r>
        <w:t>s</w:t>
      </w:r>
      <w:r w:rsidRPr="00213142">
        <w:t xml:space="preserve"> the controls invoked for transportation and temporary storage.</w:t>
      </w:r>
      <w:r w:rsidR="00B32466">
        <w:t xml:space="preserve">  This topic is subdivided into two studies, which will be referred to as study number 2 and study number 3 fo</w:t>
      </w:r>
      <w:r w:rsidR="00A52A92">
        <w:t>r the duration of this chapter.</w:t>
      </w:r>
    </w:p>
    <w:p w:rsidR="004F42F4" w:rsidRDefault="00B32466" w:rsidP="00B32466">
      <w:r>
        <w:t xml:space="preserve">Study number 2 was initially performed </w:t>
      </w:r>
      <w:r w:rsidRPr="00C234C0">
        <w:t>to determine whether the permanent beryllium reflector number 3</w:t>
      </w:r>
      <w:r>
        <w:t xml:space="preserve"> (PB3) currently exceeds the transuranic (TRU)</w:t>
      </w:r>
      <w:r w:rsidRPr="00C234C0">
        <w:t xml:space="preserve"> waste threshold and whether typical RB and SPB reflectors are discharged as or </w:t>
      </w:r>
      <w:r>
        <w:t>subsequently</w:t>
      </w:r>
      <w:r w:rsidRPr="00C234C0">
        <w:t xml:space="preserve"> become TRU waste</w:t>
      </w:r>
      <w:r>
        <w:t xml:space="preserve">.  Study number 3 was </w:t>
      </w:r>
      <w:r w:rsidRPr="00C234C0">
        <w:t>performed to determine the total curie inventory in PB3 and representative RB and SPB reflectors at discharge and during decay.</w:t>
      </w:r>
      <w:r>
        <w:t xml:space="preserve">  The methods used in study number 2 are similar to study number 3, with the main differences being that study number 3 used a much more detailed material composition in the reflector because study number 2 was performed only for transuranic isotope production and study number 3 was performed to total radionuclide inventory. </w:t>
      </w:r>
    </w:p>
    <w:p w:rsidR="00A52A92" w:rsidRPr="00213142" w:rsidRDefault="00A52A92" w:rsidP="00B32466"/>
    <w:p w:rsidR="004F42F4" w:rsidRPr="004F42F4" w:rsidRDefault="00B32466" w:rsidP="00AA149C">
      <w:pPr>
        <w:pStyle w:val="Heading3"/>
      </w:pPr>
      <w:bookmarkStart w:id="222" w:name="_Toc295818138"/>
      <w:r>
        <w:t>Nuclear Transmutations Cause by Neutron Activation</w:t>
      </w:r>
      <w:bookmarkEnd w:id="222"/>
    </w:p>
    <w:p w:rsidR="00B32466" w:rsidRPr="00671F1E" w:rsidRDefault="00B32466" w:rsidP="00B32466">
      <w:r w:rsidRPr="00671F1E">
        <w:t xml:space="preserve">The main disadvantage of using beryllium in a neutron environment is the buildup of helium and hydrogen isotopes.  </w:t>
      </w:r>
      <w:r>
        <w:t>Helium-3</w:t>
      </w:r>
      <w:r w:rsidRPr="00671F1E">
        <w:t xml:space="preserve"> is a neutron poison</w:t>
      </w:r>
      <w:r>
        <w:t xml:space="preserve"> (absorber)</w:t>
      </w:r>
      <w:r w:rsidRPr="00671F1E">
        <w:t xml:space="preserve"> </w:t>
      </w:r>
      <w:r>
        <w:t>that also causes</w:t>
      </w:r>
      <w:r w:rsidRPr="00671F1E">
        <w:t xml:space="preserve"> swelling and mechanical property changes, </w:t>
      </w:r>
      <w:r w:rsidRPr="00671F1E">
        <w:rPr>
          <w:vertAlign w:val="superscript"/>
        </w:rPr>
        <w:t>4</w:t>
      </w:r>
      <w:r w:rsidRPr="00671F1E">
        <w:t>He is a gas that also leads to swelling, and tritium (</w:t>
      </w:r>
      <w:r w:rsidRPr="00671F1E">
        <w:rPr>
          <w:vertAlign w:val="superscript"/>
        </w:rPr>
        <w:t>3</w:t>
      </w:r>
      <w:r w:rsidRPr="00671F1E">
        <w:t xml:space="preserve">H) is a radionuclide that has potential to be released.  Beryllium reflectors must be </w:t>
      </w:r>
      <w:r>
        <w:t>replaced</w:t>
      </w:r>
      <w:r w:rsidRPr="00671F1E">
        <w:t xml:space="preserve"> periodically due to the internal stresses that are caused by swelling generated by helium and hydrogen gases</w:t>
      </w:r>
      <w:r w:rsidR="00C67546">
        <w:t xml:space="preserve"> </w:t>
      </w:r>
      <w:r w:rsidR="007511FA">
        <w:fldChar w:fldCharType="begin"/>
      </w:r>
      <w:r w:rsidR="00C67546">
        <w:instrText xml:space="preserve"> REF _Ref285637617 \n \h </w:instrText>
      </w:r>
      <w:r w:rsidR="007511FA">
        <w:fldChar w:fldCharType="separate"/>
      </w:r>
      <w:r w:rsidR="00D5167B">
        <w:t>[80]</w:t>
      </w:r>
      <w:r w:rsidR="007511FA">
        <w:fldChar w:fldCharType="end"/>
      </w:r>
      <w:r w:rsidRPr="00671F1E">
        <w:t>.</w:t>
      </w:r>
    </w:p>
    <w:p w:rsidR="00B32466" w:rsidRDefault="00B32466" w:rsidP="00B32466">
      <w:r w:rsidRPr="00671F1E">
        <w:lastRenderedPageBreak/>
        <w:t xml:space="preserve">When </w:t>
      </w:r>
      <w:r w:rsidRPr="00671F1E">
        <w:rPr>
          <w:vertAlign w:val="superscript"/>
        </w:rPr>
        <w:t>9</w:t>
      </w:r>
      <w:r w:rsidRPr="00671F1E">
        <w:t xml:space="preserve">Be is irradiated by neutrons above ~1 </w:t>
      </w:r>
      <w:proofErr w:type="spellStart"/>
      <w:r w:rsidRPr="00671F1E">
        <w:t>MeV</w:t>
      </w:r>
      <w:proofErr w:type="spellEnd"/>
      <w:r w:rsidRPr="00671F1E">
        <w:t>, it undergoes (</w:t>
      </w:r>
      <w:proofErr w:type="spellStart"/>
      <w:r w:rsidRPr="00671F1E">
        <w:t>n</w:t>
      </w:r>
      <w:proofErr w:type="gramStart"/>
      <w:r w:rsidRPr="00671F1E">
        <w:t>,α</w:t>
      </w:r>
      <w:proofErr w:type="spellEnd"/>
      <w:proofErr w:type="gramEnd"/>
      <w:r w:rsidRPr="00671F1E">
        <w:t xml:space="preserve">) and (n,2n) reactions </w:t>
      </w:r>
      <w:r w:rsidR="007511FA">
        <w:fldChar w:fldCharType="begin"/>
      </w:r>
      <w:r w:rsidR="00C67546">
        <w:instrText xml:space="preserve"> REF _Ref285637617 \n \h </w:instrText>
      </w:r>
      <w:r w:rsidR="007511FA">
        <w:fldChar w:fldCharType="separate"/>
      </w:r>
      <w:r w:rsidR="00D5167B">
        <w:t>[80]</w:t>
      </w:r>
      <w:r w:rsidR="007511FA">
        <w:fldChar w:fldCharType="end"/>
      </w:r>
      <w:r w:rsidRPr="00671F1E">
        <w:t xml:space="preserve">.  </w:t>
      </w:r>
      <w:r>
        <w:t>Beryllium-9</w:t>
      </w:r>
      <w:r w:rsidRPr="00671F1E">
        <w:t xml:space="preserve"> can also undergo (</w:t>
      </w:r>
      <w:proofErr w:type="spellStart"/>
      <w:r w:rsidRPr="00671F1E">
        <w:t>n</w:t>
      </w:r>
      <w:proofErr w:type="gramStart"/>
      <w:r w:rsidRPr="00671F1E">
        <w:t>,γ</w:t>
      </w:r>
      <w:proofErr w:type="spellEnd"/>
      <w:proofErr w:type="gramEnd"/>
      <w:r w:rsidRPr="00671F1E">
        <w:t xml:space="preserve">) reactions when irradiated </w:t>
      </w:r>
      <w:r>
        <w:t>by thermal neutrons.  The</w:t>
      </w:r>
      <w:r w:rsidRPr="00671F1E">
        <w:t xml:space="preserve"> reaction that causes poisoning is the (</w:t>
      </w:r>
      <w:proofErr w:type="spellStart"/>
      <w:r w:rsidRPr="00671F1E">
        <w:t>n</w:t>
      </w:r>
      <w:proofErr w:type="gramStart"/>
      <w:r w:rsidRPr="00671F1E">
        <w:t>,α</w:t>
      </w:r>
      <w:proofErr w:type="spellEnd"/>
      <w:proofErr w:type="gramEnd"/>
      <w:r w:rsidRPr="00671F1E">
        <w:t xml:space="preserve">) reaction that leads to the buildup of </w:t>
      </w:r>
      <w:r w:rsidRPr="00671F1E">
        <w:rPr>
          <w:vertAlign w:val="superscript"/>
        </w:rPr>
        <w:t>6</w:t>
      </w:r>
      <w:r w:rsidRPr="00671F1E">
        <w:t xml:space="preserve">Li and </w:t>
      </w:r>
      <w:r w:rsidRPr="00671F1E">
        <w:rPr>
          <w:vertAlign w:val="superscript"/>
        </w:rPr>
        <w:t>3</w:t>
      </w:r>
      <w:r w:rsidRPr="00671F1E">
        <w:t xml:space="preserve">He, two isotopes with large thermal absorption cross sections.  Thus, a negative reactivity is introduced in the reflector, which has to be accounted in order to accurately predict the startup positions of control elements.  The nuclear reactions that govern the transmutations and lead to poisoning are defined in </w:t>
      </w:r>
      <w:r w:rsidR="007511FA">
        <w:fldChar w:fldCharType="begin"/>
      </w:r>
      <w:r w:rsidR="003261D2">
        <w:instrText xml:space="preserve"> REF _Ref285536384 \h </w:instrText>
      </w:r>
      <w:r w:rsidR="007511FA">
        <w:fldChar w:fldCharType="separate"/>
      </w:r>
      <w:r w:rsidR="00D5167B">
        <w:t xml:space="preserve">Equation </w:t>
      </w:r>
      <w:r w:rsidR="00D5167B">
        <w:rPr>
          <w:noProof/>
        </w:rPr>
        <w:t>6</w:t>
      </w:r>
      <w:r w:rsidR="00D5167B">
        <w:t>.</w:t>
      </w:r>
      <w:r w:rsidR="00D5167B">
        <w:rPr>
          <w:noProof/>
        </w:rPr>
        <w:t>1</w:t>
      </w:r>
      <w:r w:rsidR="007511FA">
        <w:fldChar w:fldCharType="end"/>
      </w:r>
      <w:r w:rsidRPr="003261D2">
        <w:t xml:space="preserve"> through </w:t>
      </w:r>
      <w:r w:rsidR="007511FA">
        <w:fldChar w:fldCharType="begin"/>
      </w:r>
      <w:r w:rsidR="003261D2">
        <w:instrText xml:space="preserve"> REF _Ref285536392 \h </w:instrText>
      </w:r>
      <w:r w:rsidR="007511FA">
        <w:fldChar w:fldCharType="separate"/>
      </w:r>
      <w:r w:rsidR="00D5167B">
        <w:t xml:space="preserve">Equation </w:t>
      </w:r>
      <w:r w:rsidR="00D5167B">
        <w:rPr>
          <w:noProof/>
        </w:rPr>
        <w:t>6</w:t>
      </w:r>
      <w:r w:rsidR="00D5167B">
        <w:t>.</w:t>
      </w:r>
      <w:r w:rsidR="00D5167B">
        <w:rPr>
          <w:noProof/>
        </w:rPr>
        <w:t>7</w:t>
      </w:r>
      <w:r w:rsidR="007511FA">
        <w:fldChar w:fldCharType="end"/>
      </w:r>
      <w:r w:rsidRPr="00671F1E">
        <w:t>.</w:t>
      </w:r>
    </w:p>
    <w:p w:rsidR="00B32466" w:rsidRDefault="00B32466" w:rsidP="00B32466"/>
    <w:p w:rsidR="003261D2" w:rsidRDefault="007511FA" w:rsidP="00FE5512">
      <w:pPr>
        <w:spacing w:line="240" w:lineRule="auto"/>
        <w:ind w:firstLine="0"/>
        <w:rPr>
          <w:rFonts w:ascii="Times New Roman" w:hAnsi="Times New Roman"/>
        </w:rPr>
      </w:pPr>
      <m:oMathPara>
        <m:oMath>
          <m:sPre>
            <m:sPrePr>
              <m:ctrlPr>
                <w:rPr>
                  <w:rFonts w:ascii="Cambria Math" w:hAnsi="Cambria Math"/>
                  <w:i/>
                </w:rPr>
              </m:ctrlPr>
            </m:sPrePr>
            <m:sub>
              <m:r>
                <w:rPr>
                  <w:rFonts w:ascii="Cambria Math" w:hAnsi="Cambria Math"/>
                </w:rPr>
                <m:t>4</m:t>
              </m:r>
            </m:sub>
            <m:sup>
              <m:r>
                <m:rPr>
                  <m:nor/>
                </m:rPr>
                <w:rPr>
                  <w:rFonts w:ascii="Cambria Math" w:hAnsi="Cambria Math"/>
                </w:rPr>
                <m:t>9</m:t>
              </m:r>
            </m:sup>
            <m:e>
              <m:r>
                <m:rPr>
                  <m:nor/>
                </m:rPr>
                <w:rPr>
                  <w:rFonts w:ascii="Cambria Math" w:hAnsi="Cambria Math"/>
                </w:rPr>
                <m:t>B</m:t>
              </m:r>
            </m:e>
          </m:sPre>
          <m:r>
            <m:rPr>
              <m:nor/>
            </m:rPr>
            <w:rPr>
              <w:rFonts w:ascii="Cambria Math" w:hAnsi="Cambria Math"/>
            </w:rPr>
            <m:t>e +</m:t>
          </m:r>
          <m:sPre>
            <m:sPrePr>
              <m:ctrlPr>
                <w:rPr>
                  <w:rFonts w:ascii="Cambria Math" w:hAnsi="Cambria Math"/>
                </w:rPr>
              </m:ctrlPr>
            </m:sPrePr>
            <m:sub>
              <m:r>
                <m:rPr>
                  <m:sty m:val="p"/>
                </m:rPr>
                <w:rPr>
                  <w:rFonts w:ascii="Cambria Math" w:hAnsi="Cambria Math"/>
                </w:rPr>
                <m:t>0</m:t>
              </m:r>
            </m:sub>
            <m:sup>
              <m:r>
                <m:rPr>
                  <m:sty m:val="p"/>
                </m:rPr>
                <w:rPr>
                  <w:rFonts w:ascii="Cambria Math" w:hAnsi="Cambria Math"/>
                </w:rPr>
                <m:t>1</m:t>
              </m:r>
            </m:sup>
            <m:e>
              <m:r>
                <w:rPr>
                  <w:rFonts w:ascii="Cambria Math" w:hAnsi="Cambria Math"/>
                </w:rPr>
                <m:t>n</m:t>
              </m:r>
            </m:e>
          </m:sPre>
          <m:d>
            <m:dPr>
              <m:ctrlPr>
                <w:rPr>
                  <w:rFonts w:ascii="Cambria Math" w:hAnsi="Cambria Math"/>
                  <w:i/>
                </w:rPr>
              </m:ctrlPr>
            </m:dPr>
            <m:e>
              <m:r>
                <m:rPr>
                  <m:nor/>
                </m:rPr>
                <w:rPr>
                  <w:rFonts w:ascii="Cambria Math" w:hAnsi="Cambria Math"/>
                </w:rPr>
                <m:t>1 – 2 MeV</m:t>
              </m:r>
            </m:e>
          </m:d>
          <m:r>
            <m:rPr>
              <m:nor/>
            </m:rPr>
            <w:rPr>
              <w:rFonts w:ascii="Cambria Math" w:hAnsi="Cambria Math"/>
            </w:rPr>
            <m:t xml:space="preserve"> </m:t>
          </m:r>
          <m:box>
            <m:boxPr>
              <m:opEmu m:val="on"/>
              <m:ctrlPr>
                <w:rPr>
                  <w:rFonts w:ascii="Cambria Math" w:hAnsi="Cambria Math"/>
                  <w:i/>
                </w:rPr>
              </m:ctrlPr>
            </m:boxPr>
            <m:e>
              <m:groupChr>
                <m:groupChrPr>
                  <m:chr m:val="→"/>
                  <m:vertJc m:val="bot"/>
                  <m:ctrlPr>
                    <w:rPr>
                      <w:rFonts w:ascii="Cambria Math" w:hAnsi="Cambria Math"/>
                      <w:i/>
                    </w:rPr>
                  </m:ctrlPr>
                </m:groupChrPr>
                <m:e>
                  <m:r>
                    <w:rPr>
                      <w:rFonts w:ascii="Cambria Math" w:hAnsi="Cambria Math"/>
                    </w:rPr>
                    <m:t>20 mb</m:t>
                  </m:r>
                </m:e>
              </m:groupChr>
            </m:e>
          </m:box>
          <m:r>
            <m:rPr>
              <m:nor/>
            </m:rPr>
            <w:rPr>
              <w:rFonts w:ascii="Cambria Math" w:hAnsi="Cambria Math"/>
            </w:rPr>
            <m:t xml:space="preserve">  </m:t>
          </m:r>
          <m:sPre>
            <m:sPrePr>
              <m:ctrlPr>
                <w:rPr>
                  <w:rFonts w:ascii="Cambria Math" w:hAnsi="Cambria Math"/>
                  <w:i/>
                </w:rPr>
              </m:ctrlPr>
            </m:sPrePr>
            <m:sub>
              <m:r>
                <w:rPr>
                  <w:rFonts w:ascii="Cambria Math" w:hAnsi="Cambria Math"/>
                </w:rPr>
                <m:t>2</m:t>
              </m:r>
            </m:sub>
            <m:sup>
              <m:r>
                <m:rPr>
                  <m:nor/>
                </m:rPr>
                <w:rPr>
                  <w:rFonts w:ascii="Cambria Math" w:hAnsi="Cambria Math"/>
                </w:rPr>
                <m:t>6</m:t>
              </m:r>
            </m:sup>
            <m:e>
              <m:r>
                <m:rPr>
                  <m:nor/>
                </m:rPr>
                <w:rPr>
                  <w:rFonts w:ascii="Cambria Math" w:hAnsi="Cambria Math"/>
                </w:rPr>
                <m:t>H</m:t>
              </m:r>
            </m:e>
          </m:sPre>
          <m:r>
            <m:rPr>
              <m:nor/>
            </m:rPr>
            <w:rPr>
              <w:rFonts w:ascii="Cambria Math" w:hAnsi="Cambria Math"/>
            </w:rPr>
            <m:t xml:space="preserve">e+ </m:t>
          </m:r>
          <m:sPre>
            <m:sPrePr>
              <m:ctrlPr>
                <w:rPr>
                  <w:rFonts w:ascii="Cambria Math" w:hAnsi="Cambria Math"/>
                  <w:i/>
                </w:rPr>
              </m:ctrlPr>
            </m:sPrePr>
            <m:sub>
              <m:r>
                <w:rPr>
                  <w:rFonts w:ascii="Cambria Math" w:hAnsi="Cambria Math"/>
                </w:rPr>
                <m:t>2</m:t>
              </m:r>
            </m:sub>
            <m:sup>
              <m:r>
                <m:rPr>
                  <m:nor/>
                </m:rPr>
                <w:rPr>
                  <w:rFonts w:ascii="Cambria Math" w:hAnsi="Cambria Math"/>
                </w:rPr>
                <m:t>4</m:t>
              </m:r>
            </m:sup>
            <m:e>
              <m:r>
                <m:rPr>
                  <m:nor/>
                </m:rPr>
                <w:rPr>
                  <w:rFonts w:ascii="Cambria Math" w:hAnsi="Cambria Math"/>
                </w:rPr>
                <m:t>H</m:t>
              </m:r>
            </m:e>
          </m:sPre>
          <m:r>
            <m:rPr>
              <m:nor/>
            </m:rPr>
            <w:rPr>
              <w:rFonts w:ascii="Cambria Math" w:hAnsi="Cambria Math"/>
            </w:rPr>
            <m:t>e</m:t>
          </m:r>
        </m:oMath>
      </m:oMathPara>
    </w:p>
    <w:p w:rsidR="003261D2" w:rsidRDefault="003261D2" w:rsidP="003261D2">
      <w:pPr>
        <w:pStyle w:val="Caption"/>
        <w:keepNext/>
      </w:pPr>
      <w:bookmarkStart w:id="223" w:name="_Ref285536384"/>
      <w:proofErr w:type="gramStart"/>
      <w:r>
        <w:t xml:space="preserve">Equation </w:t>
      </w:r>
      <w:r w:rsidR="007511FA">
        <w:fldChar w:fldCharType="begin"/>
      </w:r>
      <w:r w:rsidR="00AE17F8">
        <w:instrText xml:space="preserve"> STYLEREF 1 \s </w:instrText>
      </w:r>
      <w:r w:rsidR="007511FA">
        <w:fldChar w:fldCharType="separate"/>
      </w:r>
      <w:r w:rsidR="00D5167B">
        <w:rPr>
          <w:noProof/>
        </w:rPr>
        <w:t>6</w:t>
      </w:r>
      <w:r w:rsidR="007511FA">
        <w:fldChar w:fldCharType="end"/>
      </w:r>
      <w:r w:rsidR="00220B7D">
        <w:t>.</w:t>
      </w:r>
      <w:proofErr w:type="gramEnd"/>
      <w:r w:rsidR="007511FA">
        <w:fldChar w:fldCharType="begin"/>
      </w:r>
      <w:r w:rsidR="00220B7D">
        <w:instrText xml:space="preserve"> SEQ Equation \* ARABIC \s 1 </w:instrText>
      </w:r>
      <w:r w:rsidR="007511FA">
        <w:fldChar w:fldCharType="separate"/>
      </w:r>
      <w:r w:rsidR="00D5167B">
        <w:rPr>
          <w:noProof/>
        </w:rPr>
        <w:t>1</w:t>
      </w:r>
      <w:r w:rsidR="007511FA">
        <w:fldChar w:fldCharType="end"/>
      </w:r>
      <w:bookmarkEnd w:id="223"/>
    </w:p>
    <w:p w:rsidR="003261D2" w:rsidRPr="003261D2" w:rsidRDefault="003261D2" w:rsidP="003261D2"/>
    <w:p w:rsidR="003261D2" w:rsidRDefault="007511FA" w:rsidP="00FE5512">
      <w:pPr>
        <w:spacing w:line="240" w:lineRule="auto"/>
        <w:ind w:firstLine="0"/>
        <w:rPr>
          <w:rFonts w:ascii="Times New Roman" w:hAnsi="Times New Roman"/>
        </w:rPr>
      </w:pPr>
      <m:oMathPara>
        <m:oMath>
          <m:sPre>
            <m:sPrePr>
              <m:ctrlPr>
                <w:rPr>
                  <w:rFonts w:ascii="Cambria Math" w:hAnsi="Cambria Math"/>
                  <w:i/>
                </w:rPr>
              </m:ctrlPr>
            </m:sPrePr>
            <m:sub>
              <m:r>
                <w:rPr>
                  <w:rFonts w:ascii="Cambria Math" w:hAnsi="Cambria Math"/>
                </w:rPr>
                <m:t>4</m:t>
              </m:r>
            </m:sub>
            <m:sup>
              <m:r>
                <m:rPr>
                  <m:nor/>
                </m:rPr>
                <w:rPr>
                  <w:rFonts w:ascii="Cambria Math" w:hAnsi="Cambria Math"/>
                </w:rPr>
                <m:t>9</m:t>
              </m:r>
            </m:sup>
            <m:e>
              <m:r>
                <m:rPr>
                  <m:nor/>
                </m:rPr>
                <w:rPr>
                  <w:rFonts w:ascii="Cambria Math" w:hAnsi="Cambria Math"/>
                </w:rPr>
                <m:t>B</m:t>
              </m:r>
            </m:e>
          </m:sPre>
          <m:r>
            <m:rPr>
              <m:nor/>
            </m:rPr>
            <w:rPr>
              <w:rFonts w:ascii="Cambria Math" w:hAnsi="Cambria Math"/>
            </w:rPr>
            <m:t>e +</m:t>
          </m:r>
          <m:sPre>
            <m:sPrePr>
              <m:ctrlPr>
                <w:rPr>
                  <w:rFonts w:ascii="Cambria Math" w:hAnsi="Cambria Math"/>
                </w:rPr>
              </m:ctrlPr>
            </m:sPrePr>
            <m:sub>
              <m:r>
                <m:rPr>
                  <m:sty m:val="p"/>
                </m:rPr>
                <w:rPr>
                  <w:rFonts w:ascii="Cambria Math" w:hAnsi="Cambria Math"/>
                </w:rPr>
                <m:t>0</m:t>
              </m:r>
            </m:sub>
            <m:sup>
              <m:r>
                <m:rPr>
                  <m:sty m:val="p"/>
                </m:rPr>
                <w:rPr>
                  <w:rFonts w:ascii="Cambria Math" w:hAnsi="Cambria Math"/>
                </w:rPr>
                <m:t>1</m:t>
              </m:r>
            </m:sup>
            <m:e>
              <m:r>
                <w:rPr>
                  <w:rFonts w:ascii="Cambria Math" w:hAnsi="Cambria Math"/>
                </w:rPr>
                <m:t>n</m:t>
              </m:r>
            </m:e>
          </m:sPre>
          <m:d>
            <m:dPr>
              <m:ctrlPr>
                <w:rPr>
                  <w:rFonts w:ascii="Cambria Math" w:hAnsi="Cambria Math"/>
                  <w:i/>
                </w:rPr>
              </m:ctrlPr>
            </m:dPr>
            <m:e>
              <m:r>
                <m:rPr>
                  <m:nor/>
                </m:rPr>
                <w:rPr>
                  <w:rFonts w:ascii="Cambria Math" w:hAnsi="Cambria Math"/>
                </w:rPr>
                <m:t>2 – 4 MeV</m:t>
              </m:r>
            </m:e>
          </m:d>
          <m:r>
            <m:rPr>
              <m:nor/>
            </m:rPr>
            <w:rPr>
              <w:rFonts w:ascii="Cambria Math" w:hAnsi="Cambria Math"/>
            </w:rPr>
            <m:t xml:space="preserve"> </m:t>
          </m:r>
          <m:box>
            <m:boxPr>
              <m:opEmu m:val="on"/>
              <m:ctrlPr>
                <w:rPr>
                  <w:rFonts w:ascii="Cambria Math" w:hAnsi="Cambria Math"/>
                  <w:i/>
                </w:rPr>
              </m:ctrlPr>
            </m:boxPr>
            <m:e>
              <m:groupChr>
                <m:groupChrPr>
                  <m:chr m:val="→"/>
                  <m:vertJc m:val="bot"/>
                  <m:ctrlPr>
                    <w:rPr>
                      <w:rFonts w:ascii="Cambria Math" w:hAnsi="Cambria Math"/>
                      <w:i/>
                    </w:rPr>
                  </m:ctrlPr>
                </m:groupChrPr>
                <m:e>
                  <m:r>
                    <w:rPr>
                      <w:rFonts w:ascii="Cambria Math" w:hAnsi="Cambria Math"/>
                    </w:rPr>
                    <m:t>85 mb</m:t>
                  </m:r>
                </m:e>
              </m:groupChr>
              <m:r>
                <w:rPr>
                  <w:rFonts w:ascii="Cambria Math" w:hAnsi="Cambria Math"/>
                </w:rPr>
                <m:t xml:space="preserve"> </m:t>
              </m:r>
              <m:sPre>
                <m:sPrePr>
                  <m:ctrlPr>
                    <w:rPr>
                      <w:rFonts w:ascii="Cambria Math" w:hAnsi="Cambria Math"/>
                      <w:i/>
                    </w:rPr>
                  </m:ctrlPr>
                </m:sPrePr>
                <m:sub>
                  <m:r>
                    <w:rPr>
                      <w:rFonts w:ascii="Cambria Math" w:hAnsi="Cambria Math"/>
                    </w:rPr>
                    <m:t>2</m:t>
                  </m:r>
                </m:sub>
                <m:sup>
                  <m:r>
                    <m:rPr>
                      <m:nor/>
                    </m:rPr>
                    <w:rPr>
                      <w:rFonts w:ascii="Cambria Math" w:hAnsi="Cambria Math"/>
                    </w:rPr>
                    <m:t>6</m:t>
                  </m:r>
                </m:sup>
                <m:e>
                  <m:r>
                    <m:rPr>
                      <m:nor/>
                    </m:rPr>
                    <w:rPr>
                      <w:rFonts w:ascii="Cambria Math" w:hAnsi="Cambria Math"/>
                    </w:rPr>
                    <m:t>H</m:t>
                  </m:r>
                </m:e>
              </m:sPre>
              <m:r>
                <m:rPr>
                  <m:nor/>
                </m:rPr>
                <w:rPr>
                  <w:rFonts w:ascii="Cambria Math" w:hAnsi="Cambria Math"/>
                </w:rPr>
                <m:t xml:space="preserve">e+ </m:t>
              </m:r>
              <m:sPre>
                <m:sPrePr>
                  <m:ctrlPr>
                    <w:rPr>
                      <w:rFonts w:ascii="Cambria Math" w:hAnsi="Cambria Math"/>
                      <w:i/>
                    </w:rPr>
                  </m:ctrlPr>
                </m:sPrePr>
                <m:sub>
                  <m:r>
                    <w:rPr>
                      <w:rFonts w:ascii="Cambria Math" w:hAnsi="Cambria Math"/>
                    </w:rPr>
                    <m:t>2</m:t>
                  </m:r>
                </m:sub>
                <m:sup>
                  <m:r>
                    <m:rPr>
                      <m:nor/>
                    </m:rPr>
                    <w:rPr>
                      <w:rFonts w:ascii="Cambria Math" w:hAnsi="Cambria Math"/>
                    </w:rPr>
                    <m:t>4</m:t>
                  </m:r>
                </m:sup>
                <m:e>
                  <m:r>
                    <m:rPr>
                      <m:nor/>
                    </m:rPr>
                    <w:rPr>
                      <w:rFonts w:ascii="Cambria Math" w:hAnsi="Cambria Math"/>
                    </w:rPr>
                    <m:t>H</m:t>
                  </m:r>
                </m:e>
              </m:sPre>
              <m:r>
                <m:rPr>
                  <m:nor/>
                </m:rPr>
                <w:rPr>
                  <w:rFonts w:ascii="Cambria Math" w:hAnsi="Cambria Math"/>
                </w:rPr>
                <m:t xml:space="preserve">e </m:t>
              </m:r>
            </m:e>
          </m:box>
        </m:oMath>
      </m:oMathPara>
    </w:p>
    <w:p w:rsidR="003261D2" w:rsidRDefault="003261D2" w:rsidP="003261D2">
      <w:pPr>
        <w:pStyle w:val="Caption"/>
      </w:pPr>
      <w:proofErr w:type="gramStart"/>
      <w:r>
        <w:t xml:space="preserve">Equation </w:t>
      </w:r>
      <w:r w:rsidR="007511FA">
        <w:fldChar w:fldCharType="begin"/>
      </w:r>
      <w:r w:rsidR="00AE17F8">
        <w:instrText xml:space="preserve"> STYLEREF 1 \s </w:instrText>
      </w:r>
      <w:r w:rsidR="007511FA">
        <w:fldChar w:fldCharType="separate"/>
      </w:r>
      <w:r w:rsidR="00D5167B">
        <w:rPr>
          <w:noProof/>
        </w:rPr>
        <w:t>6</w:t>
      </w:r>
      <w:r w:rsidR="007511FA">
        <w:fldChar w:fldCharType="end"/>
      </w:r>
      <w:r w:rsidR="00220B7D">
        <w:t>.</w:t>
      </w:r>
      <w:proofErr w:type="gramEnd"/>
      <w:r w:rsidR="007511FA">
        <w:fldChar w:fldCharType="begin"/>
      </w:r>
      <w:r w:rsidR="00220B7D">
        <w:instrText xml:space="preserve"> SEQ Equation \* ARABIC \s 1 </w:instrText>
      </w:r>
      <w:r w:rsidR="007511FA">
        <w:fldChar w:fldCharType="separate"/>
      </w:r>
      <w:r w:rsidR="00D5167B">
        <w:rPr>
          <w:noProof/>
        </w:rPr>
        <w:t>2</w:t>
      </w:r>
      <w:r w:rsidR="007511FA">
        <w:fldChar w:fldCharType="end"/>
      </w:r>
    </w:p>
    <w:p w:rsidR="003261D2" w:rsidRPr="003261D2" w:rsidRDefault="003261D2" w:rsidP="003261D2"/>
    <w:p w:rsidR="003261D2" w:rsidRDefault="007511FA" w:rsidP="00FE5512">
      <w:pPr>
        <w:spacing w:line="240" w:lineRule="auto"/>
        <w:ind w:firstLine="0"/>
        <w:rPr>
          <w:rFonts w:ascii="Times New Roman" w:hAnsi="Times New Roman"/>
        </w:rPr>
      </w:pPr>
      <m:oMathPara>
        <m:oMath>
          <m:sPre>
            <m:sPrePr>
              <m:ctrlPr>
                <w:rPr>
                  <w:rFonts w:ascii="Cambria Math" w:hAnsi="Cambria Math"/>
                  <w:i/>
                </w:rPr>
              </m:ctrlPr>
            </m:sPrePr>
            <m:sub>
              <m:r>
                <w:rPr>
                  <w:rFonts w:ascii="Cambria Math" w:hAnsi="Cambria Math"/>
                </w:rPr>
                <m:t>4</m:t>
              </m:r>
            </m:sub>
            <m:sup>
              <m:r>
                <m:rPr>
                  <m:nor/>
                </m:rPr>
                <w:rPr>
                  <w:rFonts w:ascii="Cambria Math" w:hAnsi="Cambria Math"/>
                </w:rPr>
                <m:t>9</m:t>
              </m:r>
            </m:sup>
            <m:e>
              <m:r>
                <m:rPr>
                  <m:nor/>
                </m:rPr>
                <w:rPr>
                  <w:rFonts w:ascii="Cambria Math" w:hAnsi="Cambria Math"/>
                </w:rPr>
                <m:t>B</m:t>
              </m:r>
            </m:e>
          </m:sPre>
          <m:r>
            <m:rPr>
              <m:nor/>
            </m:rPr>
            <w:rPr>
              <w:rFonts w:ascii="Cambria Math" w:hAnsi="Cambria Math"/>
            </w:rPr>
            <m:t>e +</m:t>
          </m:r>
          <m:sPre>
            <m:sPrePr>
              <m:ctrlPr>
                <w:rPr>
                  <w:rFonts w:ascii="Cambria Math" w:hAnsi="Cambria Math"/>
                </w:rPr>
              </m:ctrlPr>
            </m:sPrePr>
            <m:sub>
              <m:r>
                <m:rPr>
                  <m:sty m:val="p"/>
                </m:rPr>
                <w:rPr>
                  <w:rFonts w:ascii="Cambria Math" w:hAnsi="Cambria Math"/>
                </w:rPr>
                <m:t>0</m:t>
              </m:r>
            </m:sub>
            <m:sup>
              <m:r>
                <m:rPr>
                  <m:sty m:val="p"/>
                </m:rPr>
                <w:rPr>
                  <w:rFonts w:ascii="Cambria Math" w:hAnsi="Cambria Math"/>
                </w:rPr>
                <m:t>1</m:t>
              </m:r>
            </m:sup>
            <m:e>
              <m:r>
                <w:rPr>
                  <w:rFonts w:ascii="Cambria Math" w:hAnsi="Cambria Math"/>
                </w:rPr>
                <m:t>n</m:t>
              </m:r>
            </m:e>
          </m:sPre>
          <m:d>
            <m:dPr>
              <m:ctrlPr>
                <w:rPr>
                  <w:rFonts w:ascii="Cambria Math" w:hAnsi="Cambria Math"/>
                  <w:i/>
                </w:rPr>
              </m:ctrlPr>
            </m:dPr>
            <m:e>
              <m:r>
                <m:rPr>
                  <m:nor/>
                </m:rPr>
                <w:rPr>
                  <w:rFonts w:ascii="Cambria Math" w:hAnsi="Cambria Math"/>
                </w:rPr>
                <m:t>4 – 10 MeV</m:t>
              </m:r>
            </m:e>
          </m:d>
          <m:r>
            <m:rPr>
              <m:nor/>
            </m:rPr>
            <w:rPr>
              <w:rFonts w:ascii="Cambria Math" w:hAnsi="Cambria Math"/>
            </w:rPr>
            <m:t xml:space="preserve"> </m:t>
          </m:r>
          <m:box>
            <m:boxPr>
              <m:opEmu m:val="on"/>
              <m:ctrlPr>
                <w:rPr>
                  <w:rFonts w:ascii="Cambria Math" w:hAnsi="Cambria Math"/>
                  <w:i/>
                </w:rPr>
              </m:ctrlPr>
            </m:boxPr>
            <m:e>
              <m:groupChr>
                <m:groupChrPr>
                  <m:chr m:val="→"/>
                  <m:vertJc m:val="bot"/>
                  <m:ctrlPr>
                    <w:rPr>
                      <w:rFonts w:ascii="Cambria Math" w:hAnsi="Cambria Math"/>
                      <w:i/>
                    </w:rPr>
                  </m:ctrlPr>
                </m:groupChrPr>
                <m:e>
                  <m:r>
                    <w:rPr>
                      <w:rFonts w:ascii="Cambria Math" w:hAnsi="Cambria Math"/>
                    </w:rPr>
                    <m:t>10 mb</m:t>
                  </m:r>
                </m:e>
              </m:groupChr>
              <m:r>
                <w:rPr>
                  <w:rFonts w:ascii="Cambria Math" w:hAnsi="Cambria Math"/>
                </w:rPr>
                <m:t xml:space="preserve"> </m:t>
              </m:r>
              <m:sPre>
                <m:sPrePr>
                  <m:ctrlPr>
                    <w:rPr>
                      <w:rFonts w:ascii="Cambria Math" w:hAnsi="Cambria Math"/>
                      <w:i/>
                    </w:rPr>
                  </m:ctrlPr>
                </m:sPrePr>
                <m:sub>
                  <m:r>
                    <w:rPr>
                      <w:rFonts w:ascii="Cambria Math" w:hAnsi="Cambria Math"/>
                    </w:rPr>
                    <m:t>2</m:t>
                  </m:r>
                </m:sub>
                <m:sup>
                  <m:r>
                    <m:rPr>
                      <m:nor/>
                    </m:rPr>
                    <w:rPr>
                      <w:rFonts w:ascii="Cambria Math" w:hAnsi="Cambria Math"/>
                    </w:rPr>
                    <m:t>6</m:t>
                  </m:r>
                </m:sup>
                <m:e>
                  <m:r>
                    <m:rPr>
                      <m:nor/>
                    </m:rPr>
                    <w:rPr>
                      <w:rFonts w:ascii="Cambria Math" w:hAnsi="Cambria Math"/>
                    </w:rPr>
                    <m:t>H</m:t>
                  </m:r>
                </m:e>
              </m:sPre>
              <m:r>
                <m:rPr>
                  <m:nor/>
                </m:rPr>
                <w:rPr>
                  <w:rFonts w:ascii="Cambria Math" w:hAnsi="Cambria Math"/>
                </w:rPr>
                <m:t xml:space="preserve">e+ </m:t>
              </m:r>
              <m:sPre>
                <m:sPrePr>
                  <m:ctrlPr>
                    <w:rPr>
                      <w:rFonts w:ascii="Cambria Math" w:hAnsi="Cambria Math"/>
                      <w:i/>
                    </w:rPr>
                  </m:ctrlPr>
                </m:sPrePr>
                <m:sub>
                  <m:r>
                    <w:rPr>
                      <w:rFonts w:ascii="Cambria Math" w:hAnsi="Cambria Math"/>
                    </w:rPr>
                    <m:t>2</m:t>
                  </m:r>
                </m:sub>
                <m:sup>
                  <m:r>
                    <m:rPr>
                      <m:nor/>
                    </m:rPr>
                    <w:rPr>
                      <w:rFonts w:ascii="Cambria Math" w:hAnsi="Cambria Math"/>
                    </w:rPr>
                    <m:t>4</m:t>
                  </m:r>
                </m:sup>
                <m:e>
                  <m:r>
                    <m:rPr>
                      <m:nor/>
                    </m:rPr>
                    <w:rPr>
                      <w:rFonts w:ascii="Cambria Math" w:hAnsi="Cambria Math"/>
                    </w:rPr>
                    <m:t>H</m:t>
                  </m:r>
                </m:e>
              </m:sPre>
              <m:r>
                <m:rPr>
                  <m:nor/>
                </m:rPr>
                <w:rPr>
                  <w:rFonts w:ascii="Cambria Math" w:hAnsi="Cambria Math"/>
                </w:rPr>
                <m:t xml:space="preserve">e </m:t>
              </m:r>
            </m:e>
          </m:box>
        </m:oMath>
      </m:oMathPara>
    </w:p>
    <w:p w:rsidR="003261D2" w:rsidRDefault="003261D2" w:rsidP="003261D2">
      <w:pPr>
        <w:pStyle w:val="Caption"/>
      </w:pPr>
      <w:proofErr w:type="gramStart"/>
      <w:r>
        <w:t xml:space="preserve">Equation </w:t>
      </w:r>
      <w:r w:rsidR="007511FA">
        <w:fldChar w:fldCharType="begin"/>
      </w:r>
      <w:r w:rsidR="00AE17F8">
        <w:instrText xml:space="preserve"> STYLEREF 1 \s </w:instrText>
      </w:r>
      <w:r w:rsidR="007511FA">
        <w:fldChar w:fldCharType="separate"/>
      </w:r>
      <w:r w:rsidR="00D5167B">
        <w:rPr>
          <w:noProof/>
        </w:rPr>
        <w:t>6</w:t>
      </w:r>
      <w:r w:rsidR="007511FA">
        <w:fldChar w:fldCharType="end"/>
      </w:r>
      <w:r w:rsidR="00220B7D">
        <w:t>.</w:t>
      </w:r>
      <w:proofErr w:type="gramEnd"/>
      <w:r w:rsidR="007511FA">
        <w:fldChar w:fldCharType="begin"/>
      </w:r>
      <w:r w:rsidR="00220B7D">
        <w:instrText xml:space="preserve"> SEQ Equation \* ARABIC \s 1 </w:instrText>
      </w:r>
      <w:r w:rsidR="007511FA">
        <w:fldChar w:fldCharType="separate"/>
      </w:r>
      <w:r w:rsidR="00D5167B">
        <w:rPr>
          <w:noProof/>
        </w:rPr>
        <w:t>3</w:t>
      </w:r>
      <w:r w:rsidR="007511FA">
        <w:fldChar w:fldCharType="end"/>
      </w:r>
    </w:p>
    <w:p w:rsidR="003261D2" w:rsidRPr="003261D2" w:rsidRDefault="003261D2" w:rsidP="003261D2"/>
    <w:p w:rsidR="003261D2" w:rsidRDefault="007511FA" w:rsidP="00FE5512">
      <w:pPr>
        <w:spacing w:line="240" w:lineRule="auto"/>
        <w:ind w:firstLine="0"/>
        <w:rPr>
          <w:rFonts w:ascii="Times New Roman" w:hAnsi="Times New Roman"/>
        </w:rPr>
      </w:pPr>
      <m:oMathPara>
        <m:oMath>
          <m:sPre>
            <m:sPrePr>
              <m:ctrlPr>
                <w:rPr>
                  <w:rFonts w:ascii="Cambria Math" w:hAnsi="Cambria Math"/>
                  <w:i/>
                </w:rPr>
              </m:ctrlPr>
            </m:sPrePr>
            <m:sub>
              <m:r>
                <w:rPr>
                  <w:rFonts w:ascii="Cambria Math" w:hAnsi="Cambria Math"/>
                </w:rPr>
                <m:t>2</m:t>
              </m:r>
            </m:sub>
            <m:sup>
              <m:r>
                <m:rPr>
                  <m:nor/>
                </m:rPr>
                <w:rPr>
                  <w:rFonts w:ascii="Cambria Math" w:hAnsi="Cambria Math"/>
                </w:rPr>
                <m:t>6</m:t>
              </m:r>
            </m:sup>
            <m:e>
              <m:r>
                <m:rPr>
                  <m:nor/>
                </m:rPr>
                <w:rPr>
                  <w:rFonts w:ascii="Cambria Math" w:hAnsi="Cambria Math"/>
                </w:rPr>
                <m:t>H</m:t>
              </m:r>
            </m:e>
          </m:sPre>
          <m:r>
            <m:rPr>
              <m:nor/>
            </m:rPr>
            <w:rPr>
              <w:rFonts w:ascii="Cambria Math" w:hAnsi="Cambria Math"/>
            </w:rPr>
            <m:t xml:space="preserve">e </m:t>
          </m:r>
          <m:box>
            <m:boxPr>
              <m:opEmu m:val="on"/>
              <m:ctrlPr>
                <w:rPr>
                  <w:rFonts w:ascii="Cambria Math" w:hAnsi="Cambria Math"/>
                  <w:i/>
                </w:rPr>
              </m:ctrlPr>
            </m:boxPr>
            <m:e>
              <m:groupChr>
                <m:groupChrPr>
                  <m:chr m:val="→"/>
                  <m:vertJc m:val="bot"/>
                  <m:ctrlPr>
                    <w:rPr>
                      <w:rFonts w:ascii="Cambria Math" w:hAnsi="Cambria Math"/>
                      <w:i/>
                    </w:rPr>
                  </m:ctrlPr>
                </m:groupChrPr>
                <m:e>
                  <m:r>
                    <w:rPr>
                      <w:rFonts w:ascii="Cambria Math" w:hAnsi="Cambria Math"/>
                    </w:rPr>
                    <m:t>0.8 s</m:t>
                  </m:r>
                </m:e>
              </m:groupChr>
            </m:e>
          </m:box>
          <m:r>
            <w:rPr>
              <w:rFonts w:ascii="Cambria Math" w:hAnsi="Cambria Math"/>
            </w:rPr>
            <m:t xml:space="preserve"> </m:t>
          </m:r>
          <m:sPre>
            <m:sPrePr>
              <m:ctrlPr>
                <w:rPr>
                  <w:rFonts w:ascii="Cambria Math" w:hAnsi="Cambria Math"/>
                  <w:i/>
                </w:rPr>
              </m:ctrlPr>
            </m:sPrePr>
            <m:sub>
              <m:r>
                <w:rPr>
                  <w:rFonts w:ascii="Cambria Math" w:hAnsi="Cambria Math"/>
                </w:rPr>
                <m:t>3</m:t>
              </m:r>
            </m:sub>
            <m:sup>
              <m:r>
                <m:rPr>
                  <m:nor/>
                </m:rPr>
                <w:rPr>
                  <w:rFonts w:ascii="Cambria Math" w:hAnsi="Cambria Math"/>
                </w:rPr>
                <m:t>6</m:t>
              </m:r>
            </m:sup>
            <m:e>
              <m:r>
                <m:rPr>
                  <m:nor/>
                </m:rPr>
                <w:rPr>
                  <w:rFonts w:ascii="Cambria Math" w:hAnsi="Cambria Math"/>
                </w:rPr>
                <m:t>Li</m:t>
              </m:r>
            </m:e>
          </m:sPre>
          <m:r>
            <w:rPr>
              <w:rFonts w:ascii="Cambria Math" w:hAnsi="Cambria Math"/>
            </w:rPr>
            <m:t xml:space="preserve">+ </m:t>
          </m:r>
          <m:sSup>
            <m:sSupPr>
              <m:ctrlPr>
                <w:rPr>
                  <w:rFonts w:ascii="Cambria Math" w:hAnsi="Cambria Math"/>
                  <w:i/>
                </w:rPr>
              </m:ctrlPr>
            </m:sSupPr>
            <m:e>
              <m:r>
                <w:rPr>
                  <w:rFonts w:ascii="Cambria Math" w:hAnsi="Cambria Math"/>
                </w:rPr>
                <m:t>β</m:t>
              </m:r>
            </m:e>
            <m:sup>
              <m:r>
                <w:rPr>
                  <w:rFonts w:ascii="Cambria Math" w:hAnsi="Cambria Math"/>
                </w:rPr>
                <m:t>-</m:t>
              </m:r>
            </m:sup>
          </m:sSup>
        </m:oMath>
      </m:oMathPara>
    </w:p>
    <w:p w:rsidR="00B32466" w:rsidRDefault="003261D2" w:rsidP="003261D2">
      <w:pPr>
        <w:pStyle w:val="Caption"/>
      </w:pPr>
      <w:proofErr w:type="gramStart"/>
      <w:r>
        <w:t xml:space="preserve">Equation </w:t>
      </w:r>
      <w:r w:rsidR="007511FA">
        <w:fldChar w:fldCharType="begin"/>
      </w:r>
      <w:r w:rsidR="00AE17F8">
        <w:instrText xml:space="preserve"> STYLEREF 1 \s </w:instrText>
      </w:r>
      <w:r w:rsidR="007511FA">
        <w:fldChar w:fldCharType="separate"/>
      </w:r>
      <w:r w:rsidR="00D5167B">
        <w:rPr>
          <w:noProof/>
        </w:rPr>
        <w:t>6</w:t>
      </w:r>
      <w:r w:rsidR="007511FA">
        <w:fldChar w:fldCharType="end"/>
      </w:r>
      <w:r w:rsidR="00220B7D">
        <w:t>.</w:t>
      </w:r>
      <w:proofErr w:type="gramEnd"/>
      <w:r w:rsidR="007511FA">
        <w:fldChar w:fldCharType="begin"/>
      </w:r>
      <w:r w:rsidR="00220B7D">
        <w:instrText xml:space="preserve"> SEQ Equation \* ARABIC \s 1 </w:instrText>
      </w:r>
      <w:r w:rsidR="007511FA">
        <w:fldChar w:fldCharType="separate"/>
      </w:r>
      <w:r w:rsidR="00D5167B">
        <w:rPr>
          <w:noProof/>
        </w:rPr>
        <w:t>4</w:t>
      </w:r>
      <w:r w:rsidR="007511FA">
        <w:fldChar w:fldCharType="end"/>
      </w:r>
    </w:p>
    <w:p w:rsidR="003261D2" w:rsidRPr="003261D2" w:rsidRDefault="003261D2" w:rsidP="003261D2"/>
    <w:p w:rsidR="003261D2" w:rsidRDefault="007511FA" w:rsidP="00FE5512">
      <w:pPr>
        <w:spacing w:line="240" w:lineRule="auto"/>
        <w:ind w:firstLine="0"/>
        <w:rPr>
          <w:rFonts w:ascii="Times New Roman" w:hAnsi="Times New Roman"/>
        </w:rPr>
      </w:pPr>
      <m:oMathPara>
        <m:oMath>
          <m:sPre>
            <m:sPrePr>
              <m:ctrlPr>
                <w:rPr>
                  <w:rFonts w:ascii="Cambria Math" w:hAnsi="Cambria Math"/>
                  <w:i/>
                </w:rPr>
              </m:ctrlPr>
            </m:sPrePr>
            <m:sub>
              <m:r>
                <w:rPr>
                  <w:rFonts w:ascii="Cambria Math" w:hAnsi="Cambria Math"/>
                </w:rPr>
                <m:t>3</m:t>
              </m:r>
            </m:sub>
            <m:sup>
              <m:r>
                <m:rPr>
                  <m:nor/>
                </m:rPr>
                <w:rPr>
                  <w:rFonts w:ascii="Cambria Math" w:hAnsi="Cambria Math"/>
                </w:rPr>
                <m:t>6</m:t>
              </m:r>
            </m:sup>
            <m:e>
              <m:r>
                <m:rPr>
                  <m:nor/>
                </m:rPr>
                <w:rPr>
                  <w:rFonts w:ascii="Cambria Math" w:hAnsi="Cambria Math"/>
                </w:rPr>
                <m:t>Li</m:t>
              </m:r>
            </m:e>
          </m:sPre>
          <m:r>
            <m:rPr>
              <m:nor/>
            </m:rPr>
            <w:rPr>
              <w:rFonts w:ascii="Cambria Math" w:hAnsi="Cambria Math"/>
            </w:rPr>
            <m:t xml:space="preserve"> + </m:t>
          </m:r>
          <m:sPre>
            <m:sPrePr>
              <m:ctrlPr>
                <w:rPr>
                  <w:rFonts w:ascii="Cambria Math" w:hAnsi="Cambria Math"/>
                </w:rPr>
              </m:ctrlPr>
            </m:sPrePr>
            <m:sub>
              <m:r>
                <m:rPr>
                  <m:sty m:val="p"/>
                </m:rPr>
                <w:rPr>
                  <w:rFonts w:ascii="Cambria Math" w:hAnsi="Cambria Math"/>
                </w:rPr>
                <m:t>0</m:t>
              </m:r>
            </m:sub>
            <m:sup>
              <m:r>
                <m:rPr>
                  <m:sty m:val="p"/>
                </m:rPr>
                <w:rPr>
                  <w:rFonts w:ascii="Cambria Math" w:hAnsi="Cambria Math"/>
                </w:rPr>
                <m:t>1</m:t>
              </m:r>
            </m:sup>
            <m:e>
              <m:r>
                <w:rPr>
                  <w:rFonts w:ascii="Cambria Math" w:hAnsi="Cambria Math"/>
                </w:rPr>
                <m:t>n</m:t>
              </m:r>
            </m:e>
          </m:sPre>
          <m:r>
            <m:rPr>
              <m:nor/>
            </m:rPr>
            <w:rPr>
              <w:rFonts w:ascii="Cambria Math" w:hAnsi="Cambria Math"/>
            </w:rPr>
            <m:t xml:space="preserve">(thermal)  </m:t>
          </m:r>
          <m:groupChr>
            <m:groupChrPr>
              <m:chr m:val="→"/>
              <m:vertJc m:val="bot"/>
              <m:ctrlPr>
                <w:rPr>
                  <w:rFonts w:ascii="Cambria Math" w:hAnsi="Cambria Math"/>
                  <w:i/>
                </w:rPr>
              </m:ctrlPr>
            </m:groupChrPr>
            <m:e>
              <m:r>
                <w:rPr>
                  <w:rFonts w:ascii="Cambria Math" w:hAnsi="Cambria Math"/>
                </w:rPr>
                <m:t>950 b</m:t>
              </m:r>
            </m:e>
          </m:groupChr>
          <m:r>
            <w:rPr>
              <w:rFonts w:ascii="Cambria Math" w:hAnsi="Cambria Math"/>
            </w:rPr>
            <m:t xml:space="preserve"> </m:t>
          </m:r>
          <m:r>
            <m:rPr>
              <m:nor/>
            </m:rPr>
            <w:rPr>
              <w:rFonts w:ascii="Cambria Math" w:hAnsi="Cambria Math"/>
            </w:rPr>
            <m:t xml:space="preserve"> </m:t>
          </m:r>
          <m:r>
            <w:rPr>
              <w:rFonts w:ascii="Cambria Math" w:hAnsi="Cambria Math"/>
            </w:rPr>
            <m:t xml:space="preserve"> </m:t>
          </m:r>
          <m:sPre>
            <m:sPrePr>
              <m:ctrlPr>
                <w:rPr>
                  <w:rFonts w:ascii="Cambria Math" w:hAnsi="Cambria Math"/>
                  <w:i/>
                </w:rPr>
              </m:ctrlPr>
            </m:sPrePr>
            <m:sub>
              <m:r>
                <w:rPr>
                  <w:rFonts w:ascii="Cambria Math" w:hAnsi="Cambria Math"/>
                </w:rPr>
                <m:t>2</m:t>
              </m:r>
            </m:sub>
            <m:sup>
              <m:r>
                <m:rPr>
                  <m:nor/>
                </m:rPr>
                <w:rPr>
                  <w:rFonts w:ascii="Cambria Math" w:hAnsi="Cambria Math"/>
                </w:rPr>
                <m:t>4</m:t>
              </m:r>
            </m:sup>
            <m:e>
              <m:r>
                <m:rPr>
                  <m:nor/>
                </m:rPr>
                <w:rPr>
                  <w:rFonts w:ascii="Cambria Math" w:hAnsi="Cambria Math"/>
                </w:rPr>
                <m:t>H</m:t>
              </m:r>
            </m:e>
          </m:sPre>
          <m:r>
            <m:rPr>
              <m:nor/>
            </m:rPr>
            <w:rPr>
              <w:rFonts w:ascii="Cambria Math" w:hAnsi="Cambria Math"/>
            </w:rPr>
            <m:t>e</m:t>
          </m:r>
          <m:r>
            <w:rPr>
              <w:rFonts w:ascii="Cambria Math" w:hAnsi="Cambria Math"/>
            </w:rPr>
            <m:t>+</m:t>
          </m:r>
          <m:sPre>
            <m:sPrePr>
              <m:ctrlPr>
                <w:rPr>
                  <w:rFonts w:ascii="Cambria Math" w:hAnsi="Cambria Math"/>
                  <w:i/>
                </w:rPr>
              </m:ctrlPr>
            </m:sPrePr>
            <m:sub>
              <m:r>
                <w:rPr>
                  <w:rFonts w:ascii="Cambria Math" w:hAnsi="Cambria Math"/>
                </w:rPr>
                <m:t>1</m:t>
              </m:r>
            </m:sub>
            <m:sup>
              <m:r>
                <m:rPr>
                  <m:nor/>
                </m:rPr>
                <w:rPr>
                  <w:rFonts w:ascii="Cambria Math" w:hAnsi="Cambria Math"/>
                </w:rPr>
                <m:t>3</m:t>
              </m:r>
            </m:sup>
            <m:e>
              <m:r>
                <m:rPr>
                  <m:nor/>
                </m:rPr>
                <w:rPr>
                  <w:rFonts w:ascii="Cambria Math" w:hAnsi="Cambria Math"/>
                </w:rPr>
                <m:t>H</m:t>
              </m:r>
            </m:e>
          </m:sPre>
        </m:oMath>
      </m:oMathPara>
    </w:p>
    <w:p w:rsidR="003261D2" w:rsidRDefault="003261D2" w:rsidP="003261D2">
      <w:pPr>
        <w:pStyle w:val="Caption"/>
        <w:keepNext/>
      </w:pPr>
      <w:proofErr w:type="gramStart"/>
      <w:r>
        <w:t xml:space="preserve">Equation </w:t>
      </w:r>
      <w:r w:rsidR="007511FA">
        <w:fldChar w:fldCharType="begin"/>
      </w:r>
      <w:r w:rsidR="00AE17F8">
        <w:instrText xml:space="preserve"> STYLEREF 1 \s </w:instrText>
      </w:r>
      <w:r w:rsidR="007511FA">
        <w:fldChar w:fldCharType="separate"/>
      </w:r>
      <w:r w:rsidR="00D5167B">
        <w:rPr>
          <w:noProof/>
        </w:rPr>
        <w:t>6</w:t>
      </w:r>
      <w:r w:rsidR="007511FA">
        <w:fldChar w:fldCharType="end"/>
      </w:r>
      <w:r w:rsidR="00220B7D">
        <w:t>.</w:t>
      </w:r>
      <w:proofErr w:type="gramEnd"/>
      <w:r w:rsidR="007511FA">
        <w:fldChar w:fldCharType="begin"/>
      </w:r>
      <w:r w:rsidR="00220B7D">
        <w:instrText xml:space="preserve"> SEQ Equation \* ARABIC \s 1 </w:instrText>
      </w:r>
      <w:r w:rsidR="007511FA">
        <w:fldChar w:fldCharType="separate"/>
      </w:r>
      <w:r w:rsidR="00D5167B">
        <w:rPr>
          <w:noProof/>
        </w:rPr>
        <w:t>5</w:t>
      </w:r>
      <w:r w:rsidR="007511FA">
        <w:fldChar w:fldCharType="end"/>
      </w:r>
    </w:p>
    <w:p w:rsidR="003261D2" w:rsidRPr="003261D2" w:rsidRDefault="003261D2" w:rsidP="003261D2"/>
    <w:p w:rsidR="003261D2" w:rsidRDefault="007511FA" w:rsidP="00FE5512">
      <w:pPr>
        <w:spacing w:line="240" w:lineRule="auto"/>
        <w:ind w:firstLine="0"/>
        <w:rPr>
          <w:rFonts w:ascii="Times New Roman" w:hAnsi="Times New Roman"/>
        </w:rPr>
      </w:pPr>
      <m:oMathPara>
        <m:oMath>
          <m:sPre>
            <m:sPrePr>
              <m:ctrlPr>
                <w:rPr>
                  <w:rFonts w:ascii="Cambria Math" w:hAnsi="Cambria Math"/>
                  <w:i/>
                </w:rPr>
              </m:ctrlPr>
            </m:sPrePr>
            <m:sub>
              <m:r>
                <w:rPr>
                  <w:rFonts w:ascii="Cambria Math" w:hAnsi="Cambria Math"/>
                </w:rPr>
                <m:t>1</m:t>
              </m:r>
            </m:sub>
            <m:sup>
              <m:r>
                <m:rPr>
                  <m:nor/>
                </m:rPr>
                <w:rPr>
                  <w:rFonts w:ascii="Cambria Math" w:hAnsi="Cambria Math"/>
                </w:rPr>
                <m:t>3</m:t>
              </m:r>
            </m:sup>
            <m:e>
              <m:r>
                <m:rPr>
                  <m:nor/>
                </m:rPr>
                <w:rPr>
                  <w:rFonts w:ascii="Cambria Math" w:hAnsi="Cambria Math"/>
                </w:rPr>
                <m:t>H</m:t>
              </m:r>
            </m:e>
          </m:sPre>
          <m:r>
            <m:rPr>
              <m:nor/>
            </m:rPr>
            <w:rPr>
              <w:rFonts w:ascii="Cambria Math" w:hAnsi="Cambria Math"/>
            </w:rPr>
            <m:t xml:space="preserve">  </m:t>
          </m:r>
          <m:groupChr>
            <m:groupChrPr>
              <m:chr m:val="→"/>
              <m:vertJc m:val="bot"/>
              <m:ctrlPr>
                <w:rPr>
                  <w:rFonts w:ascii="Cambria Math" w:hAnsi="Cambria Math"/>
                  <w:i/>
                </w:rPr>
              </m:ctrlPr>
            </m:groupChrPr>
            <m:e>
              <m:r>
                <w:rPr>
                  <w:rFonts w:ascii="Cambria Math" w:hAnsi="Cambria Math"/>
                </w:rPr>
                <m:t>12.33 yr</m:t>
              </m:r>
            </m:e>
          </m:groupChr>
          <m:r>
            <w:rPr>
              <w:rFonts w:ascii="Cambria Math" w:hAnsi="Cambria Math"/>
            </w:rPr>
            <m:t xml:space="preserve"> </m:t>
          </m:r>
          <m:sPre>
            <m:sPrePr>
              <m:ctrlPr>
                <w:rPr>
                  <w:rFonts w:ascii="Cambria Math" w:hAnsi="Cambria Math"/>
                  <w:i/>
                </w:rPr>
              </m:ctrlPr>
            </m:sPrePr>
            <m:sub>
              <m:r>
                <w:rPr>
                  <w:rFonts w:ascii="Cambria Math" w:hAnsi="Cambria Math"/>
                </w:rPr>
                <m:t>2</m:t>
              </m:r>
            </m:sub>
            <m:sup>
              <m:r>
                <m:rPr>
                  <m:nor/>
                </m:rPr>
                <w:rPr>
                  <w:rFonts w:ascii="Cambria Math" w:hAnsi="Cambria Math"/>
                </w:rPr>
                <m:t>3</m:t>
              </m:r>
            </m:sup>
            <m:e>
              <m:r>
                <m:rPr>
                  <m:nor/>
                </m:rPr>
                <w:rPr>
                  <w:rFonts w:ascii="Cambria Math" w:hAnsi="Cambria Math"/>
                </w:rPr>
                <m:t>H</m:t>
              </m:r>
            </m:e>
          </m:sPre>
          <m:r>
            <m:rPr>
              <m:nor/>
            </m:rPr>
            <w:rPr>
              <w:rFonts w:ascii="Cambria Math" w:hAnsi="Cambria Math"/>
            </w:rPr>
            <m:t>e</m:t>
          </m:r>
          <m:r>
            <w:rPr>
              <w:rFonts w:ascii="Cambria Math" w:hAnsi="Cambria Math"/>
            </w:rPr>
            <m:t>+</m:t>
          </m:r>
          <m:sSup>
            <m:sSupPr>
              <m:ctrlPr>
                <w:rPr>
                  <w:rFonts w:ascii="Cambria Math" w:hAnsi="Cambria Math"/>
                  <w:i/>
                </w:rPr>
              </m:ctrlPr>
            </m:sSupPr>
            <m:e>
              <m:r>
                <w:rPr>
                  <w:rFonts w:ascii="Cambria Math" w:hAnsi="Cambria Math"/>
                </w:rPr>
                <m:t>β</m:t>
              </m:r>
            </m:e>
            <m:sup>
              <m:r>
                <w:rPr>
                  <w:rFonts w:ascii="Cambria Math" w:hAnsi="Cambria Math"/>
                </w:rPr>
                <m:t>-</m:t>
              </m:r>
            </m:sup>
          </m:sSup>
        </m:oMath>
      </m:oMathPara>
    </w:p>
    <w:p w:rsidR="003261D2" w:rsidRDefault="003261D2" w:rsidP="003261D2">
      <w:pPr>
        <w:pStyle w:val="Caption"/>
      </w:pPr>
      <w:proofErr w:type="gramStart"/>
      <w:r>
        <w:t xml:space="preserve">Equation </w:t>
      </w:r>
      <w:r w:rsidR="007511FA">
        <w:fldChar w:fldCharType="begin"/>
      </w:r>
      <w:r w:rsidR="00AE17F8">
        <w:instrText xml:space="preserve"> STYLEREF 1 \s </w:instrText>
      </w:r>
      <w:r w:rsidR="007511FA">
        <w:fldChar w:fldCharType="separate"/>
      </w:r>
      <w:r w:rsidR="00D5167B">
        <w:rPr>
          <w:noProof/>
        </w:rPr>
        <w:t>6</w:t>
      </w:r>
      <w:r w:rsidR="007511FA">
        <w:fldChar w:fldCharType="end"/>
      </w:r>
      <w:r w:rsidR="00220B7D">
        <w:t>.</w:t>
      </w:r>
      <w:proofErr w:type="gramEnd"/>
      <w:r w:rsidR="007511FA">
        <w:fldChar w:fldCharType="begin"/>
      </w:r>
      <w:r w:rsidR="00220B7D">
        <w:instrText xml:space="preserve"> SEQ Equation \* ARABIC \s 1 </w:instrText>
      </w:r>
      <w:r w:rsidR="007511FA">
        <w:fldChar w:fldCharType="separate"/>
      </w:r>
      <w:r w:rsidR="00D5167B">
        <w:rPr>
          <w:noProof/>
        </w:rPr>
        <w:t>6</w:t>
      </w:r>
      <w:r w:rsidR="007511FA">
        <w:fldChar w:fldCharType="end"/>
      </w:r>
    </w:p>
    <w:p w:rsidR="003261D2" w:rsidRPr="003261D2" w:rsidRDefault="003261D2" w:rsidP="003261D2"/>
    <w:p w:rsidR="003261D2" w:rsidRDefault="007511FA" w:rsidP="00FE5512">
      <w:pPr>
        <w:spacing w:line="240" w:lineRule="auto"/>
        <w:ind w:firstLine="0"/>
        <w:rPr>
          <w:rFonts w:ascii="Times New Roman" w:hAnsi="Times New Roman"/>
        </w:rPr>
      </w:pPr>
      <m:oMathPara>
        <m:oMath>
          <m:sPre>
            <m:sPrePr>
              <m:ctrlPr>
                <w:rPr>
                  <w:rFonts w:ascii="Cambria Math" w:hAnsi="Cambria Math"/>
                  <w:i/>
                </w:rPr>
              </m:ctrlPr>
            </m:sPrePr>
            <m:sub>
              <m:r>
                <w:rPr>
                  <w:rFonts w:ascii="Cambria Math" w:hAnsi="Cambria Math"/>
                </w:rPr>
                <m:t>2</m:t>
              </m:r>
            </m:sub>
            <m:sup>
              <m:r>
                <m:rPr>
                  <m:nor/>
                </m:rPr>
                <w:rPr>
                  <w:rFonts w:ascii="Cambria Math" w:hAnsi="Cambria Math"/>
                </w:rPr>
                <m:t>3</m:t>
              </m:r>
            </m:sup>
            <m:e>
              <m:r>
                <m:rPr>
                  <m:nor/>
                </m:rPr>
                <w:rPr>
                  <w:rFonts w:ascii="Cambria Math" w:hAnsi="Cambria Math"/>
                </w:rPr>
                <m:t xml:space="preserve">He + </m:t>
              </m:r>
              <m:sPre>
                <m:sPrePr>
                  <m:ctrlPr>
                    <w:rPr>
                      <w:rFonts w:ascii="Cambria Math" w:hAnsi="Cambria Math"/>
                    </w:rPr>
                  </m:ctrlPr>
                </m:sPrePr>
                <m:sub>
                  <m:r>
                    <m:rPr>
                      <m:sty m:val="p"/>
                    </m:rPr>
                    <w:rPr>
                      <w:rFonts w:ascii="Cambria Math" w:hAnsi="Cambria Math"/>
                    </w:rPr>
                    <m:t>0</m:t>
                  </m:r>
                </m:sub>
                <m:sup>
                  <m:r>
                    <m:rPr>
                      <m:sty m:val="p"/>
                    </m:rPr>
                    <w:rPr>
                      <w:rFonts w:ascii="Cambria Math" w:hAnsi="Cambria Math"/>
                    </w:rPr>
                    <m:t>1</m:t>
                  </m:r>
                </m:sup>
                <m:e>
                  <m:r>
                    <w:rPr>
                      <w:rFonts w:ascii="Cambria Math" w:hAnsi="Cambria Math"/>
                    </w:rPr>
                    <m:t>n</m:t>
                  </m:r>
                </m:e>
              </m:sPre>
            </m:e>
          </m:sPre>
          <m:r>
            <m:rPr>
              <m:nor/>
            </m:rPr>
            <w:rPr>
              <w:rFonts w:ascii="Cambria Math" w:hAnsi="Cambria Math"/>
            </w:rPr>
            <m:t xml:space="preserve">(thermal) </m:t>
          </m:r>
          <m:groupChr>
            <m:groupChrPr>
              <m:chr m:val="→"/>
              <m:vertJc m:val="bot"/>
              <m:ctrlPr>
                <w:rPr>
                  <w:rFonts w:ascii="Cambria Math" w:hAnsi="Cambria Math"/>
                  <w:i/>
                </w:rPr>
              </m:ctrlPr>
            </m:groupChrPr>
            <m:e>
              <m:r>
                <w:rPr>
                  <w:rFonts w:ascii="Cambria Math" w:hAnsi="Cambria Math"/>
                </w:rPr>
                <m:t>5327 b</m:t>
              </m:r>
            </m:e>
          </m:groupChr>
          <m:r>
            <w:rPr>
              <w:rFonts w:ascii="Cambria Math" w:hAnsi="Cambria Math"/>
            </w:rPr>
            <m:t xml:space="preserve"> </m:t>
          </m:r>
          <m:sPre>
            <m:sPrePr>
              <m:ctrlPr>
                <w:rPr>
                  <w:rFonts w:ascii="Cambria Math" w:hAnsi="Cambria Math"/>
                  <w:i/>
                </w:rPr>
              </m:ctrlPr>
            </m:sPrePr>
            <m:sub>
              <m:r>
                <w:rPr>
                  <w:rFonts w:ascii="Cambria Math" w:hAnsi="Cambria Math"/>
                </w:rPr>
                <m:t>1</m:t>
              </m:r>
            </m:sub>
            <m:sup>
              <m:r>
                <m:rPr>
                  <m:nor/>
                </m:rPr>
                <w:rPr>
                  <w:rFonts w:ascii="Cambria Math" w:hAnsi="Cambria Math"/>
                </w:rPr>
                <m:t>3</m:t>
              </m:r>
            </m:sup>
            <m:e>
              <m:r>
                <m:rPr>
                  <m:nor/>
                </m:rPr>
                <w:rPr>
                  <w:rFonts w:ascii="Cambria Math" w:hAnsi="Cambria Math"/>
                </w:rPr>
                <m:t>H</m:t>
              </m:r>
            </m:e>
          </m:sPre>
          <m:r>
            <w:rPr>
              <w:rFonts w:ascii="Cambria Math" w:hAnsi="Cambria Math"/>
            </w:rPr>
            <m:t>+</m:t>
          </m:r>
          <m:sPre>
            <m:sPrePr>
              <m:ctrlPr>
                <w:rPr>
                  <w:rFonts w:ascii="Cambria Math" w:hAnsi="Cambria Math"/>
                  <w:i/>
                </w:rPr>
              </m:ctrlPr>
            </m:sPrePr>
            <m:sub>
              <m:r>
                <w:rPr>
                  <w:rFonts w:ascii="Cambria Math" w:hAnsi="Cambria Math"/>
                </w:rPr>
                <m:t>1</m:t>
              </m:r>
            </m:sub>
            <m:sup>
              <m:r>
                <m:rPr>
                  <m:nor/>
                </m:rPr>
                <w:rPr>
                  <w:rFonts w:ascii="Cambria Math" w:hAnsi="Cambria Math"/>
                </w:rPr>
                <m:t>1</m:t>
              </m:r>
            </m:sup>
            <m:e>
              <m:r>
                <m:rPr>
                  <m:nor/>
                </m:rPr>
                <w:rPr>
                  <w:rFonts w:ascii="Cambria Math" w:hAnsi="Cambria Math"/>
                </w:rPr>
                <m:t>H</m:t>
              </m:r>
            </m:e>
          </m:sPre>
        </m:oMath>
      </m:oMathPara>
    </w:p>
    <w:p w:rsidR="00B32466" w:rsidRDefault="003261D2" w:rsidP="003261D2">
      <w:pPr>
        <w:pStyle w:val="Caption"/>
      </w:pPr>
      <w:bookmarkStart w:id="224" w:name="_Ref285536392"/>
      <w:proofErr w:type="gramStart"/>
      <w:r>
        <w:t xml:space="preserve">Equation </w:t>
      </w:r>
      <w:r w:rsidR="007511FA">
        <w:fldChar w:fldCharType="begin"/>
      </w:r>
      <w:r w:rsidR="00AE17F8">
        <w:instrText xml:space="preserve"> STYLEREF 1 \s </w:instrText>
      </w:r>
      <w:r w:rsidR="007511FA">
        <w:fldChar w:fldCharType="separate"/>
      </w:r>
      <w:r w:rsidR="00D5167B">
        <w:rPr>
          <w:noProof/>
        </w:rPr>
        <w:t>6</w:t>
      </w:r>
      <w:r w:rsidR="007511FA">
        <w:fldChar w:fldCharType="end"/>
      </w:r>
      <w:r w:rsidR="00220B7D">
        <w:t>.</w:t>
      </w:r>
      <w:proofErr w:type="gramEnd"/>
      <w:r w:rsidR="007511FA">
        <w:fldChar w:fldCharType="begin"/>
      </w:r>
      <w:r w:rsidR="00220B7D">
        <w:instrText xml:space="preserve"> SEQ Equation \* ARABIC \s 1 </w:instrText>
      </w:r>
      <w:r w:rsidR="007511FA">
        <w:fldChar w:fldCharType="separate"/>
      </w:r>
      <w:r w:rsidR="00D5167B">
        <w:rPr>
          <w:noProof/>
        </w:rPr>
        <w:t>7</w:t>
      </w:r>
      <w:r w:rsidR="007511FA">
        <w:fldChar w:fldCharType="end"/>
      </w:r>
      <w:bookmarkEnd w:id="224"/>
    </w:p>
    <w:p w:rsidR="003261D2" w:rsidRPr="003261D2" w:rsidRDefault="003261D2" w:rsidP="003261D2"/>
    <w:p w:rsidR="00E01527" w:rsidRDefault="00B32466" w:rsidP="00A52A92">
      <w:r>
        <w:t xml:space="preserve">Helium-6 </w:t>
      </w:r>
      <w:r w:rsidRPr="00671F1E">
        <w:t xml:space="preserve">is the result of the </w:t>
      </w:r>
      <w:proofErr w:type="gramStart"/>
      <w:r w:rsidRPr="00671F1E">
        <w:rPr>
          <w:vertAlign w:val="superscript"/>
        </w:rPr>
        <w:t>9</w:t>
      </w:r>
      <w:r w:rsidRPr="00671F1E">
        <w:t>Be(</w:t>
      </w:r>
      <w:proofErr w:type="spellStart"/>
      <w:proofErr w:type="gramEnd"/>
      <w:r w:rsidRPr="00671F1E">
        <w:t>n,α</w:t>
      </w:r>
      <w:proofErr w:type="spellEnd"/>
      <w:r w:rsidRPr="00671F1E">
        <w:t xml:space="preserve">) reaction and decays quickly into </w:t>
      </w:r>
      <w:r w:rsidRPr="00671F1E">
        <w:rPr>
          <w:vertAlign w:val="superscript"/>
        </w:rPr>
        <w:t>6</w:t>
      </w:r>
      <w:r w:rsidRPr="00671F1E">
        <w:t xml:space="preserve">Li.  The relatively large thermal cross section of </w:t>
      </w:r>
      <w:r w:rsidRPr="00671F1E">
        <w:rPr>
          <w:vertAlign w:val="superscript"/>
        </w:rPr>
        <w:t>6</w:t>
      </w:r>
      <w:r w:rsidRPr="00671F1E">
        <w:t xml:space="preserve">Li, along with the abundance of thermal neutrons in the beryllium reflector lead to a </w:t>
      </w:r>
      <w:proofErr w:type="gramStart"/>
      <w:r w:rsidRPr="00671F1E">
        <w:rPr>
          <w:vertAlign w:val="superscript"/>
        </w:rPr>
        <w:t>6</w:t>
      </w:r>
      <w:r w:rsidRPr="00671F1E">
        <w:t>Li(</w:t>
      </w:r>
      <w:proofErr w:type="spellStart"/>
      <w:proofErr w:type="gramEnd"/>
      <w:r w:rsidRPr="00671F1E">
        <w:t>n,α</w:t>
      </w:r>
      <w:proofErr w:type="spellEnd"/>
      <w:r w:rsidRPr="00671F1E">
        <w:t xml:space="preserve">) reaction, which produces </w:t>
      </w:r>
      <w:r w:rsidRPr="00671F1E">
        <w:rPr>
          <w:vertAlign w:val="superscript"/>
        </w:rPr>
        <w:t>3</w:t>
      </w:r>
      <w:r w:rsidRPr="00671F1E">
        <w:t xml:space="preserve">H.  During irradiation, </w:t>
      </w:r>
      <w:r w:rsidRPr="00671F1E">
        <w:rPr>
          <w:vertAlign w:val="superscript"/>
        </w:rPr>
        <w:t>3</w:t>
      </w:r>
      <w:r w:rsidRPr="00671F1E">
        <w:t xml:space="preserve">He is produced by the decay of </w:t>
      </w:r>
      <w:r w:rsidRPr="00671F1E">
        <w:rPr>
          <w:vertAlign w:val="superscript"/>
        </w:rPr>
        <w:t>3</w:t>
      </w:r>
      <w:r w:rsidRPr="00671F1E">
        <w:t xml:space="preserve">H and is depleted according to the </w:t>
      </w:r>
      <w:proofErr w:type="gramStart"/>
      <w:r w:rsidRPr="00671F1E">
        <w:rPr>
          <w:vertAlign w:val="superscript"/>
        </w:rPr>
        <w:t>3</w:t>
      </w:r>
      <w:r w:rsidRPr="00671F1E">
        <w:t>He(</w:t>
      </w:r>
      <w:proofErr w:type="spellStart"/>
      <w:proofErr w:type="gramEnd"/>
      <w:r w:rsidRPr="00671F1E">
        <w:t>n,p</w:t>
      </w:r>
      <w:proofErr w:type="spellEnd"/>
      <w:r w:rsidRPr="00671F1E">
        <w:t xml:space="preserve">) nuclear reaction.  However, in a no flux environment (i.e. an outage) the </w:t>
      </w:r>
      <w:r w:rsidRPr="00671F1E">
        <w:rPr>
          <w:vertAlign w:val="superscript"/>
        </w:rPr>
        <w:t>3</w:t>
      </w:r>
      <w:r w:rsidRPr="00671F1E">
        <w:t>He concentration increases since there is no destruction mechanism.  The transmutation path leading to neutron poisons in the beryllium reflector is shown in</w:t>
      </w:r>
      <w:r w:rsidR="003261D2">
        <w:t xml:space="preserve"> </w:t>
      </w:r>
      <w:r w:rsidR="007511FA">
        <w:fldChar w:fldCharType="begin"/>
      </w:r>
      <w:r w:rsidR="003261D2">
        <w:instrText xml:space="preserve"> REF _Ref285536461 \h </w:instrText>
      </w:r>
      <w:r w:rsidR="007511FA">
        <w:fldChar w:fldCharType="separate"/>
      </w:r>
      <w:r w:rsidR="00D5167B">
        <w:t xml:space="preserve">Figure </w:t>
      </w:r>
      <w:r w:rsidR="00D5167B">
        <w:rPr>
          <w:noProof/>
        </w:rPr>
        <w:t>6</w:t>
      </w:r>
      <w:r w:rsidR="00D5167B">
        <w:t>.</w:t>
      </w:r>
      <w:r w:rsidR="00D5167B">
        <w:rPr>
          <w:noProof/>
        </w:rPr>
        <w:t>1</w:t>
      </w:r>
      <w:r w:rsidR="007511FA">
        <w:fldChar w:fldCharType="end"/>
      </w:r>
      <w:r w:rsidRPr="00671F1E">
        <w:t>.</w:t>
      </w:r>
    </w:p>
    <w:p w:rsidR="00FE5512" w:rsidRDefault="00FE5512" w:rsidP="00A52A92"/>
    <w:p w:rsidR="00E01527" w:rsidRPr="0024454A" w:rsidRDefault="00E01527" w:rsidP="00FE5512">
      <w:pPr>
        <w:spacing w:before="240" w:after="0" w:line="240" w:lineRule="auto"/>
        <w:ind w:firstLine="0"/>
        <w:jc w:val="center"/>
        <w:rPr>
          <w:b/>
        </w:rPr>
      </w:pPr>
      <w:r w:rsidRPr="0024454A">
        <w:rPr>
          <w:b/>
          <w:noProof/>
        </w:rPr>
        <w:drawing>
          <wp:inline distT="0" distB="0" distL="0" distR="0">
            <wp:extent cx="5104708" cy="3241964"/>
            <wp:effectExtent l="19050" t="0" r="692" b="0"/>
            <wp:docPr id="67" name="Object 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924800" cy="5882640"/>
                      <a:chOff x="533400" y="533400"/>
                      <a:chExt cx="7924800" cy="5882640"/>
                    </a:xfrm>
                  </a:grpSpPr>
                  <a:grpSp>
                    <a:nvGrpSpPr>
                      <a:cNvPr id="75" name="Group 74"/>
                      <a:cNvGrpSpPr/>
                    </a:nvGrpSpPr>
                    <a:grpSpPr>
                      <a:xfrm>
                        <a:off x="533400" y="533400"/>
                        <a:ext cx="7924800" cy="5882640"/>
                        <a:chOff x="758952" y="822960"/>
                        <a:chExt cx="7924800" cy="5882640"/>
                      </a:xfrm>
                    </a:grpSpPr>
                    <a:grpSp>
                      <a:nvGrpSpPr>
                        <a:cNvPr id="3" name="Group 73"/>
                        <a:cNvGrpSpPr/>
                      </a:nvGrpSpPr>
                      <a:grpSpPr>
                        <a:xfrm>
                          <a:off x="1600200" y="4532376"/>
                          <a:ext cx="2743200" cy="804942"/>
                          <a:chOff x="1600200" y="4532376"/>
                          <a:chExt cx="2743200" cy="804942"/>
                        </a:xfrm>
                      </a:grpSpPr>
                      <a:sp>
                        <a:nvSpPr>
                          <a:cNvPr id="65" name="Donut 64"/>
                          <a:cNvSpPr/>
                        </a:nvSpPr>
                        <a:spPr>
                          <a:xfrm>
                            <a:off x="1600200" y="4648200"/>
                            <a:ext cx="2743200" cy="609600"/>
                          </a:xfrm>
                          <a:prstGeom prst="donut">
                            <a:avLst/>
                          </a:prstGeom>
                          <a:solidFill>
                            <a:srgbClr val="0000FF"/>
                          </a:solidFill>
                          <a:ln w="3175">
                            <a:solidFill>
                              <a:srgbClr val="0000FF"/>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1600">
                                <a:solidFill>
                                  <a:schemeClr val="tx1"/>
                                </a:solidFill>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66" name="Left Arrow 65"/>
                          <a:cNvSpPr/>
                        </a:nvSpPr>
                        <a:spPr>
                          <a:xfrm>
                            <a:off x="2514600" y="4532376"/>
                            <a:ext cx="304800" cy="344424"/>
                          </a:xfrm>
                          <a:prstGeom prst="leftArrow">
                            <a:avLst>
                              <a:gd name="adj1" fmla="val 50000"/>
                              <a:gd name="adj2" fmla="val 46000"/>
                            </a:avLst>
                          </a:prstGeom>
                          <a:solidFill>
                            <a:srgbClr val="0000FF"/>
                          </a:solidFill>
                          <a:ln>
                            <a:solidFill>
                              <a:srgbClr val="FF0000"/>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1600">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67" name="Left Arrow 66"/>
                          <a:cNvSpPr/>
                        </a:nvSpPr>
                        <a:spPr>
                          <a:xfrm rot="10579488">
                            <a:off x="3287326" y="4992894"/>
                            <a:ext cx="304800" cy="344424"/>
                          </a:xfrm>
                          <a:prstGeom prst="leftArrow">
                            <a:avLst>
                              <a:gd name="adj1" fmla="val 50000"/>
                              <a:gd name="adj2" fmla="val 46000"/>
                            </a:avLst>
                          </a:prstGeom>
                          <a:solidFill>
                            <a:srgbClr val="0000FF"/>
                          </a:solidFill>
                          <a:ln>
                            <a:solidFill>
                              <a:srgbClr val="FF0000"/>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1600">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68" name="Left Arrow 67"/>
                          <a:cNvSpPr/>
                        </a:nvSpPr>
                        <a:spPr>
                          <a:xfrm rot="11283863">
                            <a:off x="2077269" y="4969501"/>
                            <a:ext cx="304800" cy="344424"/>
                          </a:xfrm>
                          <a:prstGeom prst="leftArrow">
                            <a:avLst>
                              <a:gd name="adj1" fmla="val 50000"/>
                              <a:gd name="adj2" fmla="val 46000"/>
                            </a:avLst>
                          </a:prstGeom>
                          <a:solidFill>
                            <a:srgbClr val="0000FF"/>
                          </a:solidFill>
                          <a:ln>
                            <a:solidFill>
                              <a:srgbClr val="FF0000"/>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1600">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69" name="Left Arrow 68"/>
                          <a:cNvSpPr/>
                        </a:nvSpPr>
                        <a:spPr>
                          <a:xfrm rot="397102">
                            <a:off x="3581400" y="4572000"/>
                            <a:ext cx="304800" cy="344424"/>
                          </a:xfrm>
                          <a:prstGeom prst="leftArrow">
                            <a:avLst>
                              <a:gd name="adj1" fmla="val 50000"/>
                              <a:gd name="adj2" fmla="val 46000"/>
                            </a:avLst>
                          </a:prstGeom>
                          <a:solidFill>
                            <a:srgbClr val="0000FF"/>
                          </a:solidFill>
                          <a:ln>
                            <a:solidFill>
                              <a:srgbClr val="FF0000"/>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1600">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grpSp>
                    <a:grpSp>
                      <a:nvGrpSpPr>
                        <a:cNvPr id="4" name="Group 71"/>
                        <a:cNvGrpSpPr/>
                      </a:nvGrpSpPr>
                      <a:grpSpPr>
                        <a:xfrm>
                          <a:off x="758952" y="822960"/>
                          <a:ext cx="7924800" cy="5882640"/>
                          <a:chOff x="758952" y="822960"/>
                          <a:chExt cx="7924800" cy="5882640"/>
                        </a:xfrm>
                      </a:grpSpPr>
                      <a:grpSp>
                        <a:nvGrpSpPr>
                          <a:cNvPr id="5" name="Group 3"/>
                          <a:cNvGrpSpPr/>
                        </a:nvGrpSpPr>
                        <a:grpSpPr>
                          <a:xfrm>
                            <a:off x="758952" y="822960"/>
                            <a:ext cx="7924800" cy="5882640"/>
                            <a:chOff x="758952" y="822960"/>
                            <a:chExt cx="7924800" cy="5882640"/>
                          </a:xfrm>
                        </a:grpSpPr>
                        <a:sp>
                          <a:nvSpPr>
                            <a:cNvPr id="2" name="Flowchart: Alternate Process 4"/>
                            <a:cNvSpPr/>
                          </a:nvSpPr>
                          <a:spPr>
                            <a:xfrm>
                              <a:off x="758952" y="822960"/>
                              <a:ext cx="762000" cy="457200"/>
                            </a:xfrm>
                            <a:prstGeom prst="flowChartAlternateProcess">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sz="1600" baseline="30000" dirty="0" smtClean="0">
                                    <a:latin typeface="Times New Roman" pitchFamily="18" charset="0"/>
                                    <a:cs typeface="Times New Roman" pitchFamily="18" charset="0"/>
                                  </a:rPr>
                                  <a:t>9</a:t>
                                </a:r>
                                <a:r>
                                  <a:rPr lang="en-US" sz="1600" dirty="0" smtClean="0">
                                    <a:latin typeface="Times New Roman" pitchFamily="18" charset="0"/>
                                    <a:cs typeface="Times New Roman" pitchFamily="18" charset="0"/>
                                  </a:rPr>
                                  <a:t>Be</a:t>
                                </a:r>
                                <a:r>
                                  <a:rPr lang="en-US" sz="1600" baseline="-25000" dirty="0" smtClean="0">
                                    <a:latin typeface="Times New Roman" pitchFamily="18" charset="0"/>
                                    <a:cs typeface="Times New Roman" pitchFamily="18" charset="0"/>
                                  </a:rPr>
                                  <a:t>4 </a:t>
                                </a:r>
                                <a:endParaRPr lang="en-US" sz="1600" baseline="-25000" dirty="0">
                                  <a:latin typeface="Times New Roman" pitchFamily="18" charset="0"/>
                                  <a:cs typeface="Times New Roman" pitchFamily="18" charset="0"/>
                                </a:endParaRPr>
                              </a:p>
                            </a:txBody>
                            <a:useSpRect/>
                          </a:txSp>
                          <a:style>
                            <a:lnRef idx="1">
                              <a:schemeClr val="accent1"/>
                            </a:lnRef>
                            <a:fillRef idx="2">
                              <a:schemeClr val="accent1"/>
                            </a:fillRef>
                            <a:effectRef idx="1">
                              <a:schemeClr val="accent1"/>
                            </a:effectRef>
                            <a:fontRef idx="minor">
                              <a:schemeClr val="dk1"/>
                            </a:fontRef>
                          </a:style>
                        </a:sp>
                        <a:sp>
                          <a:nvSpPr>
                            <a:cNvPr id="6" name="Flowchart: Alternate Process 5"/>
                            <a:cNvSpPr/>
                          </a:nvSpPr>
                          <a:spPr>
                            <a:xfrm>
                              <a:off x="3425952" y="822960"/>
                              <a:ext cx="762000" cy="457200"/>
                            </a:xfrm>
                            <a:prstGeom prst="flowChartAlternateProcess">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sz="1600" baseline="30000" dirty="0" smtClean="0">
                                    <a:latin typeface="Times New Roman" pitchFamily="18" charset="0"/>
                                    <a:cs typeface="Times New Roman" pitchFamily="18" charset="0"/>
                                  </a:rPr>
                                  <a:t>10</a:t>
                                </a:r>
                                <a:r>
                                  <a:rPr lang="en-US" sz="1600" dirty="0" smtClean="0">
                                    <a:latin typeface="Times New Roman" pitchFamily="18" charset="0"/>
                                    <a:cs typeface="Times New Roman" pitchFamily="18" charset="0"/>
                                  </a:rPr>
                                  <a:t>Be</a:t>
                                </a:r>
                                <a:r>
                                  <a:rPr lang="en-US" sz="1600" baseline="-25000" dirty="0" smtClean="0">
                                    <a:latin typeface="Times New Roman" pitchFamily="18" charset="0"/>
                                    <a:cs typeface="Times New Roman" pitchFamily="18" charset="0"/>
                                  </a:rPr>
                                  <a:t>4</a:t>
                                </a:r>
                                <a:r>
                                  <a:rPr lang="en-US" sz="1600" baseline="30000" dirty="0" smtClean="0">
                                    <a:latin typeface="Times New Roman" pitchFamily="18" charset="0"/>
                                    <a:cs typeface="Times New Roman" pitchFamily="18" charset="0"/>
                                  </a:rPr>
                                  <a:t>*</a:t>
                                </a:r>
                                <a:endParaRPr lang="en-US" sz="1600" baseline="30000" dirty="0">
                                  <a:latin typeface="Times New Roman" pitchFamily="18" charset="0"/>
                                  <a:cs typeface="Times New Roman" pitchFamily="18" charset="0"/>
                                </a:endParaRPr>
                              </a:p>
                            </a:txBody>
                            <a:useSpRect/>
                          </a:txSp>
                          <a:style>
                            <a:lnRef idx="1">
                              <a:schemeClr val="accent1"/>
                            </a:lnRef>
                            <a:fillRef idx="2">
                              <a:schemeClr val="accent1"/>
                            </a:fillRef>
                            <a:effectRef idx="1">
                              <a:schemeClr val="accent1"/>
                            </a:effectRef>
                            <a:fontRef idx="minor">
                              <a:schemeClr val="dk1"/>
                            </a:fontRef>
                          </a:style>
                        </a:sp>
                        <a:sp>
                          <a:nvSpPr>
                            <a:cNvPr id="7" name="Flowchart: Alternate Process 6"/>
                            <a:cNvSpPr/>
                          </a:nvSpPr>
                          <a:spPr>
                            <a:xfrm>
                              <a:off x="4797552" y="822960"/>
                              <a:ext cx="762000" cy="457200"/>
                            </a:xfrm>
                            <a:prstGeom prst="flowChartAlternateProcess">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sz="1600" baseline="30000" dirty="0" smtClean="0">
                                    <a:latin typeface="Times New Roman" pitchFamily="18" charset="0"/>
                                    <a:cs typeface="Times New Roman" pitchFamily="18" charset="0"/>
                                  </a:rPr>
                                  <a:t>4</a:t>
                                </a:r>
                                <a:r>
                                  <a:rPr lang="en-US" sz="1600" dirty="0" smtClean="0">
                                    <a:latin typeface="Times New Roman" pitchFamily="18" charset="0"/>
                                    <a:cs typeface="Times New Roman" pitchFamily="18" charset="0"/>
                                  </a:rPr>
                                  <a:t>He</a:t>
                                </a:r>
                                <a:r>
                                  <a:rPr lang="en-US" sz="1600" baseline="-25000" dirty="0" smtClean="0">
                                    <a:latin typeface="Times New Roman" pitchFamily="18" charset="0"/>
                                    <a:cs typeface="Times New Roman" pitchFamily="18" charset="0"/>
                                  </a:rPr>
                                  <a:t>2</a:t>
                                </a:r>
                                <a:endParaRPr lang="en-US" sz="1600" baseline="-25000" dirty="0">
                                  <a:latin typeface="Times New Roman" pitchFamily="18" charset="0"/>
                                  <a:cs typeface="Times New Roman" pitchFamily="18" charset="0"/>
                                </a:endParaRPr>
                              </a:p>
                            </a:txBody>
                            <a:useSpRect/>
                          </a:txSp>
                          <a:style>
                            <a:lnRef idx="1">
                              <a:schemeClr val="accent2"/>
                            </a:lnRef>
                            <a:fillRef idx="2">
                              <a:schemeClr val="accent2"/>
                            </a:fillRef>
                            <a:effectRef idx="1">
                              <a:schemeClr val="accent2"/>
                            </a:effectRef>
                            <a:fontRef idx="minor">
                              <a:schemeClr val="dk1"/>
                            </a:fontRef>
                          </a:style>
                        </a:sp>
                        <a:sp>
                          <a:nvSpPr>
                            <a:cNvPr id="8" name="Flowchart: Alternate Process 7"/>
                            <a:cNvSpPr/>
                          </a:nvSpPr>
                          <a:spPr>
                            <a:xfrm>
                              <a:off x="2130552" y="822960"/>
                              <a:ext cx="685800" cy="457200"/>
                            </a:xfrm>
                            <a:prstGeom prst="flowChartAlternateProcess">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sz="1600" dirty="0" smtClean="0">
                                    <a:latin typeface="Times New Roman" pitchFamily="18" charset="0"/>
                                    <a:cs typeface="Times New Roman" pitchFamily="18" charset="0"/>
                                  </a:rPr>
                                  <a:t>n</a:t>
                                </a:r>
                                <a:r>
                                  <a:rPr lang="en-US" sz="1600" baseline="-25000" dirty="0" smtClean="0">
                                    <a:latin typeface="Times New Roman" pitchFamily="18" charset="0"/>
                                    <a:cs typeface="Times New Roman" pitchFamily="18" charset="0"/>
                                  </a:rPr>
                                  <a:t>fast</a:t>
                                </a:r>
                                <a:endParaRPr lang="en-US" sz="1600" dirty="0">
                                  <a:latin typeface="Times New Roman" pitchFamily="18" charset="0"/>
                                  <a:cs typeface="Times New Roman" pitchFamily="18" charset="0"/>
                                </a:endParaRPr>
                              </a:p>
                            </a:txBody>
                            <a:useSpRect/>
                          </a:txSp>
                          <a:style>
                            <a:lnRef idx="1">
                              <a:schemeClr val="accent6"/>
                            </a:lnRef>
                            <a:fillRef idx="2">
                              <a:schemeClr val="accent6"/>
                            </a:fillRef>
                            <a:effectRef idx="1">
                              <a:schemeClr val="accent6"/>
                            </a:effectRef>
                            <a:fontRef idx="minor">
                              <a:schemeClr val="dk1"/>
                            </a:fontRef>
                          </a:style>
                        </a:sp>
                        <a:cxnSp>
                          <a:nvCxnSpPr>
                            <a:cNvPr id="9" name="Straight Arrow Connector 8"/>
                            <a:cNvCxnSpPr>
                              <a:stCxn id="8" idx="3"/>
                              <a:endCxn id="6" idx="1"/>
                            </a:cNvCxnSpPr>
                          </a:nvCxnSpPr>
                          <a:spPr>
                            <a:xfrm>
                              <a:off x="2816352" y="1051560"/>
                              <a:ext cx="609600" cy="1588"/>
                            </a:xfrm>
                            <a:prstGeom prst="straightConnector1">
                              <a:avLst/>
                            </a:prstGeom>
                            <a:ln w="15875">
                              <a:solidFill>
                                <a:schemeClr val="tx1"/>
                              </a:solidFill>
                              <a:headEnd type="oval"/>
                              <a:tailEnd type="triangle" w="lg" len="lg"/>
                            </a:ln>
                          </a:spPr>
                          <a:style>
                            <a:lnRef idx="1">
                              <a:schemeClr val="accent1"/>
                            </a:lnRef>
                            <a:fillRef idx="0">
                              <a:schemeClr val="accent1"/>
                            </a:fillRef>
                            <a:effectRef idx="0">
                              <a:schemeClr val="accent1"/>
                            </a:effectRef>
                            <a:fontRef idx="minor">
                              <a:schemeClr val="tx1"/>
                            </a:fontRef>
                          </a:style>
                        </a:cxnSp>
                        <a:cxnSp>
                          <a:nvCxnSpPr>
                            <a:cNvPr id="10" name="Straight Arrow Connector 9"/>
                            <a:cNvCxnSpPr>
                              <a:stCxn id="6" idx="3"/>
                              <a:endCxn id="7" idx="1"/>
                            </a:cNvCxnSpPr>
                          </a:nvCxnSpPr>
                          <a:spPr>
                            <a:xfrm>
                              <a:off x="4187952" y="1051560"/>
                              <a:ext cx="609600" cy="1588"/>
                            </a:xfrm>
                            <a:prstGeom prst="straightConnector1">
                              <a:avLst/>
                            </a:prstGeom>
                            <a:ln w="15875">
                              <a:solidFill>
                                <a:schemeClr val="tx1"/>
                              </a:solidFill>
                              <a:headEnd type="oval"/>
                              <a:tailEnd type="triangle" w="lg" len="lg"/>
                            </a:ln>
                          </a:spPr>
                          <a:style>
                            <a:lnRef idx="1">
                              <a:schemeClr val="accent1"/>
                            </a:lnRef>
                            <a:fillRef idx="0">
                              <a:schemeClr val="accent1"/>
                            </a:fillRef>
                            <a:effectRef idx="0">
                              <a:schemeClr val="accent1"/>
                            </a:effectRef>
                            <a:fontRef idx="minor">
                              <a:schemeClr val="tx1"/>
                            </a:fontRef>
                          </a:style>
                        </a:cxnSp>
                        <a:sp>
                          <a:nvSpPr>
                            <a:cNvPr id="11" name="Flowchart: Alternate Process 10"/>
                            <a:cNvSpPr/>
                          </a:nvSpPr>
                          <a:spPr>
                            <a:xfrm>
                              <a:off x="6169152" y="822960"/>
                              <a:ext cx="762000" cy="457200"/>
                            </a:xfrm>
                            <a:prstGeom prst="flowChartAlternateProcess">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sz="1600" baseline="30000" dirty="0" smtClean="0">
                                    <a:latin typeface="Times New Roman" pitchFamily="18" charset="0"/>
                                    <a:cs typeface="Times New Roman" pitchFamily="18" charset="0"/>
                                  </a:rPr>
                                  <a:t>6</a:t>
                                </a:r>
                                <a:r>
                                  <a:rPr lang="en-US" sz="1600" dirty="0" smtClean="0">
                                    <a:latin typeface="Times New Roman" pitchFamily="18" charset="0"/>
                                    <a:cs typeface="Times New Roman" pitchFamily="18" charset="0"/>
                                  </a:rPr>
                                  <a:t>He</a:t>
                                </a:r>
                                <a:r>
                                  <a:rPr lang="en-US" sz="1600" baseline="-25000" dirty="0" smtClean="0">
                                    <a:latin typeface="Times New Roman" pitchFamily="18" charset="0"/>
                                    <a:cs typeface="Times New Roman" pitchFamily="18" charset="0"/>
                                  </a:rPr>
                                  <a:t>2</a:t>
                                </a:r>
                                <a:endParaRPr lang="en-US" sz="1600" baseline="-25000" dirty="0">
                                  <a:latin typeface="Times New Roman" pitchFamily="18" charset="0"/>
                                  <a:cs typeface="Times New Roman" pitchFamily="18" charset="0"/>
                                </a:endParaRPr>
                              </a:p>
                            </a:txBody>
                            <a:useSpRect/>
                          </a:txSp>
                          <a:style>
                            <a:lnRef idx="1">
                              <a:schemeClr val="accent2"/>
                            </a:lnRef>
                            <a:fillRef idx="2">
                              <a:schemeClr val="accent2"/>
                            </a:fillRef>
                            <a:effectRef idx="1">
                              <a:schemeClr val="accent2"/>
                            </a:effectRef>
                            <a:fontRef idx="minor">
                              <a:schemeClr val="dk1"/>
                            </a:fontRef>
                          </a:style>
                        </a:sp>
                        <a:sp>
                          <a:nvSpPr>
                            <a:cNvPr id="12" name="Flowchart: Alternate Process 11"/>
                            <a:cNvSpPr/>
                          </a:nvSpPr>
                          <a:spPr>
                            <a:xfrm>
                              <a:off x="7540752" y="822960"/>
                              <a:ext cx="1143000" cy="457200"/>
                            </a:xfrm>
                            <a:prstGeom prst="flowChartAlternateProcess">
                              <a:avLst/>
                            </a:prstGeom>
                            <a:solidFill>
                              <a:schemeClr val="bg1">
                                <a:lumMod val="85000"/>
                              </a:schemeClr>
                            </a:solidFill>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sz="1600" dirty="0" smtClean="0">
                                    <a:latin typeface="Times New Roman" pitchFamily="18" charset="0"/>
                                    <a:cs typeface="Times New Roman" pitchFamily="18" charset="0"/>
                                  </a:rPr>
                                  <a:t>0.64 </a:t>
                                </a:r>
                                <a:r>
                                  <a:rPr lang="en-US" sz="1600" dirty="0" err="1" smtClean="0">
                                    <a:latin typeface="Times New Roman" pitchFamily="18" charset="0"/>
                                    <a:cs typeface="Times New Roman" pitchFamily="18" charset="0"/>
                                  </a:rPr>
                                  <a:t>MeV</a:t>
                                </a:r>
                                <a:endParaRPr lang="en-US" sz="1600" dirty="0">
                                  <a:latin typeface="Times New Roman" pitchFamily="18" charset="0"/>
                                  <a:cs typeface="Times New Roman" pitchFamily="18" charset="0"/>
                                </a:endParaRPr>
                              </a:p>
                            </a:txBody>
                            <a:useSpRect/>
                          </a:txSp>
                          <a:style>
                            <a:lnRef idx="1">
                              <a:schemeClr val="dk1"/>
                            </a:lnRef>
                            <a:fillRef idx="2">
                              <a:schemeClr val="dk1"/>
                            </a:fillRef>
                            <a:effectRef idx="1">
                              <a:schemeClr val="dk1"/>
                            </a:effectRef>
                            <a:fontRef idx="minor">
                              <a:schemeClr val="dk1"/>
                            </a:fontRef>
                          </a:style>
                        </a:sp>
                        <a:sp>
                          <a:nvSpPr>
                            <a:cNvPr id="13" name="Flowchart: Alternate Process 12"/>
                            <a:cNvSpPr/>
                          </a:nvSpPr>
                          <a:spPr>
                            <a:xfrm>
                              <a:off x="6205728" y="1901952"/>
                              <a:ext cx="685800" cy="457200"/>
                            </a:xfrm>
                            <a:prstGeom prst="flowChartAlternateProcess">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sz="1600" baseline="30000" dirty="0" smtClean="0">
                                    <a:latin typeface="Times New Roman" pitchFamily="18" charset="0"/>
                                    <a:cs typeface="Times New Roman" pitchFamily="18" charset="0"/>
                                  </a:rPr>
                                  <a:t>6</a:t>
                                </a:r>
                                <a:r>
                                  <a:rPr lang="en-US" sz="1600" dirty="0" smtClean="0">
                                    <a:latin typeface="Times New Roman" pitchFamily="18" charset="0"/>
                                    <a:cs typeface="Times New Roman" pitchFamily="18" charset="0"/>
                                  </a:rPr>
                                  <a:t>Li</a:t>
                                </a:r>
                                <a:r>
                                  <a:rPr lang="en-US" sz="1600" baseline="-25000" dirty="0" smtClean="0">
                                    <a:latin typeface="Times New Roman" pitchFamily="18" charset="0"/>
                                    <a:cs typeface="Times New Roman" pitchFamily="18" charset="0"/>
                                  </a:rPr>
                                  <a:t>3</a:t>
                                </a:r>
                                <a:endParaRPr lang="en-US" sz="1600" baseline="-25000" dirty="0">
                                  <a:latin typeface="Times New Roman" pitchFamily="18" charset="0"/>
                                  <a:cs typeface="Times New Roman" pitchFamily="18" charset="0"/>
                                </a:endParaRPr>
                              </a:p>
                            </a:txBody>
                            <a:useSpRect/>
                          </a:txSp>
                          <a:style>
                            <a:lnRef idx="1">
                              <a:schemeClr val="accent4"/>
                            </a:lnRef>
                            <a:fillRef idx="2">
                              <a:schemeClr val="accent4"/>
                            </a:fillRef>
                            <a:effectRef idx="1">
                              <a:schemeClr val="accent4"/>
                            </a:effectRef>
                            <a:fontRef idx="minor">
                              <a:schemeClr val="dk1"/>
                            </a:fontRef>
                          </a:style>
                        </a:sp>
                        <a:sp>
                          <a:nvSpPr>
                            <a:cNvPr id="14" name="Flowchart: Alternate Process 13"/>
                            <a:cNvSpPr/>
                          </a:nvSpPr>
                          <a:spPr>
                            <a:xfrm>
                              <a:off x="7531608" y="1901952"/>
                              <a:ext cx="685800" cy="457200"/>
                            </a:xfrm>
                            <a:prstGeom prst="flowChartAlternateProcess">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l-GR" sz="1600" dirty="0" smtClean="0">
                                    <a:latin typeface="Times New Roman" pitchFamily="18" charset="0"/>
                                    <a:cs typeface="Times New Roman" pitchFamily="18" charset="0"/>
                                  </a:rPr>
                                  <a:t>β</a:t>
                                </a:r>
                                <a:r>
                                  <a:rPr lang="en-US" sz="1600" dirty="0" smtClean="0">
                                    <a:latin typeface="Times New Roman" pitchFamily="18" charset="0"/>
                                    <a:cs typeface="Times New Roman" pitchFamily="18" charset="0"/>
                                  </a:rPr>
                                  <a:t>-</a:t>
                                </a:r>
                                <a:endParaRPr lang="en-US" sz="1600" dirty="0">
                                  <a:latin typeface="Times New Roman" pitchFamily="18" charset="0"/>
                                  <a:cs typeface="Times New Roman" pitchFamily="18" charset="0"/>
                                </a:endParaRPr>
                              </a:p>
                            </a:txBody>
                            <a:useSpRect/>
                          </a:txSp>
                          <a:style>
                            <a:lnRef idx="1">
                              <a:schemeClr val="accent6"/>
                            </a:lnRef>
                            <a:fillRef idx="2">
                              <a:schemeClr val="accent6"/>
                            </a:fillRef>
                            <a:effectRef idx="1">
                              <a:schemeClr val="accent6"/>
                            </a:effectRef>
                            <a:fontRef idx="minor">
                              <a:schemeClr val="dk1"/>
                            </a:fontRef>
                          </a:style>
                        </a:sp>
                        <a:sp>
                          <a:nvSpPr>
                            <a:cNvPr id="15" name="Flowchart: Alternate Process 14"/>
                            <a:cNvSpPr/>
                          </a:nvSpPr>
                          <a:spPr>
                            <a:xfrm>
                              <a:off x="758952" y="3096768"/>
                              <a:ext cx="685800" cy="457200"/>
                            </a:xfrm>
                            <a:prstGeom prst="flowChartAlternateProcess">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sz="1600" baseline="30000" dirty="0" smtClean="0">
                                    <a:latin typeface="Times New Roman" pitchFamily="18" charset="0"/>
                                    <a:cs typeface="Times New Roman" pitchFamily="18" charset="0"/>
                                  </a:rPr>
                                  <a:t>6</a:t>
                                </a:r>
                                <a:r>
                                  <a:rPr lang="en-US" sz="1600" dirty="0" smtClean="0">
                                    <a:latin typeface="Times New Roman" pitchFamily="18" charset="0"/>
                                    <a:cs typeface="Times New Roman" pitchFamily="18" charset="0"/>
                                  </a:rPr>
                                  <a:t>Li</a:t>
                                </a:r>
                                <a:r>
                                  <a:rPr lang="en-US" sz="1600" baseline="-25000" dirty="0" smtClean="0">
                                    <a:latin typeface="Times New Roman" pitchFamily="18" charset="0"/>
                                    <a:cs typeface="Times New Roman" pitchFamily="18" charset="0"/>
                                  </a:rPr>
                                  <a:t>3</a:t>
                                </a:r>
                                <a:endParaRPr lang="en-US" sz="1600" baseline="-25000" dirty="0">
                                  <a:latin typeface="Times New Roman" pitchFamily="18" charset="0"/>
                                  <a:cs typeface="Times New Roman" pitchFamily="18" charset="0"/>
                                </a:endParaRPr>
                              </a:p>
                            </a:txBody>
                            <a:useSpRect/>
                          </a:txSp>
                          <a:style>
                            <a:lnRef idx="1">
                              <a:schemeClr val="accent4"/>
                            </a:lnRef>
                            <a:fillRef idx="2">
                              <a:schemeClr val="accent4"/>
                            </a:fillRef>
                            <a:effectRef idx="1">
                              <a:schemeClr val="accent4"/>
                            </a:effectRef>
                            <a:fontRef idx="minor">
                              <a:schemeClr val="dk1"/>
                            </a:fontRef>
                          </a:style>
                        </a:sp>
                        <a:sp>
                          <a:nvSpPr>
                            <a:cNvPr id="16" name="Flowchart: Alternate Process 15"/>
                            <a:cNvSpPr/>
                          </a:nvSpPr>
                          <a:spPr>
                            <a:xfrm>
                              <a:off x="2054352" y="3096768"/>
                              <a:ext cx="685800" cy="457200"/>
                            </a:xfrm>
                            <a:prstGeom prst="flowChartAlternateProcess">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sz="1600" dirty="0" smtClean="0">
                                    <a:latin typeface="Times New Roman" pitchFamily="18" charset="0"/>
                                    <a:cs typeface="Times New Roman" pitchFamily="18" charset="0"/>
                                  </a:rPr>
                                  <a:t>n</a:t>
                                </a:r>
                                <a:r>
                                  <a:rPr lang="en-US" sz="1600" baseline="-25000" dirty="0" smtClean="0">
                                    <a:latin typeface="Times New Roman" pitchFamily="18" charset="0"/>
                                    <a:cs typeface="Times New Roman" pitchFamily="18" charset="0"/>
                                  </a:rPr>
                                  <a:t>th</a:t>
                                </a:r>
                                <a:endParaRPr lang="en-US" sz="1600" dirty="0">
                                  <a:latin typeface="Times New Roman" pitchFamily="18" charset="0"/>
                                  <a:cs typeface="Times New Roman" pitchFamily="18" charset="0"/>
                                </a:endParaRPr>
                              </a:p>
                            </a:txBody>
                            <a:useSpRect/>
                          </a:txSp>
                          <a:style>
                            <a:lnRef idx="1">
                              <a:schemeClr val="accent6"/>
                            </a:lnRef>
                            <a:fillRef idx="2">
                              <a:schemeClr val="accent6"/>
                            </a:fillRef>
                            <a:effectRef idx="1">
                              <a:schemeClr val="accent6"/>
                            </a:effectRef>
                            <a:fontRef idx="minor">
                              <a:schemeClr val="dk1"/>
                            </a:fontRef>
                          </a:style>
                        </a:sp>
                        <a:sp>
                          <a:nvSpPr>
                            <a:cNvPr id="17" name="Flowchart: Alternate Process 16"/>
                            <a:cNvSpPr/>
                          </a:nvSpPr>
                          <a:spPr>
                            <a:xfrm>
                              <a:off x="3349752" y="3096768"/>
                              <a:ext cx="762000" cy="457200"/>
                            </a:xfrm>
                            <a:prstGeom prst="flowChartAlternateProcess">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sz="1600" baseline="30000" dirty="0" smtClean="0">
                                    <a:latin typeface="Times New Roman" pitchFamily="18" charset="0"/>
                                    <a:cs typeface="Times New Roman" pitchFamily="18" charset="0"/>
                                  </a:rPr>
                                  <a:t>4</a:t>
                                </a:r>
                                <a:r>
                                  <a:rPr lang="en-US" sz="1600" dirty="0" smtClean="0">
                                    <a:latin typeface="Times New Roman" pitchFamily="18" charset="0"/>
                                    <a:cs typeface="Times New Roman" pitchFamily="18" charset="0"/>
                                  </a:rPr>
                                  <a:t>He</a:t>
                                </a:r>
                                <a:r>
                                  <a:rPr lang="en-US" sz="1600" baseline="-25000" dirty="0" smtClean="0">
                                    <a:latin typeface="Times New Roman" pitchFamily="18" charset="0"/>
                                    <a:cs typeface="Times New Roman" pitchFamily="18" charset="0"/>
                                  </a:rPr>
                                  <a:t>2</a:t>
                                </a:r>
                                <a:endParaRPr lang="en-US" sz="1600" baseline="-25000" dirty="0">
                                  <a:latin typeface="Times New Roman" pitchFamily="18" charset="0"/>
                                  <a:cs typeface="Times New Roman" pitchFamily="18" charset="0"/>
                                </a:endParaRPr>
                              </a:p>
                            </a:txBody>
                            <a:useSpRect/>
                          </a:txSp>
                          <a:style>
                            <a:lnRef idx="1">
                              <a:schemeClr val="accent2"/>
                            </a:lnRef>
                            <a:fillRef idx="2">
                              <a:schemeClr val="accent2"/>
                            </a:fillRef>
                            <a:effectRef idx="1">
                              <a:schemeClr val="accent2"/>
                            </a:effectRef>
                            <a:fontRef idx="minor">
                              <a:schemeClr val="dk1"/>
                            </a:fontRef>
                          </a:style>
                        </a:sp>
                        <a:sp>
                          <a:nvSpPr>
                            <a:cNvPr id="18" name="Flowchart: Alternate Process 17"/>
                            <a:cNvSpPr/>
                          </a:nvSpPr>
                          <a:spPr>
                            <a:xfrm>
                              <a:off x="4721352" y="3096768"/>
                              <a:ext cx="762000" cy="457200"/>
                            </a:xfrm>
                            <a:prstGeom prst="flowChartAlternateProcess">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sz="1600" baseline="30000" dirty="0" smtClean="0">
                                    <a:latin typeface="Times New Roman" pitchFamily="18" charset="0"/>
                                    <a:cs typeface="Times New Roman" pitchFamily="18" charset="0"/>
                                  </a:rPr>
                                  <a:t>3</a:t>
                                </a:r>
                                <a:r>
                                  <a:rPr lang="en-US" sz="1600" dirty="0" smtClean="0">
                                    <a:latin typeface="Times New Roman" pitchFamily="18" charset="0"/>
                                    <a:cs typeface="Times New Roman" pitchFamily="18" charset="0"/>
                                  </a:rPr>
                                  <a:t>H</a:t>
                                </a:r>
                                <a:r>
                                  <a:rPr lang="en-US" sz="1600" baseline="-25000" dirty="0" smtClean="0">
                                    <a:latin typeface="Times New Roman" pitchFamily="18" charset="0"/>
                                    <a:cs typeface="Times New Roman" pitchFamily="18" charset="0"/>
                                  </a:rPr>
                                  <a:t>1</a:t>
                                </a:r>
                                <a:endParaRPr lang="en-US" sz="1600" baseline="-25000" dirty="0">
                                  <a:latin typeface="Times New Roman" pitchFamily="18" charset="0"/>
                                  <a:cs typeface="Times New Roman" pitchFamily="18" charset="0"/>
                                </a:endParaRPr>
                              </a:p>
                            </a:txBody>
                            <a:useSpRect/>
                          </a:txSp>
                          <a:style>
                            <a:lnRef idx="1">
                              <a:schemeClr val="accent3"/>
                            </a:lnRef>
                            <a:fillRef idx="2">
                              <a:schemeClr val="accent3"/>
                            </a:fillRef>
                            <a:effectRef idx="1">
                              <a:schemeClr val="accent3"/>
                            </a:effectRef>
                            <a:fontRef idx="minor">
                              <a:schemeClr val="dk1"/>
                            </a:fontRef>
                          </a:style>
                        </a:sp>
                        <a:sp>
                          <a:nvSpPr>
                            <a:cNvPr id="19" name="Flowchart: Alternate Process 18"/>
                            <a:cNvSpPr/>
                          </a:nvSpPr>
                          <a:spPr>
                            <a:xfrm>
                              <a:off x="6092951" y="3096768"/>
                              <a:ext cx="1034845" cy="457200"/>
                            </a:xfrm>
                            <a:prstGeom prst="flowChartAlternateProcess">
                              <a:avLst/>
                            </a:prstGeom>
                            <a:solidFill>
                              <a:schemeClr val="bg1">
                                <a:lumMod val="85000"/>
                              </a:schemeClr>
                            </a:solidFill>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sz="1600" dirty="0" smtClean="0">
                                    <a:latin typeface="Times New Roman" pitchFamily="18" charset="0"/>
                                    <a:cs typeface="Times New Roman" pitchFamily="18" charset="0"/>
                                  </a:rPr>
                                  <a:t>4.7 </a:t>
                                </a:r>
                                <a:r>
                                  <a:rPr lang="en-US" sz="1600" dirty="0" err="1" smtClean="0">
                                    <a:latin typeface="Times New Roman" pitchFamily="18" charset="0"/>
                                    <a:cs typeface="Times New Roman" pitchFamily="18" charset="0"/>
                                  </a:rPr>
                                  <a:t>MeV</a:t>
                                </a:r>
                                <a:endParaRPr lang="en-US" sz="1600" dirty="0">
                                  <a:latin typeface="Times New Roman" pitchFamily="18" charset="0"/>
                                  <a:cs typeface="Times New Roman" pitchFamily="18" charset="0"/>
                                </a:endParaRPr>
                              </a:p>
                            </a:txBody>
                            <a:useSpRect/>
                          </a:txSp>
                          <a:style>
                            <a:lnRef idx="1">
                              <a:schemeClr val="dk1"/>
                            </a:lnRef>
                            <a:fillRef idx="2">
                              <a:schemeClr val="dk1"/>
                            </a:fillRef>
                            <a:effectRef idx="1">
                              <a:schemeClr val="dk1"/>
                            </a:effectRef>
                            <a:fontRef idx="minor">
                              <a:schemeClr val="dk1"/>
                            </a:fontRef>
                          </a:style>
                        </a:sp>
                        <a:cxnSp>
                          <a:nvCxnSpPr>
                            <a:cNvPr id="20" name="Straight Arrow Connector 19"/>
                            <a:cNvCxnSpPr>
                              <a:stCxn id="16" idx="3"/>
                              <a:endCxn id="17" idx="1"/>
                            </a:cNvCxnSpPr>
                          </a:nvCxnSpPr>
                          <a:spPr>
                            <a:xfrm>
                              <a:off x="2740152" y="3325368"/>
                              <a:ext cx="609600" cy="1588"/>
                            </a:xfrm>
                            <a:prstGeom prst="straightConnector1">
                              <a:avLst/>
                            </a:prstGeom>
                            <a:ln w="15875">
                              <a:solidFill>
                                <a:schemeClr val="tx1"/>
                              </a:solidFill>
                              <a:headEnd type="oval"/>
                              <a:tailEnd type="triangle" w="lg" len="lg"/>
                            </a:ln>
                          </a:spPr>
                          <a:style>
                            <a:lnRef idx="1">
                              <a:schemeClr val="accent1"/>
                            </a:lnRef>
                            <a:fillRef idx="0">
                              <a:schemeClr val="accent1"/>
                            </a:fillRef>
                            <a:effectRef idx="0">
                              <a:schemeClr val="accent1"/>
                            </a:effectRef>
                            <a:fontRef idx="minor">
                              <a:schemeClr val="tx1"/>
                            </a:fontRef>
                          </a:style>
                        </a:cxnSp>
                        <a:cxnSp>
                          <a:nvCxnSpPr>
                            <a:cNvPr id="21" name="Elbow Connector 42"/>
                            <a:cNvCxnSpPr>
                              <a:stCxn id="13" idx="1"/>
                              <a:endCxn id="15" idx="0"/>
                            </a:cNvCxnSpPr>
                          </a:nvCxnSpPr>
                          <a:spPr>
                            <a:xfrm rot="10800000" flipV="1">
                              <a:off x="1101852" y="2130552"/>
                              <a:ext cx="5103876" cy="966216"/>
                            </a:xfrm>
                            <a:prstGeom prst="bentConnector2">
                              <a:avLst/>
                            </a:prstGeom>
                            <a:ln w="15875">
                              <a:solidFill>
                                <a:schemeClr val="tx1"/>
                              </a:solidFill>
                              <a:prstDash val="dash"/>
                              <a:headEnd type="oval"/>
                              <a:tailEnd type="triangle" w="lg" len="lg"/>
                            </a:ln>
                          </a:spPr>
                          <a:style>
                            <a:lnRef idx="1">
                              <a:schemeClr val="accent1"/>
                            </a:lnRef>
                            <a:fillRef idx="0">
                              <a:schemeClr val="accent1"/>
                            </a:fillRef>
                            <a:effectRef idx="0">
                              <a:schemeClr val="accent1"/>
                            </a:effectRef>
                            <a:fontRef idx="minor">
                              <a:schemeClr val="tx1"/>
                            </a:fontRef>
                          </a:style>
                        </a:cxnSp>
                        <a:sp>
                          <a:nvSpPr>
                            <a:cNvPr id="22" name="Flowchart: Alternate Process 21"/>
                            <a:cNvSpPr/>
                          </a:nvSpPr>
                          <a:spPr>
                            <a:xfrm>
                              <a:off x="4721352" y="4261104"/>
                              <a:ext cx="762000" cy="457200"/>
                            </a:xfrm>
                            <a:prstGeom prst="flowChartAlternateProcess">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sz="1600" baseline="30000" dirty="0" smtClean="0">
                                    <a:latin typeface="Times New Roman" pitchFamily="18" charset="0"/>
                                    <a:cs typeface="Times New Roman" pitchFamily="18" charset="0"/>
                                  </a:rPr>
                                  <a:t>3</a:t>
                                </a:r>
                                <a:r>
                                  <a:rPr lang="en-US" sz="1600" dirty="0" smtClean="0">
                                    <a:latin typeface="Times New Roman" pitchFamily="18" charset="0"/>
                                    <a:cs typeface="Times New Roman" pitchFamily="18" charset="0"/>
                                  </a:rPr>
                                  <a:t>He</a:t>
                                </a:r>
                                <a:r>
                                  <a:rPr lang="en-US" sz="1600" baseline="-25000" dirty="0" smtClean="0">
                                    <a:latin typeface="Times New Roman" pitchFamily="18" charset="0"/>
                                    <a:cs typeface="Times New Roman" pitchFamily="18" charset="0"/>
                                  </a:rPr>
                                  <a:t>2</a:t>
                                </a:r>
                                <a:endParaRPr lang="en-US" sz="1600" baseline="-25000" dirty="0">
                                  <a:latin typeface="Times New Roman" pitchFamily="18" charset="0"/>
                                  <a:cs typeface="Times New Roman" pitchFamily="18" charset="0"/>
                                </a:endParaRPr>
                              </a:p>
                            </a:txBody>
                            <a:useSpRect/>
                          </a:txSp>
                          <a:style>
                            <a:lnRef idx="1">
                              <a:schemeClr val="accent2"/>
                            </a:lnRef>
                            <a:fillRef idx="2">
                              <a:schemeClr val="accent2"/>
                            </a:fillRef>
                            <a:effectRef idx="1">
                              <a:schemeClr val="accent2"/>
                            </a:effectRef>
                            <a:fontRef idx="minor">
                              <a:schemeClr val="dk1"/>
                            </a:fontRef>
                          </a:style>
                        </a:sp>
                        <a:sp>
                          <a:nvSpPr>
                            <a:cNvPr id="23" name="Flowchart: Alternate Process 22"/>
                            <a:cNvSpPr/>
                          </a:nvSpPr>
                          <a:spPr>
                            <a:xfrm>
                              <a:off x="6092952" y="4261104"/>
                              <a:ext cx="685800" cy="457200"/>
                            </a:xfrm>
                            <a:prstGeom prst="flowChartAlternateProcess">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l-GR" sz="1600" dirty="0" smtClean="0">
                                    <a:latin typeface="Times New Roman" pitchFamily="18" charset="0"/>
                                    <a:cs typeface="Times New Roman" pitchFamily="18" charset="0"/>
                                  </a:rPr>
                                  <a:t>β</a:t>
                                </a:r>
                                <a:r>
                                  <a:rPr lang="en-US" sz="1600" dirty="0" smtClean="0">
                                    <a:latin typeface="Times New Roman" pitchFamily="18" charset="0"/>
                                    <a:cs typeface="Times New Roman" pitchFamily="18" charset="0"/>
                                  </a:rPr>
                                  <a:t>-</a:t>
                                </a:r>
                                <a:endParaRPr lang="en-US" sz="1600" dirty="0">
                                  <a:latin typeface="Times New Roman" pitchFamily="18" charset="0"/>
                                  <a:cs typeface="Times New Roman" pitchFamily="18" charset="0"/>
                                </a:endParaRPr>
                              </a:p>
                            </a:txBody>
                            <a:useSpRect/>
                          </a:txSp>
                          <a:style>
                            <a:lnRef idx="1">
                              <a:schemeClr val="accent6"/>
                            </a:lnRef>
                            <a:fillRef idx="2">
                              <a:schemeClr val="accent6"/>
                            </a:fillRef>
                            <a:effectRef idx="1">
                              <a:schemeClr val="accent6"/>
                            </a:effectRef>
                            <a:fontRef idx="minor">
                              <a:schemeClr val="dk1"/>
                            </a:fontRef>
                          </a:style>
                        </a:sp>
                        <a:cxnSp>
                          <a:nvCxnSpPr>
                            <a:cNvPr id="24" name="Straight Arrow Connector 23"/>
                            <a:cNvCxnSpPr>
                              <a:stCxn id="18" idx="2"/>
                              <a:endCxn id="22" idx="0"/>
                            </a:cNvCxnSpPr>
                          </a:nvCxnSpPr>
                          <a:spPr>
                            <a:xfrm rot="5400000">
                              <a:off x="4748784" y="3907536"/>
                              <a:ext cx="707136" cy="1588"/>
                            </a:xfrm>
                            <a:prstGeom prst="straightConnector1">
                              <a:avLst/>
                            </a:prstGeom>
                            <a:ln w="15875">
                              <a:solidFill>
                                <a:schemeClr val="tx1"/>
                              </a:solidFill>
                              <a:headEnd type="oval"/>
                              <a:tailEnd type="triangle" w="lg" len="lg"/>
                            </a:ln>
                          </a:spPr>
                          <a:style>
                            <a:lnRef idx="1">
                              <a:schemeClr val="accent1"/>
                            </a:lnRef>
                            <a:fillRef idx="0">
                              <a:schemeClr val="accent1"/>
                            </a:fillRef>
                            <a:effectRef idx="0">
                              <a:schemeClr val="accent1"/>
                            </a:effectRef>
                            <a:fontRef idx="minor">
                              <a:schemeClr val="tx1"/>
                            </a:fontRef>
                          </a:style>
                        </a:cxnSp>
                        <a:sp>
                          <a:nvSpPr>
                            <a:cNvPr id="25" name="Flowchart: Alternate Process 24"/>
                            <a:cNvSpPr/>
                          </a:nvSpPr>
                          <a:spPr>
                            <a:xfrm>
                              <a:off x="758952" y="5394960"/>
                              <a:ext cx="762000" cy="457200"/>
                            </a:xfrm>
                            <a:prstGeom prst="flowChartAlternateProcess">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sz="1600" baseline="30000" dirty="0" smtClean="0">
                                    <a:latin typeface="Times New Roman" pitchFamily="18" charset="0"/>
                                    <a:cs typeface="Times New Roman" pitchFamily="18" charset="0"/>
                                  </a:rPr>
                                  <a:t>3</a:t>
                                </a:r>
                                <a:r>
                                  <a:rPr lang="en-US" sz="1600" dirty="0" smtClean="0">
                                    <a:latin typeface="Times New Roman" pitchFamily="18" charset="0"/>
                                    <a:cs typeface="Times New Roman" pitchFamily="18" charset="0"/>
                                  </a:rPr>
                                  <a:t>He</a:t>
                                </a:r>
                                <a:r>
                                  <a:rPr lang="en-US" sz="1600" baseline="-25000" dirty="0" smtClean="0">
                                    <a:latin typeface="Times New Roman" pitchFamily="18" charset="0"/>
                                    <a:cs typeface="Times New Roman" pitchFamily="18" charset="0"/>
                                  </a:rPr>
                                  <a:t>2</a:t>
                                </a:r>
                                <a:endParaRPr lang="en-US" sz="1600" baseline="-25000" dirty="0">
                                  <a:latin typeface="Times New Roman" pitchFamily="18" charset="0"/>
                                  <a:cs typeface="Times New Roman" pitchFamily="18" charset="0"/>
                                </a:endParaRPr>
                              </a:p>
                            </a:txBody>
                            <a:useSpRect/>
                          </a:txSp>
                          <a:style>
                            <a:lnRef idx="1">
                              <a:schemeClr val="accent2"/>
                            </a:lnRef>
                            <a:fillRef idx="2">
                              <a:schemeClr val="accent2"/>
                            </a:fillRef>
                            <a:effectRef idx="1">
                              <a:schemeClr val="accent2"/>
                            </a:effectRef>
                            <a:fontRef idx="minor">
                              <a:schemeClr val="dk1"/>
                            </a:fontRef>
                          </a:style>
                        </a:sp>
                        <a:sp>
                          <a:nvSpPr>
                            <a:cNvPr id="26" name="Flowchart: Alternate Process 25"/>
                            <a:cNvSpPr/>
                          </a:nvSpPr>
                          <a:spPr>
                            <a:xfrm>
                              <a:off x="2130552" y="5394960"/>
                              <a:ext cx="685800" cy="457200"/>
                            </a:xfrm>
                            <a:prstGeom prst="flowChartAlternateProcess">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sz="1600" dirty="0" smtClean="0">
                                    <a:latin typeface="Times New Roman" pitchFamily="18" charset="0"/>
                                    <a:cs typeface="Times New Roman" pitchFamily="18" charset="0"/>
                                  </a:rPr>
                                  <a:t>n</a:t>
                                </a:r>
                                <a:r>
                                  <a:rPr lang="en-US" sz="1600" baseline="-25000" dirty="0" smtClean="0">
                                    <a:latin typeface="Times New Roman" pitchFamily="18" charset="0"/>
                                    <a:cs typeface="Times New Roman" pitchFamily="18" charset="0"/>
                                  </a:rPr>
                                  <a:t>th</a:t>
                                </a:r>
                                <a:endParaRPr lang="en-US" sz="1600" dirty="0">
                                  <a:latin typeface="Times New Roman" pitchFamily="18" charset="0"/>
                                  <a:cs typeface="Times New Roman" pitchFamily="18" charset="0"/>
                                </a:endParaRPr>
                              </a:p>
                            </a:txBody>
                            <a:useSpRect/>
                          </a:txSp>
                          <a:style>
                            <a:lnRef idx="1">
                              <a:schemeClr val="accent6"/>
                            </a:lnRef>
                            <a:fillRef idx="2">
                              <a:schemeClr val="accent6"/>
                            </a:fillRef>
                            <a:effectRef idx="1">
                              <a:schemeClr val="accent6"/>
                            </a:effectRef>
                            <a:fontRef idx="minor">
                              <a:schemeClr val="dk1"/>
                            </a:fontRef>
                          </a:style>
                        </a:sp>
                        <a:sp>
                          <a:nvSpPr>
                            <a:cNvPr id="27" name="Flowchart: Alternate Process 26"/>
                            <a:cNvSpPr/>
                          </a:nvSpPr>
                          <a:spPr>
                            <a:xfrm>
                              <a:off x="4721352" y="5394960"/>
                              <a:ext cx="762000" cy="457200"/>
                            </a:xfrm>
                            <a:prstGeom prst="flowChartAlternateProcess">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sz="1600" baseline="30000" dirty="0" smtClean="0">
                                    <a:latin typeface="Times New Roman" pitchFamily="18" charset="0"/>
                                    <a:cs typeface="Times New Roman" pitchFamily="18" charset="0"/>
                                  </a:rPr>
                                  <a:t>3</a:t>
                                </a:r>
                                <a:r>
                                  <a:rPr lang="en-US" sz="1600" dirty="0" smtClean="0">
                                    <a:latin typeface="Times New Roman" pitchFamily="18" charset="0"/>
                                    <a:cs typeface="Times New Roman" pitchFamily="18" charset="0"/>
                                  </a:rPr>
                                  <a:t>H</a:t>
                                </a:r>
                                <a:r>
                                  <a:rPr lang="en-US" sz="1600" baseline="-25000" dirty="0" smtClean="0">
                                    <a:latin typeface="Times New Roman" pitchFamily="18" charset="0"/>
                                    <a:cs typeface="Times New Roman" pitchFamily="18" charset="0"/>
                                  </a:rPr>
                                  <a:t>1</a:t>
                                </a:r>
                                <a:endParaRPr lang="en-US" sz="1600" baseline="-25000" dirty="0">
                                  <a:latin typeface="Times New Roman" pitchFamily="18" charset="0"/>
                                  <a:cs typeface="Times New Roman" pitchFamily="18" charset="0"/>
                                </a:endParaRPr>
                              </a:p>
                            </a:txBody>
                            <a:useSpRect/>
                          </a:txSp>
                          <a:style>
                            <a:lnRef idx="1">
                              <a:schemeClr val="accent3"/>
                            </a:lnRef>
                            <a:fillRef idx="2">
                              <a:schemeClr val="accent3"/>
                            </a:fillRef>
                            <a:effectRef idx="1">
                              <a:schemeClr val="accent3"/>
                            </a:effectRef>
                            <a:fontRef idx="minor">
                              <a:schemeClr val="dk1"/>
                            </a:fontRef>
                          </a:style>
                        </a:sp>
                        <a:sp>
                          <a:nvSpPr>
                            <a:cNvPr id="28" name="Flowchart: Alternate Process 27"/>
                            <a:cNvSpPr/>
                          </a:nvSpPr>
                          <a:spPr>
                            <a:xfrm>
                              <a:off x="6092952" y="5394960"/>
                              <a:ext cx="685800" cy="457200"/>
                            </a:xfrm>
                            <a:prstGeom prst="flowChartAlternateProcess">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sz="1600" dirty="0" smtClean="0">
                                    <a:latin typeface="Times New Roman" pitchFamily="18" charset="0"/>
                                    <a:cs typeface="Times New Roman" pitchFamily="18" charset="0"/>
                                  </a:rPr>
                                  <a:t>p</a:t>
                                </a:r>
                                <a:endParaRPr lang="en-US" sz="1600" dirty="0">
                                  <a:latin typeface="Times New Roman" pitchFamily="18" charset="0"/>
                                  <a:cs typeface="Times New Roman" pitchFamily="18" charset="0"/>
                                </a:endParaRPr>
                              </a:p>
                            </a:txBody>
                            <a:useSpRect/>
                          </a:txSp>
                          <a:style>
                            <a:lnRef idx="1">
                              <a:schemeClr val="accent6"/>
                            </a:lnRef>
                            <a:fillRef idx="2">
                              <a:schemeClr val="accent6"/>
                            </a:fillRef>
                            <a:effectRef idx="1">
                              <a:schemeClr val="accent6"/>
                            </a:effectRef>
                            <a:fontRef idx="minor">
                              <a:schemeClr val="dk1"/>
                            </a:fontRef>
                          </a:style>
                        </a:sp>
                        <a:sp>
                          <a:nvSpPr>
                            <a:cNvPr id="29" name="Flowchart: Alternate Process 28"/>
                            <a:cNvSpPr/>
                          </a:nvSpPr>
                          <a:spPr>
                            <a:xfrm>
                              <a:off x="4721352" y="6248400"/>
                              <a:ext cx="762000" cy="457200"/>
                            </a:xfrm>
                            <a:prstGeom prst="flowChartAlternateProcess">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sz="1600" baseline="30000" dirty="0" smtClean="0">
                                    <a:latin typeface="Times New Roman" pitchFamily="18" charset="0"/>
                                    <a:cs typeface="Times New Roman" pitchFamily="18" charset="0"/>
                                  </a:rPr>
                                  <a:t>4</a:t>
                                </a:r>
                                <a:r>
                                  <a:rPr lang="en-US" sz="1600" dirty="0" smtClean="0">
                                    <a:latin typeface="Times New Roman" pitchFamily="18" charset="0"/>
                                    <a:cs typeface="Times New Roman" pitchFamily="18" charset="0"/>
                                  </a:rPr>
                                  <a:t>He</a:t>
                                </a:r>
                                <a:r>
                                  <a:rPr lang="en-US" sz="1600" baseline="-25000" dirty="0" smtClean="0">
                                    <a:latin typeface="Times New Roman" pitchFamily="18" charset="0"/>
                                    <a:cs typeface="Times New Roman" pitchFamily="18" charset="0"/>
                                  </a:rPr>
                                  <a:t>2</a:t>
                                </a:r>
                                <a:endParaRPr lang="en-US" sz="1600" baseline="-25000" dirty="0">
                                  <a:latin typeface="Times New Roman" pitchFamily="18" charset="0"/>
                                  <a:cs typeface="Times New Roman" pitchFamily="18" charset="0"/>
                                </a:endParaRPr>
                              </a:p>
                            </a:txBody>
                            <a:useSpRect/>
                          </a:txSp>
                          <a:style>
                            <a:lnRef idx="1">
                              <a:schemeClr val="accent2"/>
                            </a:lnRef>
                            <a:fillRef idx="2">
                              <a:schemeClr val="accent2"/>
                            </a:fillRef>
                            <a:effectRef idx="1">
                              <a:schemeClr val="accent2"/>
                            </a:effectRef>
                            <a:fontRef idx="minor">
                              <a:schemeClr val="dk1"/>
                            </a:fontRef>
                          </a:style>
                        </a:sp>
                        <a:cxnSp>
                          <a:nvCxnSpPr>
                            <a:cNvPr id="30" name="Straight Arrow Connector 29"/>
                            <a:cNvCxnSpPr>
                              <a:stCxn id="26" idx="3"/>
                              <a:endCxn id="27" idx="1"/>
                            </a:cNvCxnSpPr>
                          </a:nvCxnSpPr>
                          <a:spPr>
                            <a:xfrm>
                              <a:off x="2816352" y="5623560"/>
                              <a:ext cx="1905000" cy="1588"/>
                            </a:xfrm>
                            <a:prstGeom prst="straightConnector1">
                              <a:avLst/>
                            </a:prstGeom>
                            <a:ln w="15875">
                              <a:solidFill>
                                <a:schemeClr val="tx1"/>
                              </a:solidFill>
                              <a:headEnd type="oval"/>
                              <a:tailEnd type="triangle" w="lg" len="lg"/>
                            </a:ln>
                          </a:spPr>
                          <a:style>
                            <a:lnRef idx="1">
                              <a:schemeClr val="accent1"/>
                            </a:lnRef>
                            <a:fillRef idx="0">
                              <a:schemeClr val="accent1"/>
                            </a:fillRef>
                            <a:effectRef idx="0">
                              <a:schemeClr val="accent1"/>
                            </a:effectRef>
                            <a:fontRef idx="minor">
                              <a:schemeClr val="tx1"/>
                            </a:fontRef>
                          </a:style>
                        </a:cxnSp>
                        <a:cxnSp>
                          <a:nvCxnSpPr>
                            <a:cNvPr id="31" name="Shape 30"/>
                            <a:cNvCxnSpPr>
                              <a:stCxn id="22" idx="1"/>
                              <a:endCxn id="25" idx="0"/>
                            </a:cNvCxnSpPr>
                          </a:nvCxnSpPr>
                          <a:spPr>
                            <a:xfrm rot="10800000" flipV="1">
                              <a:off x="1139952" y="4489704"/>
                              <a:ext cx="3581400" cy="905256"/>
                            </a:xfrm>
                            <a:prstGeom prst="bentConnector2">
                              <a:avLst/>
                            </a:prstGeom>
                            <a:ln w="15875">
                              <a:solidFill>
                                <a:schemeClr val="tx1"/>
                              </a:solidFill>
                              <a:prstDash val="dash"/>
                              <a:headEnd type="oval"/>
                              <a:tailEnd type="triangle" w="lg" len="lg"/>
                            </a:ln>
                          </a:spPr>
                          <a:style>
                            <a:lnRef idx="1">
                              <a:schemeClr val="accent1"/>
                            </a:lnRef>
                            <a:fillRef idx="0">
                              <a:schemeClr val="accent1"/>
                            </a:fillRef>
                            <a:effectRef idx="0">
                              <a:schemeClr val="accent1"/>
                            </a:effectRef>
                            <a:fontRef idx="minor">
                              <a:schemeClr val="tx1"/>
                            </a:fontRef>
                          </a:style>
                        </a:cxnSp>
                        <a:cxnSp>
                          <a:nvCxnSpPr>
                            <a:cNvPr id="32" name="Straight Arrow Connector 31"/>
                            <a:cNvCxnSpPr>
                              <a:stCxn id="27" idx="0"/>
                              <a:endCxn id="22" idx="2"/>
                            </a:cNvCxnSpPr>
                          </a:nvCxnSpPr>
                          <a:spPr>
                            <a:xfrm rot="5400000" flipH="1" flipV="1">
                              <a:off x="4764024" y="5056632"/>
                              <a:ext cx="676656" cy="1588"/>
                            </a:xfrm>
                            <a:prstGeom prst="straightConnector1">
                              <a:avLst/>
                            </a:prstGeom>
                            <a:ln w="15875">
                              <a:solidFill>
                                <a:schemeClr val="tx1"/>
                              </a:solidFill>
                              <a:headEnd type="oval"/>
                              <a:tailEnd type="triangle" w="lg" len="lg"/>
                            </a:ln>
                          </a:spPr>
                          <a:style>
                            <a:lnRef idx="1">
                              <a:schemeClr val="accent1"/>
                            </a:lnRef>
                            <a:fillRef idx="0">
                              <a:schemeClr val="accent1"/>
                            </a:fillRef>
                            <a:effectRef idx="0">
                              <a:schemeClr val="accent1"/>
                            </a:effectRef>
                            <a:fontRef idx="minor">
                              <a:schemeClr val="tx1"/>
                            </a:fontRef>
                          </a:style>
                        </a:cxnSp>
                        <a:cxnSp>
                          <a:nvCxnSpPr>
                            <a:cNvPr id="36" name="Straight Arrow Connector 35"/>
                            <a:cNvCxnSpPr>
                              <a:stCxn id="11" idx="2"/>
                              <a:endCxn id="13" idx="0"/>
                            </a:cNvCxnSpPr>
                          </a:nvCxnSpPr>
                          <a:spPr>
                            <a:xfrm rot="5400000">
                              <a:off x="6238494" y="1590294"/>
                              <a:ext cx="621792" cy="1524"/>
                            </a:xfrm>
                            <a:prstGeom prst="straightConnector1">
                              <a:avLst/>
                            </a:prstGeom>
                            <a:ln w="15875">
                              <a:solidFill>
                                <a:schemeClr val="tx1"/>
                              </a:solidFill>
                              <a:headEnd type="oval"/>
                              <a:tailEnd type="triangle" w="lg" len="lg"/>
                            </a:ln>
                          </a:spPr>
                          <a:style>
                            <a:lnRef idx="1">
                              <a:schemeClr val="accent1"/>
                            </a:lnRef>
                            <a:fillRef idx="0">
                              <a:schemeClr val="accent1"/>
                            </a:fillRef>
                            <a:effectRef idx="0">
                              <a:schemeClr val="accent1"/>
                            </a:effectRef>
                            <a:fontRef idx="minor">
                              <a:schemeClr val="tx1"/>
                            </a:fontRef>
                          </a:style>
                        </a:cxnSp>
                        <a:sp>
                          <a:nvSpPr>
                            <a:cNvPr id="44" name="Plus 43"/>
                            <a:cNvSpPr/>
                          </a:nvSpPr>
                          <a:spPr>
                            <a:xfrm>
                              <a:off x="1642872" y="883920"/>
                              <a:ext cx="365760" cy="320040"/>
                            </a:xfrm>
                            <a:prstGeom prst="mathPlus">
                              <a:avLst/>
                            </a:prstGeom>
                            <a:solidFill>
                              <a:srgbClr val="008000"/>
                            </a:solidFill>
                            <a:ln w="22225">
                              <a:solidFill>
                                <a:srgbClr val="008000"/>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1600">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45" name="Plus 44"/>
                            <a:cNvSpPr/>
                          </a:nvSpPr>
                          <a:spPr>
                            <a:xfrm>
                              <a:off x="5681472" y="899160"/>
                              <a:ext cx="365760" cy="320040"/>
                            </a:xfrm>
                            <a:prstGeom prst="mathPlus">
                              <a:avLst/>
                            </a:prstGeom>
                            <a:solidFill>
                              <a:srgbClr val="008000"/>
                            </a:solidFill>
                            <a:ln w="22225">
                              <a:solidFill>
                                <a:srgbClr val="008000"/>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1600">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46" name="Plus 45"/>
                            <a:cNvSpPr/>
                          </a:nvSpPr>
                          <a:spPr>
                            <a:xfrm>
                              <a:off x="7083552" y="1965960"/>
                              <a:ext cx="365760" cy="320040"/>
                            </a:xfrm>
                            <a:prstGeom prst="mathPlus">
                              <a:avLst/>
                            </a:prstGeom>
                            <a:solidFill>
                              <a:srgbClr val="008000"/>
                            </a:solidFill>
                            <a:ln w="22225">
                              <a:solidFill>
                                <a:srgbClr val="008000"/>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1600">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47" name="Plus 46"/>
                            <a:cNvSpPr/>
                          </a:nvSpPr>
                          <a:spPr>
                            <a:xfrm>
                              <a:off x="1597152" y="3185160"/>
                              <a:ext cx="365760" cy="320040"/>
                            </a:xfrm>
                            <a:prstGeom prst="mathPlus">
                              <a:avLst/>
                            </a:prstGeom>
                            <a:solidFill>
                              <a:srgbClr val="008000"/>
                            </a:solidFill>
                            <a:ln w="22225">
                              <a:solidFill>
                                <a:srgbClr val="008000"/>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1600">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48" name="Plus 47"/>
                            <a:cNvSpPr/>
                          </a:nvSpPr>
                          <a:spPr>
                            <a:xfrm>
                              <a:off x="4264152" y="3185160"/>
                              <a:ext cx="365760" cy="320040"/>
                            </a:xfrm>
                            <a:prstGeom prst="mathPlus">
                              <a:avLst/>
                            </a:prstGeom>
                            <a:solidFill>
                              <a:srgbClr val="008000"/>
                            </a:solidFill>
                            <a:ln w="22225">
                              <a:solidFill>
                                <a:srgbClr val="008000"/>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1600">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49" name="Plus 48"/>
                            <a:cNvSpPr/>
                          </a:nvSpPr>
                          <a:spPr>
                            <a:xfrm>
                              <a:off x="5635752" y="3185160"/>
                              <a:ext cx="365760" cy="320040"/>
                            </a:xfrm>
                            <a:prstGeom prst="mathPlus">
                              <a:avLst/>
                            </a:prstGeom>
                            <a:solidFill>
                              <a:srgbClr val="008000"/>
                            </a:solidFill>
                            <a:ln w="22225">
                              <a:solidFill>
                                <a:srgbClr val="008000"/>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1600">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50" name="Plus 49"/>
                            <a:cNvSpPr/>
                          </a:nvSpPr>
                          <a:spPr>
                            <a:xfrm>
                              <a:off x="5635752" y="4328160"/>
                              <a:ext cx="365760" cy="320040"/>
                            </a:xfrm>
                            <a:prstGeom prst="mathPlus">
                              <a:avLst/>
                            </a:prstGeom>
                            <a:solidFill>
                              <a:srgbClr val="008000"/>
                            </a:solidFill>
                            <a:ln w="22225">
                              <a:solidFill>
                                <a:srgbClr val="008000"/>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1600">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51" name="Plus 50"/>
                            <a:cNvSpPr/>
                          </a:nvSpPr>
                          <a:spPr>
                            <a:xfrm>
                              <a:off x="1673352" y="5471160"/>
                              <a:ext cx="365760" cy="320040"/>
                            </a:xfrm>
                            <a:prstGeom prst="mathPlus">
                              <a:avLst/>
                            </a:prstGeom>
                            <a:solidFill>
                              <a:srgbClr val="008000"/>
                            </a:solidFill>
                            <a:ln w="22225">
                              <a:solidFill>
                                <a:srgbClr val="008000"/>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1600">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52" name="Plus 51"/>
                            <a:cNvSpPr/>
                          </a:nvSpPr>
                          <a:spPr>
                            <a:xfrm>
                              <a:off x="5596128" y="5471160"/>
                              <a:ext cx="365760" cy="320040"/>
                            </a:xfrm>
                            <a:prstGeom prst="mathPlus">
                              <a:avLst/>
                            </a:prstGeom>
                            <a:solidFill>
                              <a:srgbClr val="008000"/>
                            </a:solidFill>
                            <a:ln w="22225">
                              <a:solidFill>
                                <a:srgbClr val="008000"/>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1600">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53" name="Minus 52"/>
                            <a:cNvSpPr/>
                          </a:nvSpPr>
                          <a:spPr>
                            <a:xfrm>
                              <a:off x="7083552" y="908304"/>
                              <a:ext cx="365760" cy="274320"/>
                            </a:xfrm>
                            <a:prstGeom prst="mathMinus">
                              <a:avLst/>
                            </a:prstGeom>
                            <a:solidFill>
                              <a:srgbClr val="008000"/>
                            </a:solidFill>
                            <a:ln>
                              <a:solidFill>
                                <a:srgbClr val="008000"/>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1600">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54" name="Elbow Connector 53"/>
                            <a:cNvCxnSpPr>
                              <a:stCxn id="26" idx="3"/>
                              <a:endCxn id="29" idx="1"/>
                            </a:cNvCxnSpPr>
                          </a:nvCxnSpPr>
                          <a:spPr>
                            <a:xfrm>
                              <a:off x="2816352" y="5623560"/>
                              <a:ext cx="1905000" cy="853440"/>
                            </a:xfrm>
                            <a:prstGeom prst="bentConnector3">
                              <a:avLst>
                                <a:gd name="adj1" fmla="val 500"/>
                              </a:avLst>
                            </a:prstGeom>
                            <a:ln w="15875">
                              <a:solidFill>
                                <a:schemeClr val="tx1"/>
                              </a:solidFill>
                              <a:headEnd type="oval"/>
                              <a:tailEnd type="triangle" w="lg" len="lg"/>
                            </a:ln>
                          </a:spPr>
                          <a:style>
                            <a:lnRef idx="1">
                              <a:schemeClr val="accent1"/>
                            </a:lnRef>
                            <a:fillRef idx="0">
                              <a:schemeClr val="accent1"/>
                            </a:fillRef>
                            <a:effectRef idx="0">
                              <a:schemeClr val="accent1"/>
                            </a:effectRef>
                            <a:fontRef idx="minor">
                              <a:schemeClr val="tx1"/>
                            </a:fontRef>
                          </a:style>
                        </a:cxnSp>
                        <a:sp>
                          <a:nvSpPr>
                            <a:cNvPr id="55" name="Oval 54"/>
                            <a:cNvSpPr/>
                          </a:nvSpPr>
                          <a:spPr>
                            <a:xfrm>
                              <a:off x="4596384" y="4023360"/>
                              <a:ext cx="1009650" cy="914400"/>
                            </a:xfrm>
                            <a:prstGeom prst="ellipse">
                              <a:avLst/>
                            </a:prstGeom>
                            <a:noFill/>
                            <a:ln w="82550" cmpd="tri">
                              <a:gradFill flip="none" rotWithShape="1">
                                <a:gsLst>
                                  <a:gs pos="0">
                                    <a:srgbClr val="A603AB"/>
                                  </a:gs>
                                  <a:gs pos="21001">
                                    <a:srgbClr val="0819FB"/>
                                  </a:gs>
                                  <a:gs pos="35001">
                                    <a:srgbClr val="1A8D48"/>
                                  </a:gs>
                                  <a:gs pos="52000">
                                    <a:srgbClr val="FFFF00"/>
                                  </a:gs>
                                  <a:gs pos="73000">
                                    <a:srgbClr val="EE3F17"/>
                                  </a:gs>
                                  <a:gs pos="88000">
                                    <a:srgbClr val="E81766"/>
                                  </a:gs>
                                  <a:gs pos="100000">
                                    <a:srgbClr val="A603AB"/>
                                  </a:gs>
                                </a:gsLst>
                                <a:lin ang="5400000" scaled="1"/>
                                <a:tileRect/>
                              </a:gradFill>
                              <a:prstDash val="sysDot"/>
                            </a:ln>
                            <a:effectLst>
                              <a:innerShdw blurRad="63500" dist="50800" dir="13500000">
                                <a:prstClr val="black">
                                  <a:alpha val="50000"/>
                                </a:prstClr>
                              </a:innerShdw>
                            </a:effectLst>
                            <a:scene3d>
                              <a:camera prst="orthographicFront">
                                <a:rot lat="0" lon="0" rev="0"/>
                              </a:camera>
                              <a:lightRig rig="threePt" dir="t"/>
                            </a:scene3d>
                            <a:sp3d>
                              <a:bevelT/>
                              <a:bevelB prst="relaxedInset"/>
                            </a:sp3d>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1600">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56" name="Oval 55"/>
                            <a:cNvSpPr/>
                          </a:nvSpPr>
                          <a:spPr>
                            <a:xfrm>
                              <a:off x="6044184" y="1688592"/>
                              <a:ext cx="1009650" cy="877824"/>
                            </a:xfrm>
                            <a:prstGeom prst="ellipse">
                              <a:avLst/>
                            </a:prstGeom>
                            <a:noFill/>
                            <a:ln w="82550" cmpd="tri">
                              <a:gradFill flip="none" rotWithShape="1">
                                <a:gsLst>
                                  <a:gs pos="0">
                                    <a:srgbClr val="A603AB"/>
                                  </a:gs>
                                  <a:gs pos="21001">
                                    <a:srgbClr val="0819FB"/>
                                  </a:gs>
                                  <a:gs pos="35001">
                                    <a:srgbClr val="1A8D48"/>
                                  </a:gs>
                                  <a:gs pos="52000">
                                    <a:srgbClr val="FFFF00"/>
                                  </a:gs>
                                  <a:gs pos="73000">
                                    <a:srgbClr val="EE3F17"/>
                                  </a:gs>
                                  <a:gs pos="88000">
                                    <a:srgbClr val="E81766"/>
                                  </a:gs>
                                  <a:gs pos="100000">
                                    <a:srgbClr val="A603AB"/>
                                  </a:gs>
                                </a:gsLst>
                                <a:lin ang="5400000" scaled="1"/>
                                <a:tileRect/>
                              </a:gradFill>
                              <a:prstDash val="sysDot"/>
                            </a:ln>
                            <a:effectLst>
                              <a:innerShdw blurRad="63500" dist="50800" dir="13500000">
                                <a:prstClr val="black">
                                  <a:alpha val="50000"/>
                                </a:prstClr>
                              </a:innerShdw>
                            </a:effectLst>
                            <a:scene3d>
                              <a:camera prst="orthographicFront">
                                <a:rot lat="0" lon="0" rev="0"/>
                              </a:camera>
                              <a:lightRig rig="threePt" dir="t"/>
                            </a:scene3d>
                            <a:sp3d>
                              <a:bevelT/>
                              <a:bevelB prst="relaxedInset"/>
                            </a:sp3d>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1600">
                                  <a:latin typeface="Times New Roman" pitchFamily="18" charset="0"/>
                                  <a:cs typeface="Times New Roman" pitchFamily="18" charset="0"/>
                                </a:endParaRPr>
                              </a:p>
                            </a:txBody>
                            <a:useSpRect/>
                          </a:txSp>
                          <a:style>
                            <a:lnRef idx="2">
                              <a:schemeClr val="accent1">
                                <a:shade val="50000"/>
                              </a:schemeClr>
                            </a:lnRef>
                            <a:fillRef idx="1">
                              <a:schemeClr val="accent1"/>
                            </a:fillRef>
                            <a:effectRef idx="0">
                              <a:schemeClr val="accent1"/>
                            </a:effectRef>
                            <a:fontRef idx="minor">
                              <a:schemeClr val="lt1"/>
                            </a:fontRef>
                          </a:style>
                        </a:sp>
                      </a:grpSp>
                      <a:sp>
                        <a:nvSpPr>
                          <a:cNvPr id="60" name="TextBox 59"/>
                          <a:cNvSpPr txBox="1"/>
                        </a:nvSpPr>
                        <a:spPr>
                          <a:xfrm>
                            <a:off x="2130552" y="1294320"/>
                            <a:ext cx="2057400" cy="830997"/>
                          </a:xfrm>
                          <a:prstGeom prst="rect">
                            <a:avLst/>
                          </a:prstGeom>
                          <a:noFill/>
                          <a:ln>
                            <a:no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1600" dirty="0" smtClean="0">
                                  <a:latin typeface="Times New Roman" pitchFamily="18" charset="0"/>
                                  <a:cs typeface="Times New Roman" pitchFamily="18" charset="0"/>
                                </a:rPr>
                                <a:t>1 - 2 </a:t>
                              </a:r>
                              <a:r>
                                <a:rPr lang="en-US" sz="1600" dirty="0" err="1" smtClean="0">
                                  <a:latin typeface="Times New Roman" pitchFamily="18" charset="0"/>
                                  <a:cs typeface="Times New Roman" pitchFamily="18" charset="0"/>
                                </a:rPr>
                                <a:t>MeV</a:t>
                              </a:r>
                              <a:r>
                                <a:rPr lang="en-US" sz="1600" dirty="0" smtClean="0">
                                  <a:latin typeface="Times New Roman" pitchFamily="18" charset="0"/>
                                  <a:cs typeface="Times New Roman" pitchFamily="18" charset="0"/>
                                </a:rPr>
                                <a:t>: 20 </a:t>
                              </a:r>
                              <a:r>
                                <a:rPr lang="en-US" sz="1600" dirty="0" err="1" smtClean="0">
                                  <a:latin typeface="Times New Roman" pitchFamily="18" charset="0"/>
                                  <a:cs typeface="Times New Roman" pitchFamily="18" charset="0"/>
                                </a:rPr>
                                <a:t>mb</a:t>
                              </a:r>
                              <a:endParaRPr lang="en-US" sz="1600" dirty="0" smtClean="0">
                                <a:latin typeface="Times New Roman" pitchFamily="18" charset="0"/>
                                <a:cs typeface="Times New Roman" pitchFamily="18" charset="0"/>
                              </a:endParaRPr>
                            </a:p>
                            <a:p>
                              <a:pPr algn="ctr"/>
                              <a:r>
                                <a:rPr lang="en-US" sz="1600" dirty="0" smtClean="0">
                                  <a:latin typeface="Times New Roman" pitchFamily="18" charset="0"/>
                                  <a:cs typeface="Times New Roman" pitchFamily="18" charset="0"/>
                                </a:rPr>
                                <a:t>2 - 4 </a:t>
                              </a:r>
                              <a:r>
                                <a:rPr lang="en-US" sz="1600" dirty="0" err="1" smtClean="0">
                                  <a:latin typeface="Times New Roman" pitchFamily="18" charset="0"/>
                                  <a:cs typeface="Times New Roman" pitchFamily="18" charset="0"/>
                                </a:rPr>
                                <a:t>MeV</a:t>
                              </a:r>
                              <a:r>
                                <a:rPr lang="en-US" sz="1600" dirty="0" smtClean="0">
                                  <a:latin typeface="Times New Roman" pitchFamily="18" charset="0"/>
                                  <a:cs typeface="Times New Roman" pitchFamily="18" charset="0"/>
                                </a:rPr>
                                <a:t>: 85 </a:t>
                              </a:r>
                              <a:r>
                                <a:rPr lang="en-US" sz="1600" dirty="0" err="1" smtClean="0">
                                  <a:latin typeface="Times New Roman" pitchFamily="18" charset="0"/>
                                  <a:cs typeface="Times New Roman" pitchFamily="18" charset="0"/>
                                </a:rPr>
                                <a:t>mb</a:t>
                              </a:r>
                              <a:endParaRPr lang="en-US" sz="1600" dirty="0" smtClean="0">
                                <a:latin typeface="Times New Roman" pitchFamily="18" charset="0"/>
                                <a:cs typeface="Times New Roman" pitchFamily="18" charset="0"/>
                              </a:endParaRPr>
                            </a:p>
                            <a:p>
                              <a:pPr algn="ctr"/>
                              <a:r>
                                <a:rPr lang="en-US" sz="1600" dirty="0" smtClean="0">
                                  <a:latin typeface="Times New Roman" pitchFamily="18" charset="0"/>
                                  <a:cs typeface="Times New Roman" pitchFamily="18" charset="0"/>
                                </a:rPr>
                                <a:t>4 - 10 </a:t>
                              </a:r>
                              <a:r>
                                <a:rPr lang="en-US" sz="1600" dirty="0" err="1" smtClean="0">
                                  <a:latin typeface="Times New Roman" pitchFamily="18" charset="0"/>
                                  <a:cs typeface="Times New Roman" pitchFamily="18" charset="0"/>
                                </a:rPr>
                                <a:t>MeV</a:t>
                              </a:r>
                              <a:r>
                                <a:rPr lang="en-US" sz="1600" dirty="0" smtClean="0">
                                  <a:latin typeface="Times New Roman" pitchFamily="18" charset="0"/>
                                  <a:cs typeface="Times New Roman" pitchFamily="18" charset="0"/>
                                </a:rPr>
                                <a:t>: 10 </a:t>
                              </a:r>
                              <a:r>
                                <a:rPr lang="en-US" sz="1600" dirty="0" err="1" smtClean="0">
                                  <a:latin typeface="Times New Roman" pitchFamily="18" charset="0"/>
                                  <a:cs typeface="Times New Roman" pitchFamily="18" charset="0"/>
                                </a:rPr>
                                <a:t>mb</a:t>
                              </a:r>
                              <a:endParaRPr lang="en-US" sz="1600" dirty="0">
                                <a:latin typeface="Times New Roman" pitchFamily="18" charset="0"/>
                                <a:cs typeface="Times New Roman" pitchFamily="18" charset="0"/>
                              </a:endParaRPr>
                            </a:p>
                          </a:txBody>
                          <a:useSpRect/>
                        </a:txSp>
                      </a:sp>
                      <a:sp>
                        <a:nvSpPr>
                          <a:cNvPr id="61" name="TextBox 60"/>
                          <a:cNvSpPr txBox="1"/>
                        </a:nvSpPr>
                        <a:spPr>
                          <a:xfrm>
                            <a:off x="6858000" y="1371600"/>
                            <a:ext cx="762000" cy="338554"/>
                          </a:xfrm>
                          <a:prstGeom prst="rect">
                            <a:avLst/>
                          </a:prstGeom>
                          <a:noFill/>
                          <a:ln>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1600" dirty="0" smtClean="0">
                                  <a:latin typeface="Times New Roman" pitchFamily="18" charset="0"/>
                                  <a:cs typeface="Times New Roman" pitchFamily="18" charset="0"/>
                                </a:rPr>
                                <a:t>0.8 sec</a:t>
                              </a:r>
                              <a:endParaRPr lang="en-US" sz="1600" dirty="0">
                                <a:latin typeface="Times New Roman" pitchFamily="18" charset="0"/>
                                <a:cs typeface="Times New Roman" pitchFamily="18" charset="0"/>
                              </a:endParaRPr>
                            </a:p>
                          </a:txBody>
                          <a:useSpRect/>
                        </a:txSp>
                      </a:sp>
                      <a:sp>
                        <a:nvSpPr>
                          <a:cNvPr id="62" name="TextBox 61"/>
                          <a:cNvSpPr txBox="1"/>
                        </a:nvSpPr>
                        <a:spPr>
                          <a:xfrm>
                            <a:off x="5257800" y="3657600"/>
                            <a:ext cx="911352" cy="338554"/>
                          </a:xfrm>
                          <a:prstGeom prst="rect">
                            <a:avLst/>
                          </a:prstGeom>
                          <a:noFill/>
                          <a:ln>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1600" dirty="0" smtClean="0">
                                  <a:latin typeface="Times New Roman" pitchFamily="18" charset="0"/>
                                  <a:cs typeface="Times New Roman" pitchFamily="18" charset="0"/>
                                </a:rPr>
                                <a:t>12.33 yr</a:t>
                              </a:r>
                              <a:endParaRPr lang="en-US" sz="1600" dirty="0">
                                <a:latin typeface="Times New Roman" pitchFamily="18" charset="0"/>
                                <a:cs typeface="Times New Roman" pitchFamily="18" charset="0"/>
                              </a:endParaRPr>
                            </a:p>
                          </a:txBody>
                          <a:useSpRect/>
                        </a:txSp>
                      </a:sp>
                      <a:sp>
                        <a:nvSpPr>
                          <a:cNvPr id="63" name="TextBox 62"/>
                          <a:cNvSpPr txBox="1"/>
                        </a:nvSpPr>
                        <a:spPr>
                          <a:xfrm>
                            <a:off x="3276600" y="5666232"/>
                            <a:ext cx="911352" cy="338554"/>
                          </a:xfrm>
                          <a:prstGeom prst="rect">
                            <a:avLst/>
                          </a:prstGeom>
                          <a:solidFill>
                            <a:srgbClr val="FFFF00"/>
                          </a:solidFill>
                          <a:ln w="15875">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1600" b="1" dirty="0" smtClean="0">
                                  <a:latin typeface="Times New Roman" pitchFamily="18" charset="0"/>
                                  <a:cs typeface="Times New Roman" pitchFamily="18" charset="0"/>
                                </a:rPr>
                                <a:t>5327 b</a:t>
                              </a:r>
                              <a:endParaRPr lang="en-US" sz="1600" b="1" dirty="0">
                                <a:latin typeface="Times New Roman" pitchFamily="18" charset="0"/>
                                <a:cs typeface="Times New Roman" pitchFamily="18" charset="0"/>
                              </a:endParaRPr>
                            </a:p>
                          </a:txBody>
                          <a:useSpRect/>
                        </a:txSp>
                      </a:sp>
                      <a:sp>
                        <a:nvSpPr>
                          <a:cNvPr id="64" name="TextBox 63"/>
                          <a:cNvSpPr txBox="1"/>
                        </a:nvSpPr>
                        <a:spPr>
                          <a:xfrm>
                            <a:off x="3276600" y="6111536"/>
                            <a:ext cx="911352" cy="338554"/>
                          </a:xfrm>
                          <a:prstGeom prst="rect">
                            <a:avLst/>
                          </a:prstGeom>
                          <a:noFill/>
                          <a:ln>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1600" dirty="0" smtClean="0">
                                  <a:latin typeface="Times New Roman" pitchFamily="18" charset="0"/>
                                  <a:cs typeface="Times New Roman" pitchFamily="18" charset="0"/>
                                </a:rPr>
                                <a:t>0.05 </a:t>
                              </a:r>
                              <a:r>
                                <a:rPr lang="en-US" sz="1600" dirty="0" err="1" smtClean="0">
                                  <a:latin typeface="Times New Roman" pitchFamily="18" charset="0"/>
                                  <a:cs typeface="Times New Roman" pitchFamily="18" charset="0"/>
                                </a:rPr>
                                <a:t>mb</a:t>
                              </a:r>
                              <a:endParaRPr lang="en-US" sz="1600" dirty="0">
                                <a:latin typeface="Times New Roman" pitchFamily="18" charset="0"/>
                                <a:cs typeface="Times New Roman" pitchFamily="18" charset="0"/>
                              </a:endParaRPr>
                            </a:p>
                          </a:txBody>
                          <a:useSpRect/>
                        </a:txSp>
                      </a:sp>
                      <a:sp>
                        <a:nvSpPr>
                          <a:cNvPr id="70" name="TextBox 69"/>
                          <a:cNvSpPr txBox="1"/>
                        </a:nvSpPr>
                        <a:spPr>
                          <a:xfrm>
                            <a:off x="2667000" y="2743200"/>
                            <a:ext cx="762000" cy="338554"/>
                          </a:xfrm>
                          <a:prstGeom prst="rect">
                            <a:avLst/>
                          </a:prstGeom>
                          <a:solidFill>
                            <a:srgbClr val="FFFF00"/>
                          </a:solidFill>
                          <a:ln w="15875">
                            <a:solidFill>
                              <a:schemeClr val="tx1"/>
                            </a:solidFill>
                          </a:ln>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1600" b="1" dirty="0" smtClean="0">
                                  <a:latin typeface="Times New Roman" pitchFamily="18" charset="0"/>
                                  <a:cs typeface="Times New Roman" pitchFamily="18" charset="0"/>
                                </a:rPr>
                                <a:t>950 b</a:t>
                              </a:r>
                              <a:endParaRPr lang="en-US" sz="1600" b="1" dirty="0">
                                <a:latin typeface="Times New Roman" pitchFamily="18" charset="0"/>
                                <a:cs typeface="Times New Roman" pitchFamily="18" charset="0"/>
                              </a:endParaRPr>
                            </a:p>
                          </a:txBody>
                          <a:useSpRect/>
                        </a:txSp>
                      </a:sp>
                    </a:grpSp>
                  </a:grpSp>
                </lc:lockedCanvas>
              </a:graphicData>
            </a:graphic>
          </wp:inline>
        </w:drawing>
      </w:r>
    </w:p>
    <w:p w:rsidR="004D0F3F" w:rsidRPr="004D0F3F" w:rsidRDefault="003261D2" w:rsidP="004D0F3F">
      <w:pPr>
        <w:pStyle w:val="Caption"/>
        <w:spacing w:after="0"/>
      </w:pPr>
      <w:bookmarkStart w:id="225" w:name="_Ref285536461"/>
      <w:bookmarkStart w:id="226" w:name="_Toc295818228"/>
      <w:proofErr w:type="gramStart"/>
      <w:r>
        <w:t xml:space="preserve">Figure </w:t>
      </w:r>
      <w:r w:rsidR="007511FA">
        <w:fldChar w:fldCharType="begin"/>
      </w:r>
      <w:r w:rsidR="00AE17F8">
        <w:instrText xml:space="preserve"> STYLEREF 1 \s </w:instrText>
      </w:r>
      <w:r w:rsidR="007511FA">
        <w:fldChar w:fldCharType="separate"/>
      </w:r>
      <w:r w:rsidR="00D5167B">
        <w:rPr>
          <w:noProof/>
        </w:rPr>
        <w:t>6</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1</w:t>
      </w:r>
      <w:r w:rsidR="007511FA">
        <w:fldChar w:fldCharType="end"/>
      </w:r>
      <w:bookmarkEnd w:id="225"/>
      <w:r w:rsidR="00E01527" w:rsidRPr="0024454A">
        <w:t xml:space="preserve">.  </w:t>
      </w:r>
      <w:proofErr w:type="gramStart"/>
      <w:r w:rsidR="00E01527" w:rsidRPr="0024454A">
        <w:t xml:space="preserve">Transmutation path leading to </w:t>
      </w:r>
      <w:r w:rsidR="00E01527">
        <w:t>poison and tritium</w:t>
      </w:r>
      <w:r w:rsidR="00E01527" w:rsidRPr="0024454A">
        <w:t xml:space="preserve"> buildup in the beryllium reflector.</w:t>
      </w:r>
      <w:bookmarkEnd w:id="226"/>
      <w:proofErr w:type="gramEnd"/>
      <w:r w:rsidR="004D0F3F">
        <w:br w:type="page"/>
      </w:r>
    </w:p>
    <w:p w:rsidR="00B32466" w:rsidRPr="00671F1E" w:rsidRDefault="00B32466" w:rsidP="00B32466">
      <w:pPr>
        <w:rPr>
          <w:vertAlign w:val="superscript"/>
        </w:rPr>
      </w:pPr>
      <w:r w:rsidRPr="00671F1E">
        <w:lastRenderedPageBreak/>
        <w:t>Other transmutation concerns are those leading to radioactive isotopes.  Natural uranium is an impurity present in beryllium and since a high neutron flux exists in the beryllium reflector, the production of transuranic nuclides (Z &gt; 92) and fission products (</w:t>
      </w:r>
      <w:r w:rsidRPr="00671F1E">
        <w:rPr>
          <w:vertAlign w:val="superscript"/>
        </w:rPr>
        <w:t>137</w:t>
      </w:r>
      <w:r w:rsidRPr="00671F1E">
        <w:t xml:space="preserve">Cs, </w:t>
      </w:r>
      <w:r w:rsidRPr="00671F1E">
        <w:rPr>
          <w:vertAlign w:val="superscript"/>
        </w:rPr>
        <w:t>90</w:t>
      </w:r>
      <w:r w:rsidRPr="00671F1E">
        <w:t xml:space="preserve">Sr, </w:t>
      </w:r>
      <w:r w:rsidRPr="00671F1E">
        <w:rPr>
          <w:vertAlign w:val="superscript"/>
        </w:rPr>
        <w:t>85</w:t>
      </w:r>
      <w:r w:rsidRPr="00671F1E">
        <w:t xml:space="preserve">Kr, and etc.) is a concern.  Natural uranium consists of </w:t>
      </w:r>
      <w:r w:rsidRPr="00671F1E">
        <w:rPr>
          <w:vertAlign w:val="superscript"/>
        </w:rPr>
        <w:t>234</w:t>
      </w:r>
      <w:r w:rsidRPr="00671F1E">
        <w:t xml:space="preserve">U (0.005 wt. %), </w:t>
      </w:r>
      <w:r w:rsidRPr="00671F1E">
        <w:rPr>
          <w:vertAlign w:val="superscript"/>
        </w:rPr>
        <w:t>235</w:t>
      </w:r>
      <w:r w:rsidRPr="00671F1E">
        <w:t xml:space="preserve">U (0.711 wt. %), and </w:t>
      </w:r>
      <w:r w:rsidRPr="00671F1E">
        <w:rPr>
          <w:vertAlign w:val="superscript"/>
        </w:rPr>
        <w:t>238</w:t>
      </w:r>
      <w:r w:rsidRPr="00671F1E">
        <w:t xml:space="preserve">U (99.284 wt. %) </w:t>
      </w:r>
      <w:r w:rsidR="007511FA">
        <w:fldChar w:fldCharType="begin"/>
      </w:r>
      <w:r w:rsidR="00C67546">
        <w:instrText xml:space="preserve"> REF _Ref285636676 \n \h </w:instrText>
      </w:r>
      <w:r w:rsidR="007511FA">
        <w:fldChar w:fldCharType="separate"/>
      </w:r>
      <w:r w:rsidR="00D5167B">
        <w:t>[55]</w:t>
      </w:r>
      <w:r w:rsidR="007511FA">
        <w:fldChar w:fldCharType="end"/>
      </w:r>
      <w:r w:rsidRPr="00671F1E">
        <w:t xml:space="preserve">. </w:t>
      </w:r>
      <w:r>
        <w:t xml:space="preserve"> </w:t>
      </w:r>
      <w:r w:rsidRPr="00671F1E">
        <w:t xml:space="preserve">The uranium located in the beryllium reflector can transmute into heavier isotopes via neutron absorption and most of these heavy isotopes decay by emitting alpha and beta radiation.  Thus, there is a potential for the HFIR reflectors to become transuranic waste.  The primary nuclear reaction chain leading to transuranic isotopes from the </w:t>
      </w:r>
      <w:r w:rsidR="003261D2">
        <w:t xml:space="preserve">uranium impurity is shown in </w:t>
      </w:r>
      <w:r w:rsidR="007511FA">
        <w:fldChar w:fldCharType="begin"/>
      </w:r>
      <w:r w:rsidR="003261D2">
        <w:instrText xml:space="preserve"> REF _Ref285536536 \h </w:instrText>
      </w:r>
      <w:r w:rsidR="007511FA">
        <w:fldChar w:fldCharType="separate"/>
      </w:r>
      <w:r w:rsidR="00D5167B">
        <w:t xml:space="preserve">Figure </w:t>
      </w:r>
      <w:r w:rsidR="00D5167B">
        <w:rPr>
          <w:noProof/>
        </w:rPr>
        <w:t>6</w:t>
      </w:r>
      <w:r w:rsidR="00D5167B">
        <w:t>.</w:t>
      </w:r>
      <w:r w:rsidR="00D5167B">
        <w:rPr>
          <w:noProof/>
        </w:rPr>
        <w:t>2</w:t>
      </w:r>
      <w:r w:rsidR="007511FA">
        <w:fldChar w:fldCharType="end"/>
      </w:r>
      <w:r w:rsidR="00C67546">
        <w:t xml:space="preserve"> </w:t>
      </w:r>
      <w:r w:rsidR="007511FA">
        <w:fldChar w:fldCharType="begin"/>
      </w:r>
      <w:r w:rsidR="00C67546">
        <w:instrText xml:space="preserve"> REF _Ref285637669 \n \h </w:instrText>
      </w:r>
      <w:r w:rsidR="007511FA">
        <w:fldChar w:fldCharType="separate"/>
      </w:r>
      <w:r w:rsidR="00D5167B">
        <w:t>[81]</w:t>
      </w:r>
      <w:r w:rsidR="007511FA">
        <w:fldChar w:fldCharType="end"/>
      </w:r>
      <w:r w:rsidRPr="00671F1E">
        <w:t>.</w:t>
      </w:r>
    </w:p>
    <w:p w:rsidR="00B32466" w:rsidRDefault="00B32466" w:rsidP="00B32466">
      <w:r w:rsidRPr="00671F1E">
        <w:t xml:space="preserve">In addition, aluminum parts including, but not limited to experiment position liners, flanges, locking plates, and screws are incorporated in and disposed with the beryllium reflector regions.  Neutron activation of aluminum as well as the impurities associated with both beryllium and aluminum (magnesium, silicon, iron, titanium, nickel, tin, vanadium, sodium, chlorine, and etc.) produces radioactive isotopes such as </w:t>
      </w:r>
      <w:r w:rsidRPr="00671F1E">
        <w:rPr>
          <w:vertAlign w:val="superscript"/>
        </w:rPr>
        <w:t>55</w:t>
      </w:r>
      <w:r w:rsidRPr="00671F1E">
        <w:t xml:space="preserve">Fe, </w:t>
      </w:r>
      <w:r w:rsidRPr="00671F1E">
        <w:rPr>
          <w:vertAlign w:val="superscript"/>
        </w:rPr>
        <w:t>60</w:t>
      </w:r>
      <w:r w:rsidRPr="00671F1E">
        <w:t xml:space="preserve">Co, </w:t>
      </w:r>
      <w:r w:rsidRPr="00671F1E">
        <w:rPr>
          <w:vertAlign w:val="superscript"/>
        </w:rPr>
        <w:t>14</w:t>
      </w:r>
      <w:r w:rsidRPr="00671F1E">
        <w:t xml:space="preserve">C, and </w:t>
      </w:r>
      <w:r w:rsidRPr="00671F1E">
        <w:rPr>
          <w:vertAlign w:val="superscript"/>
        </w:rPr>
        <w:t>63</w:t>
      </w:r>
      <w:r w:rsidRPr="00671F1E">
        <w:t>Ni.</w:t>
      </w:r>
    </w:p>
    <w:p w:rsidR="003261D2" w:rsidRDefault="003261D2" w:rsidP="00B32466"/>
    <w:p w:rsidR="003261D2" w:rsidRPr="0024454A" w:rsidRDefault="003261D2" w:rsidP="003261D2">
      <w:pPr>
        <w:pStyle w:val="Heading3"/>
      </w:pPr>
      <w:bookmarkStart w:id="227" w:name="_Toc295818139"/>
      <w:r>
        <w:t>Startup Procedure</w:t>
      </w:r>
      <w:bookmarkEnd w:id="227"/>
    </w:p>
    <w:p w:rsidR="003261D2" w:rsidRDefault="003261D2" w:rsidP="003261D2">
      <w:r w:rsidRPr="003F495F">
        <w:t xml:space="preserve">HFIR fuel cycle 407 ended on January 13, 2006 and cycle 408 began on May 13, 2007.  The 484 day outage was due to the conversion of horizontal beam tube number four from a 30-m small angle neutron scattering facility to a high performance hydrogen cold source.  The estimated symmetrical critical control element position (ESCCEP) for the startup of </w:t>
      </w:r>
      <w:r>
        <w:t xml:space="preserve">cycle </w:t>
      </w:r>
      <w:r w:rsidR="00C67546">
        <w:t xml:space="preserve">408 was 18.656 inches </w:t>
      </w:r>
      <w:r w:rsidR="007511FA">
        <w:fldChar w:fldCharType="begin"/>
      </w:r>
      <w:r w:rsidR="00C67546">
        <w:instrText xml:space="preserve"> REF _Ref285637677 \n \h </w:instrText>
      </w:r>
      <w:r w:rsidR="007511FA">
        <w:fldChar w:fldCharType="separate"/>
      </w:r>
      <w:r w:rsidR="00D5167B">
        <w:t>[82]</w:t>
      </w:r>
      <w:r w:rsidR="007511FA">
        <w:fldChar w:fldCharType="end"/>
      </w:r>
      <w:r w:rsidRPr="003F495F">
        <w:t xml:space="preserve">.  During the startup of cycle 408 the difference between the estimated and actual symmetrical positions exceeded $1.55 requiring a pause in reactor startup.  </w:t>
      </w:r>
      <w:r>
        <w:t xml:space="preserve">If the </w:t>
      </w:r>
      <w:r w:rsidRPr="003F495F">
        <w:t xml:space="preserve">reactivity difference </w:t>
      </w:r>
      <w:r>
        <w:t>between actual and calculated startup equals or exceeds</w:t>
      </w:r>
      <w:r w:rsidRPr="003F495F">
        <w:t xml:space="preserve"> $1.55, approximately equal to 0.5 inches in control element position at startup, </w:t>
      </w:r>
      <w:r>
        <w:t xml:space="preserve">the startup procedure is suspended and </w:t>
      </w:r>
      <w:r w:rsidRPr="003F495F">
        <w:t xml:space="preserve">a technical evaluation is performed to resolve the discrepancy prior to a restart.  Following the pause in the approach to critical, the ESCCEP was reexamined and it was </w:t>
      </w:r>
      <w:r w:rsidRPr="003F495F">
        <w:lastRenderedPageBreak/>
        <w:t xml:space="preserve">determined that the reactivity attributed to shutdown </w:t>
      </w:r>
      <w:r w:rsidRPr="003F495F">
        <w:rPr>
          <w:vertAlign w:val="superscript"/>
        </w:rPr>
        <w:t>3</w:t>
      </w:r>
      <w:r w:rsidRPr="003F495F">
        <w:t>He poison was too large using the current methodology.</w:t>
      </w:r>
    </w:p>
    <w:p w:rsidR="003261D2" w:rsidRPr="003F495F" w:rsidRDefault="003261D2" w:rsidP="003261D2">
      <w:r w:rsidRPr="003F495F">
        <w:t xml:space="preserve">The actual symmetrical critical control element position (ASCCEP) for the startup of cycle 408 was 18.090 inches, a difference of 0.566 inches from the </w:t>
      </w:r>
      <w:r>
        <w:t>estimated startup position</w:t>
      </w:r>
      <w:r w:rsidRPr="003F495F">
        <w:t xml:space="preserve">.  The incorrect prediction of the ASCCEP for cycle 408 due to an incorrect prediction in the </w:t>
      </w:r>
      <w:r w:rsidRPr="003F495F">
        <w:rPr>
          <w:vertAlign w:val="superscript"/>
        </w:rPr>
        <w:t>3</w:t>
      </w:r>
      <w:r w:rsidRPr="003F495F">
        <w:t xml:space="preserve">He poisoning effect is the motivation behind developing a better </w:t>
      </w:r>
      <w:r w:rsidRPr="003F495F">
        <w:rPr>
          <w:vertAlign w:val="superscript"/>
        </w:rPr>
        <w:t>3</w:t>
      </w:r>
      <w:r w:rsidRPr="003F495F">
        <w:t xml:space="preserve">He poisoning correlation.  </w:t>
      </w:r>
      <w:r>
        <w:t>Helium-3</w:t>
      </w:r>
      <w:r w:rsidRPr="003F495F">
        <w:t xml:space="preserve"> buildup effects have been studied for other beryllium reflected reactors such as the MARIA reactor at the Institute of Atomic Energy in Poland</w:t>
      </w:r>
      <w:r w:rsidR="00C67546">
        <w:t xml:space="preserve"> </w:t>
      </w:r>
      <w:r w:rsidR="007511FA">
        <w:fldChar w:fldCharType="begin"/>
      </w:r>
      <w:r w:rsidR="00C67546">
        <w:instrText xml:space="preserve"> REF _Ref285637689 \n \h </w:instrText>
      </w:r>
      <w:r w:rsidR="007511FA">
        <w:fldChar w:fldCharType="separate"/>
      </w:r>
      <w:r w:rsidR="00D5167B">
        <w:t>[83]</w:t>
      </w:r>
      <w:r w:rsidR="007511FA">
        <w:fldChar w:fldCharType="end"/>
      </w:r>
      <w:r w:rsidRPr="003F495F">
        <w:t xml:space="preserve"> and the Belgium Reactor 2 (BR2) located at SCK-CEN in Belgium</w:t>
      </w:r>
      <w:r w:rsidR="00C67546">
        <w:t xml:space="preserve"> </w:t>
      </w:r>
      <w:r w:rsidR="007511FA">
        <w:fldChar w:fldCharType="begin"/>
      </w:r>
      <w:r w:rsidR="00C67546">
        <w:instrText xml:space="preserve"> REF _Ref285637698 \n \h </w:instrText>
      </w:r>
      <w:r w:rsidR="007511FA">
        <w:fldChar w:fldCharType="separate"/>
      </w:r>
      <w:r w:rsidR="00D5167B">
        <w:t>[84]</w:t>
      </w:r>
      <w:r w:rsidR="007511FA">
        <w:fldChar w:fldCharType="end"/>
      </w:r>
      <w:r w:rsidRPr="003F495F">
        <w:t>.</w:t>
      </w:r>
    </w:p>
    <w:p w:rsidR="003261D2" w:rsidRDefault="003261D2" w:rsidP="003261D2">
      <w:r w:rsidRPr="003F495F">
        <w:t xml:space="preserve">The current methodology for calculating the change </w:t>
      </w:r>
      <w:r>
        <w:t>in</w:t>
      </w:r>
      <w:r w:rsidRPr="003F495F">
        <w:t xml:space="preserve"> symmetrical critical control element position with respect to a reference cycle, typically the cycle prior to the current cycle</w:t>
      </w:r>
      <w:r>
        <w:t xml:space="preserve"> (</w:t>
      </w:r>
      <w:r w:rsidRPr="003F495F">
        <w:t>ΔR</w:t>
      </w:r>
      <w:r>
        <w:t>),</w:t>
      </w:r>
      <w:r w:rsidRPr="003F495F">
        <w:t xml:space="preserve"> associated with </w:t>
      </w:r>
      <w:r w:rsidRPr="003F495F">
        <w:rPr>
          <w:vertAlign w:val="superscript"/>
        </w:rPr>
        <w:t>3</w:t>
      </w:r>
      <w:r w:rsidRPr="003F495F">
        <w:t xml:space="preserve">He buildup is shown in </w:t>
      </w:r>
      <w:r w:rsidR="007511FA">
        <w:fldChar w:fldCharType="begin"/>
      </w:r>
      <w:r>
        <w:instrText xml:space="preserve"> REF _Ref285536622 \h </w:instrText>
      </w:r>
      <w:r w:rsidR="007511FA">
        <w:fldChar w:fldCharType="separate"/>
      </w:r>
      <w:r w:rsidR="00D5167B">
        <w:t xml:space="preserve">Equation </w:t>
      </w:r>
      <w:r w:rsidR="00D5167B">
        <w:rPr>
          <w:noProof/>
        </w:rPr>
        <w:t>6</w:t>
      </w:r>
      <w:r w:rsidR="00D5167B">
        <w:t>.</w:t>
      </w:r>
      <w:r w:rsidR="00D5167B">
        <w:rPr>
          <w:noProof/>
        </w:rPr>
        <w:t>8</w:t>
      </w:r>
      <w:r w:rsidR="007511FA">
        <w:fldChar w:fldCharType="end"/>
      </w:r>
      <w:r w:rsidRPr="003F495F">
        <w:t xml:space="preserve"> where </w:t>
      </w:r>
      <w:proofErr w:type="spellStart"/>
      <w:r w:rsidRPr="003F495F">
        <w:t>T</w:t>
      </w:r>
      <w:r w:rsidRPr="003F495F">
        <w:rPr>
          <w:vertAlign w:val="subscript"/>
        </w:rPr>
        <w:t>d</w:t>
      </w:r>
      <w:proofErr w:type="gramStart"/>
      <w:r w:rsidRPr="003F495F">
        <w:rPr>
          <w:vertAlign w:val="subscript"/>
        </w:rPr>
        <w:t>,C</w:t>
      </w:r>
      <w:proofErr w:type="spellEnd"/>
      <w:proofErr w:type="gramEnd"/>
      <w:r w:rsidRPr="003F495F">
        <w:t xml:space="preserve"> is the decay time on the reflector for the current cycle (outage time between the shutdown of previous cycle and the startup of the current cycle) and </w:t>
      </w:r>
      <w:proofErr w:type="spellStart"/>
      <w:r w:rsidRPr="003F495F">
        <w:t>T</w:t>
      </w:r>
      <w:r w:rsidRPr="003F495F">
        <w:rPr>
          <w:vertAlign w:val="subscript"/>
        </w:rPr>
        <w:t>d,R</w:t>
      </w:r>
      <w:proofErr w:type="spellEnd"/>
      <w:r w:rsidRPr="003F495F">
        <w:t xml:space="preserve"> is the decay time on the reflector for the previous cycle.  The value 0.0047 is a multiplicative factor used to convert from decay time to change in control element position and was obtained for the reactor when it operated at 100 MW</w:t>
      </w:r>
      <w:r w:rsidRPr="003F495F">
        <w:rPr>
          <w:vertAlign w:val="subscript"/>
        </w:rPr>
        <w:t>th</w:t>
      </w:r>
      <w:r w:rsidRPr="003F495F">
        <w:t xml:space="preserve"> and is based on measurements obtained for typical outages during the late 1960s (a couple days to a month).  If the current decay time is greater than the reference decay time the </w:t>
      </w:r>
      <w:r w:rsidRPr="003F495F">
        <w:rPr>
          <w:rFonts w:ascii="Calibri" w:hAnsi="Calibri"/>
        </w:rPr>
        <w:t>Δ</w:t>
      </w:r>
      <w:r w:rsidRPr="003F495F">
        <w:t xml:space="preserve">R value is positive and the control elements are </w:t>
      </w:r>
      <w:r>
        <w:t>withdrawn</w:t>
      </w:r>
      <w:r w:rsidRPr="003F495F">
        <w:t xml:space="preserve"> (due to a larger</w:t>
      </w:r>
      <w:r>
        <w:t xml:space="preserve">, </w:t>
      </w:r>
      <w:r w:rsidRPr="00FB2353">
        <w:rPr>
          <w:vertAlign w:val="superscript"/>
        </w:rPr>
        <w:t>3</w:t>
      </w:r>
      <w:r>
        <w:t>He induced,</w:t>
      </w:r>
      <w:r w:rsidRPr="003F495F">
        <w:t xml:space="preserve"> negative reactivity) and vice versa.</w:t>
      </w:r>
    </w:p>
    <w:p w:rsidR="003261D2" w:rsidRPr="003F495F" w:rsidRDefault="003261D2" w:rsidP="003261D2"/>
    <w:p w:rsidR="003261D2" w:rsidRDefault="003261D2" w:rsidP="004D0F3F">
      <w:pPr>
        <w:spacing w:line="240" w:lineRule="auto"/>
        <w:ind w:firstLine="0"/>
        <w:jc w:val="center"/>
      </w:pPr>
      <w:r w:rsidRPr="003F495F">
        <w:rPr>
          <w:rFonts w:ascii="Calibri" w:hAnsi="Calibri"/>
        </w:rPr>
        <w:t>Δ</w:t>
      </w:r>
      <w:r w:rsidRPr="003F495F">
        <w:t>R (inches) = 0.0047 (inches/day) [</w:t>
      </w:r>
      <w:proofErr w:type="spellStart"/>
      <w:r w:rsidRPr="003F495F">
        <w:t>T</w:t>
      </w:r>
      <w:r w:rsidRPr="003F495F">
        <w:rPr>
          <w:vertAlign w:val="subscript"/>
        </w:rPr>
        <w:t>d</w:t>
      </w:r>
      <w:proofErr w:type="gramStart"/>
      <w:r w:rsidRPr="003F495F">
        <w:rPr>
          <w:vertAlign w:val="subscript"/>
        </w:rPr>
        <w:t>,C</w:t>
      </w:r>
      <w:proofErr w:type="spellEnd"/>
      <w:proofErr w:type="gramEnd"/>
      <w:r w:rsidRPr="003F495F">
        <w:t xml:space="preserve"> (days) - </w:t>
      </w:r>
      <w:proofErr w:type="spellStart"/>
      <w:r w:rsidRPr="003F495F">
        <w:t>T</w:t>
      </w:r>
      <w:r w:rsidRPr="003F495F">
        <w:rPr>
          <w:vertAlign w:val="subscript"/>
        </w:rPr>
        <w:t>d,R</w:t>
      </w:r>
      <w:proofErr w:type="spellEnd"/>
      <w:r>
        <w:t>(days)]</w:t>
      </w:r>
    </w:p>
    <w:p w:rsidR="003261D2" w:rsidRDefault="003261D2" w:rsidP="003261D2">
      <w:pPr>
        <w:pStyle w:val="Caption"/>
      </w:pPr>
      <w:bookmarkStart w:id="228" w:name="_Ref285536622"/>
      <w:proofErr w:type="gramStart"/>
      <w:r>
        <w:t xml:space="preserve">Equation </w:t>
      </w:r>
      <w:r w:rsidR="007511FA">
        <w:fldChar w:fldCharType="begin"/>
      </w:r>
      <w:r w:rsidR="00AE17F8">
        <w:instrText xml:space="preserve"> STYLEREF 1 \s </w:instrText>
      </w:r>
      <w:r w:rsidR="007511FA">
        <w:fldChar w:fldCharType="separate"/>
      </w:r>
      <w:r w:rsidR="00D5167B">
        <w:rPr>
          <w:noProof/>
        </w:rPr>
        <w:t>6</w:t>
      </w:r>
      <w:r w:rsidR="007511FA">
        <w:fldChar w:fldCharType="end"/>
      </w:r>
      <w:r w:rsidR="00220B7D">
        <w:t>.</w:t>
      </w:r>
      <w:proofErr w:type="gramEnd"/>
      <w:r w:rsidR="007511FA">
        <w:fldChar w:fldCharType="begin"/>
      </w:r>
      <w:r w:rsidR="00220B7D">
        <w:instrText xml:space="preserve"> SEQ Equation \* ARABIC \s 1 </w:instrText>
      </w:r>
      <w:r w:rsidR="007511FA">
        <w:fldChar w:fldCharType="separate"/>
      </w:r>
      <w:r w:rsidR="00D5167B">
        <w:rPr>
          <w:noProof/>
        </w:rPr>
        <w:t>8</w:t>
      </w:r>
      <w:r w:rsidR="007511FA">
        <w:fldChar w:fldCharType="end"/>
      </w:r>
      <w:bookmarkEnd w:id="228"/>
    </w:p>
    <w:p w:rsidR="003261D2" w:rsidRDefault="003261D2">
      <w:pPr>
        <w:spacing w:before="0" w:after="200" w:line="276" w:lineRule="auto"/>
        <w:ind w:firstLine="0"/>
        <w:jc w:val="left"/>
      </w:pPr>
      <w:r>
        <w:br w:type="page"/>
      </w:r>
    </w:p>
    <w:p w:rsidR="00E01527" w:rsidRPr="0024454A" w:rsidRDefault="00E01527" w:rsidP="004D0F3F">
      <w:pPr>
        <w:spacing w:before="0" w:after="0" w:line="240" w:lineRule="auto"/>
        <w:ind w:firstLine="0"/>
        <w:jc w:val="center"/>
        <w:rPr>
          <w:b/>
        </w:rPr>
      </w:pPr>
      <w:r w:rsidRPr="0024454A">
        <w:rPr>
          <w:b/>
          <w:noProof/>
        </w:rPr>
        <w:lastRenderedPageBreak/>
        <w:drawing>
          <wp:inline distT="0" distB="0" distL="0" distR="0">
            <wp:extent cx="3981979" cy="3200400"/>
            <wp:effectExtent l="19050" t="0" r="0" b="0"/>
            <wp:docPr id="6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7" cstate="print"/>
                    <a:srcRect l="1122" t="2687" b="2303"/>
                    <a:stretch>
                      <a:fillRect/>
                    </a:stretch>
                  </pic:blipFill>
                  <pic:spPr bwMode="auto">
                    <a:xfrm>
                      <a:off x="0" y="0"/>
                      <a:ext cx="3981979" cy="3200400"/>
                    </a:xfrm>
                    <a:prstGeom prst="rect">
                      <a:avLst/>
                    </a:prstGeom>
                    <a:noFill/>
                    <a:ln w="9525">
                      <a:noFill/>
                      <a:miter lim="800000"/>
                      <a:headEnd/>
                      <a:tailEnd/>
                    </a:ln>
                  </pic:spPr>
                </pic:pic>
              </a:graphicData>
            </a:graphic>
          </wp:inline>
        </w:drawing>
      </w:r>
    </w:p>
    <w:p w:rsidR="00E01527" w:rsidRDefault="003261D2" w:rsidP="003261D2">
      <w:pPr>
        <w:pStyle w:val="Caption"/>
      </w:pPr>
      <w:bookmarkStart w:id="229" w:name="_Ref285536536"/>
      <w:bookmarkStart w:id="230" w:name="_Toc295818229"/>
      <w:proofErr w:type="gramStart"/>
      <w:r>
        <w:t xml:space="preserve">Figure </w:t>
      </w:r>
      <w:r w:rsidR="007511FA">
        <w:fldChar w:fldCharType="begin"/>
      </w:r>
      <w:r w:rsidR="00AE17F8">
        <w:instrText xml:space="preserve"> STYLEREF 1 \s </w:instrText>
      </w:r>
      <w:r w:rsidR="007511FA">
        <w:fldChar w:fldCharType="separate"/>
      </w:r>
      <w:r w:rsidR="00D5167B">
        <w:rPr>
          <w:noProof/>
        </w:rPr>
        <w:t>6</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2</w:t>
      </w:r>
      <w:r w:rsidR="007511FA">
        <w:fldChar w:fldCharType="end"/>
      </w:r>
      <w:bookmarkEnd w:id="229"/>
      <w:r w:rsidR="00E01527" w:rsidRPr="0024454A">
        <w:t xml:space="preserve">.  </w:t>
      </w:r>
      <w:proofErr w:type="gramStart"/>
      <w:r w:rsidR="00E01527" w:rsidRPr="0024454A">
        <w:t xml:space="preserve">Transmutation path for </w:t>
      </w:r>
      <w:r w:rsidR="00E01527">
        <w:t xml:space="preserve">transuranic isotope production </w:t>
      </w:r>
      <w:r w:rsidR="007511FA">
        <w:fldChar w:fldCharType="begin"/>
      </w:r>
      <w:r w:rsidR="00C67546">
        <w:instrText xml:space="preserve"> REF _Ref285637669 \n \h </w:instrText>
      </w:r>
      <w:r w:rsidR="007511FA">
        <w:fldChar w:fldCharType="separate"/>
      </w:r>
      <w:r w:rsidR="00D5167B">
        <w:t>[81]</w:t>
      </w:r>
      <w:r w:rsidR="007511FA">
        <w:fldChar w:fldCharType="end"/>
      </w:r>
      <w:r w:rsidR="00C67546">
        <w:t>.</w:t>
      </w:r>
      <w:bookmarkEnd w:id="230"/>
      <w:proofErr w:type="gramEnd"/>
    </w:p>
    <w:p w:rsidR="001D1991" w:rsidRPr="001D1991" w:rsidRDefault="001D1991" w:rsidP="001D1991"/>
    <w:p w:rsidR="00E01527" w:rsidRDefault="00E01527" w:rsidP="00AA149C">
      <w:pPr>
        <w:pStyle w:val="Heading3"/>
      </w:pPr>
      <w:bookmarkStart w:id="231" w:name="_Toc295818140"/>
      <w:r>
        <w:t>Beryllium Waste Concerns</w:t>
      </w:r>
      <w:bookmarkEnd w:id="231"/>
    </w:p>
    <w:p w:rsidR="00E01527" w:rsidRPr="003F495F" w:rsidRDefault="00E01527" w:rsidP="00E01527">
      <w:r w:rsidRPr="003F495F">
        <w:t xml:space="preserve">It is desired to move beryllium reflectors that have been discharged from the reactor out of their interim storage location in the spent fuel pool to make room for anticipated operational and maintenance activities.  </w:t>
      </w:r>
      <w:r>
        <w:t xml:space="preserve">Once the </w:t>
      </w:r>
      <w:proofErr w:type="gramStart"/>
      <w:r>
        <w:t>Be</w:t>
      </w:r>
      <w:proofErr w:type="gramEnd"/>
      <w:r>
        <w:t xml:space="preserve"> reflectors are declared as</w:t>
      </w:r>
      <w:r w:rsidRPr="003F495F">
        <w:t xml:space="preserve"> waste</w:t>
      </w:r>
      <w:r>
        <w:t>, they</w:t>
      </w:r>
      <w:r w:rsidRPr="003F495F">
        <w:t xml:space="preserve"> must</w:t>
      </w:r>
      <w:r>
        <w:t xml:space="preserve"> be characterized</w:t>
      </w:r>
      <w:r w:rsidRPr="003F495F">
        <w:t xml:space="preserve"> to ensure safe interim storage and to facilitate eventual disposal.  As part of the characterization process, the isotopic inventory of radiological constituents in the reflectors must be determined.  The curie inventory of identified isotopes is compared against the acceptance criteria of potential waste storage and disposal sites to determine whether the waste may be received and stored at the sites.  The inventory also defines the nuclear hazard category which is used in defining hazard controls in associated safety documentation for transportation and storage.</w:t>
      </w:r>
    </w:p>
    <w:p w:rsidR="00E01527" w:rsidRPr="003F495F" w:rsidRDefault="00E01527" w:rsidP="00E01527">
      <w:r w:rsidRPr="003F495F">
        <w:t>The reflectors are currently designated as “waste with no identified path to disposal” under DOE Order 435.1</w:t>
      </w:r>
      <w:r w:rsidR="00C67546">
        <w:t xml:space="preserve">, </w:t>
      </w:r>
      <w:r w:rsidR="007511FA">
        <w:fldChar w:fldCharType="begin"/>
      </w:r>
      <w:r w:rsidR="00C67546">
        <w:instrText xml:space="preserve"> REF _Ref285637725 \n \h </w:instrText>
      </w:r>
      <w:r w:rsidR="007511FA">
        <w:fldChar w:fldCharType="separate"/>
      </w:r>
      <w:r w:rsidR="00D5167B">
        <w:t>[85]</w:t>
      </w:r>
      <w:r w:rsidR="007511FA">
        <w:fldChar w:fldCharType="end"/>
      </w:r>
      <w:r w:rsidR="00C67546">
        <w:t xml:space="preserve"> and </w:t>
      </w:r>
      <w:r w:rsidR="007511FA">
        <w:fldChar w:fldCharType="begin"/>
      </w:r>
      <w:r w:rsidR="00C67546">
        <w:instrText xml:space="preserve"> REF _Ref285637730 \n \h </w:instrText>
      </w:r>
      <w:r w:rsidR="007511FA">
        <w:fldChar w:fldCharType="separate"/>
      </w:r>
      <w:r w:rsidR="00D5167B">
        <w:t>[86]</w:t>
      </w:r>
      <w:r w:rsidR="007511FA">
        <w:fldChar w:fldCharType="end"/>
      </w:r>
      <w:r w:rsidRPr="00A826CB">
        <w:t>,</w:t>
      </w:r>
      <w:r w:rsidRPr="003F495F">
        <w:t xml:space="preserve"> which specifies requirements for managing radioactive waste ge</w:t>
      </w:r>
      <w:r>
        <w:t xml:space="preserve">nerated by </w:t>
      </w:r>
      <w:r>
        <w:lastRenderedPageBreak/>
        <w:t xml:space="preserve">DOE activities.  DOE </w:t>
      </w:r>
      <w:r w:rsidRPr="003F495F">
        <w:t>Order</w:t>
      </w:r>
      <w:r>
        <w:t xml:space="preserve"> 435.1</w:t>
      </w:r>
      <w:r w:rsidRPr="003F495F">
        <w:t xml:space="preserve"> requires that efforts be made to define an acceptable disposal option for waste that has been designated as having no identified disposal path.  The reflectors were originally classified as having no identified disposal path based on a conservative characterization that indicated the curie inventory of selected isotopes would exceed the waste acceptance criteria for the Nevada Test Site, the expected disposal location.  Since that time, studies of the beryllium reflector utilized in the Advanced Test Reactor (ATR) located at the Idaho National Laboratory (INL) have shown that reflectors used in the ATR will exceed the threshold for transuranic (TRU) waste because of trace uranium impurities in the beryllium</w:t>
      </w:r>
      <w:r w:rsidR="00C67546">
        <w:t xml:space="preserve"> </w:t>
      </w:r>
      <w:r w:rsidR="007511FA">
        <w:fldChar w:fldCharType="begin"/>
      </w:r>
      <w:r w:rsidR="00C67546">
        <w:instrText xml:space="preserve"> REF _Ref285637669 \n \h </w:instrText>
      </w:r>
      <w:r w:rsidR="007511FA">
        <w:fldChar w:fldCharType="separate"/>
      </w:r>
      <w:r w:rsidR="00D5167B">
        <w:t>[81]</w:t>
      </w:r>
      <w:r w:rsidR="007511FA">
        <w:fldChar w:fldCharType="end"/>
      </w:r>
      <w:r w:rsidRPr="003F495F">
        <w:t>.  Previous analyses have indicated that the HFIR reflectors may also satisfy the definition of TRU waste</w:t>
      </w:r>
      <w:r w:rsidR="00C67546">
        <w:t xml:space="preserve"> </w:t>
      </w:r>
      <w:r w:rsidR="007511FA">
        <w:fldChar w:fldCharType="begin"/>
      </w:r>
      <w:r w:rsidR="00C67546">
        <w:instrText xml:space="preserve"> REF _Ref285637751 \n \h </w:instrText>
      </w:r>
      <w:r w:rsidR="007511FA">
        <w:fldChar w:fldCharType="separate"/>
      </w:r>
      <w:r w:rsidR="00D5167B">
        <w:t>[87]</w:t>
      </w:r>
      <w:r w:rsidR="007511FA">
        <w:fldChar w:fldCharType="end"/>
      </w:r>
      <w:r w:rsidRPr="003F495F">
        <w:t xml:space="preserve"> because of similar levels of trace uranium initially in the beryllium base metal.  </w:t>
      </w:r>
      <w:r>
        <w:t>Studies reported here were intended to confirm or refute the TRU waste characterization.</w:t>
      </w:r>
    </w:p>
    <w:p w:rsidR="00E01527" w:rsidRPr="003F495F" w:rsidRDefault="00E01527" w:rsidP="00E01527">
      <w:r w:rsidRPr="003F495F">
        <w:t xml:space="preserve">The current specification for the HFIR beryllium reflectors requires the uranium content to be less than 0.0011 weight percent (11 micrograms of uranium per gram of reflector), but previous HFIR reflectors have been fabricated with a greater uranium content (as much as 0.0044 weight percent).  The </w:t>
      </w:r>
      <w:r w:rsidRPr="003F495F">
        <w:rPr>
          <w:bCs/>
        </w:rPr>
        <w:t xml:space="preserve">Nevada Test Site Waste Acceptance Criteria </w:t>
      </w:r>
      <w:r w:rsidR="007511FA">
        <w:rPr>
          <w:bCs/>
        </w:rPr>
        <w:fldChar w:fldCharType="begin"/>
      </w:r>
      <w:r w:rsidR="00C67546">
        <w:rPr>
          <w:bCs/>
        </w:rPr>
        <w:instrText xml:space="preserve"> REF _Ref285637758 \n \h </w:instrText>
      </w:r>
      <w:r w:rsidR="007511FA">
        <w:rPr>
          <w:bCs/>
        </w:rPr>
      </w:r>
      <w:r w:rsidR="007511FA">
        <w:rPr>
          <w:bCs/>
        </w:rPr>
        <w:fldChar w:fldCharType="separate"/>
      </w:r>
      <w:r w:rsidR="00D5167B">
        <w:rPr>
          <w:bCs/>
        </w:rPr>
        <w:t>[88]</w:t>
      </w:r>
      <w:r w:rsidR="007511FA">
        <w:rPr>
          <w:bCs/>
        </w:rPr>
        <w:fldChar w:fldCharType="end"/>
      </w:r>
      <w:r w:rsidRPr="003F495F">
        <w:rPr>
          <w:bCs/>
        </w:rPr>
        <w:t xml:space="preserve"> defines TRU </w:t>
      </w:r>
      <w:r w:rsidRPr="003F495F">
        <w:t xml:space="preserve">waste as radioactive waste containing more than 100 </w:t>
      </w:r>
      <w:proofErr w:type="spellStart"/>
      <w:r w:rsidRPr="003F495F">
        <w:t>nCi</w:t>
      </w:r>
      <w:proofErr w:type="spellEnd"/>
      <w:r>
        <w:t xml:space="preserve"> (3700 </w:t>
      </w:r>
      <w:proofErr w:type="spellStart"/>
      <w:r>
        <w:t>Bq</w:t>
      </w:r>
      <w:proofErr w:type="spellEnd"/>
      <w:r w:rsidRPr="003F495F">
        <w:t xml:space="preserve">) of alpha-emitting transuranic nuclides (Z </w:t>
      </w:r>
      <w:r>
        <w:t xml:space="preserve">&gt; </w:t>
      </w:r>
      <w:r w:rsidRPr="003F495F">
        <w:t>92) with half-lives greater than 20 years per gram of waste.  Therefore</w:t>
      </w:r>
      <w:r>
        <w:t>,</w:t>
      </w:r>
      <w:r w:rsidRPr="003F495F">
        <w:t xml:space="preserve"> the following nuclides are considered when making the TRU waste determination: </w:t>
      </w:r>
      <w:r w:rsidRPr="003F495F">
        <w:rPr>
          <w:vertAlign w:val="superscript"/>
        </w:rPr>
        <w:t>237</w:t>
      </w:r>
      <w:r w:rsidRPr="003F495F">
        <w:t xml:space="preserve">Np, </w:t>
      </w:r>
      <w:r w:rsidRPr="003F495F">
        <w:rPr>
          <w:vertAlign w:val="superscript"/>
        </w:rPr>
        <w:t>238</w:t>
      </w:r>
      <w:r w:rsidRPr="003F495F">
        <w:t xml:space="preserve">Pu, </w:t>
      </w:r>
      <w:r w:rsidRPr="003F495F">
        <w:rPr>
          <w:vertAlign w:val="superscript"/>
        </w:rPr>
        <w:t>239</w:t>
      </w:r>
      <w:r w:rsidRPr="003F495F">
        <w:t xml:space="preserve">Pu, </w:t>
      </w:r>
      <w:r w:rsidRPr="003F495F">
        <w:rPr>
          <w:vertAlign w:val="superscript"/>
        </w:rPr>
        <w:t>240</w:t>
      </w:r>
      <w:r w:rsidRPr="003F495F">
        <w:t xml:space="preserve">Pu, </w:t>
      </w:r>
      <w:r w:rsidRPr="003F495F">
        <w:rPr>
          <w:vertAlign w:val="superscript"/>
        </w:rPr>
        <w:t>242</w:t>
      </w:r>
      <w:r w:rsidRPr="003F495F">
        <w:t xml:space="preserve">Pu, </w:t>
      </w:r>
      <w:r w:rsidRPr="003F495F">
        <w:rPr>
          <w:vertAlign w:val="superscript"/>
        </w:rPr>
        <w:t>244</w:t>
      </w:r>
      <w:r w:rsidRPr="003F495F">
        <w:t xml:space="preserve">Pu, </w:t>
      </w:r>
      <w:r w:rsidRPr="003F495F">
        <w:rPr>
          <w:vertAlign w:val="superscript"/>
        </w:rPr>
        <w:t>241</w:t>
      </w:r>
      <w:r w:rsidRPr="003F495F">
        <w:t xml:space="preserve">Am, </w:t>
      </w:r>
      <w:r w:rsidRPr="003F495F">
        <w:rPr>
          <w:vertAlign w:val="superscript"/>
        </w:rPr>
        <w:t>242m</w:t>
      </w:r>
      <w:r w:rsidRPr="003F495F">
        <w:t xml:space="preserve">Am, </w:t>
      </w:r>
      <w:r w:rsidRPr="003F495F">
        <w:rPr>
          <w:vertAlign w:val="superscript"/>
        </w:rPr>
        <w:t>243</w:t>
      </w:r>
      <w:r w:rsidRPr="003F495F">
        <w:t xml:space="preserve">Am, </w:t>
      </w:r>
      <w:r w:rsidRPr="003F495F">
        <w:rPr>
          <w:vertAlign w:val="superscript"/>
        </w:rPr>
        <w:t>243</w:t>
      </w:r>
      <w:r w:rsidRPr="003F495F">
        <w:t xml:space="preserve">Cm, </w:t>
      </w:r>
      <w:r w:rsidRPr="003F495F">
        <w:rPr>
          <w:vertAlign w:val="superscript"/>
        </w:rPr>
        <w:t>245</w:t>
      </w:r>
      <w:r w:rsidRPr="003F495F">
        <w:t xml:space="preserve">Cm, </w:t>
      </w:r>
      <w:r w:rsidRPr="003F495F">
        <w:rPr>
          <w:vertAlign w:val="superscript"/>
        </w:rPr>
        <w:t>246</w:t>
      </w:r>
      <w:r w:rsidRPr="003F495F">
        <w:t xml:space="preserve">Cm, </w:t>
      </w:r>
      <w:r w:rsidRPr="003F495F">
        <w:rPr>
          <w:vertAlign w:val="superscript"/>
        </w:rPr>
        <w:t>247</w:t>
      </w:r>
      <w:r w:rsidRPr="003F495F">
        <w:t xml:space="preserve">Cm, </w:t>
      </w:r>
      <w:r w:rsidRPr="003F495F">
        <w:rPr>
          <w:vertAlign w:val="superscript"/>
        </w:rPr>
        <w:t>248</w:t>
      </w:r>
      <w:r w:rsidRPr="003F495F">
        <w:t xml:space="preserve">Cm, </w:t>
      </w:r>
      <w:r w:rsidRPr="003F495F">
        <w:rPr>
          <w:vertAlign w:val="superscript"/>
        </w:rPr>
        <w:t>250</w:t>
      </w:r>
      <w:r w:rsidRPr="003F495F">
        <w:t xml:space="preserve">Cm, </w:t>
      </w:r>
      <w:r w:rsidRPr="003F495F">
        <w:rPr>
          <w:vertAlign w:val="superscript"/>
        </w:rPr>
        <w:t>247</w:t>
      </w:r>
      <w:r w:rsidRPr="003F495F">
        <w:t xml:space="preserve">Bk, </w:t>
      </w:r>
      <w:r w:rsidRPr="003F495F">
        <w:rPr>
          <w:vertAlign w:val="superscript"/>
        </w:rPr>
        <w:t>249</w:t>
      </w:r>
      <w:r w:rsidRPr="003F495F">
        <w:t xml:space="preserve">Cf, and </w:t>
      </w:r>
      <w:r w:rsidRPr="003F495F">
        <w:rPr>
          <w:vertAlign w:val="superscript"/>
        </w:rPr>
        <w:t>251</w:t>
      </w:r>
      <w:r w:rsidRPr="003F495F">
        <w:t>Cf.  Using this criterion, the presence and quantity of applicable transuranic nuclides in the HFIR reflectors was evaluated at discharge and as a function of decay time for making the TRU waste determination.</w:t>
      </w:r>
    </w:p>
    <w:p w:rsidR="00B8366E" w:rsidRDefault="00E01527" w:rsidP="00B12830">
      <w:r>
        <w:t>In order to move HFIR reflectors from their current location to a new storage site, the degree of nuclear hazard associated with the reflectors must be determined in accordance with DOE-</w:t>
      </w:r>
      <w:r w:rsidRPr="003F495F">
        <w:t>STD-1027</w:t>
      </w:r>
      <w:r w:rsidR="00C67546">
        <w:t xml:space="preserve"> </w:t>
      </w:r>
      <w:r w:rsidR="007511FA">
        <w:fldChar w:fldCharType="begin"/>
      </w:r>
      <w:r w:rsidR="00C67546">
        <w:instrText xml:space="preserve"> REF _Ref285637768 \n \h </w:instrText>
      </w:r>
      <w:r w:rsidR="007511FA">
        <w:fldChar w:fldCharType="separate"/>
      </w:r>
      <w:r w:rsidR="00D5167B">
        <w:t>[89]</w:t>
      </w:r>
      <w:r w:rsidR="007511FA">
        <w:fldChar w:fldCharType="end"/>
      </w:r>
      <w:r>
        <w:t xml:space="preserve">.  </w:t>
      </w:r>
      <w:r w:rsidRPr="003F495F">
        <w:t xml:space="preserve">The post-irradiation isotopic inventory and curie levels in the reflector are used to determine the nuclear hazard </w:t>
      </w:r>
      <w:r>
        <w:t>category</w:t>
      </w:r>
      <w:r w:rsidRPr="00A826CB">
        <w:t>.</w:t>
      </w:r>
      <w:r w:rsidRPr="003F495F">
        <w:t xml:space="preserve">  Th</w:t>
      </w:r>
      <w:r>
        <w:t>is</w:t>
      </w:r>
      <w:r w:rsidRPr="003F495F">
        <w:t xml:space="preserve"> standard defines three hazard categories based on isotopic thresholds using a sum-of-the-fractions approach.  The threshold for hazard category 3 was designed to include facilities </w:t>
      </w:r>
      <w:r w:rsidRPr="003F495F">
        <w:lastRenderedPageBreak/>
        <w:t xml:space="preserve">and activities that under postulated accident conditions may have no more than localized radiological consequences.  Postulated accidents involving a hazard category 2 </w:t>
      </w:r>
      <w:proofErr w:type="gramStart"/>
      <w:r w:rsidRPr="003F495F">
        <w:t>inventory</w:t>
      </w:r>
      <w:proofErr w:type="gramEnd"/>
      <w:r w:rsidRPr="003F495F">
        <w:t xml:space="preserve"> have the potential for significant on-site radiological consequences and accidents involving a hazard category 1 inventory can result in significant</w:t>
      </w:r>
      <w:r>
        <w:t xml:space="preserve"> off-site consequences.</w:t>
      </w:r>
    </w:p>
    <w:p w:rsidR="003261D2" w:rsidRDefault="003261D2" w:rsidP="00B12830"/>
    <w:p w:rsidR="002C6D76" w:rsidRDefault="002C6D76" w:rsidP="00AA149C">
      <w:pPr>
        <w:pStyle w:val="Heading2"/>
      </w:pPr>
      <w:bookmarkStart w:id="232" w:name="_Toc295818141"/>
      <w:r>
        <w:t>Calculations Methods</w:t>
      </w:r>
      <w:bookmarkEnd w:id="232"/>
    </w:p>
    <w:p w:rsidR="002C6D76" w:rsidRDefault="002C6D76" w:rsidP="002C6D76">
      <w:r w:rsidRPr="00C234C0">
        <w:t>Version 6.0 of the SCALE package</w:t>
      </w:r>
      <w:r w:rsidR="00C67546">
        <w:t xml:space="preserve"> </w:t>
      </w:r>
      <w:r w:rsidR="007511FA">
        <w:fldChar w:fldCharType="begin"/>
      </w:r>
      <w:r w:rsidR="00C67546">
        <w:instrText xml:space="preserve"> REF _Ref285636676 \n \h </w:instrText>
      </w:r>
      <w:r w:rsidR="007511FA">
        <w:fldChar w:fldCharType="separate"/>
      </w:r>
      <w:r w:rsidR="00D5167B">
        <w:t>[55]</w:t>
      </w:r>
      <w:r w:rsidR="007511FA">
        <w:fldChar w:fldCharType="end"/>
      </w:r>
      <w:r w:rsidRPr="00C234C0">
        <w:t xml:space="preserve"> was the primary code utilized for these studies.  Three-dimensional KENO </w:t>
      </w:r>
      <w:proofErr w:type="spellStart"/>
      <w:r w:rsidRPr="00C234C0">
        <w:t>V.a</w:t>
      </w:r>
      <w:proofErr w:type="spellEnd"/>
      <w:r w:rsidRPr="00C234C0">
        <w:t xml:space="preserve"> and KENO-VI models of the HFIR </w:t>
      </w:r>
      <w:r w:rsidR="007511FA">
        <w:fldChar w:fldCharType="begin"/>
      </w:r>
      <w:r w:rsidR="00C67546">
        <w:instrText xml:space="preserve"> REF _Ref285636033 \n \h </w:instrText>
      </w:r>
      <w:r w:rsidR="007511FA">
        <w:fldChar w:fldCharType="separate"/>
      </w:r>
      <w:r w:rsidR="00D5167B">
        <w:t>[8]</w:t>
      </w:r>
      <w:r w:rsidR="007511FA">
        <w:fldChar w:fldCharType="end"/>
      </w:r>
      <w:r w:rsidRPr="00C234C0">
        <w:t xml:space="preserve"> were used for multi-material depletion calculations.  TRITON</w:t>
      </w:r>
      <w:r w:rsidR="00C67546">
        <w:t xml:space="preserve"> </w:t>
      </w:r>
      <w:r w:rsidR="007511FA">
        <w:fldChar w:fldCharType="begin"/>
      </w:r>
      <w:r w:rsidR="00C67546">
        <w:instrText xml:space="preserve"> REF _Ref285636727 \n \h </w:instrText>
      </w:r>
      <w:r w:rsidR="007511FA">
        <w:fldChar w:fldCharType="separate"/>
      </w:r>
      <w:r w:rsidR="00D5167B">
        <w:t>[60]</w:t>
      </w:r>
      <w:r w:rsidR="007511FA">
        <w:fldChar w:fldCharType="end"/>
      </w:r>
      <w:r w:rsidRPr="00C234C0">
        <w:t xml:space="preserve"> was used to couple the Monte Carlo transport code KENO to the point depletion code ORIGEN-S</w:t>
      </w:r>
      <w:r>
        <w:t xml:space="preserve">.  For a few cases, in order to extend the TRITON results with larger numbers of histories and different random number sequences, the TRITON results were appended through the use of the SCALE </w:t>
      </w:r>
      <w:r w:rsidRPr="00C234C0">
        <w:t xml:space="preserve">CSAS </w:t>
      </w:r>
      <w:r>
        <w:t>module, a criticality safety analysis code.</w:t>
      </w:r>
      <w:r w:rsidRPr="00C234C0">
        <w:t xml:space="preserve">  For all SCALE calculations, the 238-group ENDF/B-VII cross section library was used.</w:t>
      </w:r>
    </w:p>
    <w:p w:rsidR="002C6D76" w:rsidRDefault="002C6D76" w:rsidP="002C6D76">
      <w:r>
        <w:t>As a quality assurance check of the TRITON-related model development, "stand-alone" ORIGEN calculations were performed.  A</w:t>
      </w:r>
      <w:r w:rsidRPr="00C234C0">
        <w:t xml:space="preserve"> benchmarked three-dimensional MCNP5 model</w:t>
      </w:r>
      <w:r w:rsidR="00C67546">
        <w:t xml:space="preserve"> </w:t>
      </w:r>
      <w:r w:rsidR="007511FA">
        <w:fldChar w:fldCharType="begin"/>
      </w:r>
      <w:r w:rsidR="00C67546">
        <w:instrText xml:space="preserve"> REF _Ref285636274 \n \h </w:instrText>
      </w:r>
      <w:r w:rsidR="007511FA">
        <w:fldChar w:fldCharType="separate"/>
      </w:r>
      <w:r w:rsidR="00D5167B">
        <w:t>[23]</w:t>
      </w:r>
      <w:r w:rsidR="007511FA">
        <w:fldChar w:fldCharType="end"/>
      </w:r>
      <w:r w:rsidRPr="00C234C0">
        <w:t xml:space="preserve"> along with continuous energy ENDF/B-VI.8 data was used to calculate the three-group fluxes required in </w:t>
      </w:r>
      <w:r>
        <w:t>standalone</w:t>
      </w:r>
      <w:r w:rsidRPr="00C234C0">
        <w:t xml:space="preserve"> ORIGEN-S calculations.  The time-dependent MCNP5 inputs used were generated by ALEPH </w:t>
      </w:r>
      <w:r w:rsidR="007511FA">
        <w:fldChar w:fldCharType="begin"/>
      </w:r>
      <w:r w:rsidR="00C67546">
        <w:instrText xml:space="preserve"> REF _Ref285636647 \n \h </w:instrText>
      </w:r>
      <w:r w:rsidR="007511FA">
        <w:fldChar w:fldCharType="separate"/>
      </w:r>
      <w:r w:rsidR="00D5167B">
        <w:t>[53]</w:t>
      </w:r>
      <w:r w:rsidR="007511FA">
        <w:fldChar w:fldCharType="end"/>
      </w:r>
      <w:r w:rsidRPr="00C234C0">
        <w:t>.  The KENO models used in these studies were developed based on the benchmarked/validated HFIR cycle 400 MCNP model and were benchmarked</w:t>
      </w:r>
      <w:r>
        <w:t xml:space="preserve"> against this MCNP model</w:t>
      </w:r>
      <w:r w:rsidR="00C67546">
        <w:t xml:space="preserve"> </w:t>
      </w:r>
      <w:r w:rsidR="007511FA">
        <w:fldChar w:fldCharType="begin"/>
      </w:r>
      <w:r w:rsidR="00C67546">
        <w:instrText xml:space="preserve"> REF _Ref285636033 \n \h </w:instrText>
      </w:r>
      <w:r w:rsidR="007511FA">
        <w:fldChar w:fldCharType="separate"/>
      </w:r>
      <w:r w:rsidR="00D5167B">
        <w:t>[8]</w:t>
      </w:r>
      <w:r w:rsidR="007511FA">
        <w:fldChar w:fldCharType="end"/>
      </w:r>
      <w:r w:rsidR="00C67546">
        <w:t xml:space="preserve"> - </w:t>
      </w:r>
      <w:r w:rsidR="007511FA">
        <w:fldChar w:fldCharType="begin"/>
      </w:r>
      <w:r w:rsidR="00C67546">
        <w:instrText xml:space="preserve"> REF _Ref285636077 \n \h </w:instrText>
      </w:r>
      <w:r w:rsidR="007511FA">
        <w:fldChar w:fldCharType="separate"/>
      </w:r>
      <w:r w:rsidR="00D5167B">
        <w:t>[12]</w:t>
      </w:r>
      <w:r w:rsidR="007511FA">
        <w:fldChar w:fldCharType="end"/>
      </w:r>
      <w:r w:rsidRPr="00C234C0">
        <w:t xml:space="preserve"> for various parameters such as flux magnitude, flux spectra, k</w:t>
      </w:r>
      <w:r w:rsidRPr="00C234C0">
        <w:rPr>
          <w:vertAlign w:val="subscript"/>
        </w:rPr>
        <w:t>eff</w:t>
      </w:r>
      <w:r w:rsidRPr="00C234C0">
        <w:t>, and etc.</w:t>
      </w:r>
    </w:p>
    <w:p w:rsidR="002C6D76" w:rsidRDefault="002C6D76" w:rsidP="001D1991">
      <w:r w:rsidRPr="00C234C0">
        <w:t>The KENO input was set up such that the RB was subdivided into 3 radial regions, the SPB was modeled as one radial region, and the PB was subdivided into 7 radial regions in order to utilize a radially dependent flux distribution since the neutron flux decreases with increasing penetration of the reflectors.  An isometric view of</w:t>
      </w:r>
      <w:r>
        <w:t xml:space="preserve"> the KENO model is shown in</w:t>
      </w:r>
      <w:r w:rsidR="003261D2">
        <w:t xml:space="preserve"> </w:t>
      </w:r>
      <w:r w:rsidR="007511FA">
        <w:fldChar w:fldCharType="begin"/>
      </w:r>
      <w:r w:rsidR="003261D2">
        <w:instrText xml:space="preserve"> REF _Ref285536733 \h </w:instrText>
      </w:r>
      <w:r w:rsidR="007511FA">
        <w:fldChar w:fldCharType="separate"/>
      </w:r>
      <w:r w:rsidR="00D5167B" w:rsidRPr="003261D2">
        <w:t xml:space="preserve">Figure </w:t>
      </w:r>
      <w:r w:rsidR="00D5167B">
        <w:rPr>
          <w:noProof/>
        </w:rPr>
        <w:t>6</w:t>
      </w:r>
      <w:r w:rsidR="00D5167B">
        <w:t>.</w:t>
      </w:r>
      <w:r w:rsidR="00D5167B">
        <w:rPr>
          <w:noProof/>
        </w:rPr>
        <w:t>3</w:t>
      </w:r>
      <w:r w:rsidR="007511FA">
        <w:fldChar w:fldCharType="end"/>
      </w:r>
      <w:r w:rsidR="002A3E13">
        <w:t>.</w:t>
      </w:r>
      <w:r>
        <w:br w:type="page"/>
      </w:r>
    </w:p>
    <w:p w:rsidR="002C6D76" w:rsidRPr="00EF70FA" w:rsidRDefault="002C6D76" w:rsidP="00E644F3">
      <w:pPr>
        <w:spacing w:line="240" w:lineRule="auto"/>
        <w:ind w:firstLine="0"/>
        <w:jc w:val="center"/>
      </w:pPr>
      <w:r w:rsidRPr="0024454A">
        <w:rPr>
          <w:b/>
          <w:noProof/>
        </w:rPr>
        <w:lastRenderedPageBreak/>
        <w:drawing>
          <wp:inline distT="0" distB="0" distL="0" distR="0">
            <wp:extent cx="3770659" cy="3657600"/>
            <wp:effectExtent l="19050" t="0" r="1241" b="0"/>
            <wp:docPr id="69" name="Picture 9" descr="C:\Users\dcz\Desktop\kenovi.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cz\Desktop\kenovi.wmf"/>
                    <pic:cNvPicPr>
                      <a:picLocks noChangeAspect="1" noChangeArrowheads="1"/>
                    </pic:cNvPicPr>
                  </pic:nvPicPr>
                  <pic:blipFill>
                    <a:blip r:embed="rId58" cstate="print"/>
                    <a:srcRect l="15068" t="832" r="13802" b="6912"/>
                    <a:stretch>
                      <a:fillRect/>
                    </a:stretch>
                  </pic:blipFill>
                  <pic:spPr bwMode="auto">
                    <a:xfrm>
                      <a:off x="0" y="0"/>
                      <a:ext cx="3770659" cy="3657600"/>
                    </a:xfrm>
                    <a:prstGeom prst="rect">
                      <a:avLst/>
                    </a:prstGeom>
                    <a:noFill/>
                    <a:ln w="9525">
                      <a:noFill/>
                      <a:miter lim="800000"/>
                      <a:headEnd/>
                      <a:tailEnd/>
                    </a:ln>
                  </pic:spPr>
                </pic:pic>
              </a:graphicData>
            </a:graphic>
          </wp:inline>
        </w:drawing>
      </w:r>
    </w:p>
    <w:p w:rsidR="002C6D76" w:rsidRPr="003261D2" w:rsidRDefault="003261D2" w:rsidP="00E644F3">
      <w:pPr>
        <w:pStyle w:val="Caption"/>
      </w:pPr>
      <w:bookmarkStart w:id="233" w:name="_Ref285536733"/>
      <w:bookmarkStart w:id="234" w:name="_Toc295818230"/>
      <w:proofErr w:type="gramStart"/>
      <w:r w:rsidRPr="003261D2">
        <w:t xml:space="preserve">Figure </w:t>
      </w:r>
      <w:r w:rsidR="007511FA">
        <w:fldChar w:fldCharType="begin"/>
      </w:r>
      <w:r w:rsidR="00AE17F8">
        <w:instrText xml:space="preserve"> STYLEREF 1 \s </w:instrText>
      </w:r>
      <w:r w:rsidR="007511FA">
        <w:fldChar w:fldCharType="separate"/>
      </w:r>
      <w:r w:rsidR="00D5167B">
        <w:rPr>
          <w:noProof/>
        </w:rPr>
        <w:t>6</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3</w:t>
      </w:r>
      <w:r w:rsidR="007511FA">
        <w:fldChar w:fldCharType="end"/>
      </w:r>
      <w:bookmarkEnd w:id="233"/>
      <w:r w:rsidR="002C6D76" w:rsidRPr="003261D2">
        <w:t xml:space="preserve">.  </w:t>
      </w:r>
      <w:proofErr w:type="gramStart"/>
      <w:r w:rsidR="002C6D76" w:rsidRPr="003261D2">
        <w:t>Isometric view of the HFIR KENO model.</w:t>
      </w:r>
      <w:bookmarkEnd w:id="234"/>
      <w:proofErr w:type="gramEnd"/>
    </w:p>
    <w:p w:rsidR="002C6D76" w:rsidRDefault="002C6D76">
      <w:pPr>
        <w:spacing w:before="0" w:after="200" w:line="276" w:lineRule="auto"/>
        <w:ind w:firstLine="0"/>
        <w:jc w:val="left"/>
      </w:pPr>
    </w:p>
    <w:p w:rsidR="002C6D76" w:rsidRDefault="002C6D76" w:rsidP="00AA149C">
      <w:pPr>
        <w:pStyle w:val="Heading3"/>
      </w:pPr>
      <w:bookmarkStart w:id="235" w:name="_Toc295818142"/>
      <w:r>
        <w:t>Startup Reactivity Effects Methodology</w:t>
      </w:r>
      <w:bookmarkEnd w:id="235"/>
    </w:p>
    <w:p w:rsidR="002C6D76" w:rsidRPr="00C234C0" w:rsidRDefault="00EF70FA" w:rsidP="002C6D76">
      <w:r>
        <w:t xml:space="preserve">A typical HFIR </w:t>
      </w:r>
      <w:r w:rsidR="002C6D76" w:rsidRPr="00C234C0">
        <w:t>cycle consists of 25 days of irradiation followed by 25 days of outage time between cycles.  For this study</w:t>
      </w:r>
      <w:r w:rsidR="002C6D76">
        <w:t>,</w:t>
      </w:r>
      <w:r w:rsidR="002C6D76" w:rsidRPr="00C234C0">
        <w:t xml:space="preserve"> 20 typical cycles were modeled with each cycle consisting of a 25 day irradiation period at 85 MW</w:t>
      </w:r>
      <w:r w:rsidR="002C6D76" w:rsidRPr="00C234C0">
        <w:rPr>
          <w:vertAlign w:val="subscript"/>
        </w:rPr>
        <w:t>th</w:t>
      </w:r>
      <w:r w:rsidR="002C6D76">
        <w:t xml:space="preserve"> (~8423 MW/MTIHM) and</w:t>
      </w:r>
      <w:r w:rsidR="002C6D76" w:rsidRPr="00C234C0">
        <w:t xml:space="preserve"> 25 days of down time, t</w:t>
      </w:r>
      <w:r w:rsidR="002C6D76" w:rsidRPr="00C234C0">
        <w:rPr>
          <w:vertAlign w:val="subscript"/>
        </w:rPr>
        <w:t>d</w:t>
      </w:r>
      <w:r w:rsidR="002C6D76" w:rsidRPr="00C234C0">
        <w:t>.  Another 25 day irradiation step was simulated after the 20 cycles and following the end of the 21</w:t>
      </w:r>
      <w:r w:rsidR="002C6D76" w:rsidRPr="00C234C0">
        <w:rPr>
          <w:vertAlign w:val="superscript"/>
        </w:rPr>
        <w:t>st</w:t>
      </w:r>
      <w:r w:rsidR="002C6D76" w:rsidRPr="00C234C0">
        <w:t xml:space="preserve"> irradiation step multiple decay steps (3, 6, 12, 24, 48, 96, 192, 384, 492, 611, and 730 days) were defined.  The first 20 cycles were modeled to allow for poison buildup and w</w:t>
      </w:r>
      <w:r w:rsidR="002C6D76">
        <w:t xml:space="preserve">ere </w:t>
      </w:r>
      <w:r w:rsidR="002C6D76" w:rsidRPr="00C234C0">
        <w:t xml:space="preserve">chosen such that equilibrium </w:t>
      </w:r>
      <w:r w:rsidR="002C6D76" w:rsidRPr="00C234C0">
        <w:rPr>
          <w:vertAlign w:val="superscript"/>
        </w:rPr>
        <w:t>6</w:t>
      </w:r>
      <w:r w:rsidR="002C6D76" w:rsidRPr="00C234C0">
        <w:t>Li would be reached.</w:t>
      </w:r>
    </w:p>
    <w:p w:rsidR="002C6D76" w:rsidRPr="00C234C0" w:rsidRDefault="002C6D76" w:rsidP="002C6D76">
      <w:r w:rsidRPr="00C234C0">
        <w:t>The compositions of the reflector regions at beginning-of-cycle (BOC) 21 and following each of the decay steps (i.e. BOC 22 reflector compositions) were extracted and inserted into CSAS5 inputs, which were used for static k</w:t>
      </w:r>
      <w:r w:rsidRPr="00C234C0">
        <w:rPr>
          <w:vertAlign w:val="subscript"/>
        </w:rPr>
        <w:t>eff</w:t>
      </w:r>
      <w:r w:rsidRPr="00C234C0">
        <w:t xml:space="preserve"> calculations.  The BOC 21 k</w:t>
      </w:r>
      <w:r w:rsidRPr="00C234C0">
        <w:rPr>
          <w:vertAlign w:val="subscript"/>
        </w:rPr>
        <w:t>eff</w:t>
      </w:r>
      <w:r w:rsidRPr="00C234C0">
        <w:t xml:space="preserve"> was calculated for the “reference” case and the BOC 22 k</w:t>
      </w:r>
      <w:r w:rsidRPr="00C234C0">
        <w:rPr>
          <w:vertAlign w:val="subscript"/>
        </w:rPr>
        <w:t>eff</w:t>
      </w:r>
      <w:r w:rsidRPr="00C234C0">
        <w:t xml:space="preserve"> values (based on the composition following the decay steps) were calculated in order to </w:t>
      </w:r>
      <w:r w:rsidRPr="00C234C0">
        <w:lastRenderedPageBreak/>
        <w:t>determine a correlation attributed to shutdown poisons as a function of t</w:t>
      </w:r>
      <w:r w:rsidRPr="00C234C0">
        <w:rPr>
          <w:vertAlign w:val="subscript"/>
        </w:rPr>
        <w:t>d</w:t>
      </w:r>
      <w:r w:rsidRPr="00C234C0">
        <w:t>.  Although the effective multiplication factors could have been taken out of the TRITON output, it was desired to increase the number of histories to obtain better statistics.  Ten million histories per transport calculation were simulated in the TRITON</w:t>
      </w:r>
      <w:r>
        <w:t>/KENO</w:t>
      </w:r>
      <w:r w:rsidRPr="00C234C0">
        <w:t xml:space="preserve"> run since numerous transport calculations were performed, but 50 million histories were simulated in the CSAS5</w:t>
      </w:r>
      <w:r>
        <w:t>/KENO</w:t>
      </w:r>
      <w:r w:rsidRPr="00C234C0">
        <w:t xml:space="preserve"> runs.  The geometry and material compositions, except for the reflector’s composition, were the same for both the CSAS5 and TRITON inputs.  Test cases utilizing up to 50 million histories per step were run in TRITON and no significant compositional or flux differences in the reflector regions were observed.</w:t>
      </w:r>
    </w:p>
    <w:p w:rsidR="002C6D76" w:rsidRDefault="002C6D76" w:rsidP="002C6D76">
      <w:r w:rsidRPr="00C234C0">
        <w:t>The k</w:t>
      </w:r>
      <w:r w:rsidRPr="00C234C0">
        <w:rPr>
          <w:vertAlign w:val="subscript"/>
        </w:rPr>
        <w:t>eff</w:t>
      </w:r>
      <w:r w:rsidRPr="00C234C0">
        <w:t xml:space="preserve"> values were extracted from the CSAS5 outputs and were used to calculate the </w:t>
      </w:r>
      <w:proofErr w:type="spellStart"/>
      <w:r w:rsidRPr="00C234C0">
        <w:t>Δk</w:t>
      </w:r>
      <w:r w:rsidRPr="00C234C0">
        <w:rPr>
          <w:vertAlign w:val="subscript"/>
        </w:rPr>
        <w:t>eff</w:t>
      </w:r>
      <w:proofErr w:type="spellEnd"/>
      <w:r w:rsidRPr="00C234C0">
        <w:t>/k</w:t>
      </w:r>
      <w:r w:rsidRPr="00C234C0">
        <w:rPr>
          <w:vertAlign w:val="subscript"/>
        </w:rPr>
        <w:t>eff</w:t>
      </w:r>
      <w:r w:rsidRPr="00C234C0">
        <w:t xml:space="preserve"> (%) values (reactivity effect of </w:t>
      </w:r>
      <w:r w:rsidRPr="00C234C0">
        <w:rPr>
          <w:vertAlign w:val="superscript"/>
        </w:rPr>
        <w:t>3</w:t>
      </w:r>
      <w:r w:rsidRPr="00C234C0">
        <w:t>He as a function of t</w:t>
      </w:r>
      <w:r w:rsidRPr="00C234C0">
        <w:rPr>
          <w:vertAlign w:val="subscript"/>
        </w:rPr>
        <w:t>d</w:t>
      </w:r>
      <w:r w:rsidRPr="00C234C0">
        <w:t>) using</w:t>
      </w:r>
      <w:r w:rsidR="003261D2">
        <w:t xml:space="preserve"> </w:t>
      </w:r>
      <w:r w:rsidR="007511FA">
        <w:fldChar w:fldCharType="begin"/>
      </w:r>
      <w:r w:rsidR="003261D2">
        <w:instrText xml:space="preserve"> REF _Ref285536784 \h </w:instrText>
      </w:r>
      <w:r w:rsidR="007511FA">
        <w:fldChar w:fldCharType="separate"/>
      </w:r>
      <w:r w:rsidR="00D5167B">
        <w:t xml:space="preserve">Equation </w:t>
      </w:r>
      <w:r w:rsidR="00D5167B">
        <w:rPr>
          <w:noProof/>
        </w:rPr>
        <w:t>6</w:t>
      </w:r>
      <w:r w:rsidR="00D5167B">
        <w:t>.</w:t>
      </w:r>
      <w:r w:rsidR="00D5167B">
        <w:rPr>
          <w:noProof/>
        </w:rPr>
        <w:t>9</w:t>
      </w:r>
      <w:r w:rsidR="007511FA">
        <w:fldChar w:fldCharType="end"/>
      </w:r>
      <w:r w:rsidRPr="00C234C0">
        <w:t xml:space="preserve">.  These values were then converted into </w:t>
      </w:r>
      <w:proofErr w:type="spellStart"/>
      <w:r w:rsidRPr="00C234C0">
        <w:t>Δρ</w:t>
      </w:r>
      <w:proofErr w:type="spellEnd"/>
      <w:r w:rsidRPr="00C234C0">
        <w:t xml:space="preserve"> ($) values (change in reactivity) by dividing by 0.00762, the delayed neutron fraction (</w:t>
      </w:r>
      <w:proofErr w:type="spellStart"/>
      <w:r w:rsidRPr="00C234C0">
        <w:t>β</w:t>
      </w:r>
      <w:r w:rsidRPr="00C234C0">
        <w:rPr>
          <w:vertAlign w:val="subscript"/>
        </w:rPr>
        <w:t>eff</w:t>
      </w:r>
      <w:proofErr w:type="spellEnd"/>
      <w:r w:rsidRPr="00C234C0">
        <w:t>) associated with HFIR</w:t>
      </w:r>
      <w:r w:rsidR="00C67546">
        <w:t xml:space="preserve"> </w:t>
      </w:r>
      <w:r w:rsidR="007511FA">
        <w:fldChar w:fldCharType="begin"/>
      </w:r>
      <w:r w:rsidR="00C67546">
        <w:instrText xml:space="preserve"> REF _Ref285636356 \n \h </w:instrText>
      </w:r>
      <w:r w:rsidR="007511FA">
        <w:fldChar w:fldCharType="separate"/>
      </w:r>
      <w:r w:rsidR="00D5167B">
        <w:t>[28]</w:t>
      </w:r>
      <w:r w:rsidR="007511FA">
        <w:fldChar w:fldCharType="end"/>
      </w:r>
      <w:r w:rsidRPr="00C234C0">
        <w:t xml:space="preserve">.  The corresponding ΔR values were obtained by utilizing the “typical” startup position </w:t>
      </w:r>
      <w:r>
        <w:t>control element</w:t>
      </w:r>
      <w:r w:rsidRPr="00C234C0">
        <w:t xml:space="preserve"> worth of $3.10/in</w:t>
      </w:r>
      <w:r>
        <w:t>ch</w:t>
      </w:r>
      <w:r w:rsidRPr="00C234C0">
        <w:t>.</w:t>
      </w:r>
    </w:p>
    <w:p w:rsidR="00E644F3" w:rsidRPr="00C234C0" w:rsidRDefault="00E644F3" w:rsidP="002C6D76"/>
    <w:p w:rsidR="002C6D76" w:rsidRPr="00E644F3" w:rsidRDefault="002C6D76" w:rsidP="001D1991">
      <w:pPr>
        <w:spacing w:line="240" w:lineRule="auto"/>
        <w:ind w:firstLine="0"/>
        <w:rPr>
          <w:rFonts w:eastAsiaTheme="minorEastAsia"/>
          <w:sz w:val="20"/>
          <w:szCs w:val="20"/>
        </w:rPr>
      </w:pPr>
      <m:oMathPara>
        <m:oMathParaPr>
          <m:jc m:val="center"/>
        </m:oMathParaPr>
        <m:oMath>
          <m:r>
            <w:rPr>
              <w:rFonts w:ascii="Cambria Math" w:hAnsi="Cambria Math"/>
              <w:sz w:val="20"/>
              <w:szCs w:val="20"/>
            </w:rPr>
            <m:t>r</m:t>
          </m:r>
          <m:r>
            <w:rPr>
              <w:rFonts w:ascii="Cambria Math" w:hAnsi="Cambria Math"/>
              <w:sz w:val="20"/>
              <w:szCs w:val="20"/>
            </w:rPr>
            <m:t xml:space="preserve">eactivity = </m:t>
          </m:r>
          <m:f>
            <m:fPr>
              <m:ctrlPr>
                <w:rPr>
                  <w:rFonts w:ascii="Cambria Math" w:hAnsi="Cambria Math"/>
                  <w:i/>
                  <w:sz w:val="20"/>
                  <w:szCs w:val="20"/>
                </w:rPr>
              </m:ctrlPr>
            </m:fPr>
            <m:num>
              <m:sSubSup>
                <m:sSubSupPr>
                  <m:ctrlPr>
                    <w:rPr>
                      <w:rFonts w:ascii="Cambria Math" w:hAnsi="Cambria Math"/>
                      <w:i/>
                      <w:sz w:val="20"/>
                      <w:szCs w:val="20"/>
                    </w:rPr>
                  </m:ctrlPr>
                </m:sSubSupPr>
                <m:e>
                  <m:r>
                    <w:rPr>
                      <w:rFonts w:ascii="Cambria Math" w:hAnsi="Cambria Math"/>
                      <w:sz w:val="20"/>
                      <w:szCs w:val="20"/>
                    </w:rPr>
                    <m:t>k</m:t>
                  </m:r>
                </m:e>
                <m:sub>
                  <m:r>
                    <w:rPr>
                      <w:rFonts w:ascii="Cambria Math" w:hAnsi="Cambria Math"/>
                      <w:sz w:val="20"/>
                      <w:szCs w:val="20"/>
                    </w:rPr>
                    <m:t>eff</m:t>
                  </m:r>
                </m:sub>
                <m:sup>
                  <m:r>
                    <w:rPr>
                      <w:rFonts w:ascii="Cambria Math" w:hAnsi="Cambria Math"/>
                      <w:sz w:val="20"/>
                      <w:szCs w:val="20"/>
                    </w:rPr>
                    <m:t>current</m:t>
                  </m:r>
                </m:sup>
              </m:sSubSup>
              <m:r>
                <w:rPr>
                  <w:rFonts w:ascii="Cambria Math" w:hAnsi="Cambria Math"/>
                  <w:sz w:val="20"/>
                  <w:szCs w:val="20"/>
                </w:rPr>
                <m:t>-</m:t>
              </m:r>
              <m:sSubSup>
                <m:sSubSupPr>
                  <m:ctrlPr>
                    <w:rPr>
                      <w:rFonts w:ascii="Cambria Math" w:hAnsi="Cambria Math"/>
                      <w:i/>
                      <w:sz w:val="20"/>
                      <w:szCs w:val="20"/>
                    </w:rPr>
                  </m:ctrlPr>
                </m:sSubSupPr>
                <m:e>
                  <m:r>
                    <w:rPr>
                      <w:rFonts w:ascii="Cambria Math" w:hAnsi="Cambria Math"/>
                      <w:sz w:val="20"/>
                      <w:szCs w:val="20"/>
                    </w:rPr>
                    <m:t>k</m:t>
                  </m:r>
                </m:e>
                <m:sub>
                  <m:r>
                    <w:rPr>
                      <w:rFonts w:ascii="Cambria Math" w:hAnsi="Cambria Math"/>
                      <w:sz w:val="20"/>
                      <w:szCs w:val="20"/>
                    </w:rPr>
                    <m:t>eff</m:t>
                  </m:r>
                </m:sub>
                <m:sup>
                  <m:r>
                    <w:rPr>
                      <w:rFonts w:ascii="Cambria Math" w:hAnsi="Cambria Math"/>
                      <w:sz w:val="20"/>
                      <w:szCs w:val="20"/>
                    </w:rPr>
                    <m:t>reference</m:t>
                  </m:r>
                </m:sup>
              </m:sSubSup>
            </m:num>
            <m:den>
              <m:sSubSup>
                <m:sSubSupPr>
                  <m:ctrlPr>
                    <w:rPr>
                      <w:rFonts w:ascii="Cambria Math" w:hAnsi="Cambria Math"/>
                      <w:i/>
                      <w:sz w:val="20"/>
                      <w:szCs w:val="20"/>
                    </w:rPr>
                  </m:ctrlPr>
                </m:sSubSupPr>
                <m:e>
                  <m:r>
                    <w:rPr>
                      <w:rFonts w:ascii="Cambria Math" w:hAnsi="Cambria Math"/>
                      <w:sz w:val="20"/>
                      <w:szCs w:val="20"/>
                    </w:rPr>
                    <m:t>k</m:t>
                  </m:r>
                </m:e>
                <m:sub>
                  <m:r>
                    <w:rPr>
                      <w:rFonts w:ascii="Cambria Math" w:hAnsi="Cambria Math"/>
                      <w:sz w:val="20"/>
                      <w:szCs w:val="20"/>
                    </w:rPr>
                    <m:t>eff</m:t>
                  </m:r>
                </m:sub>
                <m:sup>
                  <m:r>
                    <w:rPr>
                      <w:rFonts w:ascii="Cambria Math" w:hAnsi="Cambria Math"/>
                      <w:sz w:val="20"/>
                      <w:szCs w:val="20"/>
                    </w:rPr>
                    <m:t>current</m:t>
                  </m:r>
                </m:sup>
              </m:sSubSup>
              <m:r>
                <w:rPr>
                  <w:rFonts w:ascii="Cambria Math" w:hAnsi="Cambria Math"/>
                  <w:sz w:val="20"/>
                  <w:szCs w:val="20"/>
                </w:rPr>
                <m:t>×</m:t>
              </m:r>
              <m:sSubSup>
                <m:sSubSupPr>
                  <m:ctrlPr>
                    <w:rPr>
                      <w:rFonts w:ascii="Cambria Math" w:hAnsi="Cambria Math"/>
                      <w:i/>
                      <w:sz w:val="20"/>
                      <w:szCs w:val="20"/>
                    </w:rPr>
                  </m:ctrlPr>
                </m:sSubSupPr>
                <m:e>
                  <m:r>
                    <w:rPr>
                      <w:rFonts w:ascii="Cambria Math" w:hAnsi="Cambria Math"/>
                      <w:sz w:val="20"/>
                      <w:szCs w:val="20"/>
                    </w:rPr>
                    <m:t>k</m:t>
                  </m:r>
                </m:e>
                <m:sub>
                  <m:r>
                    <w:rPr>
                      <w:rFonts w:ascii="Cambria Math" w:hAnsi="Cambria Math"/>
                      <w:sz w:val="20"/>
                      <w:szCs w:val="20"/>
                    </w:rPr>
                    <m:t>eff</m:t>
                  </m:r>
                </m:sub>
                <m:sup>
                  <m:r>
                    <w:rPr>
                      <w:rFonts w:ascii="Cambria Math" w:hAnsi="Cambria Math"/>
                      <w:sz w:val="20"/>
                      <w:szCs w:val="20"/>
                    </w:rPr>
                    <m:t>reference</m:t>
                  </m:r>
                </m:sup>
              </m:sSubSup>
            </m:den>
          </m:f>
        </m:oMath>
      </m:oMathPara>
    </w:p>
    <w:p w:rsidR="003261D2" w:rsidRPr="00C234C0" w:rsidRDefault="003261D2" w:rsidP="003261D2">
      <w:pPr>
        <w:pStyle w:val="Caption"/>
      </w:pPr>
      <w:bookmarkStart w:id="236" w:name="_Ref285536784"/>
      <w:proofErr w:type="gramStart"/>
      <w:r>
        <w:t xml:space="preserve">Equation </w:t>
      </w:r>
      <w:r w:rsidR="007511FA">
        <w:fldChar w:fldCharType="begin"/>
      </w:r>
      <w:r w:rsidR="00AE17F8">
        <w:instrText xml:space="preserve"> STYLEREF 1 \s </w:instrText>
      </w:r>
      <w:r w:rsidR="007511FA">
        <w:fldChar w:fldCharType="separate"/>
      </w:r>
      <w:r w:rsidR="00D5167B">
        <w:rPr>
          <w:noProof/>
        </w:rPr>
        <w:t>6</w:t>
      </w:r>
      <w:r w:rsidR="007511FA">
        <w:fldChar w:fldCharType="end"/>
      </w:r>
      <w:r w:rsidR="00220B7D">
        <w:t>.</w:t>
      </w:r>
      <w:proofErr w:type="gramEnd"/>
      <w:r w:rsidR="007511FA">
        <w:fldChar w:fldCharType="begin"/>
      </w:r>
      <w:r w:rsidR="00220B7D">
        <w:instrText xml:space="preserve"> SEQ Equation \* ARABIC \s 1 </w:instrText>
      </w:r>
      <w:r w:rsidR="007511FA">
        <w:fldChar w:fldCharType="separate"/>
      </w:r>
      <w:r w:rsidR="00D5167B">
        <w:rPr>
          <w:noProof/>
        </w:rPr>
        <w:t>9</w:t>
      </w:r>
      <w:r w:rsidR="007511FA">
        <w:fldChar w:fldCharType="end"/>
      </w:r>
      <w:bookmarkEnd w:id="236"/>
    </w:p>
    <w:p w:rsidR="002C6D76" w:rsidRDefault="002C6D76">
      <w:pPr>
        <w:spacing w:before="0" w:after="200" w:line="276" w:lineRule="auto"/>
        <w:ind w:firstLine="0"/>
        <w:jc w:val="left"/>
      </w:pPr>
    </w:p>
    <w:p w:rsidR="002C6D76" w:rsidRDefault="002C6D76" w:rsidP="00AA149C">
      <w:pPr>
        <w:pStyle w:val="Heading3"/>
      </w:pPr>
      <w:bookmarkStart w:id="237" w:name="_Toc295818143"/>
      <w:r>
        <w:t>Waste Classifications Methodology</w:t>
      </w:r>
      <w:bookmarkEnd w:id="237"/>
    </w:p>
    <w:p w:rsidR="002C6D76" w:rsidRPr="00C234C0" w:rsidRDefault="002C6D76" w:rsidP="002C6D76">
      <w:r w:rsidRPr="00C234C0">
        <w:t xml:space="preserve">Activation calculations were performed on the HFIR beryllium reflector regions in order to characterize them so HFIR staff could assess the viability of moving them out of the spent fuel pool.  </w:t>
      </w:r>
      <w:r>
        <w:t>Study number 2</w:t>
      </w:r>
      <w:r w:rsidRPr="00C234C0">
        <w:t xml:space="preserve"> </w:t>
      </w:r>
      <w:r>
        <w:t>was performed</w:t>
      </w:r>
      <w:r w:rsidRPr="00C234C0">
        <w:t xml:space="preserve"> to determine whether the permanent beryllium reflector number 3 (PB3) currently exceeds the TRU waste threshold and whether typical RB and SPB reflectors are discharged as or </w:t>
      </w:r>
      <w:r>
        <w:t>subsequently</w:t>
      </w:r>
      <w:r w:rsidRPr="00C234C0">
        <w:t xml:space="preserve"> become TRU waste.  </w:t>
      </w:r>
      <w:r>
        <w:t>Study number 3 was</w:t>
      </w:r>
      <w:r w:rsidRPr="00C234C0">
        <w:t xml:space="preserve"> performed to determine the total curie inventory in PB3 and representative RB and SPB reflectors at discharge and during decay.</w:t>
      </w:r>
    </w:p>
    <w:p w:rsidR="002C6D76" w:rsidRPr="00C234C0" w:rsidRDefault="002C6D76" w:rsidP="002C6D76">
      <w:r w:rsidRPr="00C234C0">
        <w:lastRenderedPageBreak/>
        <w:t xml:space="preserve">At the time the calculations in </w:t>
      </w:r>
      <w:r>
        <w:t>study number 2</w:t>
      </w:r>
      <w:r w:rsidRPr="00C234C0">
        <w:t xml:space="preserve"> were performed</w:t>
      </w:r>
      <w:r>
        <w:t>, the goal was to calculate</w:t>
      </w:r>
      <w:r w:rsidRPr="00C234C0">
        <w:t xml:space="preserve"> the TRU inventory.  The beryllium reflectors were modeled as solid beryllium cylinders containing uranium and impurities based on neutron activation analyses (NAA) on three in-vessel non-reflector beryllium components.  The uranium concentration in PB3 was known to be 0.0044 weight percent, which was used along with the NAA results for the other beryllium impurities.  The PB3 design file</w:t>
      </w:r>
      <w:r w:rsidR="00C67546">
        <w:t xml:space="preserve"> </w:t>
      </w:r>
      <w:r w:rsidR="007511FA">
        <w:fldChar w:fldCharType="begin"/>
      </w:r>
      <w:r w:rsidR="00C67546">
        <w:instrText xml:space="preserve"> REF _Ref285637913 \n \h </w:instrText>
      </w:r>
      <w:r w:rsidR="007511FA">
        <w:fldChar w:fldCharType="separate"/>
      </w:r>
      <w:r w:rsidR="00D5167B">
        <w:t>[90]</w:t>
      </w:r>
      <w:r w:rsidR="007511FA">
        <w:fldChar w:fldCharType="end"/>
      </w:r>
      <w:r w:rsidRPr="00C234C0">
        <w:t xml:space="preserve"> was located by HFIR staff and the material composition </w:t>
      </w:r>
      <w:r>
        <w:t>contained therein</w:t>
      </w:r>
      <w:r w:rsidRPr="00C234C0">
        <w:t xml:space="preserve"> was used in </w:t>
      </w:r>
      <w:r>
        <w:t>study number 3</w:t>
      </w:r>
      <w:r w:rsidRPr="00C234C0">
        <w:t xml:space="preserve"> to calculate the post-irradiation curie contributing inventory.  The uranium concentration listed in</w:t>
      </w:r>
      <w:r w:rsidR="00C67546">
        <w:t xml:space="preserve"> </w:t>
      </w:r>
      <w:r w:rsidR="007511FA">
        <w:fldChar w:fldCharType="begin"/>
      </w:r>
      <w:r w:rsidR="00C67546">
        <w:instrText xml:space="preserve"> REF _Ref285637913 \n \h </w:instrText>
      </w:r>
      <w:r w:rsidR="007511FA">
        <w:fldChar w:fldCharType="separate"/>
      </w:r>
      <w:r w:rsidR="00D5167B">
        <w:t>[90]</w:t>
      </w:r>
      <w:r w:rsidR="007511FA">
        <w:fldChar w:fldCharType="end"/>
      </w:r>
      <w:r w:rsidRPr="00C234C0">
        <w:t xml:space="preserve"> is 0.0044 weight percent, which was the value used in both </w:t>
      </w:r>
      <w:r>
        <w:t>studies number 2 and 3</w:t>
      </w:r>
      <w:r w:rsidRPr="00C234C0">
        <w:t>.</w:t>
      </w:r>
    </w:p>
    <w:p w:rsidR="002C6D76" w:rsidRDefault="002C6D76" w:rsidP="002C6D76">
      <w:r w:rsidRPr="00C234C0">
        <w:t xml:space="preserve">The TRU inventory for PB3 and representative RB and SPB reflectors was initially calculated utilizing </w:t>
      </w:r>
      <w:r>
        <w:t>TRITON/</w:t>
      </w:r>
      <w:r w:rsidRPr="00C234C0">
        <w:t xml:space="preserve">KENO </w:t>
      </w:r>
      <w:proofErr w:type="spellStart"/>
      <w:r w:rsidRPr="00C234C0">
        <w:t>V.a</w:t>
      </w:r>
      <w:proofErr w:type="spellEnd"/>
      <w:r w:rsidRPr="00C234C0">
        <w:t>.  A separate calculation was performed for each of the three reflector regions.  The KENO radial flux results in the reflector were compared to benchmarked ALEPH/MCNP</w:t>
      </w:r>
      <w:r w:rsidR="006B5D42">
        <w:t xml:space="preserve"> </w:t>
      </w:r>
      <w:r w:rsidR="007511FA">
        <w:fldChar w:fldCharType="begin"/>
      </w:r>
      <w:r w:rsidR="006B5D42">
        <w:instrText xml:space="preserve"> REF _Ref285637248 \n \h </w:instrText>
      </w:r>
      <w:r w:rsidR="007511FA">
        <w:fldChar w:fldCharType="separate"/>
      </w:r>
      <w:r w:rsidR="00D5167B">
        <w:t>[74]</w:t>
      </w:r>
      <w:r w:rsidR="007511FA">
        <w:fldChar w:fldCharType="end"/>
      </w:r>
      <w:r w:rsidRPr="00C234C0">
        <w:t xml:space="preserve"> time-dependent results and were shown to be slightly larger and therefore slightly conservative since the reflector regions were depleted by flux (</w:t>
      </w:r>
      <w:r w:rsidR="007511FA">
        <w:rPr>
          <w:highlight w:val="yellow"/>
        </w:rPr>
        <w:fldChar w:fldCharType="begin"/>
      </w:r>
      <w:r w:rsidR="003261D2">
        <w:instrText xml:space="preserve"> REF _Ref285536860 \h </w:instrText>
      </w:r>
      <w:r w:rsidR="007511FA">
        <w:rPr>
          <w:highlight w:val="yellow"/>
        </w:rPr>
      </w:r>
      <w:r w:rsidR="007511FA">
        <w:rPr>
          <w:highlight w:val="yellow"/>
        </w:rPr>
        <w:fldChar w:fldCharType="separate"/>
      </w:r>
      <w:r w:rsidR="00D5167B" w:rsidRPr="003261D2">
        <w:t xml:space="preserve">Figure </w:t>
      </w:r>
      <w:r w:rsidR="00D5167B">
        <w:rPr>
          <w:noProof/>
        </w:rPr>
        <w:t>6</w:t>
      </w:r>
      <w:r w:rsidR="00D5167B">
        <w:t>.</w:t>
      </w:r>
      <w:r w:rsidR="00D5167B">
        <w:rPr>
          <w:noProof/>
        </w:rPr>
        <w:t>4</w:t>
      </w:r>
      <w:r w:rsidR="007511FA">
        <w:rPr>
          <w:highlight w:val="yellow"/>
        </w:rPr>
        <w:fldChar w:fldCharType="end"/>
      </w:r>
      <w:r w:rsidRPr="00C234C0">
        <w:t>).  The KENO fluxes are slightly greater because the fuel in the TRITON model is not depleted and poison is uniformly distributed in the control element channel</w:t>
      </w:r>
      <w:r>
        <w:t>.  With the resources available,</w:t>
      </w:r>
      <w:r w:rsidRPr="00C234C0">
        <w:t xml:space="preserve"> </w:t>
      </w:r>
      <w:r>
        <w:t xml:space="preserve">it was not feasible </w:t>
      </w:r>
      <w:r w:rsidRPr="00C234C0">
        <w:t>to deplete the fuel and simulate control element movement for 138 cycles.  Comparisons over single cycles showed that the perturbations in flux magnitude and spectra are small when compared to time-dependent ALEPH/MCNP calculations where both fuel depletion and control element movement are modeled</w:t>
      </w:r>
      <w:r w:rsidR="00F34C26">
        <w:t xml:space="preserve"> (</w:t>
      </w:r>
      <w:r w:rsidR="007511FA">
        <w:rPr>
          <w:highlight w:val="yellow"/>
        </w:rPr>
        <w:fldChar w:fldCharType="begin"/>
      </w:r>
      <w:r w:rsidR="003261D2">
        <w:instrText xml:space="preserve"> REF _Ref285536860 \h </w:instrText>
      </w:r>
      <w:r w:rsidR="007511FA">
        <w:rPr>
          <w:highlight w:val="yellow"/>
        </w:rPr>
      </w:r>
      <w:r w:rsidR="007511FA">
        <w:rPr>
          <w:highlight w:val="yellow"/>
        </w:rPr>
        <w:fldChar w:fldCharType="separate"/>
      </w:r>
      <w:r w:rsidR="00D5167B" w:rsidRPr="003261D2">
        <w:t xml:space="preserve">Figure </w:t>
      </w:r>
      <w:r w:rsidR="00D5167B">
        <w:rPr>
          <w:noProof/>
        </w:rPr>
        <w:t>6</w:t>
      </w:r>
      <w:r w:rsidR="00D5167B">
        <w:t>.</w:t>
      </w:r>
      <w:r w:rsidR="00D5167B">
        <w:rPr>
          <w:noProof/>
        </w:rPr>
        <w:t>4</w:t>
      </w:r>
      <w:r w:rsidR="007511FA">
        <w:rPr>
          <w:highlight w:val="yellow"/>
        </w:rPr>
        <w:fldChar w:fldCharType="end"/>
      </w:r>
      <w:r>
        <w:t>)</w:t>
      </w:r>
      <w:r w:rsidRPr="00C234C0">
        <w:t>.</w:t>
      </w:r>
    </w:p>
    <w:p w:rsidR="003261D2" w:rsidRPr="00C234C0" w:rsidRDefault="003261D2" w:rsidP="003261D2">
      <w:r w:rsidRPr="00C234C0">
        <w:t xml:space="preserve">PB3 was inserted into HFIR between cycles 244 and 245 (cycle 245 began on Jan. 1, 1984) and was removed following the end of cycle 382 (Oct. 1, 2000).  HFIR experienced an outage for 3.5 years between cycles 287 and 288 while reactor vessel </w:t>
      </w:r>
      <w:proofErr w:type="spellStart"/>
      <w:r w:rsidRPr="00C234C0">
        <w:t>embrittlement</w:t>
      </w:r>
      <w:proofErr w:type="spellEnd"/>
      <w:r w:rsidRPr="00C234C0">
        <w:t xml:space="preserve"> </w:t>
      </w:r>
      <w:r>
        <w:t>concerns were addressed</w:t>
      </w:r>
      <w:r w:rsidRPr="00C234C0">
        <w:t>.  The outcome of the outage, which occurred between November 14, 1986 and May 18, 1990, was a power decrease from 100 MW</w:t>
      </w:r>
      <w:r w:rsidRPr="00C234C0">
        <w:rPr>
          <w:vertAlign w:val="subscript"/>
        </w:rPr>
        <w:t>th</w:t>
      </w:r>
      <w:r w:rsidRPr="00C234C0">
        <w:t xml:space="preserve"> to 85 MW</w:t>
      </w:r>
      <w:r w:rsidRPr="00C234C0">
        <w:rPr>
          <w:vertAlign w:val="subscript"/>
        </w:rPr>
        <w:t>th</w:t>
      </w:r>
      <w:r w:rsidRPr="00C234C0">
        <w:t>.  Thus, the calculation performed in order to characterize PB3 utilized 4 steps: (1) irradiate at 100 MW for 926.5 days (92</w:t>
      </w:r>
      <w:r>
        <w:t>,</w:t>
      </w:r>
      <w:r w:rsidRPr="00C234C0">
        <w:t>646 MWd), (2) decay for 1280 days, (3) irradiate at 85 MW for 2</w:t>
      </w:r>
      <w:r>
        <w:t>,</w:t>
      </w:r>
      <w:r w:rsidRPr="00C234C0">
        <w:t>204 days (187</w:t>
      </w:r>
      <w:r>
        <w:t>,</w:t>
      </w:r>
      <w:r w:rsidRPr="00C234C0">
        <w:t xml:space="preserve">341 MWd), and (4) </w:t>
      </w:r>
      <w:r>
        <w:t xml:space="preserve">post-discharge </w:t>
      </w:r>
      <w:r w:rsidRPr="00C234C0">
        <w:t>decay</w:t>
      </w:r>
      <w:r w:rsidR="006B5D42">
        <w:t xml:space="preserve">, </w:t>
      </w:r>
      <w:r w:rsidR="007511FA">
        <w:fldChar w:fldCharType="begin"/>
      </w:r>
      <w:r w:rsidR="006B5D42">
        <w:instrText xml:space="preserve"> REF _Ref285637751 \n \h </w:instrText>
      </w:r>
      <w:r w:rsidR="007511FA">
        <w:fldChar w:fldCharType="separate"/>
      </w:r>
      <w:r w:rsidR="00D5167B">
        <w:t>[87]</w:t>
      </w:r>
      <w:r w:rsidR="007511FA">
        <w:fldChar w:fldCharType="end"/>
      </w:r>
      <w:r w:rsidR="006B5D42">
        <w:t xml:space="preserve"> and </w:t>
      </w:r>
      <w:r w:rsidR="007511FA">
        <w:fldChar w:fldCharType="begin"/>
      </w:r>
      <w:r w:rsidR="006B5D42">
        <w:instrText xml:space="preserve"> REF _Ref285637961 \n \h </w:instrText>
      </w:r>
      <w:r w:rsidR="007511FA">
        <w:fldChar w:fldCharType="separate"/>
      </w:r>
      <w:r w:rsidR="00D5167B">
        <w:t>[91]</w:t>
      </w:r>
      <w:r w:rsidR="007511FA">
        <w:fldChar w:fldCharType="end"/>
      </w:r>
      <w:r w:rsidRPr="00C234C0">
        <w:t>.</w:t>
      </w:r>
    </w:p>
    <w:p w:rsidR="001D1991" w:rsidRPr="0024454A" w:rsidRDefault="007511FA" w:rsidP="001D1991">
      <w:pPr>
        <w:spacing w:before="0" w:after="0" w:line="240" w:lineRule="auto"/>
        <w:ind w:firstLine="0"/>
        <w:jc w:val="center"/>
        <w:rPr>
          <w:b/>
        </w:rPr>
      </w:pPr>
      <w:r w:rsidRPr="007511FA">
        <w:rPr>
          <w:b/>
          <w:noProof/>
          <w:snapToGrid w:val="0"/>
          <w:lang w:eastAsia="zh-TW"/>
        </w:rPr>
        <w:lastRenderedPageBreak/>
        <w:pict>
          <v:shapetype id="_x0000_t202" coordsize="21600,21600" o:spt="202" path="m,l,21600r21600,l21600,xe">
            <v:stroke joinstyle="miter"/>
            <v:path gradientshapeok="t" o:connecttype="rect"/>
          </v:shapetype>
          <v:shape id="_x0000_s1072" type="#_x0000_t202" style="position:absolute;left:0;text-align:left;margin-left:188.45pt;margin-top:74.4pt;width:126.45pt;height:21.15pt;z-index:251682816;mso-width-relative:margin;mso-height-relative:margin">
            <v:textbox style="mso-next-textbox:#_x0000_s1072">
              <w:txbxContent>
                <w:p w:rsidR="00F236B9" w:rsidRPr="00DF1698" w:rsidRDefault="00F236B9" w:rsidP="001D1991">
                  <w:pPr>
                    <w:spacing w:before="0" w:after="0" w:line="240" w:lineRule="auto"/>
                    <w:ind w:firstLine="0"/>
                  </w:pPr>
                  <w:proofErr w:type="gramStart"/>
                  <w:r w:rsidRPr="00DF1698">
                    <w:t>thermal</w:t>
                  </w:r>
                  <w:proofErr w:type="gramEnd"/>
                  <w:r w:rsidRPr="00DF1698">
                    <w:t xml:space="preserve"> flux (E &lt; 3 </w:t>
                  </w:r>
                  <w:proofErr w:type="spellStart"/>
                  <w:r w:rsidRPr="00DF1698">
                    <w:t>eV</w:t>
                  </w:r>
                  <w:proofErr w:type="spellEnd"/>
                  <w:r w:rsidRPr="00DF1698">
                    <w:t>)</w:t>
                  </w:r>
                </w:p>
              </w:txbxContent>
            </v:textbox>
          </v:shape>
        </w:pict>
      </w:r>
      <w:r w:rsidRPr="007511FA">
        <w:rPr>
          <w:b/>
          <w:noProof/>
          <w:snapToGrid w:val="0"/>
          <w:lang w:eastAsia="zh-TW"/>
        </w:rPr>
        <w:pict>
          <v:shape id="_x0000_s1073" type="#_x0000_t202" style="position:absolute;left:0;text-align:left;margin-left:144.55pt;margin-top:194.55pt;width:153.15pt;height:20.15pt;z-index:251683840;mso-width-relative:margin;mso-height-relative:margin">
            <v:textbox style="mso-next-textbox:#_x0000_s1073">
              <w:txbxContent>
                <w:p w:rsidR="00F236B9" w:rsidRPr="00DF1698" w:rsidRDefault="00F236B9" w:rsidP="001D1991">
                  <w:pPr>
                    <w:spacing w:before="0" w:after="0" w:line="240" w:lineRule="auto"/>
                    <w:ind w:firstLine="0"/>
                    <w:jc w:val="center"/>
                  </w:pPr>
                  <w:proofErr w:type="gramStart"/>
                  <w:r w:rsidRPr="00DF1698">
                    <w:t>fast</w:t>
                  </w:r>
                  <w:proofErr w:type="gramEnd"/>
                  <w:r w:rsidRPr="00DF1698">
                    <w:t xml:space="preserve"> flux (3 </w:t>
                  </w:r>
                  <w:proofErr w:type="spellStart"/>
                  <w:r w:rsidRPr="00DF1698">
                    <w:t>eV</w:t>
                  </w:r>
                  <w:proofErr w:type="spellEnd"/>
                  <w:r w:rsidRPr="00DF1698">
                    <w:t xml:space="preserve"> </w:t>
                  </w:r>
                  <w:r w:rsidRPr="00DF1698">
                    <w:rPr>
                      <w:rFonts w:cstheme="minorHAnsi"/>
                    </w:rPr>
                    <w:t>&lt; E &lt;</w:t>
                  </w:r>
                  <w:r w:rsidRPr="00DF1698">
                    <w:t xml:space="preserve"> 20 </w:t>
                  </w:r>
                  <w:proofErr w:type="spellStart"/>
                  <w:r w:rsidRPr="00DF1698">
                    <w:t>MeV</w:t>
                  </w:r>
                  <w:proofErr w:type="spellEnd"/>
                  <w:r w:rsidRPr="00DF1698">
                    <w:t>)</w:t>
                  </w:r>
                </w:p>
              </w:txbxContent>
            </v:textbox>
          </v:shape>
        </w:pict>
      </w:r>
      <w:r w:rsidR="001D1991" w:rsidRPr="0024454A">
        <w:rPr>
          <w:b/>
          <w:noProof/>
        </w:rPr>
        <w:drawing>
          <wp:inline distT="0" distB="0" distL="0" distR="0">
            <wp:extent cx="5486400" cy="3890356"/>
            <wp:effectExtent l="0" t="0" r="0" b="0"/>
            <wp:docPr id="2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1D1991" w:rsidRDefault="001D1991" w:rsidP="001D1991">
      <w:pPr>
        <w:pStyle w:val="Caption"/>
      </w:pPr>
      <w:bookmarkStart w:id="238" w:name="_Ref285536860"/>
      <w:bookmarkStart w:id="239" w:name="_Toc295818231"/>
      <w:proofErr w:type="gramStart"/>
      <w:r w:rsidRPr="003261D2">
        <w:t xml:space="preserve">Figure </w:t>
      </w:r>
      <w:r w:rsidR="007511FA">
        <w:fldChar w:fldCharType="begin"/>
      </w:r>
      <w:r w:rsidR="00AE17F8">
        <w:instrText xml:space="preserve"> STYLEREF 1 \s </w:instrText>
      </w:r>
      <w:r w:rsidR="007511FA">
        <w:fldChar w:fldCharType="separate"/>
      </w:r>
      <w:r w:rsidR="00D5167B">
        <w:rPr>
          <w:noProof/>
        </w:rPr>
        <w:t>6</w:t>
      </w:r>
      <w:r w:rsidR="007511FA">
        <w:fldChar w:fldCharType="end"/>
      </w:r>
      <w:r>
        <w:t>.</w:t>
      </w:r>
      <w:proofErr w:type="gramEnd"/>
      <w:r w:rsidR="007511FA">
        <w:fldChar w:fldCharType="begin"/>
      </w:r>
      <w:r>
        <w:instrText xml:space="preserve"> SEQ Figure \* ARABIC \s 1 </w:instrText>
      </w:r>
      <w:r w:rsidR="007511FA">
        <w:fldChar w:fldCharType="separate"/>
      </w:r>
      <w:r w:rsidR="00D5167B">
        <w:rPr>
          <w:noProof/>
        </w:rPr>
        <w:t>4</w:t>
      </w:r>
      <w:r w:rsidR="007511FA">
        <w:fldChar w:fldCharType="end"/>
      </w:r>
      <w:bookmarkEnd w:id="238"/>
      <w:r w:rsidRPr="003261D2">
        <w:t>.  SCALE and time-dependent ALEPH/MCNP flux comparisons.</w:t>
      </w:r>
      <w:bookmarkEnd w:id="239"/>
    </w:p>
    <w:p w:rsidR="001D1991" w:rsidRDefault="001D1991" w:rsidP="003261D2"/>
    <w:p w:rsidR="003261D2" w:rsidRPr="00C234C0" w:rsidRDefault="003261D2" w:rsidP="003261D2">
      <w:r w:rsidRPr="00C234C0">
        <w:t xml:space="preserve">A typical life of an RB is 83.7 </w:t>
      </w:r>
      <w:proofErr w:type="spellStart"/>
      <w:r w:rsidRPr="00C234C0">
        <w:t>GWd</w:t>
      </w:r>
      <w:proofErr w:type="spellEnd"/>
      <w:r w:rsidRPr="00C234C0">
        <w:t>, which corresponds to approximately 1</w:t>
      </w:r>
      <w:r>
        <w:t>,</w:t>
      </w:r>
      <w:r w:rsidRPr="00C234C0">
        <w:t>000 days of irradiation at 85 MW</w:t>
      </w:r>
      <w:r>
        <w:rPr>
          <w:vertAlign w:val="subscript"/>
        </w:rPr>
        <w:t>th</w:t>
      </w:r>
      <w:r w:rsidRPr="00C234C0">
        <w:t xml:space="preserve"> and a typical life of an SPB is 167 </w:t>
      </w:r>
      <w:proofErr w:type="spellStart"/>
      <w:r w:rsidRPr="00C234C0">
        <w:t>GWd</w:t>
      </w:r>
      <w:proofErr w:type="spellEnd"/>
      <w:r w:rsidRPr="00C234C0">
        <w:t>, which corresponds to approximately 2</w:t>
      </w:r>
      <w:r>
        <w:t>,</w:t>
      </w:r>
      <w:r w:rsidRPr="00C234C0">
        <w:t>000 days of irradiation at 85 MW</w:t>
      </w:r>
      <w:r>
        <w:rPr>
          <w:vertAlign w:val="subscript"/>
        </w:rPr>
        <w:t>th</w:t>
      </w:r>
      <w:r w:rsidRPr="00C234C0">
        <w:t xml:space="preserve">.  The RB and SPB reflectors were </w:t>
      </w:r>
      <w:r>
        <w:t>irradiated</w:t>
      </w:r>
      <w:r w:rsidRPr="00C234C0">
        <w:t xml:space="preserve"> for 1</w:t>
      </w:r>
      <w:r>
        <w:t>,</w:t>
      </w:r>
      <w:r w:rsidRPr="00C234C0">
        <w:t>200 and 2</w:t>
      </w:r>
      <w:r>
        <w:t>,</w:t>
      </w:r>
      <w:r w:rsidRPr="00C234C0">
        <w:t>400 days, respectively, at 85 MW</w:t>
      </w:r>
      <w:r>
        <w:rPr>
          <w:vertAlign w:val="subscript"/>
        </w:rPr>
        <w:t>th</w:t>
      </w:r>
      <w:r w:rsidRPr="00C234C0">
        <w:t xml:space="preserve"> to account for those reflectors that accumulate greater than typical exposures and in order to obtain slightly conservative results.  The RB and SPB were modeled with the same material composition as PB3 since they are all manufactured by the same company and should therefore be similar in composition.</w:t>
      </w:r>
    </w:p>
    <w:p w:rsidR="002C6D76" w:rsidRPr="00C234C0" w:rsidRDefault="002C6D76" w:rsidP="002C6D76">
      <w:r>
        <w:t>For all calculations,</w:t>
      </w:r>
      <w:r w:rsidRPr="00C234C0">
        <w:t xml:space="preserve"> the experiment facilities in the reflectors were not explicitly modeled.  Thus, it is assumed that the reflector regions are concentric cylinders composed of beryllium and its impurities.  This assumption is valid since these calculations are based on a per mass basis, i.e. the results of these analyses are given in radioactivity per mass of waste.  Shutdown periods between cycles were not modeled, except </w:t>
      </w:r>
      <w:r w:rsidRPr="00C234C0">
        <w:lastRenderedPageBreak/>
        <w:t xml:space="preserve">for the 3.5 year shutdown between cycles 287 and 288 (applicable for PB3 model only).  The difference in continual irradiation versus operating cycles (~25 days of irradiation, ~25 days of </w:t>
      </w:r>
      <w:proofErr w:type="gramStart"/>
      <w:r w:rsidRPr="00C234C0">
        <w:t>outage, . . .)</w:t>
      </w:r>
      <w:proofErr w:type="gramEnd"/>
      <w:r w:rsidRPr="00C234C0">
        <w:t xml:space="preserve"> adds conservatism in that actual decay periods between operating cycles are not modeled.  Thus, the curie levels calculated in the reflector by not modeling outages are greater than the curie levels that would be calculated if the outages were modeled.</w:t>
      </w:r>
    </w:p>
    <w:p w:rsidR="002C6D76" w:rsidRPr="00C234C0" w:rsidRDefault="002C6D76" w:rsidP="002C6D76">
      <w:r>
        <w:t>Control element</w:t>
      </w:r>
      <w:r w:rsidRPr="00C234C0">
        <w:t xml:space="preserve"> withdrawal and fuel </w:t>
      </w:r>
      <w:r>
        <w:t>burnup</w:t>
      </w:r>
      <w:r w:rsidRPr="00C234C0">
        <w:t xml:space="preserve"> was not simulated and the reactor power was kept at a constant value of 85 MW</w:t>
      </w:r>
      <w:r>
        <w:rPr>
          <w:vertAlign w:val="subscript"/>
        </w:rPr>
        <w:t>th</w:t>
      </w:r>
      <w:r w:rsidRPr="00C234C0">
        <w:t xml:space="preserve"> (100 MW</w:t>
      </w:r>
      <w:r>
        <w:rPr>
          <w:vertAlign w:val="subscript"/>
        </w:rPr>
        <w:t>th</w:t>
      </w:r>
      <w:r w:rsidRPr="00C234C0">
        <w:t xml:space="preserve"> for the first ~3 years of PB3 analysis).  The power distribution within the core could affect local TRU isotopic concentrations but the total inventory of TRU products in the reflector will be largely unaffected.  Only the core leakage spectra and magnitude are important in these calculations of TRU products, not the details of what is happening inside the fueled region.  Therefore, each of the reflector regions was modeled as one axial zone.  However, they were modeled as multiple radial regions, such that a different flux is utilized in each separate region.</w:t>
      </w:r>
    </w:p>
    <w:p w:rsidR="002C6D76" w:rsidRPr="00C234C0" w:rsidRDefault="002C6D76" w:rsidP="002C6D76">
      <w:r>
        <w:t>C</w:t>
      </w:r>
      <w:r w:rsidRPr="00C234C0">
        <w:t xml:space="preserve">alculations were performed </w:t>
      </w:r>
      <w:r>
        <w:t>i</w:t>
      </w:r>
      <w:r w:rsidRPr="00C234C0">
        <w:t xml:space="preserve">n </w:t>
      </w:r>
      <w:r w:rsidR="00E219E4">
        <w:t>study 3</w:t>
      </w:r>
      <w:r w:rsidRPr="00C234C0">
        <w:t xml:space="preserve"> to determine the total curie inventory in PB3, an RB, and an SPB at discharge and during decay.  The design file for PB3</w:t>
      </w:r>
      <w:r w:rsidR="006B5D42">
        <w:t xml:space="preserve"> </w:t>
      </w:r>
      <w:r w:rsidR="007511FA">
        <w:fldChar w:fldCharType="begin"/>
      </w:r>
      <w:r w:rsidR="006B5D42">
        <w:instrText xml:space="preserve"> REF _Ref285637961 \n \h </w:instrText>
      </w:r>
      <w:r w:rsidR="007511FA">
        <w:fldChar w:fldCharType="separate"/>
      </w:r>
      <w:r w:rsidR="00D5167B">
        <w:t>[91]</w:t>
      </w:r>
      <w:r w:rsidR="007511FA">
        <w:fldChar w:fldCharType="end"/>
      </w:r>
      <w:r w:rsidRPr="00C234C0">
        <w:t xml:space="preserve">, which lists the chemical composition of the reflector (beryllium and impurities) as determined by chemical and neutron activation analyses, was utilized for determining the initial </w:t>
      </w:r>
      <w:r>
        <w:t>reflector</w:t>
      </w:r>
      <w:r w:rsidRPr="00C234C0">
        <w:t xml:space="preserve"> nuclide inventory.  The Al-6061 parts (experiment position liners, locking plates, and etc.) and the 321</w:t>
      </w:r>
      <w:r>
        <w:t xml:space="preserve"> </w:t>
      </w:r>
      <w:r w:rsidRPr="00C234C0">
        <w:t xml:space="preserve">stainless steel (SST) O-rings were included in PB3 by distributing their constituents uniformly throughout the beryllium reflector.  The 321 SST </w:t>
      </w:r>
      <w:proofErr w:type="gramStart"/>
      <w:r w:rsidRPr="00C234C0">
        <w:t>composition</w:t>
      </w:r>
      <w:proofErr w:type="gramEnd"/>
      <w:r w:rsidRPr="00C234C0">
        <w:t xml:space="preserve"> was retrieved from</w:t>
      </w:r>
      <w:r w:rsidR="006B5D42">
        <w:t xml:space="preserve"> </w:t>
      </w:r>
      <w:r w:rsidR="007511FA">
        <w:fldChar w:fldCharType="begin"/>
      </w:r>
      <w:r w:rsidR="006B5D42">
        <w:instrText xml:space="preserve"> REF _Ref285637751 \n \h </w:instrText>
      </w:r>
      <w:r w:rsidR="007511FA">
        <w:fldChar w:fldCharType="separate"/>
      </w:r>
      <w:r w:rsidR="00D5167B">
        <w:t>[87]</w:t>
      </w:r>
      <w:r w:rsidR="007511FA">
        <w:fldChar w:fldCharType="end"/>
      </w:r>
      <w:r w:rsidRPr="00C234C0">
        <w:t>, which lists the AISI composition limits</w:t>
      </w:r>
      <w:r>
        <w:t xml:space="preserve">.  </w:t>
      </w:r>
      <w:r w:rsidRPr="00C234C0">
        <w:t xml:space="preserve">The chemical composition of the Al-6061 was chosen based on the most conservative mixture determined in </w:t>
      </w:r>
      <w:r w:rsidR="007511FA">
        <w:fldChar w:fldCharType="begin"/>
      </w:r>
      <w:r w:rsidR="006B5D42">
        <w:instrText xml:space="preserve"> REF _Ref285638032 \n \h </w:instrText>
      </w:r>
      <w:r w:rsidR="007511FA">
        <w:fldChar w:fldCharType="separate"/>
      </w:r>
      <w:r w:rsidR="00D5167B">
        <w:t>[92]</w:t>
      </w:r>
      <w:r w:rsidR="007511FA">
        <w:fldChar w:fldCharType="end"/>
      </w:r>
      <w:proofErr w:type="gramStart"/>
      <w:r w:rsidRPr="00C234C0">
        <w:t>,</w:t>
      </w:r>
      <w:proofErr w:type="gramEnd"/>
      <w:r w:rsidRPr="00C234C0">
        <w:t xml:space="preserve"> a report in which a beryllium experiment facility composed of six different compositions (6 different calculations) was analyzed.  TRITON was again used to couple KENO and ORIGEN-S, but for these studies KENO-VI was utilized.  A HFIR KENO-VI model was constructed after performing the </w:t>
      </w:r>
      <w:r w:rsidR="00E219E4">
        <w:t>study number 2</w:t>
      </w:r>
      <w:r w:rsidRPr="00C234C0">
        <w:t xml:space="preserve"> </w:t>
      </w:r>
      <w:r>
        <w:t xml:space="preserve">solely </w:t>
      </w:r>
      <w:r w:rsidRPr="00C234C0">
        <w:t xml:space="preserve">because the geometry package in KENO-VI is more flexible than that in KENO </w:t>
      </w:r>
      <w:proofErr w:type="spellStart"/>
      <w:r w:rsidRPr="00C234C0">
        <w:t>V.a</w:t>
      </w:r>
      <w:proofErr w:type="spellEnd"/>
      <w:r w:rsidRPr="00C234C0">
        <w:t>.  The same irradiation history as described in previous paragraphs was used to deplete PB3.</w:t>
      </w:r>
    </w:p>
    <w:p w:rsidR="002C6D76" w:rsidRPr="00C234C0" w:rsidRDefault="002C6D76" w:rsidP="002C6D76">
      <w:r w:rsidRPr="00C234C0">
        <w:lastRenderedPageBreak/>
        <w:t xml:space="preserve">Due to </w:t>
      </w:r>
      <w:r>
        <w:t xml:space="preserve">1) the desire by management to compare the current results with previous </w:t>
      </w:r>
      <w:r w:rsidRPr="00C234C0">
        <w:t>similar studies</w:t>
      </w:r>
      <w:r w:rsidR="006B5D42">
        <w:t xml:space="preserve"> </w:t>
      </w:r>
      <w:r w:rsidR="007511FA">
        <w:fldChar w:fldCharType="begin"/>
      </w:r>
      <w:r w:rsidR="006B5D42">
        <w:instrText xml:space="preserve"> REF _Ref285637751 \n \h </w:instrText>
      </w:r>
      <w:r w:rsidR="007511FA">
        <w:fldChar w:fldCharType="separate"/>
      </w:r>
      <w:r w:rsidR="00D5167B">
        <w:t>[87]</w:t>
      </w:r>
      <w:r w:rsidR="007511FA">
        <w:fldChar w:fldCharType="end"/>
      </w:r>
      <w:r w:rsidRPr="00C234C0">
        <w:t xml:space="preserve"> utilizing standalone ORIGEN-S calculations</w:t>
      </w:r>
      <w:r>
        <w:t xml:space="preserve"> and 2) </w:t>
      </w:r>
      <w:r w:rsidRPr="00C234C0">
        <w:t>the computational time required to run these TRITON cases</w:t>
      </w:r>
      <w:r>
        <w:t>,</w:t>
      </w:r>
      <w:r w:rsidRPr="00C234C0">
        <w:t xml:space="preserve"> it was decided to develop standalone ORIGEN-S </w:t>
      </w:r>
      <w:r>
        <w:t>inputs</w:t>
      </w:r>
      <w:r w:rsidRPr="00C234C0">
        <w:t xml:space="preserve"> to deplete PB3 and compare</w:t>
      </w:r>
      <w:r>
        <w:t xml:space="preserve"> to</w:t>
      </w:r>
      <w:r w:rsidRPr="00C234C0">
        <w:t xml:space="preserve"> the</w:t>
      </w:r>
      <w:r>
        <w:t xml:space="preserve"> TRITON</w:t>
      </w:r>
      <w:r w:rsidRPr="00C234C0">
        <w:t xml:space="preserve"> results.  The input generated in</w:t>
      </w:r>
      <w:r w:rsidR="006B5D42">
        <w:t xml:space="preserve"> </w:t>
      </w:r>
      <w:r w:rsidR="007511FA">
        <w:fldChar w:fldCharType="begin"/>
      </w:r>
      <w:r w:rsidR="006B5D42">
        <w:instrText xml:space="preserve"> REF _Ref285637751 \n \h </w:instrText>
      </w:r>
      <w:r w:rsidR="007511FA">
        <w:fldChar w:fldCharType="separate"/>
      </w:r>
      <w:r w:rsidR="00D5167B">
        <w:t>[87]</w:t>
      </w:r>
      <w:r w:rsidR="007511FA">
        <w:fldChar w:fldCharType="end"/>
      </w:r>
      <w:r w:rsidRPr="00C234C0">
        <w:t xml:space="preserve"> was modified to include the </w:t>
      </w:r>
      <w:r>
        <w:t xml:space="preserve">more accurate </w:t>
      </w:r>
      <w:r w:rsidRPr="00C234C0">
        <w:t>PB3 material composition and irradiation history.  Two inputs were constructed: a best estimate input and a conservative input.  The cycle 400 MCNP inputs generated by ALEPH</w:t>
      </w:r>
      <w:r w:rsidR="006B5D42">
        <w:t xml:space="preserve"> </w:t>
      </w:r>
      <w:r w:rsidR="007511FA">
        <w:fldChar w:fldCharType="begin"/>
      </w:r>
      <w:r w:rsidR="006B5D42">
        <w:instrText xml:space="preserve"> REF _Ref285637248 \n \h </w:instrText>
      </w:r>
      <w:r w:rsidR="007511FA">
        <w:fldChar w:fldCharType="separate"/>
      </w:r>
      <w:r w:rsidR="00D5167B">
        <w:t>[74]</w:t>
      </w:r>
      <w:r w:rsidR="007511FA">
        <w:fldChar w:fldCharType="end"/>
      </w:r>
      <w:r w:rsidRPr="00C234C0">
        <w:t xml:space="preserve"> were used to calculate the cycle</w:t>
      </w:r>
      <w:r>
        <w:t>-</w:t>
      </w:r>
      <w:r w:rsidRPr="00C234C0">
        <w:t xml:space="preserve">averaged three-group fluxes required by ORIGEN-S.  The average thermal (E &lt; 0.625 </w:t>
      </w:r>
      <w:proofErr w:type="spellStart"/>
      <w:r w:rsidRPr="00C234C0">
        <w:t>eV</w:t>
      </w:r>
      <w:proofErr w:type="spellEnd"/>
      <w:r w:rsidRPr="00C234C0">
        <w:t xml:space="preserve">), resonance (0.625 </w:t>
      </w:r>
      <w:proofErr w:type="spellStart"/>
      <w:r w:rsidRPr="00C234C0">
        <w:t>eV</w:t>
      </w:r>
      <w:proofErr w:type="spellEnd"/>
      <w:r w:rsidRPr="00C234C0">
        <w:t xml:space="preserve"> &lt; E &lt; 1 </w:t>
      </w:r>
      <w:proofErr w:type="spellStart"/>
      <w:r w:rsidRPr="00C234C0">
        <w:t>MeV</w:t>
      </w:r>
      <w:proofErr w:type="spellEnd"/>
      <w:r w:rsidRPr="00C234C0">
        <w:t xml:space="preserve">), and fast (E &gt; 1 </w:t>
      </w:r>
      <w:proofErr w:type="spellStart"/>
      <w:r w:rsidRPr="00C234C0">
        <w:t>MeV</w:t>
      </w:r>
      <w:proofErr w:type="spellEnd"/>
      <w:r w:rsidRPr="00C234C0">
        <w:t>) neutron fluxes were calculated and supplied to ORIGEN-S.</w:t>
      </w:r>
    </w:p>
    <w:p w:rsidR="002C6D76" w:rsidRPr="00C234C0" w:rsidRDefault="002C6D76" w:rsidP="002C6D76">
      <w:r w:rsidRPr="00C234C0">
        <w:t>The best estimate input utilized th</w:t>
      </w:r>
      <w:r>
        <w:t>e cycle-</w:t>
      </w:r>
      <w:r w:rsidRPr="00C234C0">
        <w:t xml:space="preserve">averaged fluxes along with the irradiation history described in previous paragraphs.  The conservative case utilized a larger thermal and fast flux since the thermal flux is significant for producing non-tritium isotopes and the fast flux is significant for producing tritium.  The conservative case did not include the 3.5 year outage and was irradiated for a conservative time period.  The flux spectra and depletion history utilized in both PB3 ORIGEN-S inputs are listed in </w:t>
      </w:r>
      <w:r w:rsidR="007511FA">
        <w:rPr>
          <w:highlight w:val="yellow"/>
        </w:rPr>
        <w:fldChar w:fldCharType="begin"/>
      </w:r>
      <w:r w:rsidR="0032519B">
        <w:instrText xml:space="preserve"> REF _Ref285536981 \h </w:instrText>
      </w:r>
      <w:r w:rsidR="007511FA">
        <w:rPr>
          <w:highlight w:val="yellow"/>
        </w:rPr>
      </w:r>
      <w:r w:rsidR="007511FA">
        <w:rPr>
          <w:highlight w:val="yellow"/>
        </w:rPr>
        <w:fldChar w:fldCharType="separate"/>
      </w:r>
      <w:r w:rsidR="00D5167B" w:rsidRPr="0032519B">
        <w:t xml:space="preserve">Table </w:t>
      </w:r>
      <w:r w:rsidR="00D5167B">
        <w:rPr>
          <w:noProof/>
        </w:rPr>
        <w:t>6</w:t>
      </w:r>
      <w:r w:rsidR="00D5167B">
        <w:t>.</w:t>
      </w:r>
      <w:r w:rsidR="00D5167B">
        <w:rPr>
          <w:noProof/>
        </w:rPr>
        <w:t>1</w:t>
      </w:r>
      <w:r w:rsidR="007511FA">
        <w:rPr>
          <w:highlight w:val="yellow"/>
        </w:rPr>
        <w:fldChar w:fldCharType="end"/>
      </w:r>
      <w:r w:rsidRPr="00C234C0">
        <w:t>.</w:t>
      </w:r>
    </w:p>
    <w:p w:rsidR="002C6D76" w:rsidRDefault="002C6D76" w:rsidP="002C6D76">
      <w:r w:rsidRPr="00C234C0">
        <w:t xml:space="preserve">The PB3 TRU waste inventory for both TRITON calculations was shown to be in good agreement, but both of the standalone ORIGEN-S calculations </w:t>
      </w:r>
      <w:proofErr w:type="spellStart"/>
      <w:r w:rsidRPr="00C234C0">
        <w:t>underpredicted</w:t>
      </w:r>
      <w:proofErr w:type="spellEnd"/>
      <w:r w:rsidRPr="00C234C0">
        <w:t xml:space="preserve"> (in comparison to TRITON) the TRU inventory.  However, the ORIGEN-S calculations </w:t>
      </w:r>
      <w:proofErr w:type="spellStart"/>
      <w:r w:rsidRPr="00C234C0">
        <w:t>overpredicted</w:t>
      </w:r>
      <w:proofErr w:type="spellEnd"/>
      <w:r w:rsidRPr="00C234C0">
        <w:t xml:space="preserve"> (in comparison to TRITON) the light element curie inventory in PB3.</w:t>
      </w:r>
    </w:p>
    <w:p w:rsidR="002C6D76" w:rsidRPr="00C234C0" w:rsidRDefault="002C6D76" w:rsidP="002C6D76">
      <w:r w:rsidRPr="00C234C0">
        <w:t>The last analysis in this study</w:t>
      </w:r>
      <w:r w:rsidR="00031D43">
        <w:t xml:space="preserve"> number 3</w:t>
      </w:r>
      <w:r w:rsidRPr="00C234C0">
        <w:t xml:space="preserve"> included determining the appropriate nuclear hazard category of PB3 and representative RB and SPB reflectors.  Conservative standalone ORIGEN-S calculations were used to determine the nuclide inventory in the RB and SPB reflectors since it was shown that standalone ORIGEN-S conservatively calculates the light element inventory in comparison to TRITON (using the methods described in previous paragraphs), TRU analyses were already performed on representative RB and SPB reflectors, and the fact that TRITON is much more computationally intensive than ORIGEN-S.</w:t>
      </w:r>
    </w:p>
    <w:p w:rsidR="00D5167B" w:rsidRDefault="002C6D76" w:rsidP="00D5167B">
      <w:r w:rsidRPr="00C234C0">
        <w:lastRenderedPageBreak/>
        <w:t xml:space="preserve">The volumes of the RB and SPB reflectors’ beryllium and aluminum regions were calculated slightly conservatively and the chemical compositions used were those previously described.  Since the flux in the beryllium reflectors is greatest at EOC when the control elements are fully withdrawn, the EOC </w:t>
      </w:r>
      <w:r>
        <w:t xml:space="preserve">cycle </w:t>
      </w:r>
      <w:r w:rsidRPr="00C234C0">
        <w:t>400 MCNP input generated by ALEPH</w:t>
      </w:r>
      <w:r w:rsidR="006B5D42">
        <w:t xml:space="preserve"> </w:t>
      </w:r>
      <w:r w:rsidR="007511FA">
        <w:fldChar w:fldCharType="begin"/>
      </w:r>
      <w:r w:rsidR="006B5D42">
        <w:instrText xml:space="preserve"> REF _Ref285637248 \n \h </w:instrText>
      </w:r>
      <w:r w:rsidR="007511FA">
        <w:fldChar w:fldCharType="separate"/>
      </w:r>
      <w:r w:rsidR="00D5167B">
        <w:t>[74]</w:t>
      </w:r>
      <w:r w:rsidR="007511FA">
        <w:fldChar w:fldCharType="end"/>
      </w:r>
      <w:r w:rsidRPr="00C234C0">
        <w:t xml:space="preserve"> was utilized to calculate the EOC three-group fluxes for input into ORIGEN-S.  The same irradiation histories applied in the TRU calculations for the RB and SPB reflectors were used in the ORIGEN-S calculations.  The flux spectra/magnitude and depletion history utilized in the RB and SPB reflector’s inputs are listed in </w:t>
      </w:r>
      <w:r w:rsidR="007511FA">
        <w:fldChar w:fldCharType="begin"/>
      </w:r>
      <w:r w:rsidR="00A40D0D">
        <w:instrText xml:space="preserve"> REF _Ref295816707 \h </w:instrText>
      </w:r>
      <w:r w:rsidR="007511FA">
        <w:fldChar w:fldCharType="separate"/>
      </w:r>
      <w:r w:rsidR="00D5167B">
        <w:t xml:space="preserve">Table </w:t>
      </w:r>
      <w:r w:rsidR="00D5167B">
        <w:rPr>
          <w:noProof/>
        </w:rPr>
        <w:t>6</w:t>
      </w:r>
      <w:r w:rsidR="00D5167B">
        <w:t>.</w:t>
      </w:r>
      <w:r w:rsidR="00D5167B">
        <w:rPr>
          <w:noProof/>
        </w:rPr>
        <w:t>2</w:t>
      </w:r>
      <w:r w:rsidR="007511FA">
        <w:fldChar w:fldCharType="end"/>
      </w:r>
      <w:r w:rsidR="00A40D0D">
        <w:t>.</w:t>
      </w:r>
    </w:p>
    <w:p w:rsidR="0032519B" w:rsidRDefault="0032519B" w:rsidP="002C6D76"/>
    <w:p w:rsidR="001D1991" w:rsidRDefault="001D1991" w:rsidP="002C6D76"/>
    <w:p w:rsidR="00031D43" w:rsidRPr="0032519B" w:rsidRDefault="0032519B" w:rsidP="0032519B">
      <w:pPr>
        <w:pStyle w:val="Caption"/>
      </w:pPr>
      <w:bookmarkStart w:id="240" w:name="_Ref285536981"/>
      <w:bookmarkStart w:id="241" w:name="_Toc295818274"/>
      <w:proofErr w:type="gramStart"/>
      <w:r w:rsidRPr="0032519B">
        <w:t xml:space="preserve">Table </w:t>
      </w:r>
      <w:r w:rsidR="007511FA">
        <w:fldChar w:fldCharType="begin"/>
      </w:r>
      <w:r w:rsidR="00AE17F8">
        <w:instrText xml:space="preserve"> STYLEREF 1 \s </w:instrText>
      </w:r>
      <w:r w:rsidR="007511FA">
        <w:fldChar w:fldCharType="separate"/>
      </w:r>
      <w:r w:rsidR="00D5167B">
        <w:rPr>
          <w:noProof/>
        </w:rPr>
        <w:t>6</w:t>
      </w:r>
      <w:r w:rsidR="007511FA">
        <w:fldChar w:fldCharType="end"/>
      </w:r>
      <w:r w:rsidR="00DE5151">
        <w:t>.</w:t>
      </w:r>
      <w:proofErr w:type="gramEnd"/>
      <w:r w:rsidR="007511FA">
        <w:fldChar w:fldCharType="begin"/>
      </w:r>
      <w:r w:rsidR="00C43F40">
        <w:instrText xml:space="preserve"> SEQ Table \* ARABIC \s 1 </w:instrText>
      </w:r>
      <w:r w:rsidR="007511FA">
        <w:fldChar w:fldCharType="separate"/>
      </w:r>
      <w:r w:rsidR="00D5167B">
        <w:rPr>
          <w:noProof/>
        </w:rPr>
        <w:t>1</w:t>
      </w:r>
      <w:r w:rsidR="007511FA">
        <w:fldChar w:fldCharType="end"/>
      </w:r>
      <w:bookmarkEnd w:id="240"/>
      <w:r w:rsidR="00031D43" w:rsidRPr="0032519B">
        <w:t>.  Irradiation history input for PB3 ORIGEN-S calculations.</w:t>
      </w:r>
      <w:bookmarkEnd w:id="241"/>
    </w:p>
    <w:tbl>
      <w:tblPr>
        <w:tblW w:w="8470" w:type="dxa"/>
        <w:jc w:val="center"/>
        <w:tblInd w:w="93" w:type="dxa"/>
        <w:tblLook w:val="04A0"/>
      </w:tblPr>
      <w:tblGrid>
        <w:gridCol w:w="1860"/>
        <w:gridCol w:w="742"/>
        <w:gridCol w:w="876"/>
        <w:gridCol w:w="1837"/>
        <w:gridCol w:w="1768"/>
        <w:gridCol w:w="1387"/>
      </w:tblGrid>
      <w:tr w:rsidR="00031D43" w:rsidRPr="0024454A" w:rsidTr="00031D43">
        <w:trPr>
          <w:trHeight w:val="360"/>
          <w:jc w:val="center"/>
        </w:trPr>
        <w:tc>
          <w:tcPr>
            <w:tcW w:w="1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1D43" w:rsidRPr="0024454A" w:rsidRDefault="00031D43" w:rsidP="00031D43">
            <w:pPr>
              <w:spacing w:before="60" w:after="60" w:line="240" w:lineRule="auto"/>
              <w:ind w:firstLine="0"/>
              <w:jc w:val="center"/>
              <w:rPr>
                <w:b/>
                <w:bCs/>
                <w:color w:val="000000"/>
              </w:rPr>
            </w:pPr>
            <w:r w:rsidRPr="0024454A">
              <w:rPr>
                <w:b/>
                <w:bCs/>
                <w:color w:val="000000"/>
              </w:rPr>
              <w:t>ORIGEN-S case</w:t>
            </w:r>
          </w:p>
        </w:tc>
        <w:tc>
          <w:tcPr>
            <w:tcW w:w="742" w:type="dxa"/>
            <w:tcBorders>
              <w:top w:val="single" w:sz="4" w:space="0" w:color="auto"/>
              <w:left w:val="nil"/>
              <w:bottom w:val="single" w:sz="4" w:space="0" w:color="auto"/>
              <w:right w:val="single" w:sz="4" w:space="0" w:color="auto"/>
            </w:tcBorders>
            <w:shd w:val="clear" w:color="auto" w:fill="auto"/>
            <w:noWrap/>
            <w:vAlign w:val="center"/>
            <w:hideMark/>
          </w:tcPr>
          <w:p w:rsidR="00031D43" w:rsidRPr="0024454A" w:rsidRDefault="00031D43" w:rsidP="00031D43">
            <w:pPr>
              <w:spacing w:before="60" w:after="60" w:line="240" w:lineRule="auto"/>
              <w:ind w:firstLine="0"/>
              <w:jc w:val="center"/>
              <w:rPr>
                <w:b/>
                <w:bCs/>
                <w:color w:val="000000"/>
              </w:rPr>
            </w:pPr>
            <w:r w:rsidRPr="0024454A">
              <w:rPr>
                <w:b/>
                <w:bCs/>
                <w:color w:val="000000"/>
              </w:rPr>
              <w:t>Step</w:t>
            </w:r>
          </w:p>
        </w:tc>
        <w:tc>
          <w:tcPr>
            <w:tcW w:w="876" w:type="dxa"/>
            <w:tcBorders>
              <w:top w:val="single" w:sz="4" w:space="0" w:color="auto"/>
              <w:left w:val="nil"/>
              <w:bottom w:val="single" w:sz="4" w:space="0" w:color="auto"/>
              <w:right w:val="single" w:sz="4" w:space="0" w:color="auto"/>
            </w:tcBorders>
            <w:vAlign w:val="center"/>
          </w:tcPr>
          <w:p w:rsidR="00031D43" w:rsidRPr="0024454A" w:rsidRDefault="00031D43" w:rsidP="00031D43">
            <w:pPr>
              <w:spacing w:before="60" w:after="60" w:line="240" w:lineRule="auto"/>
              <w:ind w:firstLine="0"/>
              <w:jc w:val="center"/>
              <w:rPr>
                <w:b/>
                <w:bCs/>
                <w:color w:val="000000"/>
              </w:rPr>
            </w:pPr>
            <w:r w:rsidRPr="0024454A">
              <w:rPr>
                <w:b/>
                <w:bCs/>
                <w:color w:val="000000"/>
              </w:rPr>
              <w:t>Days</w:t>
            </w:r>
          </w:p>
        </w:tc>
        <w:tc>
          <w:tcPr>
            <w:tcW w:w="18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1D43" w:rsidRPr="0024454A" w:rsidRDefault="00031D43" w:rsidP="00031D43">
            <w:pPr>
              <w:spacing w:before="60" w:after="60" w:line="240" w:lineRule="auto"/>
              <w:ind w:firstLine="0"/>
              <w:jc w:val="center"/>
              <w:rPr>
                <w:b/>
                <w:bCs/>
                <w:color w:val="000000"/>
              </w:rPr>
            </w:pPr>
            <w:proofErr w:type="spellStart"/>
            <w:r>
              <w:rPr>
                <w:b/>
                <w:bCs/>
                <w:color w:val="000000"/>
              </w:rPr>
              <w:t>ϕ</w:t>
            </w:r>
            <w:r w:rsidRPr="0024454A">
              <w:rPr>
                <w:b/>
                <w:bCs/>
                <w:color w:val="000000"/>
                <w:vertAlign w:val="subscript"/>
              </w:rPr>
              <w:t>thermal</w:t>
            </w:r>
            <w:proofErr w:type="spellEnd"/>
            <w:r w:rsidRPr="0024454A">
              <w:rPr>
                <w:b/>
                <w:bCs/>
                <w:color w:val="000000"/>
              </w:rPr>
              <w:t xml:space="preserve"> (</w:t>
            </w:r>
            <w:r w:rsidRPr="0024454A">
              <w:rPr>
                <w:b/>
                <w:color w:val="000000"/>
              </w:rPr>
              <w:t>n/cm</w:t>
            </w:r>
            <w:r w:rsidRPr="0024454A">
              <w:rPr>
                <w:b/>
                <w:color w:val="000000"/>
                <w:vertAlign w:val="superscript"/>
              </w:rPr>
              <w:t>2</w:t>
            </w:r>
            <w:r w:rsidRPr="0024454A">
              <w:rPr>
                <w:b/>
                <w:color w:val="000000"/>
              </w:rPr>
              <w:t>/s)</w:t>
            </w:r>
          </w:p>
        </w:tc>
        <w:tc>
          <w:tcPr>
            <w:tcW w:w="1768" w:type="dxa"/>
            <w:tcBorders>
              <w:top w:val="single" w:sz="4" w:space="0" w:color="auto"/>
              <w:left w:val="nil"/>
              <w:bottom w:val="single" w:sz="4" w:space="0" w:color="auto"/>
              <w:right w:val="single" w:sz="4" w:space="0" w:color="auto"/>
            </w:tcBorders>
            <w:shd w:val="clear" w:color="auto" w:fill="auto"/>
            <w:noWrap/>
            <w:vAlign w:val="center"/>
            <w:hideMark/>
          </w:tcPr>
          <w:p w:rsidR="00031D43" w:rsidRPr="0024454A" w:rsidRDefault="00031D43" w:rsidP="00031D43">
            <w:pPr>
              <w:spacing w:before="60" w:after="60" w:line="240" w:lineRule="auto"/>
              <w:ind w:firstLine="0"/>
              <w:jc w:val="center"/>
              <w:rPr>
                <w:b/>
                <w:bCs/>
                <w:color w:val="000000"/>
              </w:rPr>
            </w:pPr>
            <w:proofErr w:type="spellStart"/>
            <w:r>
              <w:rPr>
                <w:b/>
                <w:bCs/>
                <w:color w:val="000000"/>
              </w:rPr>
              <w:t>ϕ</w:t>
            </w:r>
            <w:r w:rsidRPr="0024454A">
              <w:rPr>
                <w:b/>
                <w:bCs/>
                <w:color w:val="000000"/>
                <w:vertAlign w:val="subscript"/>
              </w:rPr>
              <w:t>resonance</w:t>
            </w:r>
            <w:proofErr w:type="spellEnd"/>
            <w:r w:rsidRPr="0024454A">
              <w:rPr>
                <w:b/>
                <w:bCs/>
                <w:color w:val="000000"/>
              </w:rPr>
              <w:t>/</w:t>
            </w:r>
            <w:proofErr w:type="spellStart"/>
            <w:r>
              <w:rPr>
                <w:b/>
                <w:bCs/>
                <w:color w:val="000000"/>
              </w:rPr>
              <w:t>ϕ</w:t>
            </w:r>
            <w:r w:rsidRPr="0024454A">
              <w:rPr>
                <w:b/>
                <w:bCs/>
                <w:color w:val="000000"/>
                <w:vertAlign w:val="subscript"/>
              </w:rPr>
              <w:t>thermal</w:t>
            </w:r>
            <w:proofErr w:type="spellEnd"/>
          </w:p>
        </w:tc>
        <w:tc>
          <w:tcPr>
            <w:tcW w:w="1387" w:type="dxa"/>
            <w:tcBorders>
              <w:top w:val="single" w:sz="4" w:space="0" w:color="auto"/>
              <w:left w:val="nil"/>
              <w:bottom w:val="single" w:sz="4" w:space="0" w:color="auto"/>
              <w:right w:val="single" w:sz="4" w:space="0" w:color="auto"/>
            </w:tcBorders>
            <w:shd w:val="clear" w:color="auto" w:fill="auto"/>
            <w:noWrap/>
            <w:vAlign w:val="center"/>
            <w:hideMark/>
          </w:tcPr>
          <w:p w:rsidR="00031D43" w:rsidRPr="0024454A" w:rsidRDefault="00031D43" w:rsidP="00031D43">
            <w:pPr>
              <w:spacing w:before="60" w:after="60" w:line="240" w:lineRule="auto"/>
              <w:ind w:firstLine="0"/>
              <w:jc w:val="center"/>
              <w:rPr>
                <w:b/>
                <w:bCs/>
                <w:color w:val="000000"/>
              </w:rPr>
            </w:pPr>
            <w:proofErr w:type="spellStart"/>
            <w:r>
              <w:rPr>
                <w:b/>
                <w:bCs/>
                <w:color w:val="000000"/>
              </w:rPr>
              <w:t>ϕ</w:t>
            </w:r>
            <w:r w:rsidRPr="0024454A">
              <w:rPr>
                <w:b/>
                <w:bCs/>
                <w:color w:val="000000"/>
                <w:vertAlign w:val="subscript"/>
              </w:rPr>
              <w:t>fast</w:t>
            </w:r>
            <w:proofErr w:type="spellEnd"/>
            <w:r w:rsidRPr="0024454A">
              <w:rPr>
                <w:b/>
                <w:bCs/>
                <w:color w:val="000000"/>
              </w:rPr>
              <w:t>/</w:t>
            </w:r>
            <w:proofErr w:type="spellStart"/>
            <w:r>
              <w:rPr>
                <w:b/>
                <w:bCs/>
                <w:color w:val="000000"/>
              </w:rPr>
              <w:t>ϕ</w:t>
            </w:r>
            <w:r w:rsidRPr="0024454A">
              <w:rPr>
                <w:b/>
                <w:bCs/>
                <w:color w:val="000000"/>
                <w:vertAlign w:val="subscript"/>
              </w:rPr>
              <w:t>thermal</w:t>
            </w:r>
            <w:proofErr w:type="spellEnd"/>
          </w:p>
        </w:tc>
      </w:tr>
      <w:tr w:rsidR="00031D43" w:rsidRPr="0024454A" w:rsidTr="00031D43">
        <w:trPr>
          <w:trHeight w:val="288"/>
          <w:jc w:val="center"/>
        </w:trPr>
        <w:tc>
          <w:tcPr>
            <w:tcW w:w="186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31D43" w:rsidRPr="0024454A" w:rsidRDefault="00031D43" w:rsidP="00031D43">
            <w:pPr>
              <w:spacing w:before="60" w:after="60" w:line="240" w:lineRule="auto"/>
              <w:ind w:firstLine="0"/>
              <w:jc w:val="center"/>
              <w:rPr>
                <w:color w:val="000000"/>
              </w:rPr>
            </w:pPr>
            <w:r w:rsidRPr="0024454A">
              <w:rPr>
                <w:color w:val="000000"/>
              </w:rPr>
              <w:t>conservative</w:t>
            </w:r>
          </w:p>
        </w:tc>
        <w:tc>
          <w:tcPr>
            <w:tcW w:w="742" w:type="dxa"/>
            <w:tcBorders>
              <w:top w:val="nil"/>
              <w:left w:val="nil"/>
              <w:bottom w:val="single" w:sz="4" w:space="0" w:color="auto"/>
              <w:right w:val="single" w:sz="4" w:space="0" w:color="auto"/>
            </w:tcBorders>
            <w:shd w:val="clear" w:color="auto" w:fill="auto"/>
            <w:noWrap/>
            <w:vAlign w:val="center"/>
            <w:hideMark/>
          </w:tcPr>
          <w:p w:rsidR="00031D43" w:rsidRPr="0024454A" w:rsidRDefault="00031D43" w:rsidP="00031D43">
            <w:pPr>
              <w:spacing w:before="60" w:after="60" w:line="240" w:lineRule="auto"/>
              <w:ind w:firstLine="0"/>
              <w:jc w:val="center"/>
              <w:rPr>
                <w:color w:val="000000"/>
              </w:rPr>
            </w:pPr>
            <w:r w:rsidRPr="0024454A">
              <w:rPr>
                <w:color w:val="000000"/>
              </w:rPr>
              <w:t>1</w:t>
            </w:r>
          </w:p>
        </w:tc>
        <w:tc>
          <w:tcPr>
            <w:tcW w:w="876" w:type="dxa"/>
            <w:tcBorders>
              <w:top w:val="single" w:sz="4" w:space="0" w:color="auto"/>
              <w:left w:val="nil"/>
              <w:bottom w:val="single" w:sz="4" w:space="0" w:color="auto"/>
              <w:right w:val="single" w:sz="4" w:space="0" w:color="auto"/>
            </w:tcBorders>
            <w:vAlign w:val="center"/>
          </w:tcPr>
          <w:p w:rsidR="00031D43" w:rsidRPr="0024454A" w:rsidRDefault="00031D43" w:rsidP="00031D43">
            <w:pPr>
              <w:spacing w:before="60" w:after="60" w:line="240" w:lineRule="auto"/>
              <w:ind w:firstLine="0"/>
              <w:jc w:val="center"/>
              <w:rPr>
                <w:color w:val="000000"/>
              </w:rPr>
            </w:pPr>
            <w:r w:rsidRPr="0024454A">
              <w:rPr>
                <w:color w:val="000000"/>
              </w:rPr>
              <w:t>3294</w:t>
            </w:r>
          </w:p>
        </w:tc>
        <w:tc>
          <w:tcPr>
            <w:tcW w:w="1837" w:type="dxa"/>
            <w:tcBorders>
              <w:top w:val="nil"/>
              <w:left w:val="single" w:sz="4" w:space="0" w:color="auto"/>
              <w:bottom w:val="single" w:sz="4" w:space="0" w:color="auto"/>
              <w:right w:val="single" w:sz="4" w:space="0" w:color="auto"/>
            </w:tcBorders>
            <w:shd w:val="clear" w:color="auto" w:fill="auto"/>
            <w:noWrap/>
            <w:vAlign w:val="center"/>
            <w:hideMark/>
          </w:tcPr>
          <w:p w:rsidR="00031D43" w:rsidRPr="0024454A" w:rsidRDefault="00031D43" w:rsidP="00031D43">
            <w:pPr>
              <w:spacing w:before="60" w:after="60" w:line="240" w:lineRule="auto"/>
              <w:ind w:firstLine="0"/>
              <w:jc w:val="center"/>
              <w:rPr>
                <w:color w:val="000000"/>
              </w:rPr>
            </w:pPr>
            <w:r w:rsidRPr="0024454A">
              <w:rPr>
                <w:color w:val="000000"/>
              </w:rPr>
              <w:t>5.00E+14</w:t>
            </w:r>
          </w:p>
        </w:tc>
        <w:tc>
          <w:tcPr>
            <w:tcW w:w="1768" w:type="dxa"/>
            <w:tcBorders>
              <w:top w:val="nil"/>
              <w:left w:val="nil"/>
              <w:bottom w:val="single" w:sz="4" w:space="0" w:color="auto"/>
              <w:right w:val="single" w:sz="4" w:space="0" w:color="auto"/>
            </w:tcBorders>
            <w:shd w:val="clear" w:color="auto" w:fill="auto"/>
            <w:noWrap/>
            <w:vAlign w:val="center"/>
            <w:hideMark/>
          </w:tcPr>
          <w:p w:rsidR="00031D43" w:rsidRPr="0024454A" w:rsidRDefault="00031D43" w:rsidP="00031D43">
            <w:pPr>
              <w:spacing w:before="60" w:after="60" w:line="240" w:lineRule="auto"/>
              <w:ind w:firstLine="0"/>
              <w:jc w:val="center"/>
              <w:rPr>
                <w:color w:val="000000"/>
              </w:rPr>
            </w:pPr>
            <w:r w:rsidRPr="0024454A">
              <w:rPr>
                <w:color w:val="000000"/>
              </w:rPr>
              <w:t>0.03</w:t>
            </w:r>
          </w:p>
        </w:tc>
        <w:tc>
          <w:tcPr>
            <w:tcW w:w="1387" w:type="dxa"/>
            <w:tcBorders>
              <w:top w:val="nil"/>
              <w:left w:val="nil"/>
              <w:bottom w:val="single" w:sz="4" w:space="0" w:color="auto"/>
              <w:right w:val="single" w:sz="4" w:space="0" w:color="auto"/>
            </w:tcBorders>
            <w:shd w:val="clear" w:color="auto" w:fill="auto"/>
            <w:noWrap/>
            <w:vAlign w:val="center"/>
            <w:hideMark/>
          </w:tcPr>
          <w:p w:rsidR="00031D43" w:rsidRPr="0024454A" w:rsidRDefault="00031D43" w:rsidP="00031D43">
            <w:pPr>
              <w:spacing w:before="60" w:after="60" w:line="240" w:lineRule="auto"/>
              <w:ind w:firstLine="0"/>
              <w:jc w:val="center"/>
              <w:rPr>
                <w:color w:val="000000"/>
              </w:rPr>
            </w:pPr>
            <w:r w:rsidRPr="0024454A">
              <w:rPr>
                <w:color w:val="000000"/>
              </w:rPr>
              <w:t>0.022</w:t>
            </w:r>
          </w:p>
        </w:tc>
      </w:tr>
      <w:tr w:rsidR="00031D43" w:rsidRPr="0024454A" w:rsidTr="00031D43">
        <w:trPr>
          <w:trHeight w:val="288"/>
          <w:jc w:val="center"/>
        </w:trPr>
        <w:tc>
          <w:tcPr>
            <w:tcW w:w="1860" w:type="dxa"/>
            <w:vMerge/>
            <w:tcBorders>
              <w:top w:val="nil"/>
              <w:left w:val="single" w:sz="4" w:space="0" w:color="auto"/>
              <w:bottom w:val="single" w:sz="4" w:space="0" w:color="000000"/>
              <w:right w:val="single" w:sz="4" w:space="0" w:color="auto"/>
            </w:tcBorders>
            <w:vAlign w:val="center"/>
            <w:hideMark/>
          </w:tcPr>
          <w:p w:rsidR="00031D43" w:rsidRPr="0024454A" w:rsidRDefault="00031D43" w:rsidP="00031D43">
            <w:pPr>
              <w:spacing w:before="60" w:after="60" w:line="240" w:lineRule="auto"/>
              <w:ind w:firstLine="0"/>
              <w:jc w:val="center"/>
              <w:rPr>
                <w:color w:val="000000"/>
              </w:rPr>
            </w:pPr>
          </w:p>
        </w:tc>
        <w:tc>
          <w:tcPr>
            <w:tcW w:w="742" w:type="dxa"/>
            <w:tcBorders>
              <w:top w:val="nil"/>
              <w:left w:val="nil"/>
              <w:bottom w:val="single" w:sz="4" w:space="0" w:color="auto"/>
              <w:right w:val="single" w:sz="4" w:space="0" w:color="auto"/>
            </w:tcBorders>
            <w:shd w:val="clear" w:color="auto" w:fill="auto"/>
            <w:noWrap/>
            <w:vAlign w:val="center"/>
            <w:hideMark/>
          </w:tcPr>
          <w:p w:rsidR="00031D43" w:rsidRPr="0024454A" w:rsidRDefault="00031D43" w:rsidP="00031D43">
            <w:pPr>
              <w:spacing w:before="60" w:after="60" w:line="240" w:lineRule="auto"/>
              <w:ind w:firstLine="0"/>
              <w:jc w:val="center"/>
              <w:rPr>
                <w:color w:val="000000"/>
              </w:rPr>
            </w:pPr>
            <w:r w:rsidRPr="0024454A">
              <w:rPr>
                <w:color w:val="000000"/>
              </w:rPr>
              <w:t>2</w:t>
            </w:r>
          </w:p>
        </w:tc>
        <w:tc>
          <w:tcPr>
            <w:tcW w:w="876" w:type="dxa"/>
            <w:tcBorders>
              <w:top w:val="single" w:sz="4" w:space="0" w:color="auto"/>
              <w:left w:val="nil"/>
              <w:bottom w:val="single" w:sz="4" w:space="0" w:color="auto"/>
              <w:right w:val="single" w:sz="4" w:space="0" w:color="auto"/>
            </w:tcBorders>
            <w:vAlign w:val="center"/>
          </w:tcPr>
          <w:p w:rsidR="00031D43" w:rsidRPr="0024454A" w:rsidRDefault="00031D43" w:rsidP="00031D43">
            <w:pPr>
              <w:spacing w:before="60" w:after="60" w:line="240" w:lineRule="auto"/>
              <w:ind w:firstLine="0"/>
              <w:jc w:val="center"/>
              <w:rPr>
                <w:color w:val="000000"/>
              </w:rPr>
            </w:pPr>
            <w:r w:rsidRPr="0024454A">
              <w:rPr>
                <w:color w:val="000000"/>
              </w:rPr>
              <w:t>10835</w:t>
            </w:r>
          </w:p>
        </w:tc>
        <w:tc>
          <w:tcPr>
            <w:tcW w:w="1837" w:type="dxa"/>
            <w:tcBorders>
              <w:top w:val="nil"/>
              <w:left w:val="single" w:sz="4" w:space="0" w:color="auto"/>
              <w:bottom w:val="single" w:sz="4" w:space="0" w:color="auto"/>
              <w:right w:val="single" w:sz="4" w:space="0" w:color="auto"/>
            </w:tcBorders>
            <w:shd w:val="clear" w:color="auto" w:fill="auto"/>
            <w:noWrap/>
            <w:vAlign w:val="center"/>
            <w:hideMark/>
          </w:tcPr>
          <w:p w:rsidR="00031D43" w:rsidRPr="0024454A" w:rsidRDefault="00031D43" w:rsidP="00031D43">
            <w:pPr>
              <w:spacing w:before="60" w:after="60" w:line="240" w:lineRule="auto"/>
              <w:ind w:firstLine="0"/>
              <w:jc w:val="center"/>
              <w:rPr>
                <w:color w:val="000000"/>
              </w:rPr>
            </w:pPr>
            <w:r w:rsidRPr="0024454A">
              <w:rPr>
                <w:color w:val="000000"/>
              </w:rPr>
              <w:t>0</w:t>
            </w:r>
          </w:p>
        </w:tc>
        <w:tc>
          <w:tcPr>
            <w:tcW w:w="1768" w:type="dxa"/>
            <w:tcBorders>
              <w:top w:val="nil"/>
              <w:left w:val="nil"/>
              <w:bottom w:val="single" w:sz="4" w:space="0" w:color="auto"/>
              <w:right w:val="single" w:sz="4" w:space="0" w:color="auto"/>
            </w:tcBorders>
            <w:shd w:val="clear" w:color="auto" w:fill="auto"/>
            <w:noWrap/>
            <w:vAlign w:val="center"/>
            <w:hideMark/>
          </w:tcPr>
          <w:p w:rsidR="00031D43" w:rsidRPr="0024454A" w:rsidRDefault="00031D43" w:rsidP="00031D43">
            <w:pPr>
              <w:spacing w:before="60" w:after="60" w:line="240" w:lineRule="auto"/>
              <w:ind w:firstLine="0"/>
              <w:jc w:val="center"/>
              <w:rPr>
                <w:color w:val="000000"/>
              </w:rPr>
            </w:pPr>
            <w:r w:rsidRPr="0024454A">
              <w:rPr>
                <w:color w:val="000000"/>
              </w:rPr>
              <w:t>0</w:t>
            </w:r>
          </w:p>
        </w:tc>
        <w:tc>
          <w:tcPr>
            <w:tcW w:w="1387" w:type="dxa"/>
            <w:tcBorders>
              <w:top w:val="nil"/>
              <w:left w:val="nil"/>
              <w:bottom w:val="single" w:sz="4" w:space="0" w:color="auto"/>
              <w:right w:val="single" w:sz="4" w:space="0" w:color="auto"/>
            </w:tcBorders>
            <w:shd w:val="clear" w:color="auto" w:fill="auto"/>
            <w:noWrap/>
            <w:vAlign w:val="center"/>
            <w:hideMark/>
          </w:tcPr>
          <w:p w:rsidR="00031D43" w:rsidRPr="0024454A" w:rsidRDefault="00031D43" w:rsidP="00031D43">
            <w:pPr>
              <w:spacing w:before="60" w:after="60" w:line="240" w:lineRule="auto"/>
              <w:ind w:firstLine="0"/>
              <w:jc w:val="center"/>
              <w:rPr>
                <w:color w:val="000000"/>
              </w:rPr>
            </w:pPr>
            <w:r w:rsidRPr="0024454A">
              <w:rPr>
                <w:color w:val="000000"/>
              </w:rPr>
              <w:t>0</w:t>
            </w:r>
          </w:p>
        </w:tc>
      </w:tr>
      <w:tr w:rsidR="00031D43" w:rsidRPr="0024454A" w:rsidTr="00031D43">
        <w:trPr>
          <w:trHeight w:val="288"/>
          <w:jc w:val="center"/>
        </w:trPr>
        <w:tc>
          <w:tcPr>
            <w:tcW w:w="186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31D43" w:rsidRPr="0024454A" w:rsidRDefault="00031D43" w:rsidP="00031D43">
            <w:pPr>
              <w:spacing w:before="60" w:after="60" w:line="240" w:lineRule="auto"/>
              <w:ind w:firstLine="0"/>
              <w:jc w:val="center"/>
              <w:rPr>
                <w:color w:val="000000"/>
              </w:rPr>
            </w:pPr>
            <w:r w:rsidRPr="0024454A">
              <w:rPr>
                <w:color w:val="000000"/>
              </w:rPr>
              <w:t>best estimate</w:t>
            </w:r>
          </w:p>
        </w:tc>
        <w:tc>
          <w:tcPr>
            <w:tcW w:w="742" w:type="dxa"/>
            <w:tcBorders>
              <w:top w:val="nil"/>
              <w:left w:val="nil"/>
              <w:bottom w:val="single" w:sz="4" w:space="0" w:color="auto"/>
              <w:right w:val="single" w:sz="4" w:space="0" w:color="auto"/>
            </w:tcBorders>
            <w:shd w:val="clear" w:color="auto" w:fill="auto"/>
            <w:noWrap/>
            <w:vAlign w:val="center"/>
            <w:hideMark/>
          </w:tcPr>
          <w:p w:rsidR="00031D43" w:rsidRPr="0024454A" w:rsidRDefault="00031D43" w:rsidP="00031D43">
            <w:pPr>
              <w:spacing w:before="60" w:after="60" w:line="240" w:lineRule="auto"/>
              <w:ind w:firstLine="0"/>
              <w:jc w:val="center"/>
              <w:rPr>
                <w:color w:val="000000"/>
              </w:rPr>
            </w:pPr>
            <w:r w:rsidRPr="0024454A">
              <w:rPr>
                <w:color w:val="000000"/>
              </w:rPr>
              <w:t>1</w:t>
            </w:r>
          </w:p>
        </w:tc>
        <w:tc>
          <w:tcPr>
            <w:tcW w:w="876" w:type="dxa"/>
            <w:tcBorders>
              <w:top w:val="single" w:sz="4" w:space="0" w:color="auto"/>
              <w:left w:val="nil"/>
              <w:bottom w:val="single" w:sz="4" w:space="0" w:color="auto"/>
              <w:right w:val="single" w:sz="4" w:space="0" w:color="auto"/>
            </w:tcBorders>
            <w:vAlign w:val="center"/>
          </w:tcPr>
          <w:p w:rsidR="00031D43" w:rsidRPr="0024454A" w:rsidRDefault="00031D43" w:rsidP="00031D43">
            <w:pPr>
              <w:spacing w:before="60" w:after="60" w:line="240" w:lineRule="auto"/>
              <w:ind w:firstLine="0"/>
              <w:jc w:val="center"/>
              <w:rPr>
                <w:color w:val="000000"/>
              </w:rPr>
            </w:pPr>
            <w:r w:rsidRPr="0024454A">
              <w:rPr>
                <w:color w:val="000000"/>
              </w:rPr>
              <w:t>914</w:t>
            </w:r>
          </w:p>
        </w:tc>
        <w:tc>
          <w:tcPr>
            <w:tcW w:w="1837" w:type="dxa"/>
            <w:tcBorders>
              <w:top w:val="nil"/>
              <w:left w:val="single" w:sz="4" w:space="0" w:color="auto"/>
              <w:bottom w:val="single" w:sz="4" w:space="0" w:color="auto"/>
              <w:right w:val="single" w:sz="4" w:space="0" w:color="auto"/>
            </w:tcBorders>
            <w:shd w:val="clear" w:color="auto" w:fill="auto"/>
            <w:noWrap/>
            <w:vAlign w:val="center"/>
            <w:hideMark/>
          </w:tcPr>
          <w:p w:rsidR="00031D43" w:rsidRPr="0024454A" w:rsidRDefault="00031D43" w:rsidP="00031D43">
            <w:pPr>
              <w:spacing w:before="60" w:after="60" w:line="240" w:lineRule="auto"/>
              <w:ind w:firstLine="0"/>
              <w:jc w:val="center"/>
              <w:rPr>
                <w:color w:val="000000"/>
              </w:rPr>
            </w:pPr>
            <w:r w:rsidRPr="0024454A">
              <w:rPr>
                <w:color w:val="000000"/>
              </w:rPr>
              <w:t>3.82E+14</w:t>
            </w:r>
          </w:p>
        </w:tc>
        <w:tc>
          <w:tcPr>
            <w:tcW w:w="1768" w:type="dxa"/>
            <w:tcBorders>
              <w:top w:val="nil"/>
              <w:left w:val="nil"/>
              <w:bottom w:val="single" w:sz="4" w:space="0" w:color="auto"/>
              <w:right w:val="single" w:sz="4" w:space="0" w:color="auto"/>
            </w:tcBorders>
            <w:shd w:val="clear" w:color="auto" w:fill="auto"/>
            <w:noWrap/>
            <w:vAlign w:val="center"/>
            <w:hideMark/>
          </w:tcPr>
          <w:p w:rsidR="00031D43" w:rsidRPr="0024454A" w:rsidRDefault="00031D43" w:rsidP="00031D43">
            <w:pPr>
              <w:spacing w:before="60" w:after="60" w:line="240" w:lineRule="auto"/>
              <w:ind w:firstLine="0"/>
              <w:jc w:val="center"/>
              <w:rPr>
                <w:color w:val="000000"/>
              </w:rPr>
            </w:pPr>
            <w:r w:rsidRPr="0024454A">
              <w:rPr>
                <w:color w:val="000000"/>
              </w:rPr>
              <w:t>0.23</w:t>
            </w:r>
          </w:p>
        </w:tc>
        <w:tc>
          <w:tcPr>
            <w:tcW w:w="1387" w:type="dxa"/>
            <w:tcBorders>
              <w:top w:val="nil"/>
              <w:left w:val="nil"/>
              <w:bottom w:val="single" w:sz="4" w:space="0" w:color="auto"/>
              <w:right w:val="single" w:sz="4" w:space="0" w:color="auto"/>
            </w:tcBorders>
            <w:shd w:val="clear" w:color="auto" w:fill="auto"/>
            <w:noWrap/>
            <w:vAlign w:val="center"/>
            <w:hideMark/>
          </w:tcPr>
          <w:p w:rsidR="00031D43" w:rsidRPr="0024454A" w:rsidRDefault="00031D43" w:rsidP="00031D43">
            <w:pPr>
              <w:spacing w:before="60" w:after="60" w:line="240" w:lineRule="auto"/>
              <w:ind w:firstLine="0"/>
              <w:jc w:val="center"/>
              <w:rPr>
                <w:color w:val="000000"/>
              </w:rPr>
            </w:pPr>
            <w:r w:rsidRPr="0024454A">
              <w:rPr>
                <w:color w:val="000000"/>
              </w:rPr>
              <w:t>0.021</w:t>
            </w:r>
          </w:p>
        </w:tc>
      </w:tr>
      <w:tr w:rsidR="00031D43" w:rsidRPr="0024454A" w:rsidTr="00031D43">
        <w:trPr>
          <w:trHeight w:val="288"/>
          <w:jc w:val="center"/>
        </w:trPr>
        <w:tc>
          <w:tcPr>
            <w:tcW w:w="1860" w:type="dxa"/>
            <w:vMerge/>
            <w:tcBorders>
              <w:top w:val="nil"/>
              <w:left w:val="single" w:sz="4" w:space="0" w:color="auto"/>
              <w:bottom w:val="single" w:sz="4" w:space="0" w:color="000000"/>
              <w:right w:val="single" w:sz="4" w:space="0" w:color="auto"/>
            </w:tcBorders>
            <w:vAlign w:val="center"/>
            <w:hideMark/>
          </w:tcPr>
          <w:p w:rsidR="00031D43" w:rsidRPr="0024454A" w:rsidRDefault="00031D43" w:rsidP="00031D43">
            <w:pPr>
              <w:spacing w:before="60" w:after="60" w:line="240" w:lineRule="auto"/>
              <w:ind w:firstLine="0"/>
              <w:jc w:val="center"/>
              <w:rPr>
                <w:color w:val="000000"/>
              </w:rPr>
            </w:pPr>
          </w:p>
        </w:tc>
        <w:tc>
          <w:tcPr>
            <w:tcW w:w="742" w:type="dxa"/>
            <w:tcBorders>
              <w:top w:val="nil"/>
              <w:left w:val="nil"/>
              <w:bottom w:val="single" w:sz="4" w:space="0" w:color="auto"/>
              <w:right w:val="single" w:sz="4" w:space="0" w:color="auto"/>
            </w:tcBorders>
            <w:shd w:val="clear" w:color="auto" w:fill="auto"/>
            <w:noWrap/>
            <w:vAlign w:val="center"/>
            <w:hideMark/>
          </w:tcPr>
          <w:p w:rsidR="00031D43" w:rsidRPr="0024454A" w:rsidRDefault="00031D43" w:rsidP="00031D43">
            <w:pPr>
              <w:spacing w:before="60" w:after="60" w:line="240" w:lineRule="auto"/>
              <w:ind w:firstLine="0"/>
              <w:jc w:val="center"/>
              <w:rPr>
                <w:color w:val="000000"/>
              </w:rPr>
            </w:pPr>
            <w:r w:rsidRPr="0024454A">
              <w:rPr>
                <w:color w:val="000000"/>
              </w:rPr>
              <w:t>2</w:t>
            </w:r>
          </w:p>
        </w:tc>
        <w:tc>
          <w:tcPr>
            <w:tcW w:w="876" w:type="dxa"/>
            <w:tcBorders>
              <w:top w:val="single" w:sz="4" w:space="0" w:color="auto"/>
              <w:left w:val="nil"/>
              <w:bottom w:val="single" w:sz="4" w:space="0" w:color="auto"/>
              <w:right w:val="single" w:sz="4" w:space="0" w:color="auto"/>
            </w:tcBorders>
            <w:vAlign w:val="center"/>
          </w:tcPr>
          <w:p w:rsidR="00031D43" w:rsidRPr="0024454A" w:rsidRDefault="00031D43" w:rsidP="00031D43">
            <w:pPr>
              <w:spacing w:before="60" w:after="60" w:line="240" w:lineRule="auto"/>
              <w:ind w:firstLine="0"/>
              <w:jc w:val="center"/>
              <w:rPr>
                <w:color w:val="000000"/>
              </w:rPr>
            </w:pPr>
            <w:r w:rsidRPr="0024454A">
              <w:rPr>
                <w:color w:val="000000"/>
              </w:rPr>
              <w:t>1280</w:t>
            </w:r>
          </w:p>
        </w:tc>
        <w:tc>
          <w:tcPr>
            <w:tcW w:w="1837" w:type="dxa"/>
            <w:tcBorders>
              <w:top w:val="nil"/>
              <w:left w:val="single" w:sz="4" w:space="0" w:color="auto"/>
              <w:bottom w:val="single" w:sz="4" w:space="0" w:color="auto"/>
              <w:right w:val="single" w:sz="4" w:space="0" w:color="auto"/>
            </w:tcBorders>
            <w:shd w:val="clear" w:color="auto" w:fill="auto"/>
            <w:noWrap/>
            <w:vAlign w:val="center"/>
            <w:hideMark/>
          </w:tcPr>
          <w:p w:rsidR="00031D43" w:rsidRPr="0024454A" w:rsidRDefault="00031D43" w:rsidP="00031D43">
            <w:pPr>
              <w:spacing w:before="60" w:after="60" w:line="240" w:lineRule="auto"/>
              <w:ind w:firstLine="0"/>
              <w:jc w:val="center"/>
              <w:rPr>
                <w:color w:val="000000"/>
              </w:rPr>
            </w:pPr>
            <w:r w:rsidRPr="0024454A">
              <w:rPr>
                <w:color w:val="000000"/>
              </w:rPr>
              <w:t>0</w:t>
            </w:r>
          </w:p>
        </w:tc>
        <w:tc>
          <w:tcPr>
            <w:tcW w:w="1768" w:type="dxa"/>
            <w:tcBorders>
              <w:top w:val="nil"/>
              <w:left w:val="nil"/>
              <w:bottom w:val="single" w:sz="4" w:space="0" w:color="auto"/>
              <w:right w:val="single" w:sz="4" w:space="0" w:color="auto"/>
            </w:tcBorders>
            <w:shd w:val="clear" w:color="auto" w:fill="auto"/>
            <w:noWrap/>
            <w:vAlign w:val="center"/>
            <w:hideMark/>
          </w:tcPr>
          <w:p w:rsidR="00031D43" w:rsidRPr="0024454A" w:rsidRDefault="00031D43" w:rsidP="00031D43">
            <w:pPr>
              <w:spacing w:before="60" w:after="60" w:line="240" w:lineRule="auto"/>
              <w:ind w:firstLine="0"/>
              <w:jc w:val="center"/>
              <w:rPr>
                <w:color w:val="000000"/>
              </w:rPr>
            </w:pPr>
            <w:r w:rsidRPr="0024454A">
              <w:rPr>
                <w:color w:val="000000"/>
              </w:rPr>
              <w:t>0</w:t>
            </w:r>
          </w:p>
        </w:tc>
        <w:tc>
          <w:tcPr>
            <w:tcW w:w="1387" w:type="dxa"/>
            <w:tcBorders>
              <w:top w:val="nil"/>
              <w:left w:val="nil"/>
              <w:bottom w:val="single" w:sz="4" w:space="0" w:color="auto"/>
              <w:right w:val="single" w:sz="4" w:space="0" w:color="auto"/>
            </w:tcBorders>
            <w:shd w:val="clear" w:color="auto" w:fill="auto"/>
            <w:noWrap/>
            <w:vAlign w:val="center"/>
            <w:hideMark/>
          </w:tcPr>
          <w:p w:rsidR="00031D43" w:rsidRPr="0024454A" w:rsidRDefault="00031D43" w:rsidP="00031D43">
            <w:pPr>
              <w:spacing w:before="60" w:after="60" w:line="240" w:lineRule="auto"/>
              <w:ind w:firstLine="0"/>
              <w:jc w:val="center"/>
              <w:rPr>
                <w:color w:val="000000"/>
              </w:rPr>
            </w:pPr>
            <w:r w:rsidRPr="0024454A">
              <w:rPr>
                <w:color w:val="000000"/>
              </w:rPr>
              <w:t>0</w:t>
            </w:r>
          </w:p>
        </w:tc>
      </w:tr>
      <w:tr w:rsidR="00031D43" w:rsidRPr="0024454A" w:rsidTr="00031D43">
        <w:trPr>
          <w:trHeight w:val="288"/>
          <w:jc w:val="center"/>
        </w:trPr>
        <w:tc>
          <w:tcPr>
            <w:tcW w:w="1860" w:type="dxa"/>
            <w:vMerge/>
            <w:tcBorders>
              <w:top w:val="nil"/>
              <w:left w:val="single" w:sz="4" w:space="0" w:color="auto"/>
              <w:bottom w:val="single" w:sz="4" w:space="0" w:color="000000"/>
              <w:right w:val="single" w:sz="4" w:space="0" w:color="auto"/>
            </w:tcBorders>
            <w:vAlign w:val="center"/>
            <w:hideMark/>
          </w:tcPr>
          <w:p w:rsidR="00031D43" w:rsidRPr="0024454A" w:rsidRDefault="00031D43" w:rsidP="00031D43">
            <w:pPr>
              <w:spacing w:before="60" w:after="60" w:line="240" w:lineRule="auto"/>
              <w:ind w:firstLine="0"/>
              <w:jc w:val="center"/>
              <w:rPr>
                <w:color w:val="000000"/>
              </w:rPr>
            </w:pPr>
          </w:p>
        </w:tc>
        <w:tc>
          <w:tcPr>
            <w:tcW w:w="742" w:type="dxa"/>
            <w:tcBorders>
              <w:top w:val="nil"/>
              <w:left w:val="nil"/>
              <w:bottom w:val="single" w:sz="4" w:space="0" w:color="auto"/>
              <w:right w:val="single" w:sz="4" w:space="0" w:color="auto"/>
            </w:tcBorders>
            <w:shd w:val="clear" w:color="auto" w:fill="auto"/>
            <w:noWrap/>
            <w:vAlign w:val="center"/>
            <w:hideMark/>
          </w:tcPr>
          <w:p w:rsidR="00031D43" w:rsidRPr="0024454A" w:rsidRDefault="00031D43" w:rsidP="00031D43">
            <w:pPr>
              <w:spacing w:before="60" w:after="60" w:line="240" w:lineRule="auto"/>
              <w:ind w:firstLine="0"/>
              <w:jc w:val="center"/>
              <w:rPr>
                <w:color w:val="000000"/>
              </w:rPr>
            </w:pPr>
            <w:r w:rsidRPr="0024454A">
              <w:rPr>
                <w:color w:val="000000"/>
              </w:rPr>
              <w:t>3</w:t>
            </w:r>
          </w:p>
        </w:tc>
        <w:tc>
          <w:tcPr>
            <w:tcW w:w="876" w:type="dxa"/>
            <w:tcBorders>
              <w:top w:val="single" w:sz="4" w:space="0" w:color="auto"/>
              <w:left w:val="nil"/>
              <w:bottom w:val="single" w:sz="4" w:space="0" w:color="auto"/>
              <w:right w:val="single" w:sz="4" w:space="0" w:color="auto"/>
            </w:tcBorders>
            <w:vAlign w:val="center"/>
          </w:tcPr>
          <w:p w:rsidR="00031D43" w:rsidRPr="0024454A" w:rsidRDefault="00031D43" w:rsidP="00031D43">
            <w:pPr>
              <w:spacing w:before="60" w:after="60" w:line="240" w:lineRule="auto"/>
              <w:ind w:firstLine="0"/>
              <w:jc w:val="center"/>
              <w:rPr>
                <w:color w:val="000000"/>
              </w:rPr>
            </w:pPr>
            <w:r w:rsidRPr="0024454A">
              <w:rPr>
                <w:color w:val="000000"/>
              </w:rPr>
              <w:t>2220</w:t>
            </w:r>
          </w:p>
        </w:tc>
        <w:tc>
          <w:tcPr>
            <w:tcW w:w="1837" w:type="dxa"/>
            <w:tcBorders>
              <w:top w:val="nil"/>
              <w:left w:val="single" w:sz="4" w:space="0" w:color="auto"/>
              <w:bottom w:val="single" w:sz="4" w:space="0" w:color="auto"/>
              <w:right w:val="single" w:sz="4" w:space="0" w:color="auto"/>
            </w:tcBorders>
            <w:shd w:val="clear" w:color="auto" w:fill="auto"/>
            <w:noWrap/>
            <w:vAlign w:val="center"/>
            <w:hideMark/>
          </w:tcPr>
          <w:p w:rsidR="00031D43" w:rsidRPr="0024454A" w:rsidRDefault="00031D43" w:rsidP="00031D43">
            <w:pPr>
              <w:spacing w:before="60" w:after="60" w:line="240" w:lineRule="auto"/>
              <w:ind w:firstLine="0"/>
              <w:jc w:val="center"/>
              <w:rPr>
                <w:color w:val="000000"/>
              </w:rPr>
            </w:pPr>
            <w:r w:rsidRPr="0024454A">
              <w:rPr>
                <w:color w:val="000000"/>
              </w:rPr>
              <w:t>3.25E+14</w:t>
            </w:r>
          </w:p>
        </w:tc>
        <w:tc>
          <w:tcPr>
            <w:tcW w:w="1768" w:type="dxa"/>
            <w:tcBorders>
              <w:top w:val="nil"/>
              <w:left w:val="nil"/>
              <w:bottom w:val="single" w:sz="4" w:space="0" w:color="auto"/>
              <w:right w:val="single" w:sz="4" w:space="0" w:color="auto"/>
            </w:tcBorders>
            <w:shd w:val="clear" w:color="auto" w:fill="auto"/>
            <w:noWrap/>
            <w:vAlign w:val="center"/>
            <w:hideMark/>
          </w:tcPr>
          <w:p w:rsidR="00031D43" w:rsidRPr="0024454A" w:rsidRDefault="00031D43" w:rsidP="00031D43">
            <w:pPr>
              <w:spacing w:before="60" w:after="60" w:line="240" w:lineRule="auto"/>
              <w:ind w:firstLine="0"/>
              <w:jc w:val="center"/>
              <w:rPr>
                <w:color w:val="000000"/>
              </w:rPr>
            </w:pPr>
            <w:r w:rsidRPr="0024454A">
              <w:rPr>
                <w:color w:val="000000"/>
              </w:rPr>
              <w:t>0.23</w:t>
            </w:r>
          </w:p>
        </w:tc>
        <w:tc>
          <w:tcPr>
            <w:tcW w:w="1387" w:type="dxa"/>
            <w:tcBorders>
              <w:top w:val="nil"/>
              <w:left w:val="nil"/>
              <w:bottom w:val="single" w:sz="4" w:space="0" w:color="auto"/>
              <w:right w:val="single" w:sz="4" w:space="0" w:color="auto"/>
            </w:tcBorders>
            <w:shd w:val="clear" w:color="auto" w:fill="auto"/>
            <w:noWrap/>
            <w:vAlign w:val="center"/>
            <w:hideMark/>
          </w:tcPr>
          <w:p w:rsidR="00031D43" w:rsidRPr="0024454A" w:rsidRDefault="00031D43" w:rsidP="00031D43">
            <w:pPr>
              <w:spacing w:before="60" w:after="60" w:line="240" w:lineRule="auto"/>
              <w:ind w:firstLine="0"/>
              <w:jc w:val="center"/>
              <w:rPr>
                <w:color w:val="000000"/>
              </w:rPr>
            </w:pPr>
            <w:r w:rsidRPr="0024454A">
              <w:rPr>
                <w:color w:val="000000"/>
              </w:rPr>
              <w:t>0.021</w:t>
            </w:r>
          </w:p>
        </w:tc>
      </w:tr>
      <w:tr w:rsidR="00031D43" w:rsidRPr="0024454A" w:rsidTr="00031D43">
        <w:trPr>
          <w:trHeight w:val="288"/>
          <w:jc w:val="center"/>
        </w:trPr>
        <w:tc>
          <w:tcPr>
            <w:tcW w:w="1860" w:type="dxa"/>
            <w:vMerge/>
            <w:tcBorders>
              <w:top w:val="nil"/>
              <w:left w:val="single" w:sz="4" w:space="0" w:color="auto"/>
              <w:bottom w:val="single" w:sz="4" w:space="0" w:color="000000"/>
              <w:right w:val="single" w:sz="4" w:space="0" w:color="auto"/>
            </w:tcBorders>
            <w:vAlign w:val="center"/>
            <w:hideMark/>
          </w:tcPr>
          <w:p w:rsidR="00031D43" w:rsidRPr="0024454A" w:rsidRDefault="00031D43" w:rsidP="00031D43">
            <w:pPr>
              <w:spacing w:before="60" w:after="60" w:line="240" w:lineRule="auto"/>
              <w:ind w:firstLine="0"/>
              <w:jc w:val="center"/>
              <w:rPr>
                <w:color w:val="000000"/>
              </w:rPr>
            </w:pPr>
          </w:p>
        </w:tc>
        <w:tc>
          <w:tcPr>
            <w:tcW w:w="742" w:type="dxa"/>
            <w:tcBorders>
              <w:top w:val="nil"/>
              <w:left w:val="nil"/>
              <w:bottom w:val="single" w:sz="4" w:space="0" w:color="auto"/>
              <w:right w:val="single" w:sz="4" w:space="0" w:color="auto"/>
            </w:tcBorders>
            <w:shd w:val="clear" w:color="auto" w:fill="auto"/>
            <w:noWrap/>
            <w:vAlign w:val="center"/>
            <w:hideMark/>
          </w:tcPr>
          <w:p w:rsidR="00031D43" w:rsidRPr="0024454A" w:rsidRDefault="00031D43" w:rsidP="00031D43">
            <w:pPr>
              <w:spacing w:before="60" w:after="60" w:line="240" w:lineRule="auto"/>
              <w:ind w:firstLine="0"/>
              <w:jc w:val="center"/>
              <w:rPr>
                <w:color w:val="000000"/>
              </w:rPr>
            </w:pPr>
            <w:r w:rsidRPr="0024454A">
              <w:rPr>
                <w:color w:val="000000"/>
              </w:rPr>
              <w:t>4</w:t>
            </w:r>
          </w:p>
        </w:tc>
        <w:tc>
          <w:tcPr>
            <w:tcW w:w="876" w:type="dxa"/>
            <w:tcBorders>
              <w:top w:val="single" w:sz="4" w:space="0" w:color="auto"/>
              <w:left w:val="nil"/>
              <w:bottom w:val="single" w:sz="4" w:space="0" w:color="auto"/>
              <w:right w:val="single" w:sz="4" w:space="0" w:color="auto"/>
            </w:tcBorders>
            <w:vAlign w:val="center"/>
          </w:tcPr>
          <w:p w:rsidR="00031D43" w:rsidRPr="0024454A" w:rsidRDefault="00031D43" w:rsidP="00031D43">
            <w:pPr>
              <w:spacing w:before="60" w:after="60" w:line="240" w:lineRule="auto"/>
              <w:ind w:firstLine="0"/>
              <w:jc w:val="center"/>
              <w:rPr>
                <w:color w:val="000000"/>
              </w:rPr>
            </w:pPr>
            <w:r w:rsidRPr="0024454A">
              <w:rPr>
                <w:color w:val="000000"/>
              </w:rPr>
              <w:t>10835</w:t>
            </w:r>
          </w:p>
        </w:tc>
        <w:tc>
          <w:tcPr>
            <w:tcW w:w="1837" w:type="dxa"/>
            <w:tcBorders>
              <w:top w:val="nil"/>
              <w:left w:val="single" w:sz="4" w:space="0" w:color="auto"/>
              <w:bottom w:val="single" w:sz="4" w:space="0" w:color="auto"/>
              <w:right w:val="single" w:sz="4" w:space="0" w:color="auto"/>
            </w:tcBorders>
            <w:shd w:val="clear" w:color="auto" w:fill="auto"/>
            <w:noWrap/>
            <w:vAlign w:val="center"/>
            <w:hideMark/>
          </w:tcPr>
          <w:p w:rsidR="00031D43" w:rsidRPr="0024454A" w:rsidRDefault="00031D43" w:rsidP="00031D43">
            <w:pPr>
              <w:spacing w:before="60" w:after="60" w:line="240" w:lineRule="auto"/>
              <w:ind w:firstLine="0"/>
              <w:jc w:val="center"/>
              <w:rPr>
                <w:color w:val="000000"/>
              </w:rPr>
            </w:pPr>
            <w:r w:rsidRPr="0024454A">
              <w:rPr>
                <w:color w:val="000000"/>
              </w:rPr>
              <w:t>0</w:t>
            </w:r>
          </w:p>
        </w:tc>
        <w:tc>
          <w:tcPr>
            <w:tcW w:w="1768" w:type="dxa"/>
            <w:tcBorders>
              <w:top w:val="nil"/>
              <w:left w:val="nil"/>
              <w:bottom w:val="single" w:sz="4" w:space="0" w:color="auto"/>
              <w:right w:val="single" w:sz="4" w:space="0" w:color="auto"/>
            </w:tcBorders>
            <w:shd w:val="clear" w:color="auto" w:fill="auto"/>
            <w:noWrap/>
            <w:vAlign w:val="center"/>
            <w:hideMark/>
          </w:tcPr>
          <w:p w:rsidR="00031D43" w:rsidRPr="0024454A" w:rsidRDefault="00031D43" w:rsidP="00031D43">
            <w:pPr>
              <w:spacing w:before="60" w:after="60" w:line="240" w:lineRule="auto"/>
              <w:ind w:firstLine="0"/>
              <w:jc w:val="center"/>
              <w:rPr>
                <w:color w:val="000000"/>
              </w:rPr>
            </w:pPr>
            <w:r w:rsidRPr="0024454A">
              <w:rPr>
                <w:color w:val="000000"/>
              </w:rPr>
              <w:t>0</w:t>
            </w:r>
          </w:p>
        </w:tc>
        <w:tc>
          <w:tcPr>
            <w:tcW w:w="1387" w:type="dxa"/>
            <w:tcBorders>
              <w:top w:val="nil"/>
              <w:left w:val="nil"/>
              <w:bottom w:val="single" w:sz="4" w:space="0" w:color="auto"/>
              <w:right w:val="single" w:sz="4" w:space="0" w:color="auto"/>
            </w:tcBorders>
            <w:shd w:val="clear" w:color="auto" w:fill="auto"/>
            <w:noWrap/>
            <w:vAlign w:val="center"/>
            <w:hideMark/>
          </w:tcPr>
          <w:p w:rsidR="00031D43" w:rsidRPr="0024454A" w:rsidRDefault="00031D43" w:rsidP="00031D43">
            <w:pPr>
              <w:spacing w:before="60" w:after="60" w:line="240" w:lineRule="auto"/>
              <w:ind w:firstLine="0"/>
              <w:jc w:val="center"/>
              <w:rPr>
                <w:color w:val="000000"/>
              </w:rPr>
            </w:pPr>
            <w:r w:rsidRPr="0024454A">
              <w:rPr>
                <w:color w:val="000000"/>
              </w:rPr>
              <w:t>0</w:t>
            </w:r>
          </w:p>
        </w:tc>
      </w:tr>
    </w:tbl>
    <w:p w:rsidR="001D1991" w:rsidRDefault="001D1991" w:rsidP="00EF70FA">
      <w:bookmarkStart w:id="242" w:name="_Ref285536969"/>
    </w:p>
    <w:p w:rsidR="001D1991" w:rsidRPr="001D1991" w:rsidRDefault="001D1991" w:rsidP="001D1991"/>
    <w:p w:rsidR="00031D43" w:rsidRPr="0024454A" w:rsidRDefault="0032519B" w:rsidP="0032519B">
      <w:pPr>
        <w:pStyle w:val="Caption"/>
      </w:pPr>
      <w:bookmarkStart w:id="243" w:name="_Ref295816707"/>
      <w:bookmarkStart w:id="244" w:name="_Toc295818275"/>
      <w:proofErr w:type="gramStart"/>
      <w:r>
        <w:t xml:space="preserve">Table </w:t>
      </w:r>
      <w:r w:rsidR="007511FA">
        <w:fldChar w:fldCharType="begin"/>
      </w:r>
      <w:r w:rsidR="00AE17F8">
        <w:instrText xml:space="preserve"> STYLEREF 1 \s </w:instrText>
      </w:r>
      <w:r w:rsidR="007511FA">
        <w:fldChar w:fldCharType="separate"/>
      </w:r>
      <w:r w:rsidR="00D5167B">
        <w:rPr>
          <w:noProof/>
        </w:rPr>
        <w:t>6</w:t>
      </w:r>
      <w:r w:rsidR="007511FA">
        <w:fldChar w:fldCharType="end"/>
      </w:r>
      <w:r w:rsidR="00DE5151">
        <w:t>.</w:t>
      </w:r>
      <w:proofErr w:type="gramEnd"/>
      <w:r w:rsidR="007511FA">
        <w:fldChar w:fldCharType="begin"/>
      </w:r>
      <w:r w:rsidR="00C43F40">
        <w:instrText xml:space="preserve"> SEQ Table \* ARABIC \s 1 </w:instrText>
      </w:r>
      <w:r w:rsidR="007511FA">
        <w:fldChar w:fldCharType="separate"/>
      </w:r>
      <w:r w:rsidR="00D5167B">
        <w:rPr>
          <w:noProof/>
        </w:rPr>
        <w:t>2</w:t>
      </w:r>
      <w:r w:rsidR="007511FA">
        <w:fldChar w:fldCharType="end"/>
      </w:r>
      <w:bookmarkEnd w:id="242"/>
      <w:bookmarkEnd w:id="243"/>
      <w:r w:rsidR="00031D43" w:rsidRPr="0024454A">
        <w:t xml:space="preserve">.  </w:t>
      </w:r>
      <w:r w:rsidR="00031D43">
        <w:t xml:space="preserve">Irradiation history </w:t>
      </w:r>
      <w:r w:rsidR="00031D43" w:rsidRPr="0024454A">
        <w:t>input for RB and SPB ORIGEN-S calculations.</w:t>
      </w:r>
      <w:bookmarkEnd w:id="244"/>
    </w:p>
    <w:tbl>
      <w:tblPr>
        <w:tblW w:w="8780" w:type="dxa"/>
        <w:jc w:val="center"/>
        <w:tblInd w:w="93" w:type="dxa"/>
        <w:tblLook w:val="04A0"/>
      </w:tblPr>
      <w:tblGrid>
        <w:gridCol w:w="1834"/>
        <w:gridCol w:w="742"/>
        <w:gridCol w:w="1212"/>
        <w:gridCol w:w="1837"/>
        <w:gridCol w:w="1768"/>
        <w:gridCol w:w="1387"/>
      </w:tblGrid>
      <w:tr w:rsidR="00031D43" w:rsidRPr="0024454A" w:rsidTr="00031D43">
        <w:trPr>
          <w:trHeight w:val="300"/>
          <w:jc w:val="center"/>
        </w:trPr>
        <w:tc>
          <w:tcPr>
            <w:tcW w:w="18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1D43" w:rsidRPr="0024454A" w:rsidRDefault="00031D43" w:rsidP="00F236B9">
            <w:pPr>
              <w:spacing w:before="60" w:afterLines="60" w:line="240" w:lineRule="auto"/>
              <w:ind w:firstLine="0"/>
              <w:jc w:val="center"/>
              <w:rPr>
                <w:color w:val="000000"/>
              </w:rPr>
            </w:pPr>
            <w:r w:rsidRPr="0024454A">
              <w:rPr>
                <w:b/>
                <w:color w:val="000000"/>
              </w:rPr>
              <w:t>Reflector Region</w:t>
            </w:r>
          </w:p>
        </w:tc>
        <w:tc>
          <w:tcPr>
            <w:tcW w:w="742" w:type="dxa"/>
            <w:tcBorders>
              <w:top w:val="single" w:sz="4" w:space="0" w:color="auto"/>
              <w:left w:val="nil"/>
              <w:bottom w:val="single" w:sz="4" w:space="0" w:color="auto"/>
              <w:right w:val="single" w:sz="4" w:space="0" w:color="auto"/>
            </w:tcBorders>
            <w:vAlign w:val="center"/>
          </w:tcPr>
          <w:p w:rsidR="00031D43" w:rsidRPr="0024454A" w:rsidRDefault="00031D43" w:rsidP="00F236B9">
            <w:pPr>
              <w:spacing w:before="60" w:afterLines="60" w:line="240" w:lineRule="auto"/>
              <w:ind w:firstLine="0"/>
              <w:jc w:val="center"/>
              <w:rPr>
                <w:b/>
                <w:bCs/>
                <w:color w:val="000000"/>
              </w:rPr>
            </w:pPr>
            <w:r w:rsidRPr="0024454A">
              <w:rPr>
                <w:b/>
                <w:bCs/>
                <w:color w:val="000000"/>
              </w:rPr>
              <w:t>Step</w:t>
            </w:r>
          </w:p>
        </w:tc>
        <w:tc>
          <w:tcPr>
            <w:tcW w:w="1212" w:type="dxa"/>
            <w:tcBorders>
              <w:top w:val="single" w:sz="4" w:space="0" w:color="auto"/>
              <w:left w:val="single" w:sz="4" w:space="0" w:color="auto"/>
              <w:bottom w:val="single" w:sz="4" w:space="0" w:color="auto"/>
              <w:right w:val="single" w:sz="4" w:space="0" w:color="auto"/>
            </w:tcBorders>
            <w:vAlign w:val="center"/>
          </w:tcPr>
          <w:p w:rsidR="00031D43" w:rsidRDefault="00031D43" w:rsidP="00F236B9">
            <w:pPr>
              <w:spacing w:before="60" w:afterLines="60" w:line="240" w:lineRule="auto"/>
              <w:ind w:firstLine="0"/>
              <w:jc w:val="center"/>
              <w:rPr>
                <w:b/>
                <w:bCs/>
                <w:color w:val="000000"/>
              </w:rPr>
            </w:pPr>
            <w:r w:rsidRPr="0024454A">
              <w:rPr>
                <w:b/>
                <w:bCs/>
                <w:color w:val="000000"/>
              </w:rPr>
              <w:t>Days</w:t>
            </w:r>
          </w:p>
        </w:tc>
        <w:tc>
          <w:tcPr>
            <w:tcW w:w="18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1D43" w:rsidRDefault="00031D43" w:rsidP="00F236B9">
            <w:pPr>
              <w:spacing w:before="60" w:afterLines="60" w:line="240" w:lineRule="auto"/>
              <w:ind w:firstLine="0"/>
              <w:jc w:val="center"/>
              <w:rPr>
                <w:b/>
                <w:color w:val="000000"/>
              </w:rPr>
            </w:pPr>
            <w:proofErr w:type="spellStart"/>
            <w:r>
              <w:rPr>
                <w:b/>
                <w:bCs/>
                <w:color w:val="000000"/>
              </w:rPr>
              <w:t>ϕ</w:t>
            </w:r>
            <w:r w:rsidRPr="0024454A">
              <w:rPr>
                <w:b/>
                <w:bCs/>
                <w:color w:val="000000"/>
                <w:vertAlign w:val="subscript"/>
              </w:rPr>
              <w:t>thermal</w:t>
            </w:r>
            <w:proofErr w:type="spellEnd"/>
            <w:r w:rsidRPr="0024454A">
              <w:rPr>
                <w:b/>
                <w:bCs/>
                <w:color w:val="000000"/>
              </w:rPr>
              <w:t xml:space="preserve"> (</w:t>
            </w:r>
            <w:r w:rsidRPr="0024454A">
              <w:rPr>
                <w:b/>
                <w:color w:val="000000"/>
              </w:rPr>
              <w:t>n/cm</w:t>
            </w:r>
            <w:r w:rsidRPr="0024454A">
              <w:rPr>
                <w:b/>
                <w:color w:val="000000"/>
                <w:vertAlign w:val="superscript"/>
              </w:rPr>
              <w:t>2</w:t>
            </w:r>
            <w:r w:rsidRPr="0024454A">
              <w:rPr>
                <w:b/>
                <w:color w:val="000000"/>
              </w:rPr>
              <w:t>/s)</w:t>
            </w:r>
          </w:p>
        </w:tc>
        <w:tc>
          <w:tcPr>
            <w:tcW w:w="1768" w:type="dxa"/>
            <w:tcBorders>
              <w:top w:val="single" w:sz="4" w:space="0" w:color="auto"/>
              <w:left w:val="nil"/>
              <w:bottom w:val="single" w:sz="4" w:space="0" w:color="auto"/>
              <w:right w:val="single" w:sz="4" w:space="0" w:color="auto"/>
            </w:tcBorders>
            <w:shd w:val="clear" w:color="auto" w:fill="auto"/>
            <w:noWrap/>
            <w:vAlign w:val="center"/>
            <w:hideMark/>
          </w:tcPr>
          <w:p w:rsidR="00031D43" w:rsidRDefault="00031D43" w:rsidP="00F236B9">
            <w:pPr>
              <w:spacing w:before="60" w:afterLines="60" w:line="240" w:lineRule="auto"/>
              <w:ind w:firstLine="0"/>
              <w:jc w:val="center"/>
              <w:rPr>
                <w:b/>
                <w:bCs/>
                <w:color w:val="000000"/>
              </w:rPr>
            </w:pPr>
            <w:proofErr w:type="spellStart"/>
            <w:r>
              <w:rPr>
                <w:b/>
                <w:bCs/>
                <w:color w:val="000000"/>
              </w:rPr>
              <w:t>ϕ</w:t>
            </w:r>
            <w:r w:rsidRPr="0024454A">
              <w:rPr>
                <w:b/>
                <w:bCs/>
                <w:color w:val="000000"/>
                <w:vertAlign w:val="subscript"/>
              </w:rPr>
              <w:t>resonance</w:t>
            </w:r>
            <w:proofErr w:type="spellEnd"/>
            <w:r w:rsidRPr="0024454A">
              <w:rPr>
                <w:b/>
                <w:bCs/>
                <w:color w:val="000000"/>
              </w:rPr>
              <w:t>/</w:t>
            </w:r>
            <w:proofErr w:type="spellStart"/>
            <w:r>
              <w:rPr>
                <w:b/>
                <w:bCs/>
                <w:color w:val="000000"/>
              </w:rPr>
              <w:t>ϕ</w:t>
            </w:r>
            <w:r w:rsidRPr="0024454A">
              <w:rPr>
                <w:b/>
                <w:bCs/>
                <w:color w:val="000000"/>
                <w:vertAlign w:val="subscript"/>
              </w:rPr>
              <w:t>thermal</w:t>
            </w:r>
            <w:proofErr w:type="spellEnd"/>
          </w:p>
        </w:tc>
        <w:tc>
          <w:tcPr>
            <w:tcW w:w="1387" w:type="dxa"/>
            <w:tcBorders>
              <w:top w:val="single" w:sz="4" w:space="0" w:color="auto"/>
              <w:left w:val="nil"/>
              <w:bottom w:val="single" w:sz="4" w:space="0" w:color="auto"/>
              <w:right w:val="single" w:sz="4" w:space="0" w:color="auto"/>
            </w:tcBorders>
            <w:shd w:val="clear" w:color="auto" w:fill="auto"/>
            <w:noWrap/>
            <w:vAlign w:val="center"/>
            <w:hideMark/>
          </w:tcPr>
          <w:p w:rsidR="00031D43" w:rsidRDefault="00031D43" w:rsidP="00F236B9">
            <w:pPr>
              <w:spacing w:before="60" w:afterLines="60" w:line="240" w:lineRule="auto"/>
              <w:ind w:firstLine="0"/>
              <w:jc w:val="center"/>
              <w:rPr>
                <w:b/>
                <w:bCs/>
                <w:color w:val="000000"/>
              </w:rPr>
            </w:pPr>
            <w:proofErr w:type="spellStart"/>
            <w:r>
              <w:rPr>
                <w:b/>
                <w:bCs/>
                <w:color w:val="000000"/>
              </w:rPr>
              <w:t>ϕ</w:t>
            </w:r>
            <w:r w:rsidRPr="0024454A">
              <w:rPr>
                <w:b/>
                <w:bCs/>
                <w:color w:val="000000"/>
                <w:vertAlign w:val="subscript"/>
              </w:rPr>
              <w:t>fast</w:t>
            </w:r>
            <w:proofErr w:type="spellEnd"/>
            <w:r w:rsidRPr="0024454A">
              <w:rPr>
                <w:b/>
                <w:bCs/>
                <w:color w:val="000000"/>
              </w:rPr>
              <w:t>/</w:t>
            </w:r>
            <w:proofErr w:type="spellStart"/>
            <w:r>
              <w:rPr>
                <w:b/>
                <w:bCs/>
                <w:color w:val="000000"/>
              </w:rPr>
              <w:t>ϕ</w:t>
            </w:r>
            <w:r w:rsidRPr="0024454A">
              <w:rPr>
                <w:b/>
                <w:bCs/>
                <w:color w:val="000000"/>
                <w:vertAlign w:val="subscript"/>
              </w:rPr>
              <w:t>thermal</w:t>
            </w:r>
            <w:proofErr w:type="spellEnd"/>
          </w:p>
        </w:tc>
      </w:tr>
      <w:tr w:rsidR="00031D43" w:rsidRPr="0024454A" w:rsidTr="00031D43">
        <w:trPr>
          <w:trHeight w:val="300"/>
          <w:jc w:val="center"/>
        </w:trPr>
        <w:tc>
          <w:tcPr>
            <w:tcW w:w="1834" w:type="dxa"/>
            <w:vMerge w:val="restart"/>
            <w:tcBorders>
              <w:top w:val="nil"/>
              <w:left w:val="single" w:sz="4" w:space="0" w:color="auto"/>
              <w:right w:val="single" w:sz="4" w:space="0" w:color="auto"/>
            </w:tcBorders>
            <w:shd w:val="clear" w:color="auto" w:fill="auto"/>
            <w:noWrap/>
            <w:vAlign w:val="center"/>
            <w:hideMark/>
          </w:tcPr>
          <w:p w:rsidR="00031D43" w:rsidRPr="0024454A" w:rsidRDefault="00031D43" w:rsidP="00F236B9">
            <w:pPr>
              <w:spacing w:before="60" w:afterLines="60" w:line="240" w:lineRule="auto"/>
              <w:ind w:firstLine="0"/>
              <w:jc w:val="center"/>
              <w:rPr>
                <w:bCs/>
                <w:color w:val="000000"/>
              </w:rPr>
            </w:pPr>
            <w:r w:rsidRPr="0024454A">
              <w:rPr>
                <w:bCs/>
                <w:color w:val="000000"/>
              </w:rPr>
              <w:t>RB</w:t>
            </w:r>
          </w:p>
        </w:tc>
        <w:tc>
          <w:tcPr>
            <w:tcW w:w="742" w:type="dxa"/>
            <w:tcBorders>
              <w:top w:val="single" w:sz="4" w:space="0" w:color="auto"/>
              <w:left w:val="nil"/>
              <w:bottom w:val="single" w:sz="4" w:space="0" w:color="auto"/>
              <w:right w:val="single" w:sz="4" w:space="0" w:color="auto"/>
            </w:tcBorders>
            <w:vAlign w:val="center"/>
          </w:tcPr>
          <w:p w:rsidR="00031D43" w:rsidRPr="0024454A" w:rsidRDefault="00031D43" w:rsidP="00F236B9">
            <w:pPr>
              <w:spacing w:before="60" w:afterLines="60" w:line="240" w:lineRule="auto"/>
              <w:ind w:firstLine="0"/>
              <w:jc w:val="center"/>
              <w:rPr>
                <w:color w:val="000000"/>
              </w:rPr>
            </w:pPr>
            <w:r w:rsidRPr="0024454A">
              <w:rPr>
                <w:color w:val="000000"/>
              </w:rPr>
              <w:t>1</w:t>
            </w:r>
          </w:p>
        </w:tc>
        <w:tc>
          <w:tcPr>
            <w:tcW w:w="1212" w:type="dxa"/>
            <w:tcBorders>
              <w:top w:val="single" w:sz="4" w:space="0" w:color="auto"/>
              <w:left w:val="single" w:sz="4" w:space="0" w:color="auto"/>
              <w:bottom w:val="single" w:sz="4" w:space="0" w:color="auto"/>
              <w:right w:val="single" w:sz="4" w:space="0" w:color="auto"/>
            </w:tcBorders>
            <w:vAlign w:val="center"/>
          </w:tcPr>
          <w:p w:rsidR="00031D43" w:rsidRDefault="00031D43" w:rsidP="00F236B9">
            <w:pPr>
              <w:spacing w:before="60" w:afterLines="60" w:line="240" w:lineRule="auto"/>
              <w:ind w:firstLine="0"/>
              <w:jc w:val="center"/>
              <w:rPr>
                <w:color w:val="000000"/>
              </w:rPr>
            </w:pPr>
            <w:r w:rsidRPr="0024454A">
              <w:rPr>
                <w:color w:val="000000"/>
              </w:rPr>
              <w:t>1200</w:t>
            </w:r>
          </w:p>
        </w:tc>
        <w:tc>
          <w:tcPr>
            <w:tcW w:w="1837" w:type="dxa"/>
            <w:tcBorders>
              <w:top w:val="nil"/>
              <w:left w:val="single" w:sz="4" w:space="0" w:color="auto"/>
              <w:bottom w:val="single" w:sz="4" w:space="0" w:color="auto"/>
              <w:right w:val="single" w:sz="4" w:space="0" w:color="auto"/>
            </w:tcBorders>
            <w:shd w:val="clear" w:color="auto" w:fill="auto"/>
            <w:noWrap/>
            <w:vAlign w:val="center"/>
            <w:hideMark/>
          </w:tcPr>
          <w:p w:rsidR="00031D43" w:rsidRDefault="00031D43" w:rsidP="00F236B9">
            <w:pPr>
              <w:spacing w:before="60" w:afterLines="60" w:line="240" w:lineRule="auto"/>
              <w:ind w:firstLine="0"/>
              <w:jc w:val="center"/>
              <w:rPr>
                <w:color w:val="000000"/>
              </w:rPr>
            </w:pPr>
            <w:r w:rsidRPr="0024454A">
              <w:rPr>
                <w:color w:val="000000"/>
              </w:rPr>
              <w:t>8.823E+14</w:t>
            </w:r>
          </w:p>
        </w:tc>
        <w:tc>
          <w:tcPr>
            <w:tcW w:w="1768" w:type="dxa"/>
            <w:tcBorders>
              <w:top w:val="nil"/>
              <w:left w:val="nil"/>
              <w:bottom w:val="single" w:sz="4" w:space="0" w:color="auto"/>
              <w:right w:val="single" w:sz="4" w:space="0" w:color="auto"/>
            </w:tcBorders>
            <w:shd w:val="clear" w:color="auto" w:fill="auto"/>
            <w:noWrap/>
            <w:vAlign w:val="center"/>
            <w:hideMark/>
          </w:tcPr>
          <w:p w:rsidR="00031D43" w:rsidRDefault="00031D43" w:rsidP="00F236B9">
            <w:pPr>
              <w:spacing w:before="60" w:afterLines="60" w:line="240" w:lineRule="auto"/>
              <w:ind w:firstLine="0"/>
              <w:jc w:val="center"/>
              <w:rPr>
                <w:color w:val="000000"/>
              </w:rPr>
            </w:pPr>
            <w:r w:rsidRPr="0024454A">
              <w:rPr>
                <w:color w:val="000000"/>
              </w:rPr>
              <w:t>1.152</w:t>
            </w:r>
          </w:p>
        </w:tc>
        <w:tc>
          <w:tcPr>
            <w:tcW w:w="1387" w:type="dxa"/>
            <w:tcBorders>
              <w:top w:val="nil"/>
              <w:left w:val="nil"/>
              <w:bottom w:val="single" w:sz="4" w:space="0" w:color="auto"/>
              <w:right w:val="single" w:sz="4" w:space="0" w:color="auto"/>
            </w:tcBorders>
            <w:shd w:val="clear" w:color="auto" w:fill="auto"/>
            <w:noWrap/>
            <w:vAlign w:val="center"/>
            <w:hideMark/>
          </w:tcPr>
          <w:p w:rsidR="00031D43" w:rsidRDefault="00031D43" w:rsidP="00F236B9">
            <w:pPr>
              <w:spacing w:before="60" w:afterLines="60" w:line="240" w:lineRule="auto"/>
              <w:ind w:firstLine="0"/>
              <w:jc w:val="center"/>
              <w:rPr>
                <w:color w:val="000000"/>
              </w:rPr>
            </w:pPr>
            <w:r w:rsidRPr="0024454A">
              <w:rPr>
                <w:color w:val="000000"/>
              </w:rPr>
              <w:t>0.234</w:t>
            </w:r>
          </w:p>
        </w:tc>
      </w:tr>
      <w:tr w:rsidR="00031D43" w:rsidRPr="0024454A" w:rsidTr="00031D43">
        <w:trPr>
          <w:trHeight w:val="300"/>
          <w:jc w:val="center"/>
        </w:trPr>
        <w:tc>
          <w:tcPr>
            <w:tcW w:w="1834" w:type="dxa"/>
            <w:vMerge/>
            <w:tcBorders>
              <w:left w:val="single" w:sz="4" w:space="0" w:color="auto"/>
              <w:bottom w:val="single" w:sz="4" w:space="0" w:color="auto"/>
              <w:right w:val="single" w:sz="4" w:space="0" w:color="auto"/>
            </w:tcBorders>
            <w:shd w:val="clear" w:color="auto" w:fill="auto"/>
            <w:noWrap/>
            <w:vAlign w:val="center"/>
            <w:hideMark/>
          </w:tcPr>
          <w:p w:rsidR="00031D43" w:rsidRDefault="00031D43" w:rsidP="00F236B9">
            <w:pPr>
              <w:spacing w:before="60" w:afterLines="60" w:line="240" w:lineRule="auto"/>
              <w:ind w:firstLine="0"/>
              <w:jc w:val="center"/>
              <w:rPr>
                <w:bCs/>
                <w:color w:val="000000"/>
              </w:rPr>
            </w:pPr>
          </w:p>
        </w:tc>
        <w:tc>
          <w:tcPr>
            <w:tcW w:w="742" w:type="dxa"/>
            <w:tcBorders>
              <w:top w:val="single" w:sz="4" w:space="0" w:color="auto"/>
              <w:left w:val="nil"/>
              <w:bottom w:val="single" w:sz="4" w:space="0" w:color="auto"/>
              <w:right w:val="single" w:sz="4" w:space="0" w:color="auto"/>
            </w:tcBorders>
            <w:vAlign w:val="center"/>
          </w:tcPr>
          <w:p w:rsidR="00031D43" w:rsidRDefault="00031D43" w:rsidP="00F236B9">
            <w:pPr>
              <w:spacing w:before="60" w:afterLines="60" w:line="240" w:lineRule="auto"/>
              <w:ind w:firstLine="0"/>
              <w:jc w:val="center"/>
              <w:rPr>
                <w:color w:val="000000"/>
              </w:rPr>
            </w:pPr>
            <w:r w:rsidRPr="0024454A">
              <w:rPr>
                <w:color w:val="000000"/>
              </w:rPr>
              <w:t>2</w:t>
            </w:r>
          </w:p>
        </w:tc>
        <w:tc>
          <w:tcPr>
            <w:tcW w:w="1212" w:type="dxa"/>
            <w:tcBorders>
              <w:top w:val="single" w:sz="4" w:space="0" w:color="auto"/>
              <w:left w:val="single" w:sz="4" w:space="0" w:color="auto"/>
              <w:bottom w:val="single" w:sz="4" w:space="0" w:color="auto"/>
              <w:right w:val="single" w:sz="4" w:space="0" w:color="auto"/>
            </w:tcBorders>
            <w:vAlign w:val="center"/>
          </w:tcPr>
          <w:p w:rsidR="00031D43" w:rsidRDefault="00031D43" w:rsidP="00F236B9">
            <w:pPr>
              <w:spacing w:before="60" w:afterLines="60" w:line="240" w:lineRule="auto"/>
              <w:ind w:firstLine="0"/>
              <w:jc w:val="center"/>
              <w:rPr>
                <w:color w:val="000000"/>
              </w:rPr>
            </w:pPr>
            <w:r w:rsidRPr="0024454A">
              <w:rPr>
                <w:color w:val="000000"/>
              </w:rPr>
              <w:t>18262.5</w:t>
            </w:r>
          </w:p>
        </w:tc>
        <w:tc>
          <w:tcPr>
            <w:tcW w:w="1837" w:type="dxa"/>
            <w:tcBorders>
              <w:top w:val="nil"/>
              <w:left w:val="single" w:sz="4" w:space="0" w:color="auto"/>
              <w:bottom w:val="single" w:sz="4" w:space="0" w:color="auto"/>
              <w:right w:val="single" w:sz="4" w:space="0" w:color="auto"/>
            </w:tcBorders>
            <w:shd w:val="clear" w:color="auto" w:fill="auto"/>
            <w:noWrap/>
            <w:vAlign w:val="center"/>
            <w:hideMark/>
          </w:tcPr>
          <w:p w:rsidR="00031D43" w:rsidRDefault="00031D43" w:rsidP="00F236B9">
            <w:pPr>
              <w:spacing w:before="60" w:afterLines="60" w:line="240" w:lineRule="auto"/>
              <w:ind w:firstLine="0"/>
              <w:jc w:val="center"/>
              <w:rPr>
                <w:color w:val="000000"/>
              </w:rPr>
            </w:pPr>
            <w:r w:rsidRPr="0024454A">
              <w:rPr>
                <w:color w:val="000000"/>
              </w:rPr>
              <w:t>0</w:t>
            </w:r>
          </w:p>
        </w:tc>
        <w:tc>
          <w:tcPr>
            <w:tcW w:w="1768" w:type="dxa"/>
            <w:tcBorders>
              <w:top w:val="nil"/>
              <w:left w:val="nil"/>
              <w:bottom w:val="single" w:sz="4" w:space="0" w:color="auto"/>
              <w:right w:val="single" w:sz="4" w:space="0" w:color="auto"/>
            </w:tcBorders>
            <w:shd w:val="clear" w:color="auto" w:fill="auto"/>
            <w:noWrap/>
            <w:vAlign w:val="center"/>
            <w:hideMark/>
          </w:tcPr>
          <w:p w:rsidR="00031D43" w:rsidRDefault="00031D43" w:rsidP="00F236B9">
            <w:pPr>
              <w:spacing w:before="60" w:afterLines="60" w:line="240" w:lineRule="auto"/>
              <w:ind w:firstLine="0"/>
              <w:jc w:val="center"/>
              <w:rPr>
                <w:color w:val="000000"/>
              </w:rPr>
            </w:pPr>
            <w:r w:rsidRPr="0024454A">
              <w:rPr>
                <w:color w:val="000000"/>
              </w:rPr>
              <w:t>0</w:t>
            </w:r>
          </w:p>
        </w:tc>
        <w:tc>
          <w:tcPr>
            <w:tcW w:w="1387" w:type="dxa"/>
            <w:tcBorders>
              <w:top w:val="nil"/>
              <w:left w:val="nil"/>
              <w:bottom w:val="single" w:sz="4" w:space="0" w:color="auto"/>
              <w:right w:val="single" w:sz="4" w:space="0" w:color="auto"/>
            </w:tcBorders>
            <w:shd w:val="clear" w:color="auto" w:fill="auto"/>
            <w:noWrap/>
            <w:vAlign w:val="center"/>
            <w:hideMark/>
          </w:tcPr>
          <w:p w:rsidR="00031D43" w:rsidRDefault="00031D43" w:rsidP="00F236B9">
            <w:pPr>
              <w:spacing w:before="60" w:afterLines="60" w:line="240" w:lineRule="auto"/>
              <w:ind w:firstLine="0"/>
              <w:jc w:val="center"/>
              <w:rPr>
                <w:color w:val="000000"/>
              </w:rPr>
            </w:pPr>
            <w:r w:rsidRPr="0024454A">
              <w:rPr>
                <w:color w:val="000000"/>
              </w:rPr>
              <w:t>0</w:t>
            </w:r>
          </w:p>
        </w:tc>
      </w:tr>
      <w:tr w:rsidR="00031D43" w:rsidRPr="0024454A" w:rsidTr="00031D43">
        <w:trPr>
          <w:trHeight w:val="300"/>
          <w:jc w:val="center"/>
        </w:trPr>
        <w:tc>
          <w:tcPr>
            <w:tcW w:w="1834" w:type="dxa"/>
            <w:vMerge w:val="restart"/>
            <w:tcBorders>
              <w:top w:val="nil"/>
              <w:left w:val="single" w:sz="4" w:space="0" w:color="auto"/>
              <w:right w:val="single" w:sz="4" w:space="0" w:color="auto"/>
            </w:tcBorders>
            <w:shd w:val="clear" w:color="auto" w:fill="auto"/>
            <w:noWrap/>
            <w:vAlign w:val="center"/>
            <w:hideMark/>
          </w:tcPr>
          <w:p w:rsidR="00031D43" w:rsidRPr="0024454A" w:rsidRDefault="00031D43" w:rsidP="00F236B9">
            <w:pPr>
              <w:spacing w:before="60" w:afterLines="60" w:line="240" w:lineRule="auto"/>
              <w:ind w:firstLine="0"/>
              <w:jc w:val="center"/>
              <w:rPr>
                <w:bCs/>
                <w:color w:val="000000"/>
              </w:rPr>
            </w:pPr>
            <w:r w:rsidRPr="0024454A">
              <w:rPr>
                <w:bCs/>
                <w:color w:val="000000"/>
              </w:rPr>
              <w:t>SPB</w:t>
            </w:r>
          </w:p>
        </w:tc>
        <w:tc>
          <w:tcPr>
            <w:tcW w:w="742" w:type="dxa"/>
            <w:tcBorders>
              <w:top w:val="single" w:sz="4" w:space="0" w:color="auto"/>
              <w:left w:val="nil"/>
              <w:bottom w:val="single" w:sz="4" w:space="0" w:color="auto"/>
              <w:right w:val="single" w:sz="4" w:space="0" w:color="auto"/>
            </w:tcBorders>
            <w:vAlign w:val="center"/>
          </w:tcPr>
          <w:p w:rsidR="00031D43" w:rsidRPr="0024454A" w:rsidRDefault="00031D43" w:rsidP="00F236B9">
            <w:pPr>
              <w:spacing w:before="60" w:afterLines="60" w:line="240" w:lineRule="auto"/>
              <w:ind w:firstLine="0"/>
              <w:jc w:val="center"/>
              <w:rPr>
                <w:color w:val="000000"/>
              </w:rPr>
            </w:pPr>
            <w:r w:rsidRPr="0024454A">
              <w:rPr>
                <w:color w:val="000000"/>
              </w:rPr>
              <w:t>1</w:t>
            </w:r>
          </w:p>
        </w:tc>
        <w:tc>
          <w:tcPr>
            <w:tcW w:w="1212" w:type="dxa"/>
            <w:tcBorders>
              <w:top w:val="single" w:sz="4" w:space="0" w:color="auto"/>
              <w:left w:val="single" w:sz="4" w:space="0" w:color="auto"/>
              <w:bottom w:val="single" w:sz="4" w:space="0" w:color="auto"/>
              <w:right w:val="single" w:sz="4" w:space="0" w:color="auto"/>
            </w:tcBorders>
            <w:vAlign w:val="center"/>
          </w:tcPr>
          <w:p w:rsidR="00031D43" w:rsidRDefault="00031D43" w:rsidP="00F236B9">
            <w:pPr>
              <w:spacing w:before="60" w:afterLines="60" w:line="240" w:lineRule="auto"/>
              <w:ind w:firstLine="0"/>
              <w:jc w:val="center"/>
              <w:rPr>
                <w:color w:val="000000"/>
              </w:rPr>
            </w:pPr>
            <w:r w:rsidRPr="0024454A">
              <w:rPr>
                <w:color w:val="000000"/>
              </w:rPr>
              <w:t>2400</w:t>
            </w:r>
          </w:p>
        </w:tc>
        <w:tc>
          <w:tcPr>
            <w:tcW w:w="18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1D43" w:rsidRDefault="00031D43" w:rsidP="00F236B9">
            <w:pPr>
              <w:spacing w:before="60" w:afterLines="60" w:line="240" w:lineRule="auto"/>
              <w:ind w:firstLine="0"/>
              <w:jc w:val="center"/>
              <w:rPr>
                <w:color w:val="000000"/>
              </w:rPr>
            </w:pPr>
            <w:r w:rsidRPr="0024454A">
              <w:rPr>
                <w:color w:val="000000"/>
              </w:rPr>
              <w:t>8.152E+14</w:t>
            </w:r>
          </w:p>
        </w:tc>
        <w:tc>
          <w:tcPr>
            <w:tcW w:w="1768" w:type="dxa"/>
            <w:tcBorders>
              <w:top w:val="single" w:sz="4" w:space="0" w:color="auto"/>
              <w:left w:val="nil"/>
              <w:bottom w:val="single" w:sz="4" w:space="0" w:color="auto"/>
              <w:right w:val="single" w:sz="4" w:space="0" w:color="auto"/>
            </w:tcBorders>
            <w:shd w:val="clear" w:color="auto" w:fill="auto"/>
            <w:noWrap/>
            <w:vAlign w:val="center"/>
            <w:hideMark/>
          </w:tcPr>
          <w:p w:rsidR="00031D43" w:rsidRDefault="00031D43" w:rsidP="00F236B9">
            <w:pPr>
              <w:spacing w:before="60" w:afterLines="60" w:line="240" w:lineRule="auto"/>
              <w:ind w:firstLine="0"/>
              <w:jc w:val="center"/>
              <w:rPr>
                <w:color w:val="000000"/>
              </w:rPr>
            </w:pPr>
            <w:r w:rsidRPr="0024454A">
              <w:rPr>
                <w:color w:val="000000"/>
              </w:rPr>
              <w:t>0.498</w:t>
            </w:r>
          </w:p>
        </w:tc>
        <w:tc>
          <w:tcPr>
            <w:tcW w:w="1387" w:type="dxa"/>
            <w:tcBorders>
              <w:top w:val="single" w:sz="4" w:space="0" w:color="auto"/>
              <w:left w:val="nil"/>
              <w:bottom w:val="single" w:sz="4" w:space="0" w:color="auto"/>
              <w:right w:val="single" w:sz="4" w:space="0" w:color="auto"/>
            </w:tcBorders>
            <w:shd w:val="clear" w:color="auto" w:fill="auto"/>
            <w:noWrap/>
            <w:vAlign w:val="center"/>
            <w:hideMark/>
          </w:tcPr>
          <w:p w:rsidR="00031D43" w:rsidRDefault="00031D43" w:rsidP="00F236B9">
            <w:pPr>
              <w:spacing w:before="60" w:afterLines="60" w:line="240" w:lineRule="auto"/>
              <w:ind w:firstLine="0"/>
              <w:jc w:val="center"/>
              <w:rPr>
                <w:color w:val="000000"/>
              </w:rPr>
            </w:pPr>
            <w:r w:rsidRPr="0024454A">
              <w:rPr>
                <w:color w:val="000000"/>
              </w:rPr>
              <w:t>0.058</w:t>
            </w:r>
          </w:p>
        </w:tc>
      </w:tr>
      <w:tr w:rsidR="00031D43" w:rsidRPr="0024454A" w:rsidTr="00031D43">
        <w:trPr>
          <w:trHeight w:val="300"/>
          <w:jc w:val="center"/>
        </w:trPr>
        <w:tc>
          <w:tcPr>
            <w:tcW w:w="1834" w:type="dxa"/>
            <w:vMerge/>
            <w:tcBorders>
              <w:left w:val="single" w:sz="4" w:space="0" w:color="auto"/>
              <w:bottom w:val="single" w:sz="4" w:space="0" w:color="auto"/>
              <w:right w:val="single" w:sz="4" w:space="0" w:color="auto"/>
            </w:tcBorders>
            <w:shd w:val="clear" w:color="auto" w:fill="auto"/>
            <w:noWrap/>
            <w:vAlign w:val="center"/>
            <w:hideMark/>
          </w:tcPr>
          <w:p w:rsidR="00031D43" w:rsidRDefault="00031D43" w:rsidP="00F236B9">
            <w:pPr>
              <w:spacing w:before="60" w:afterLines="60" w:line="240" w:lineRule="auto"/>
              <w:ind w:firstLine="0"/>
              <w:jc w:val="center"/>
              <w:rPr>
                <w:bCs/>
                <w:color w:val="000000"/>
              </w:rPr>
            </w:pPr>
          </w:p>
        </w:tc>
        <w:tc>
          <w:tcPr>
            <w:tcW w:w="742" w:type="dxa"/>
            <w:tcBorders>
              <w:top w:val="single" w:sz="4" w:space="0" w:color="auto"/>
              <w:left w:val="nil"/>
              <w:bottom w:val="single" w:sz="4" w:space="0" w:color="auto"/>
              <w:right w:val="single" w:sz="4" w:space="0" w:color="auto"/>
            </w:tcBorders>
            <w:vAlign w:val="center"/>
          </w:tcPr>
          <w:p w:rsidR="00031D43" w:rsidRDefault="00031D43" w:rsidP="00F236B9">
            <w:pPr>
              <w:spacing w:before="60" w:afterLines="60" w:line="240" w:lineRule="auto"/>
              <w:ind w:firstLine="0"/>
              <w:jc w:val="center"/>
              <w:rPr>
                <w:color w:val="000000"/>
              </w:rPr>
            </w:pPr>
            <w:r w:rsidRPr="0024454A">
              <w:rPr>
                <w:color w:val="000000"/>
              </w:rPr>
              <w:t>2</w:t>
            </w:r>
          </w:p>
        </w:tc>
        <w:tc>
          <w:tcPr>
            <w:tcW w:w="1212" w:type="dxa"/>
            <w:tcBorders>
              <w:top w:val="single" w:sz="4" w:space="0" w:color="auto"/>
              <w:left w:val="single" w:sz="4" w:space="0" w:color="auto"/>
              <w:bottom w:val="single" w:sz="4" w:space="0" w:color="auto"/>
              <w:right w:val="single" w:sz="4" w:space="0" w:color="auto"/>
            </w:tcBorders>
            <w:vAlign w:val="center"/>
          </w:tcPr>
          <w:p w:rsidR="00031D43" w:rsidRDefault="00031D43" w:rsidP="00F236B9">
            <w:pPr>
              <w:spacing w:before="60" w:afterLines="60" w:line="240" w:lineRule="auto"/>
              <w:ind w:firstLine="0"/>
              <w:jc w:val="center"/>
              <w:rPr>
                <w:color w:val="000000"/>
              </w:rPr>
            </w:pPr>
            <w:r w:rsidRPr="0024454A">
              <w:rPr>
                <w:color w:val="000000"/>
              </w:rPr>
              <w:t>18262.5</w:t>
            </w:r>
          </w:p>
        </w:tc>
        <w:tc>
          <w:tcPr>
            <w:tcW w:w="18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1D43" w:rsidRDefault="00031D43" w:rsidP="00F236B9">
            <w:pPr>
              <w:spacing w:before="60" w:afterLines="60" w:line="240" w:lineRule="auto"/>
              <w:ind w:firstLine="0"/>
              <w:jc w:val="center"/>
              <w:rPr>
                <w:color w:val="000000"/>
              </w:rPr>
            </w:pPr>
            <w:r w:rsidRPr="0024454A">
              <w:rPr>
                <w:color w:val="000000"/>
              </w:rPr>
              <w:t>0</w:t>
            </w:r>
          </w:p>
        </w:tc>
        <w:tc>
          <w:tcPr>
            <w:tcW w:w="1768" w:type="dxa"/>
            <w:tcBorders>
              <w:top w:val="single" w:sz="4" w:space="0" w:color="auto"/>
              <w:left w:val="nil"/>
              <w:bottom w:val="single" w:sz="4" w:space="0" w:color="auto"/>
              <w:right w:val="single" w:sz="4" w:space="0" w:color="auto"/>
            </w:tcBorders>
            <w:shd w:val="clear" w:color="auto" w:fill="auto"/>
            <w:noWrap/>
            <w:vAlign w:val="center"/>
            <w:hideMark/>
          </w:tcPr>
          <w:p w:rsidR="00031D43" w:rsidRDefault="00031D43" w:rsidP="00F236B9">
            <w:pPr>
              <w:spacing w:before="60" w:afterLines="60" w:line="240" w:lineRule="auto"/>
              <w:ind w:firstLine="0"/>
              <w:jc w:val="center"/>
              <w:rPr>
                <w:color w:val="000000"/>
              </w:rPr>
            </w:pPr>
            <w:r w:rsidRPr="0024454A">
              <w:rPr>
                <w:color w:val="000000"/>
              </w:rPr>
              <w:t>0</w:t>
            </w:r>
          </w:p>
        </w:tc>
        <w:tc>
          <w:tcPr>
            <w:tcW w:w="1387" w:type="dxa"/>
            <w:tcBorders>
              <w:top w:val="single" w:sz="4" w:space="0" w:color="auto"/>
              <w:left w:val="nil"/>
              <w:bottom w:val="single" w:sz="4" w:space="0" w:color="auto"/>
              <w:right w:val="single" w:sz="4" w:space="0" w:color="auto"/>
            </w:tcBorders>
            <w:shd w:val="clear" w:color="auto" w:fill="auto"/>
            <w:noWrap/>
            <w:vAlign w:val="center"/>
            <w:hideMark/>
          </w:tcPr>
          <w:p w:rsidR="00031D43" w:rsidRDefault="00031D43" w:rsidP="00F236B9">
            <w:pPr>
              <w:spacing w:before="60" w:afterLines="60" w:line="240" w:lineRule="auto"/>
              <w:ind w:firstLine="0"/>
              <w:jc w:val="center"/>
              <w:rPr>
                <w:color w:val="000000"/>
              </w:rPr>
            </w:pPr>
            <w:r w:rsidRPr="0024454A">
              <w:rPr>
                <w:color w:val="000000"/>
              </w:rPr>
              <w:t>0</w:t>
            </w:r>
          </w:p>
        </w:tc>
      </w:tr>
    </w:tbl>
    <w:p w:rsidR="002C6D76" w:rsidRDefault="00031D43" w:rsidP="00AA149C">
      <w:pPr>
        <w:pStyle w:val="Heading2"/>
      </w:pPr>
      <w:bookmarkStart w:id="245" w:name="_Toc295818144"/>
      <w:r>
        <w:lastRenderedPageBreak/>
        <w:t>Beryllium Activation Results</w:t>
      </w:r>
      <w:bookmarkEnd w:id="245"/>
    </w:p>
    <w:p w:rsidR="00031D43" w:rsidRDefault="00031D43" w:rsidP="00031D43">
      <w:r>
        <w:t>The results for study number 1 are shown in Section 6.3.1.  The results from studies number 2 and 3 are shown in Section 6.3.2.</w:t>
      </w:r>
    </w:p>
    <w:p w:rsidR="00031D43" w:rsidRDefault="00031D43" w:rsidP="00031D43"/>
    <w:p w:rsidR="00031D43" w:rsidRPr="00031D43" w:rsidRDefault="00031D43" w:rsidP="00AA149C">
      <w:pPr>
        <w:pStyle w:val="Heading3"/>
      </w:pPr>
      <w:bookmarkStart w:id="246" w:name="_Toc295818145"/>
      <w:r>
        <w:t>Startup Reactivity Effects Results</w:t>
      </w:r>
      <w:bookmarkEnd w:id="246"/>
    </w:p>
    <w:p w:rsidR="00031D43" w:rsidRPr="00F26DE2" w:rsidRDefault="00031D43" w:rsidP="00031D43">
      <w:r w:rsidRPr="00F26DE2">
        <w:t xml:space="preserve">The beginning composition of the reflector regions was 100% </w:t>
      </w:r>
      <w:r w:rsidRPr="00F26DE2">
        <w:rPr>
          <w:vertAlign w:val="superscript"/>
        </w:rPr>
        <w:t>9</w:t>
      </w:r>
      <w:r w:rsidRPr="00F26DE2">
        <w:t xml:space="preserve">Be and equilibrium </w:t>
      </w:r>
      <w:r w:rsidRPr="00F26DE2">
        <w:rPr>
          <w:vertAlign w:val="superscript"/>
        </w:rPr>
        <w:t>6</w:t>
      </w:r>
      <w:r w:rsidRPr="00F26DE2">
        <w:t xml:space="preserve">Li </w:t>
      </w:r>
      <w:r>
        <w:t>[</w:t>
      </w:r>
      <w:r w:rsidRPr="00F26DE2">
        <w:t>0.90 g</w:t>
      </w:r>
      <w:r>
        <w:t xml:space="preserve"> (1.29 </w:t>
      </w:r>
      <w:proofErr w:type="spellStart"/>
      <w:r>
        <w:rPr>
          <w:rFonts w:ascii="Calibri" w:hAnsi="Calibri"/>
        </w:rPr>
        <w:t>μ</w:t>
      </w:r>
      <w:r>
        <w:t>g</w:t>
      </w:r>
      <w:proofErr w:type="spellEnd"/>
      <w:r>
        <w:t>/g Be)</w:t>
      </w:r>
      <w:r w:rsidRPr="00F26DE2">
        <w:t xml:space="preserve">: </w:t>
      </w:r>
      <w:r w:rsidRPr="00303848">
        <w:t>0.67 g</w:t>
      </w:r>
      <w:r>
        <w:t xml:space="preserve"> (4.47 </w:t>
      </w:r>
      <w:proofErr w:type="spellStart"/>
      <w:r>
        <w:rPr>
          <w:rFonts w:ascii="Calibri" w:hAnsi="Calibri"/>
        </w:rPr>
        <w:t>μ</w:t>
      </w:r>
      <w:r>
        <w:t>g</w:t>
      </w:r>
      <w:proofErr w:type="spellEnd"/>
      <w:r>
        <w:t>/g Be)</w:t>
      </w:r>
      <w:r w:rsidRPr="00303848">
        <w:t xml:space="preserve"> in RB and SPB, 0.23 g</w:t>
      </w:r>
      <w:r>
        <w:t xml:space="preserve"> (0.42 </w:t>
      </w:r>
      <w:proofErr w:type="spellStart"/>
      <w:r>
        <w:rPr>
          <w:rFonts w:ascii="Calibri" w:hAnsi="Calibri"/>
        </w:rPr>
        <w:t>μ</w:t>
      </w:r>
      <w:r>
        <w:t>g</w:t>
      </w:r>
      <w:proofErr w:type="spellEnd"/>
      <w:r>
        <w:t>/g Be)</w:t>
      </w:r>
      <w:r w:rsidRPr="00303848">
        <w:t xml:space="preserve"> in PB</w:t>
      </w:r>
      <w:r>
        <w:t>]</w:t>
      </w:r>
      <w:r w:rsidRPr="00303848">
        <w:t xml:space="preserve"> was achieved af</w:t>
      </w:r>
      <w:r>
        <w:t>ter approximately 5 cycles (</w:t>
      </w:r>
      <w:r w:rsidR="007511FA">
        <w:rPr>
          <w:highlight w:val="yellow"/>
        </w:rPr>
        <w:fldChar w:fldCharType="begin"/>
      </w:r>
      <w:r w:rsidR="00BA2085">
        <w:instrText xml:space="preserve"> REF _Ref285537287 \h </w:instrText>
      </w:r>
      <w:r w:rsidR="007511FA">
        <w:rPr>
          <w:highlight w:val="yellow"/>
        </w:rPr>
      </w:r>
      <w:r w:rsidR="007511FA">
        <w:rPr>
          <w:highlight w:val="yellow"/>
        </w:rPr>
        <w:fldChar w:fldCharType="separate"/>
      </w:r>
      <w:r w:rsidR="00D5167B">
        <w:t xml:space="preserve">Figure </w:t>
      </w:r>
      <w:r w:rsidR="00D5167B">
        <w:rPr>
          <w:noProof/>
        </w:rPr>
        <w:t>6</w:t>
      </w:r>
      <w:r w:rsidR="00D5167B">
        <w:t>.</w:t>
      </w:r>
      <w:r w:rsidR="00D5167B">
        <w:rPr>
          <w:noProof/>
        </w:rPr>
        <w:t>5</w:t>
      </w:r>
      <w:r w:rsidR="007511FA">
        <w:rPr>
          <w:highlight w:val="yellow"/>
        </w:rPr>
        <w:fldChar w:fldCharType="end"/>
      </w:r>
      <w:r w:rsidRPr="00303848">
        <w:t xml:space="preserve">).  The results shown in </w:t>
      </w:r>
      <w:r w:rsidR="007511FA">
        <w:rPr>
          <w:highlight w:val="yellow"/>
        </w:rPr>
        <w:fldChar w:fldCharType="begin"/>
      </w:r>
      <w:r w:rsidR="00BA2085">
        <w:instrText xml:space="preserve"> REF _Ref285537287 \h </w:instrText>
      </w:r>
      <w:r w:rsidR="007511FA">
        <w:rPr>
          <w:highlight w:val="yellow"/>
        </w:rPr>
      </w:r>
      <w:r w:rsidR="007511FA">
        <w:rPr>
          <w:highlight w:val="yellow"/>
        </w:rPr>
        <w:fldChar w:fldCharType="separate"/>
      </w:r>
      <w:r w:rsidR="00D5167B">
        <w:t xml:space="preserve">Figure </w:t>
      </w:r>
      <w:r w:rsidR="00D5167B">
        <w:rPr>
          <w:noProof/>
        </w:rPr>
        <w:t>6</w:t>
      </w:r>
      <w:r w:rsidR="00D5167B">
        <w:t>.</w:t>
      </w:r>
      <w:r w:rsidR="00D5167B">
        <w:rPr>
          <w:noProof/>
        </w:rPr>
        <w:t>5</w:t>
      </w:r>
      <w:r w:rsidR="007511FA">
        <w:rPr>
          <w:highlight w:val="yellow"/>
        </w:rPr>
        <w:fldChar w:fldCharType="end"/>
      </w:r>
      <w:r w:rsidRPr="00303848">
        <w:t xml:space="preserve"> reveal that the </w:t>
      </w:r>
      <w:r w:rsidRPr="00303848">
        <w:rPr>
          <w:vertAlign w:val="superscript"/>
        </w:rPr>
        <w:t>3</w:t>
      </w:r>
      <w:r w:rsidRPr="00303848">
        <w:t xml:space="preserve">He inventory never reaches equilibrium, it decreases during irradiation </w:t>
      </w:r>
      <w:r w:rsidRPr="00994E1E">
        <w:t>and increases during outages.  Approximately 1.</w:t>
      </w:r>
      <w:r>
        <w:t>79</w:t>
      </w:r>
      <w:r w:rsidRPr="00994E1E">
        <w:t xml:space="preserve"> milligrams of </w:t>
      </w:r>
      <w:r w:rsidRPr="00994E1E">
        <w:rPr>
          <w:vertAlign w:val="superscript"/>
        </w:rPr>
        <w:t>3</w:t>
      </w:r>
      <w:r w:rsidRPr="00994E1E">
        <w:t>He (2.5</w:t>
      </w:r>
      <w:r>
        <w:t>5</w:t>
      </w:r>
      <w:r w:rsidRPr="00994E1E">
        <w:t xml:space="preserve"> </w:t>
      </w:r>
      <w:proofErr w:type="spellStart"/>
      <w:r w:rsidRPr="00994E1E">
        <w:t>ng</w:t>
      </w:r>
      <w:proofErr w:type="spellEnd"/>
      <w:r w:rsidRPr="00994E1E">
        <w:t>/g Be) is produced in a typical cycle [1.4</w:t>
      </w:r>
      <w:r>
        <w:t>0</w:t>
      </w:r>
      <w:r w:rsidRPr="00994E1E">
        <w:t xml:space="preserve"> mg (9.34 </w:t>
      </w:r>
      <w:proofErr w:type="spellStart"/>
      <w:r w:rsidRPr="00994E1E">
        <w:t>ng</w:t>
      </w:r>
      <w:proofErr w:type="spellEnd"/>
      <w:r w:rsidRPr="00994E1E">
        <w:t>/g Be) in RB and SPB, 0.</w:t>
      </w:r>
      <w:r>
        <w:t>39</w:t>
      </w:r>
      <w:r w:rsidRPr="00994E1E">
        <w:t xml:space="preserve"> mg (</w:t>
      </w:r>
      <w:r>
        <w:t xml:space="preserve">0.71 </w:t>
      </w:r>
      <w:proofErr w:type="spellStart"/>
      <w:r>
        <w:t>n</w:t>
      </w:r>
      <w:r w:rsidRPr="00994E1E">
        <w:t>g</w:t>
      </w:r>
      <w:proofErr w:type="spellEnd"/>
      <w:r w:rsidRPr="00994E1E">
        <w:t xml:space="preserve">/g Be) in PB].  Tritium and </w:t>
      </w:r>
      <w:r w:rsidRPr="00994E1E">
        <w:rPr>
          <w:vertAlign w:val="superscript"/>
        </w:rPr>
        <w:t>4</w:t>
      </w:r>
      <w:r w:rsidRPr="00994E1E">
        <w:t>He were shown to increase in concentration at a rate of approximately 0.38 grams (</w:t>
      </w:r>
      <w:r>
        <w:t xml:space="preserve">0.55 </w:t>
      </w:r>
      <w:proofErr w:type="spellStart"/>
      <w:r w:rsidRPr="00994E1E">
        <w:t>μg</w:t>
      </w:r>
      <w:proofErr w:type="spellEnd"/>
      <w:r w:rsidRPr="00994E1E">
        <w:t>/g Be) [0.30 g (</w:t>
      </w:r>
      <w:r>
        <w:t xml:space="preserve">2.03 </w:t>
      </w:r>
      <w:proofErr w:type="spellStart"/>
      <w:r w:rsidRPr="00994E1E">
        <w:t>μg</w:t>
      </w:r>
      <w:proofErr w:type="spellEnd"/>
      <w:r w:rsidRPr="00994E1E">
        <w:t>/g Be) in RB and SPB, 0.08 g (</w:t>
      </w:r>
      <w:r>
        <w:t xml:space="preserve">0.14 </w:t>
      </w:r>
      <w:proofErr w:type="spellStart"/>
      <w:r w:rsidRPr="00994E1E">
        <w:t>μg</w:t>
      </w:r>
      <w:proofErr w:type="spellEnd"/>
      <w:r w:rsidRPr="00994E1E">
        <w:t>/g Be) in PB] and 3.78 grams (</w:t>
      </w:r>
      <w:r>
        <w:t xml:space="preserve">5.39 </w:t>
      </w:r>
      <w:proofErr w:type="spellStart"/>
      <w:r w:rsidRPr="00994E1E">
        <w:t>μg</w:t>
      </w:r>
      <w:proofErr w:type="spellEnd"/>
      <w:r w:rsidRPr="00994E1E">
        <w:t>/g Be) [3.00 g (</w:t>
      </w:r>
      <w:r>
        <w:t xml:space="preserve">20.03 </w:t>
      </w:r>
      <w:proofErr w:type="spellStart"/>
      <w:r w:rsidRPr="00994E1E">
        <w:t>μg</w:t>
      </w:r>
      <w:proofErr w:type="spellEnd"/>
      <w:r w:rsidRPr="00994E1E">
        <w:t>/g Be) in RB and SPB, and 0.7</w:t>
      </w:r>
      <w:r>
        <w:t>7</w:t>
      </w:r>
      <w:r w:rsidRPr="00994E1E">
        <w:t xml:space="preserve"> g (</w:t>
      </w:r>
      <w:r>
        <w:t xml:space="preserve">1.41 </w:t>
      </w:r>
      <w:proofErr w:type="spellStart"/>
      <w:r w:rsidRPr="00994E1E">
        <w:t>μg</w:t>
      </w:r>
      <w:proofErr w:type="spellEnd"/>
      <w:r w:rsidRPr="00994E1E">
        <w:t>/g Be) in PB]</w:t>
      </w:r>
      <w:r w:rsidRPr="00CB62F4">
        <w:t xml:space="preserve"> </w:t>
      </w:r>
      <w:r w:rsidRPr="00994E1E">
        <w:t>per typical cycle</w:t>
      </w:r>
      <w:r w:rsidRPr="00303848">
        <w:t>,</w:t>
      </w:r>
      <w:r w:rsidRPr="00F26DE2">
        <w:t xml:space="preserve"> respectively.</w:t>
      </w:r>
    </w:p>
    <w:p w:rsidR="00AC4B60" w:rsidRDefault="00031D43" w:rsidP="00031D43">
      <w:r w:rsidRPr="00F26DE2">
        <w:t>Effective multiplication factors were calculated for the reference case (BOC 21 k</w:t>
      </w:r>
      <w:r w:rsidRPr="00F26DE2">
        <w:rPr>
          <w:vertAlign w:val="subscript"/>
        </w:rPr>
        <w:t>eff</w:t>
      </w:r>
      <w:r w:rsidRPr="00F26DE2">
        <w:t>) and the cases corresponding to the multiple decay steps (BOC 22 k</w:t>
      </w:r>
      <w:r w:rsidRPr="00F26DE2">
        <w:rPr>
          <w:vertAlign w:val="subscript"/>
        </w:rPr>
        <w:t>eff</w:t>
      </w:r>
      <w:r w:rsidRPr="00F26DE2">
        <w:t xml:space="preserve">).  Since the </w:t>
      </w:r>
      <w:r w:rsidRPr="00F26DE2">
        <w:rPr>
          <w:vertAlign w:val="superscript"/>
        </w:rPr>
        <w:t>3</w:t>
      </w:r>
      <w:r w:rsidRPr="00F26DE2">
        <w:t>He concentratio</w:t>
      </w:r>
      <w:r>
        <w:t xml:space="preserve">n increases as a function of </w:t>
      </w:r>
      <w:r w:rsidRPr="00F26DE2">
        <w:t>decay t</w:t>
      </w:r>
      <w:r>
        <w:t>ime between cycles</w:t>
      </w:r>
      <w:r w:rsidRPr="00F26DE2">
        <w:t>,</w:t>
      </w:r>
      <w:r w:rsidRPr="004F6B19">
        <w:t xml:space="preserve"> </w:t>
      </w:r>
      <w:r w:rsidRPr="00F26DE2">
        <w:t>t</w:t>
      </w:r>
      <w:r w:rsidRPr="00F26DE2">
        <w:rPr>
          <w:vertAlign w:val="subscript"/>
        </w:rPr>
        <w:t>d</w:t>
      </w:r>
      <w:r>
        <w:t>,</w:t>
      </w:r>
      <w:r w:rsidRPr="00F26DE2">
        <w:t xml:space="preserve"> </w:t>
      </w:r>
      <w:proofErr w:type="gramStart"/>
      <w:r w:rsidRPr="00F26DE2">
        <w:t>the</w:t>
      </w:r>
      <w:proofErr w:type="gramEnd"/>
      <w:r w:rsidRPr="00F26DE2">
        <w:t xml:space="preserve"> k</w:t>
      </w:r>
      <w:r w:rsidRPr="00F26DE2">
        <w:rPr>
          <w:vertAlign w:val="subscript"/>
        </w:rPr>
        <w:t>eff</w:t>
      </w:r>
      <w:r w:rsidRPr="00F26DE2">
        <w:t xml:space="preserve"> values decreased as a function of t</w:t>
      </w:r>
      <w:r w:rsidRPr="00F26DE2">
        <w:rPr>
          <w:vertAlign w:val="subscript"/>
        </w:rPr>
        <w:t>d</w:t>
      </w:r>
      <w:r w:rsidRPr="00F26DE2">
        <w:t>.  All of the k</w:t>
      </w:r>
      <w:r w:rsidRPr="00F26DE2">
        <w:rPr>
          <w:vertAlign w:val="subscript"/>
        </w:rPr>
        <w:t>eff</w:t>
      </w:r>
      <w:r w:rsidRPr="00F26DE2">
        <w:t xml:space="preserve"> values were inserted into a spreadsheet and the </w:t>
      </w:r>
      <w:proofErr w:type="spellStart"/>
      <w:r w:rsidRPr="00F26DE2">
        <w:t>Δk</w:t>
      </w:r>
      <w:r w:rsidRPr="00F26DE2">
        <w:rPr>
          <w:vertAlign w:val="subscript"/>
        </w:rPr>
        <w:t>eff</w:t>
      </w:r>
      <w:proofErr w:type="spellEnd"/>
      <w:r w:rsidRPr="00F26DE2">
        <w:t>/k</w:t>
      </w:r>
      <w:r w:rsidRPr="00F26DE2">
        <w:rPr>
          <w:vertAlign w:val="subscript"/>
        </w:rPr>
        <w:t>eff</w:t>
      </w:r>
      <w:r w:rsidRPr="00F26DE2">
        <w:t xml:space="preserve"> (%) values (reactivity effect of </w:t>
      </w:r>
      <w:r w:rsidRPr="00F26DE2">
        <w:rPr>
          <w:vertAlign w:val="superscript"/>
        </w:rPr>
        <w:t>3</w:t>
      </w:r>
      <w:r w:rsidRPr="00F26DE2">
        <w:t>He as a function of t</w:t>
      </w:r>
      <w:r w:rsidRPr="00F26DE2">
        <w:rPr>
          <w:vertAlign w:val="subscript"/>
        </w:rPr>
        <w:t>d</w:t>
      </w:r>
      <w:r w:rsidRPr="00F26DE2">
        <w:t xml:space="preserve">) were calculated and converted into </w:t>
      </w:r>
      <w:proofErr w:type="spellStart"/>
      <w:r w:rsidRPr="00F26DE2">
        <w:t>Δρ</w:t>
      </w:r>
      <w:proofErr w:type="spellEnd"/>
      <w:r w:rsidRPr="00F26DE2">
        <w:t xml:space="preserve"> ($) (change in reactivity) by dividing by the delayed neutron fraction (</w:t>
      </w:r>
      <w:proofErr w:type="spellStart"/>
      <w:r w:rsidRPr="00F26DE2">
        <w:t>β</w:t>
      </w:r>
      <w:r w:rsidRPr="00F26DE2">
        <w:rPr>
          <w:vertAlign w:val="subscript"/>
        </w:rPr>
        <w:t>eff</w:t>
      </w:r>
      <w:proofErr w:type="spellEnd"/>
      <w:r>
        <w:t xml:space="preserve"> = </w:t>
      </w:r>
      <w:r w:rsidRPr="00F26DE2">
        <w:t>0.00762</w:t>
      </w:r>
      <w:r>
        <w:t>)</w:t>
      </w:r>
      <w:r w:rsidRPr="004C788A">
        <w:t>.</w:t>
      </w:r>
      <w:r w:rsidRPr="00F26DE2">
        <w:t xml:space="preserve">  The </w:t>
      </w:r>
      <w:proofErr w:type="spellStart"/>
      <w:r w:rsidRPr="00F26DE2">
        <w:t>Δρ’s</w:t>
      </w:r>
      <w:proofErr w:type="spellEnd"/>
      <w:r w:rsidRPr="00F26DE2">
        <w:t xml:space="preserve"> were then converted into</w:t>
      </w:r>
      <w:r>
        <w:t xml:space="preserve"> change in control element positions,</w:t>
      </w:r>
      <w:r w:rsidRPr="00F26DE2">
        <w:t xml:space="preserve"> ΔR’s, using the conversion factor $3.10/in</w:t>
      </w:r>
      <w:r>
        <w:t>ch thereby determining</w:t>
      </w:r>
      <w:r w:rsidRPr="00F26DE2">
        <w:t xml:space="preserve"> the change in symmetrical critical control element position associated with </w:t>
      </w:r>
      <w:r w:rsidRPr="00F26DE2">
        <w:rPr>
          <w:vertAlign w:val="superscript"/>
        </w:rPr>
        <w:t>3</w:t>
      </w:r>
      <w:r w:rsidRPr="00F26DE2">
        <w:t>He worth with respect to the reference case</w:t>
      </w:r>
      <w:r>
        <w:t>.</w:t>
      </w:r>
      <w:r w:rsidRPr="00F26DE2">
        <w:t xml:space="preserve">  The actual differential rod worth (DRW) is dependent upon the control element pos</w:t>
      </w:r>
      <w:r>
        <w:t>ition, but a value of $3.10/inch</w:t>
      </w:r>
      <w:r w:rsidRPr="00F26DE2">
        <w:t xml:space="preserve"> corresponds to “typical” startup positions (17.5 to 18 inches withdrawn).</w:t>
      </w:r>
    </w:p>
    <w:p w:rsidR="001D1991" w:rsidRPr="0024454A" w:rsidRDefault="001D1991" w:rsidP="001D1991">
      <w:pPr>
        <w:spacing w:before="240" w:after="240" w:line="240" w:lineRule="auto"/>
        <w:ind w:firstLine="0"/>
        <w:rPr>
          <w:noProof/>
        </w:rPr>
      </w:pPr>
      <w:r w:rsidRPr="0024454A">
        <w:rPr>
          <w:b/>
          <w:noProof/>
        </w:rPr>
        <w:lastRenderedPageBreak/>
        <w:drawing>
          <wp:inline distT="0" distB="0" distL="0" distR="0">
            <wp:extent cx="5947064" cy="3886200"/>
            <wp:effectExtent l="19050" t="0" r="15586" b="0"/>
            <wp:docPr id="33"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1D1991" w:rsidRPr="0024454A" w:rsidRDefault="001D1991" w:rsidP="001D1991">
      <w:pPr>
        <w:pStyle w:val="Caption"/>
        <w:rPr>
          <w:noProof/>
        </w:rPr>
      </w:pPr>
      <w:bookmarkStart w:id="247" w:name="_Ref285537287"/>
      <w:bookmarkStart w:id="248" w:name="_Toc295818232"/>
      <w:proofErr w:type="gramStart"/>
      <w:r>
        <w:t xml:space="preserve">Figure </w:t>
      </w:r>
      <w:r w:rsidR="007511FA">
        <w:fldChar w:fldCharType="begin"/>
      </w:r>
      <w:r w:rsidR="00AE17F8">
        <w:instrText xml:space="preserve"> STYLEREF 1 \s </w:instrText>
      </w:r>
      <w:r w:rsidR="007511FA">
        <w:fldChar w:fldCharType="separate"/>
      </w:r>
      <w:r w:rsidR="00D5167B">
        <w:rPr>
          <w:noProof/>
        </w:rPr>
        <w:t>6</w:t>
      </w:r>
      <w:r w:rsidR="007511FA">
        <w:fldChar w:fldCharType="end"/>
      </w:r>
      <w:r>
        <w:t>.</w:t>
      </w:r>
      <w:proofErr w:type="gramEnd"/>
      <w:r w:rsidR="007511FA">
        <w:fldChar w:fldCharType="begin"/>
      </w:r>
      <w:r>
        <w:instrText xml:space="preserve"> SEQ Figure \* ARABIC \s 1 </w:instrText>
      </w:r>
      <w:r w:rsidR="007511FA">
        <w:fldChar w:fldCharType="separate"/>
      </w:r>
      <w:r w:rsidR="00D5167B">
        <w:rPr>
          <w:noProof/>
        </w:rPr>
        <w:t>5</w:t>
      </w:r>
      <w:r w:rsidR="007511FA">
        <w:fldChar w:fldCharType="end"/>
      </w:r>
      <w:bookmarkEnd w:id="247"/>
      <w:r w:rsidRPr="0024454A">
        <w:rPr>
          <w:noProof/>
        </w:rPr>
        <w:t>.  Poison and gas buildup in the beryllium reflector resulting from neutron activation.</w:t>
      </w:r>
      <w:bookmarkEnd w:id="248"/>
    </w:p>
    <w:p w:rsidR="001D1991" w:rsidRDefault="001D1991" w:rsidP="00031D43"/>
    <w:p w:rsidR="00AC4B60" w:rsidRDefault="00AC4B60" w:rsidP="00AC4B60">
      <w:r w:rsidRPr="00F26DE2">
        <w:t xml:space="preserve">The purpose of this study is to determine the “added” reactivity poisoning effect of </w:t>
      </w:r>
      <w:r w:rsidRPr="00F26DE2">
        <w:rPr>
          <w:vertAlign w:val="superscript"/>
        </w:rPr>
        <w:t>3</w:t>
      </w:r>
      <w:r w:rsidRPr="00F26DE2">
        <w:t xml:space="preserve">He that builds in following shutdown.  Therefore, the </w:t>
      </w:r>
      <w:proofErr w:type="spellStart"/>
      <w:r w:rsidRPr="00F26DE2">
        <w:t>Δρ</w:t>
      </w:r>
      <w:proofErr w:type="spellEnd"/>
      <w:r w:rsidRPr="00F26DE2">
        <w:t xml:space="preserve"> curve was shifted such that the </w:t>
      </w:r>
      <w:proofErr w:type="spellStart"/>
      <w:r w:rsidRPr="00F26DE2">
        <w:t>Δρ</w:t>
      </w:r>
      <w:proofErr w:type="spellEnd"/>
      <w:r w:rsidRPr="00F26DE2">
        <w:t xml:space="preserve"> value at t</w:t>
      </w:r>
      <w:r w:rsidRPr="00F26DE2">
        <w:rPr>
          <w:vertAlign w:val="subscript"/>
        </w:rPr>
        <w:t>d</w:t>
      </w:r>
      <w:r w:rsidRPr="00F26DE2">
        <w:t xml:space="preserve"> = 0 is zero.  The curve based on a zero </w:t>
      </w:r>
      <w:proofErr w:type="spellStart"/>
      <w:r w:rsidRPr="00F26DE2">
        <w:t>Δρ</w:t>
      </w:r>
      <w:proofErr w:type="spellEnd"/>
      <w:r w:rsidRPr="00F26DE2">
        <w:t xml:space="preserve"> value at zero shutdown time is compared to the curve used in the current ESCCEP calculation in </w:t>
      </w:r>
      <w:r w:rsidR="007511FA">
        <w:rPr>
          <w:highlight w:val="yellow"/>
        </w:rPr>
        <w:fldChar w:fldCharType="begin"/>
      </w:r>
      <w:r>
        <w:instrText xml:space="preserve"> REF _Ref285537306 \h </w:instrText>
      </w:r>
      <w:r w:rsidR="007511FA">
        <w:rPr>
          <w:highlight w:val="yellow"/>
        </w:rPr>
      </w:r>
      <w:r w:rsidR="007511FA">
        <w:rPr>
          <w:highlight w:val="yellow"/>
        </w:rPr>
        <w:fldChar w:fldCharType="separate"/>
      </w:r>
      <w:r w:rsidR="00D5167B">
        <w:t xml:space="preserve">Figure </w:t>
      </w:r>
      <w:r w:rsidR="00D5167B">
        <w:rPr>
          <w:noProof/>
        </w:rPr>
        <w:t>6</w:t>
      </w:r>
      <w:r w:rsidR="00D5167B">
        <w:t>.</w:t>
      </w:r>
      <w:r w:rsidR="00D5167B">
        <w:rPr>
          <w:noProof/>
        </w:rPr>
        <w:t>6</w:t>
      </w:r>
      <w:r w:rsidR="007511FA">
        <w:rPr>
          <w:highlight w:val="yellow"/>
        </w:rPr>
        <w:fldChar w:fldCharType="end"/>
      </w:r>
      <w:r w:rsidRPr="00F26DE2">
        <w:t>.</w:t>
      </w:r>
    </w:p>
    <w:p w:rsidR="00AC4B60" w:rsidRDefault="00AC4B60" w:rsidP="00AC4B60">
      <w:r w:rsidRPr="00F26DE2">
        <w:t xml:space="preserve">The proposed methodology for calculating the ΔR associated with </w:t>
      </w:r>
      <w:r w:rsidRPr="00F26DE2">
        <w:rPr>
          <w:vertAlign w:val="superscript"/>
        </w:rPr>
        <w:t>3</w:t>
      </w:r>
      <w:r w:rsidRPr="00F26DE2">
        <w:t xml:space="preserve">He buildup is shown in </w:t>
      </w:r>
      <w:r w:rsidR="00D5167B">
        <w:t>Equation 6.10</w:t>
      </w:r>
      <w:r w:rsidRPr="00F26DE2">
        <w:t xml:space="preserve"> where </w:t>
      </w:r>
      <w:proofErr w:type="spellStart"/>
      <w:r w:rsidRPr="00F26DE2">
        <w:t>T</w:t>
      </w:r>
      <w:r w:rsidRPr="00F26DE2">
        <w:rPr>
          <w:vertAlign w:val="subscript"/>
        </w:rPr>
        <w:t>d,C</w:t>
      </w:r>
      <w:proofErr w:type="spellEnd"/>
      <w:r w:rsidRPr="00F26DE2">
        <w:t xml:space="preserve"> is the decay time on the reflector for the current cycle in days (outage time between the shutdown of previous cycle and the startup of the current cycle) and </w:t>
      </w:r>
      <w:proofErr w:type="spellStart"/>
      <w:r w:rsidRPr="00F26DE2">
        <w:t>T</w:t>
      </w:r>
      <w:r w:rsidRPr="00F26DE2">
        <w:rPr>
          <w:vertAlign w:val="subscript"/>
        </w:rPr>
        <w:t>d,R</w:t>
      </w:r>
      <w:proofErr w:type="spellEnd"/>
      <w:r w:rsidRPr="00F26DE2">
        <w:t xml:space="preserve"> is the decay time on the reflector for the previous cycle in days.  A second order polynomial based on the curve shown in </w:t>
      </w:r>
      <w:r w:rsidRPr="00DD7B56">
        <w:t>Fig</w:t>
      </w:r>
      <w:r>
        <w:t>ure 6</w:t>
      </w:r>
      <w:r w:rsidRPr="00F26DE2">
        <w:t xml:space="preserve"> was used to convert from decay time to </w:t>
      </w:r>
      <w:r w:rsidRPr="00F26DE2">
        <w:rPr>
          <w:rFonts w:ascii="Calibri" w:hAnsi="Calibri"/>
        </w:rPr>
        <w:t>Δ</w:t>
      </w:r>
      <w:r w:rsidRPr="00F26DE2">
        <w:t>R rather than a linear</w:t>
      </w:r>
      <w:r>
        <w:t xml:space="preserve"> (first order)</w:t>
      </w:r>
      <w:r w:rsidRPr="00F26DE2">
        <w:t xml:space="preserve"> conversion</w:t>
      </w:r>
      <w:r>
        <w:t>, which is</w:t>
      </w:r>
      <w:r w:rsidRPr="00F26DE2">
        <w:t xml:space="preserve"> used in the </w:t>
      </w:r>
      <w:r w:rsidRPr="00F26DE2">
        <w:lastRenderedPageBreak/>
        <w:t xml:space="preserve">current methodology.  If the current decay time is greater than the reference decay time the </w:t>
      </w:r>
      <w:r w:rsidRPr="00F26DE2">
        <w:rPr>
          <w:rFonts w:ascii="Calibri" w:hAnsi="Calibri"/>
        </w:rPr>
        <w:t>Δ</w:t>
      </w:r>
      <w:r w:rsidRPr="00F26DE2">
        <w:t xml:space="preserve">R value is positive and the control elements are </w:t>
      </w:r>
      <w:r>
        <w:t>withdrawn</w:t>
      </w:r>
      <w:r w:rsidRPr="00F26DE2">
        <w:t xml:space="preserve"> (due to a larger negative reactivity) and vice versa.</w:t>
      </w:r>
    </w:p>
    <w:p w:rsidR="00AC4B60" w:rsidRDefault="00AC4B60" w:rsidP="00AC4B60"/>
    <w:p w:rsidR="00AC4B60" w:rsidRDefault="00AC4B60" w:rsidP="009E1FF8">
      <w:pPr>
        <w:spacing w:line="240" w:lineRule="auto"/>
        <w:ind w:firstLine="0"/>
        <w:jc w:val="center"/>
      </w:pPr>
      <w:r w:rsidRPr="00F26DE2">
        <w:rPr>
          <w:rFonts w:ascii="Calibri" w:hAnsi="Calibri"/>
        </w:rPr>
        <w:t>Δ</w:t>
      </w:r>
      <w:r w:rsidRPr="00F26DE2">
        <w:t>R (inches) = 7.569x10</w:t>
      </w:r>
      <w:r w:rsidRPr="00F26DE2">
        <w:rPr>
          <w:vertAlign w:val="superscript"/>
        </w:rPr>
        <w:t>-3</w:t>
      </w:r>
      <w:r>
        <w:rPr>
          <w:vertAlign w:val="superscript"/>
        </w:rPr>
        <w:t xml:space="preserve"> </w:t>
      </w:r>
      <w:r w:rsidRPr="00F26DE2">
        <w:t>(</w:t>
      </w:r>
      <w:proofErr w:type="spellStart"/>
      <w:r w:rsidRPr="00F26DE2">
        <w:t>T</w:t>
      </w:r>
      <w:r w:rsidRPr="00F26DE2">
        <w:rPr>
          <w:vertAlign w:val="subscript"/>
        </w:rPr>
        <w:t>d</w:t>
      </w:r>
      <w:proofErr w:type="gramStart"/>
      <w:r w:rsidRPr="00F26DE2">
        <w:rPr>
          <w:vertAlign w:val="subscript"/>
        </w:rPr>
        <w:t>,C</w:t>
      </w:r>
      <w:proofErr w:type="spellEnd"/>
      <w:proofErr w:type="gramEnd"/>
      <w:r w:rsidRPr="00F26DE2">
        <w:t xml:space="preserve"> - </w:t>
      </w:r>
      <w:proofErr w:type="spellStart"/>
      <w:r w:rsidRPr="00F26DE2">
        <w:t>T</w:t>
      </w:r>
      <w:r w:rsidRPr="00F26DE2">
        <w:rPr>
          <w:vertAlign w:val="subscript"/>
        </w:rPr>
        <w:t>d,R</w:t>
      </w:r>
      <w:proofErr w:type="spellEnd"/>
      <w:r w:rsidRPr="00F26DE2">
        <w:t>) – 3.477x10</w:t>
      </w:r>
      <w:r w:rsidRPr="00F26DE2">
        <w:rPr>
          <w:vertAlign w:val="superscript"/>
        </w:rPr>
        <w:t>-6</w:t>
      </w:r>
      <w:r w:rsidRPr="00F26DE2">
        <w:t xml:space="preserve"> [(</w:t>
      </w:r>
      <w:proofErr w:type="spellStart"/>
      <w:r w:rsidRPr="00F26DE2">
        <w:t>T</w:t>
      </w:r>
      <w:r w:rsidRPr="00F26DE2">
        <w:rPr>
          <w:vertAlign w:val="subscript"/>
        </w:rPr>
        <w:t>d,C</w:t>
      </w:r>
      <w:proofErr w:type="spellEnd"/>
      <w:r w:rsidRPr="00F26DE2">
        <w:t>)</w:t>
      </w:r>
      <w:r w:rsidRPr="00F26DE2">
        <w:rPr>
          <w:vertAlign w:val="superscript"/>
        </w:rPr>
        <w:t>2</w:t>
      </w:r>
      <w:r w:rsidRPr="00F26DE2">
        <w:t xml:space="preserve"> – (</w:t>
      </w:r>
      <w:proofErr w:type="spellStart"/>
      <w:r w:rsidRPr="00F26DE2">
        <w:t>T</w:t>
      </w:r>
      <w:r w:rsidRPr="00F26DE2">
        <w:rPr>
          <w:vertAlign w:val="subscript"/>
        </w:rPr>
        <w:t>d,R</w:t>
      </w:r>
      <w:proofErr w:type="spellEnd"/>
      <w:r w:rsidRPr="00F26DE2">
        <w:t>)</w:t>
      </w:r>
      <w:r w:rsidRPr="00F26DE2">
        <w:rPr>
          <w:vertAlign w:val="superscript"/>
        </w:rPr>
        <w:t>2</w:t>
      </w:r>
      <w:r>
        <w:t>]</w:t>
      </w:r>
    </w:p>
    <w:p w:rsidR="00AC4B60" w:rsidRDefault="00AC4B60" w:rsidP="00AC4B60">
      <w:pPr>
        <w:pStyle w:val="Caption"/>
      </w:pPr>
      <w:bookmarkStart w:id="249" w:name="_Ref295816975"/>
      <w:proofErr w:type="gramStart"/>
      <w:r>
        <w:t xml:space="preserve">Equation </w:t>
      </w:r>
      <w:r w:rsidR="007511FA">
        <w:fldChar w:fldCharType="begin"/>
      </w:r>
      <w:r w:rsidR="00AE17F8">
        <w:instrText xml:space="preserve"> STYLEREF 1 \s </w:instrText>
      </w:r>
      <w:r w:rsidR="007511FA">
        <w:fldChar w:fldCharType="separate"/>
      </w:r>
      <w:r w:rsidR="00D5167B">
        <w:rPr>
          <w:noProof/>
        </w:rPr>
        <w:t>6</w:t>
      </w:r>
      <w:r w:rsidR="007511FA">
        <w:fldChar w:fldCharType="end"/>
      </w:r>
      <w:r>
        <w:t>.</w:t>
      </w:r>
      <w:proofErr w:type="gramEnd"/>
      <w:r w:rsidR="007511FA">
        <w:fldChar w:fldCharType="begin"/>
      </w:r>
      <w:r>
        <w:instrText xml:space="preserve"> SEQ Equation \* ARABIC \s 1 </w:instrText>
      </w:r>
      <w:r w:rsidR="007511FA">
        <w:fldChar w:fldCharType="separate"/>
      </w:r>
      <w:r w:rsidR="00D5167B">
        <w:rPr>
          <w:noProof/>
        </w:rPr>
        <w:t>10</w:t>
      </w:r>
      <w:r w:rsidR="007511FA">
        <w:fldChar w:fldCharType="end"/>
      </w:r>
      <w:bookmarkEnd w:id="249"/>
    </w:p>
    <w:p w:rsidR="009E1FF8" w:rsidRDefault="009E1FF8" w:rsidP="00031D43"/>
    <w:p w:rsidR="009E1FF8" w:rsidRPr="00F26DE2" w:rsidRDefault="009E1FF8" w:rsidP="009E1FF8">
      <w:r w:rsidRPr="00F26DE2">
        <w:t>ESCCEP calculations for HFIR cycles 383 – 421</w:t>
      </w:r>
      <w:r>
        <w:t xml:space="preserve"> </w:t>
      </w:r>
      <w:r w:rsidR="007511FA">
        <w:fldChar w:fldCharType="begin"/>
      </w:r>
      <w:r>
        <w:instrText xml:space="preserve"> REF _Ref285636054 \n \h </w:instrText>
      </w:r>
      <w:r w:rsidR="007511FA">
        <w:fldChar w:fldCharType="separate"/>
      </w:r>
      <w:r w:rsidR="00D5167B">
        <w:t>[11]</w:t>
      </w:r>
      <w:r w:rsidR="007511FA">
        <w:fldChar w:fldCharType="end"/>
      </w:r>
      <w:r w:rsidRPr="00F26DE2">
        <w:t xml:space="preserve"> were utilized to compare the current and proposed methodologies</w:t>
      </w:r>
      <w:r>
        <w:t xml:space="preserve"> (</w:t>
      </w:r>
      <w:r w:rsidR="007511FA">
        <w:fldChar w:fldCharType="begin"/>
      </w:r>
      <w:r w:rsidR="00A40D0D">
        <w:instrText xml:space="preserve"> REF _Ref295816975 \h </w:instrText>
      </w:r>
      <w:r w:rsidR="007511FA">
        <w:fldChar w:fldCharType="separate"/>
      </w:r>
      <w:r w:rsidR="00D5167B">
        <w:t xml:space="preserve">Equation </w:t>
      </w:r>
      <w:r w:rsidR="00D5167B">
        <w:rPr>
          <w:noProof/>
        </w:rPr>
        <w:t>6</w:t>
      </w:r>
      <w:r w:rsidR="00D5167B">
        <w:t>.</w:t>
      </w:r>
      <w:r w:rsidR="00D5167B">
        <w:rPr>
          <w:noProof/>
        </w:rPr>
        <w:t>10</w:t>
      </w:r>
      <w:r w:rsidR="007511FA">
        <w:fldChar w:fldCharType="end"/>
      </w:r>
      <w:r>
        <w:t>)</w:t>
      </w:r>
      <w:r w:rsidRPr="00F26DE2">
        <w:t xml:space="preserve">.  For this study, it was assumed that uncertainty only exists in the </w:t>
      </w:r>
      <w:r w:rsidRPr="00F26DE2">
        <w:rPr>
          <w:vertAlign w:val="superscript"/>
        </w:rPr>
        <w:t>3</w:t>
      </w:r>
      <w:r w:rsidRPr="00F26DE2">
        <w:t xml:space="preserve">He worth (i.e. reactivity worth associated with fuel, cylinder/plate </w:t>
      </w:r>
      <w:r>
        <w:t>burnup</w:t>
      </w:r>
      <w:r w:rsidRPr="00F26DE2">
        <w:t xml:space="preserve">, cylinder/plate </w:t>
      </w:r>
      <w:r w:rsidRPr="00F26DE2">
        <w:rPr>
          <w:vertAlign w:val="superscript"/>
        </w:rPr>
        <w:t>182</w:t>
      </w:r>
      <w:r w:rsidRPr="00F26DE2">
        <w:t xml:space="preserve">Ta </w:t>
      </w:r>
      <w:proofErr w:type="spellStart"/>
      <w:r w:rsidRPr="00F26DE2">
        <w:t>worths</w:t>
      </w:r>
      <w:proofErr w:type="spellEnd"/>
      <w:r w:rsidRPr="00F26DE2">
        <w:t>, and etc. remained unchanged from the original calculations).  The ESCCEP</w:t>
      </w:r>
      <w:r>
        <w:t>s</w:t>
      </w:r>
      <w:r w:rsidRPr="00F26DE2">
        <w:t xml:space="preserve"> calculated with both the current and proposed methodologies were compared to the ASCCEPs and the differences are shown in </w:t>
      </w:r>
      <w:r w:rsidR="007511FA">
        <w:rPr>
          <w:highlight w:val="yellow"/>
        </w:rPr>
        <w:fldChar w:fldCharType="begin"/>
      </w:r>
      <w:r>
        <w:instrText xml:space="preserve"> REF _Ref285537345 \h </w:instrText>
      </w:r>
      <w:r w:rsidR="007511FA">
        <w:rPr>
          <w:highlight w:val="yellow"/>
        </w:rPr>
      </w:r>
      <w:r w:rsidR="007511FA">
        <w:rPr>
          <w:highlight w:val="yellow"/>
        </w:rPr>
        <w:fldChar w:fldCharType="separate"/>
      </w:r>
      <w:r w:rsidR="00D5167B">
        <w:t xml:space="preserve">Figure </w:t>
      </w:r>
      <w:r w:rsidR="00D5167B">
        <w:rPr>
          <w:noProof/>
        </w:rPr>
        <w:t>6</w:t>
      </w:r>
      <w:r w:rsidR="00D5167B">
        <w:t>.</w:t>
      </w:r>
      <w:r w:rsidR="00D5167B">
        <w:rPr>
          <w:noProof/>
        </w:rPr>
        <w:t>7</w:t>
      </w:r>
      <w:r w:rsidR="007511FA">
        <w:rPr>
          <w:highlight w:val="yellow"/>
        </w:rPr>
        <w:fldChar w:fldCharType="end"/>
      </w:r>
      <w:r w:rsidRPr="00F26DE2">
        <w:t>.</w:t>
      </w:r>
    </w:p>
    <w:p w:rsidR="009E1FF8" w:rsidRDefault="009E1FF8" w:rsidP="00031D43"/>
    <w:p w:rsidR="009E1FF8" w:rsidRPr="0024454A" w:rsidRDefault="009E1FF8" w:rsidP="009E1FF8">
      <w:pPr>
        <w:spacing w:before="240" w:after="240" w:line="240" w:lineRule="auto"/>
        <w:ind w:firstLine="0"/>
        <w:jc w:val="center"/>
        <w:rPr>
          <w:b/>
        </w:rPr>
      </w:pPr>
      <w:r w:rsidRPr="0024454A">
        <w:rPr>
          <w:b/>
          <w:noProof/>
        </w:rPr>
        <w:drawing>
          <wp:inline distT="0" distB="0" distL="0" distR="0">
            <wp:extent cx="5486400" cy="3200400"/>
            <wp:effectExtent l="19050" t="0" r="19050" b="0"/>
            <wp:docPr id="6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031D43" w:rsidRDefault="009E1FF8" w:rsidP="009E1FF8">
      <w:pPr>
        <w:pStyle w:val="Caption"/>
      </w:pPr>
      <w:bookmarkStart w:id="250" w:name="_Ref285537306"/>
      <w:bookmarkStart w:id="251" w:name="_Toc295818233"/>
      <w:proofErr w:type="gramStart"/>
      <w:r>
        <w:t xml:space="preserve">Figure </w:t>
      </w:r>
      <w:r w:rsidR="007511FA">
        <w:fldChar w:fldCharType="begin"/>
      </w:r>
      <w:r w:rsidR="00AE17F8">
        <w:instrText xml:space="preserve"> STYLEREF 1 \s </w:instrText>
      </w:r>
      <w:r w:rsidR="007511FA">
        <w:fldChar w:fldCharType="separate"/>
      </w:r>
      <w:r w:rsidR="00D5167B">
        <w:rPr>
          <w:noProof/>
        </w:rPr>
        <w:t>6</w:t>
      </w:r>
      <w:r w:rsidR="007511FA">
        <w:fldChar w:fldCharType="end"/>
      </w:r>
      <w:r>
        <w:t>.</w:t>
      </w:r>
      <w:proofErr w:type="gramEnd"/>
      <w:r w:rsidR="007511FA">
        <w:fldChar w:fldCharType="begin"/>
      </w:r>
      <w:r>
        <w:instrText xml:space="preserve"> SEQ Figure \* ARABIC \s 1 </w:instrText>
      </w:r>
      <w:r w:rsidR="007511FA">
        <w:fldChar w:fldCharType="separate"/>
      </w:r>
      <w:r w:rsidR="00D5167B">
        <w:rPr>
          <w:noProof/>
        </w:rPr>
        <w:t>6</w:t>
      </w:r>
      <w:r w:rsidR="007511FA">
        <w:fldChar w:fldCharType="end"/>
      </w:r>
      <w:bookmarkEnd w:id="250"/>
      <w:r w:rsidRPr="0024454A">
        <w:t xml:space="preserve">.  Comparison of current procedure and newly derived </w:t>
      </w:r>
      <w:r w:rsidRPr="0024454A">
        <w:rPr>
          <w:vertAlign w:val="superscript"/>
        </w:rPr>
        <w:t>3</w:t>
      </w:r>
      <w:r w:rsidRPr="0024454A">
        <w:t>He poison effect estimates.</w:t>
      </w:r>
      <w:bookmarkEnd w:id="251"/>
    </w:p>
    <w:p w:rsidR="009E1FF8" w:rsidRPr="0024454A" w:rsidRDefault="007511FA" w:rsidP="009E1FF8">
      <w:pPr>
        <w:spacing w:before="240" w:after="240" w:line="240" w:lineRule="auto"/>
        <w:ind w:firstLine="0"/>
        <w:jc w:val="center"/>
        <w:rPr>
          <w:b/>
        </w:rPr>
      </w:pPr>
      <w:r w:rsidRPr="007511FA">
        <w:rPr>
          <w:b/>
          <w:noProof/>
          <w:snapToGrid w:val="0"/>
        </w:rPr>
        <w:lastRenderedPageBreak/>
        <w:pict>
          <v:shape id="_x0000_s1081" type="#_x0000_t202" style="position:absolute;left:0;text-align:left;margin-left:58.5pt;margin-top:134.65pt;width:87.75pt;height:73.5pt;z-index:251693056;mso-width-relative:margin;mso-height-relative:margin" strokecolor="#060" strokeweight="1.5pt">
            <v:textbox style="mso-next-textbox:#_x0000_s1081">
              <w:txbxContent>
                <w:p w:rsidR="00F236B9" w:rsidRDefault="00F236B9" w:rsidP="009E1FF8">
                  <w:pPr>
                    <w:spacing w:before="0" w:after="0" w:line="240" w:lineRule="auto"/>
                    <w:ind w:firstLine="0"/>
                    <w:jc w:val="center"/>
                  </w:pPr>
                  <w:r>
                    <w:t>Calculated with a more complex calculation than current methodology</w:t>
                  </w:r>
                </w:p>
              </w:txbxContent>
            </v:textbox>
          </v:shape>
        </w:pict>
      </w:r>
      <w:r w:rsidRPr="007511FA">
        <w:rPr>
          <w:b/>
          <w:noProof/>
          <w:snapToGrid w:val="0"/>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80" type="#_x0000_t34" style="position:absolute;left:0;text-align:left;margin-left:77.25pt;margin-top:55.5pt;width:120pt;height:96pt;rotation:180;flip:y;z-index:251692032" o:connectortype="elbow" adj="14715,28688,-48465" strokecolor="#060" strokeweight="1.75pt">
            <v:stroke startarrow="block" endarrow="block"/>
          </v:shape>
        </w:pict>
      </w:r>
      <w:r w:rsidRPr="007511FA">
        <w:rPr>
          <w:b/>
          <w:noProof/>
          <w:snapToGrid w:val="0"/>
        </w:rPr>
        <w:pict>
          <v:shape id="_x0000_s1079" type="#_x0000_t202" style="position:absolute;left:0;text-align:left;margin-left:176.05pt;margin-top:16.15pt;width:69.35pt;height:22.1pt;z-index:251691008;mso-width-relative:margin;mso-height-relative:margin" strokeweight="1.5pt">
            <v:textbox style="mso-next-textbox:#_x0000_s1079">
              <w:txbxContent>
                <w:p w:rsidR="00F236B9" w:rsidRDefault="00F236B9" w:rsidP="009E1FF8">
                  <w:pPr>
                    <w:spacing w:before="0" w:after="0" w:line="240" w:lineRule="auto"/>
                    <w:ind w:firstLine="0"/>
                    <w:jc w:val="center"/>
                  </w:pPr>
                  <w:r>
                    <w:t>Cycle 408</w:t>
                  </w:r>
                </w:p>
              </w:txbxContent>
            </v:textbox>
          </v:shape>
        </w:pict>
      </w:r>
      <w:r w:rsidRPr="007511FA">
        <w:rPr>
          <w:b/>
          <w:noProof/>
          <w:snapToGrid w:val="0"/>
        </w:rPr>
        <w:pict>
          <v:shapetype id="_x0000_t32" coordsize="21600,21600" o:spt="32" o:oned="t" path="m,l21600,21600e" filled="f">
            <v:path arrowok="t" fillok="f" o:connecttype="none"/>
            <o:lock v:ext="edit" shapetype="t"/>
          </v:shapetype>
          <v:shape id="_x0000_s1078" type="#_x0000_t32" style="position:absolute;left:0;text-align:left;margin-left:150pt;margin-top:26.25pt;width:174.75pt;height:.75pt;z-index:251689984" o:connectortype="straight" strokeweight="1.5pt">
            <v:stroke startarrow="block" endarrow="block"/>
          </v:shape>
        </w:pict>
      </w:r>
      <w:r w:rsidRPr="007511FA">
        <w:rPr>
          <w:b/>
          <w:noProof/>
          <w:snapToGrid w:val="0"/>
        </w:rPr>
        <w:pict>
          <v:shape id="_x0000_s1076" type="#_x0000_t32" style="position:absolute;left:0;text-align:left;margin-left:88.5pt;margin-top:60pt;width:75.75pt;height:41.25pt;flip:x y;z-index:251687936" o:connectortype="straight" strokeweight="1.5pt">
            <v:stroke endarrow="block"/>
          </v:shape>
        </w:pict>
      </w:r>
      <w:r w:rsidRPr="007511FA">
        <w:rPr>
          <w:b/>
          <w:noProof/>
          <w:snapToGrid w:val="0"/>
        </w:rPr>
        <w:pict>
          <v:shape id="_x0000_s1075" type="#_x0000_t32" style="position:absolute;left:0;text-align:left;margin-left:215.25pt;margin-top:60pt;width:38.25pt;height:35.25pt;flip:y;z-index:251686912" o:connectortype="straight" strokeweight="1.5pt">
            <v:stroke endarrow="block"/>
          </v:shape>
        </w:pict>
      </w:r>
      <w:r w:rsidRPr="007511FA">
        <w:rPr>
          <w:b/>
          <w:noProof/>
          <w:snapToGrid w:val="0"/>
        </w:rPr>
        <w:pict>
          <v:shape id="_x0000_s1074" type="#_x0000_t32" style="position:absolute;left:0;text-align:left;margin-left:215.25pt;margin-top:65.6pt;width:0;height:29.65pt;flip:y;z-index:251685888" o:connectortype="straight" strokeweight="1.5pt">
            <v:stroke endarrow="block"/>
          </v:shape>
        </w:pict>
      </w:r>
      <w:r w:rsidRPr="007511FA">
        <w:rPr>
          <w:b/>
          <w:noProof/>
          <w:snapToGrid w:val="0"/>
        </w:rPr>
        <w:pict>
          <v:shape id="_x0000_s1077" type="#_x0000_t202" style="position:absolute;left:0;text-align:left;margin-left:157.9pt;margin-top:91.1pt;width:69.35pt;height:22.1pt;z-index:251688960;mso-width-relative:margin;mso-height-relative:margin" strokeweight="1.5pt">
            <v:textbox style="mso-next-textbox:#_x0000_s1077">
              <w:txbxContent>
                <w:p w:rsidR="00F236B9" w:rsidRDefault="00F236B9" w:rsidP="009E1FF8">
                  <w:pPr>
                    <w:spacing w:before="0" w:after="0" w:line="240" w:lineRule="auto"/>
                    <w:ind w:firstLine="0"/>
                    <w:jc w:val="center"/>
                  </w:pPr>
                  <w:r>
                    <w:t>Cycle 383</w:t>
                  </w:r>
                </w:p>
              </w:txbxContent>
            </v:textbox>
          </v:shape>
        </w:pict>
      </w:r>
      <w:r w:rsidR="009E1FF8" w:rsidRPr="0024454A">
        <w:rPr>
          <w:b/>
          <w:noProof/>
        </w:rPr>
        <w:drawing>
          <wp:inline distT="0" distB="0" distL="0" distR="0">
            <wp:extent cx="5947064" cy="3886200"/>
            <wp:effectExtent l="19050" t="0" r="15586" b="0"/>
            <wp:docPr id="65"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rsidR="009E1FF8" w:rsidRPr="0024454A" w:rsidRDefault="009E1FF8" w:rsidP="009E1FF8">
      <w:pPr>
        <w:pStyle w:val="Caption"/>
      </w:pPr>
      <w:bookmarkStart w:id="252" w:name="_Ref285537345"/>
      <w:bookmarkStart w:id="253" w:name="_Toc295818234"/>
      <w:proofErr w:type="gramStart"/>
      <w:r>
        <w:t xml:space="preserve">Figure </w:t>
      </w:r>
      <w:r w:rsidR="007511FA">
        <w:fldChar w:fldCharType="begin"/>
      </w:r>
      <w:r w:rsidR="00AE17F8">
        <w:instrText xml:space="preserve"> STYLEREF 1 \s </w:instrText>
      </w:r>
      <w:r w:rsidR="007511FA">
        <w:fldChar w:fldCharType="separate"/>
      </w:r>
      <w:r w:rsidR="00D5167B">
        <w:rPr>
          <w:noProof/>
        </w:rPr>
        <w:t>6</w:t>
      </w:r>
      <w:r w:rsidR="007511FA">
        <w:fldChar w:fldCharType="end"/>
      </w:r>
      <w:r>
        <w:t>.</w:t>
      </w:r>
      <w:proofErr w:type="gramEnd"/>
      <w:r w:rsidR="007511FA">
        <w:fldChar w:fldCharType="begin"/>
      </w:r>
      <w:r>
        <w:instrText xml:space="preserve"> SEQ Figure \* ARABIC \s 1 </w:instrText>
      </w:r>
      <w:r w:rsidR="007511FA">
        <w:fldChar w:fldCharType="separate"/>
      </w:r>
      <w:r w:rsidR="00D5167B">
        <w:rPr>
          <w:noProof/>
        </w:rPr>
        <w:t>7</w:t>
      </w:r>
      <w:r w:rsidR="007511FA">
        <w:fldChar w:fldCharType="end"/>
      </w:r>
      <w:bookmarkEnd w:id="252"/>
      <w:r w:rsidRPr="0024454A">
        <w:t xml:space="preserve">.  </w:t>
      </w:r>
      <w:proofErr w:type="gramStart"/>
      <w:r w:rsidRPr="0024454A">
        <w:t>Comparison of current and proposed ESCCEP methodologies against ASCCEP data.</w:t>
      </w:r>
      <w:bookmarkEnd w:id="253"/>
      <w:proofErr w:type="gramEnd"/>
    </w:p>
    <w:p w:rsidR="009E1FF8" w:rsidRPr="009E1FF8" w:rsidRDefault="009E1FF8" w:rsidP="009E1FF8"/>
    <w:p w:rsidR="00031D43" w:rsidRPr="00F26DE2" w:rsidRDefault="00031D43" w:rsidP="00031D43">
      <w:r>
        <w:t>On average</w:t>
      </w:r>
      <w:r w:rsidRPr="00F26DE2">
        <w:t xml:space="preserve"> the proposed methodology better estimates the symmetrical critical control element positions.  The average absolute difference between </w:t>
      </w:r>
      <w:r>
        <w:t xml:space="preserve">the </w:t>
      </w:r>
      <w:r w:rsidRPr="00F26DE2">
        <w:t xml:space="preserve">actual and estimated positions for the current and proposed methodologies for the 39 cycles is 0.174 and 0.154 inches, respectively.  The proposed methodology better predicts the </w:t>
      </w:r>
      <w:r w:rsidRPr="00F26DE2">
        <w:rPr>
          <w:vertAlign w:val="superscript"/>
        </w:rPr>
        <w:t>3</w:t>
      </w:r>
      <w:r w:rsidRPr="00F26DE2">
        <w:t xml:space="preserve">He effect for longer outages, but little difference is observed for shorter outages.  The lines in </w:t>
      </w:r>
      <w:r w:rsidR="007511FA">
        <w:rPr>
          <w:highlight w:val="yellow"/>
        </w:rPr>
        <w:fldChar w:fldCharType="begin"/>
      </w:r>
      <w:r w:rsidR="00BA2085">
        <w:instrText xml:space="preserve"> REF _Ref285537345 \h </w:instrText>
      </w:r>
      <w:r w:rsidR="007511FA">
        <w:rPr>
          <w:highlight w:val="yellow"/>
        </w:rPr>
      </w:r>
      <w:r w:rsidR="007511FA">
        <w:rPr>
          <w:highlight w:val="yellow"/>
        </w:rPr>
        <w:fldChar w:fldCharType="separate"/>
      </w:r>
      <w:r w:rsidR="00D5167B">
        <w:t xml:space="preserve">Figure </w:t>
      </w:r>
      <w:r w:rsidR="00D5167B">
        <w:rPr>
          <w:noProof/>
        </w:rPr>
        <w:t>6</w:t>
      </w:r>
      <w:r w:rsidR="00D5167B">
        <w:t>.</w:t>
      </w:r>
      <w:r w:rsidR="00D5167B">
        <w:rPr>
          <w:noProof/>
        </w:rPr>
        <w:t>7</w:t>
      </w:r>
      <w:r w:rsidR="007511FA">
        <w:rPr>
          <w:highlight w:val="yellow"/>
        </w:rPr>
        <w:fldChar w:fldCharType="end"/>
      </w:r>
      <w:r w:rsidRPr="00F26DE2">
        <w:t xml:space="preserve"> that extend at a delta of 0.5 inches were included because a difference of ~0.5 inches will cause the reactor to be shutdown and a technical evaluation to be performed to resolve the discrepancy prior to startup.  The difference of -0.56 inches calculated for cycle 408 using the current methodology was the motivation of this study.  A more involved calculation was used for cycle 383 (t</w:t>
      </w:r>
      <w:r w:rsidRPr="00F26DE2">
        <w:rPr>
          <w:vertAlign w:val="subscript"/>
        </w:rPr>
        <w:t>d</w:t>
      </w:r>
      <w:r w:rsidRPr="00F26DE2">
        <w:t xml:space="preserve"> = 430 days), which produced an ASCCEP – ESCCEP value of -0.180 inch.  However, if the current methodology would have been uti</w:t>
      </w:r>
      <w:r>
        <w:t>lized, a difference of -</w:t>
      </w:r>
      <w:r w:rsidRPr="00F26DE2">
        <w:t xml:space="preserve">0.858 inches would have been obtained.  Thus, </w:t>
      </w:r>
      <w:r w:rsidRPr="00F26DE2">
        <w:lastRenderedPageBreak/>
        <w:t xml:space="preserve">the current methodology </w:t>
      </w:r>
      <w:proofErr w:type="spellStart"/>
      <w:r w:rsidRPr="00F26DE2">
        <w:t>overpredicts</w:t>
      </w:r>
      <w:proofErr w:type="spellEnd"/>
      <w:r w:rsidRPr="00F26DE2">
        <w:t xml:space="preserve"> the effects attributed to shutdown </w:t>
      </w:r>
      <w:r w:rsidRPr="00F26DE2">
        <w:rPr>
          <w:vertAlign w:val="superscript"/>
        </w:rPr>
        <w:t>3</w:t>
      </w:r>
      <w:r w:rsidRPr="00F26DE2">
        <w:t xml:space="preserve">He and the proposed methodology mitigates the </w:t>
      </w:r>
      <w:proofErr w:type="spellStart"/>
      <w:r w:rsidRPr="00F26DE2">
        <w:t>overprediction</w:t>
      </w:r>
      <w:proofErr w:type="spellEnd"/>
      <w:r w:rsidRPr="00F26DE2">
        <w:t>.</w:t>
      </w:r>
    </w:p>
    <w:p w:rsidR="002E259A" w:rsidRDefault="002E259A">
      <w:pPr>
        <w:spacing w:before="0" w:after="200" w:line="276" w:lineRule="auto"/>
        <w:ind w:firstLine="0"/>
        <w:jc w:val="left"/>
      </w:pPr>
    </w:p>
    <w:p w:rsidR="002E259A" w:rsidRDefault="002E259A" w:rsidP="00AA149C">
      <w:pPr>
        <w:pStyle w:val="Heading3"/>
      </w:pPr>
      <w:bookmarkStart w:id="254" w:name="_Toc295818146"/>
      <w:r>
        <w:t>Nuclear Waste Classification Results</w:t>
      </w:r>
      <w:bookmarkEnd w:id="254"/>
    </w:p>
    <w:p w:rsidR="002E259A" w:rsidRPr="00F26DE2" w:rsidRDefault="002E259A" w:rsidP="002E259A">
      <w:r w:rsidRPr="00F26DE2">
        <w:t>Permanent beryllium reflector number 3 along with representative RB and SPB reflectors were depleted to determine whether they are discharged as</w:t>
      </w:r>
      <w:r>
        <w:t>-</w:t>
      </w:r>
      <w:r w:rsidRPr="00F26DE2">
        <w:t xml:space="preserve"> or </w:t>
      </w:r>
      <w:r>
        <w:t>following decay would</w:t>
      </w:r>
      <w:r w:rsidRPr="00F26DE2">
        <w:t xml:space="preserve"> become TRU waste.  If the beryllium reflectors are produced according to the current HFIR specification, discharged reflectors would not be TRU waste, but the RB </w:t>
      </w:r>
      <w:r>
        <w:t>(</w:t>
      </w:r>
      <w:r w:rsidRPr="00F26DE2">
        <w:t>reflector closest to the core</w:t>
      </w:r>
      <w:r>
        <w:t>)</w:t>
      </w:r>
      <w:r w:rsidRPr="00F26DE2">
        <w:t xml:space="preserve"> would become TRU waste approximately 40 years after discharge.  The current HFIR specification calls for the uranium content in the beryllium reflectors to be less than or equal to 11 micrograms per gram of reflector (0.0011 wt. %), but most previous reflectors have contained a greater quantity of uranium than the current specification outlines.  The </w:t>
      </w:r>
      <w:r>
        <w:t xml:space="preserve">initial </w:t>
      </w:r>
      <w:r w:rsidRPr="00F26DE2">
        <w:t xml:space="preserve">uranium content in PB3 was 44 micrograms per gram of reflector (0.0044 wt. %).  Through calculations, it was concluded that with an initial uranium concentration of 0.0044 weight percent, PB3 was discharged below the TRU waste threshold, but became TRU waste within three years after being discharged.  The RB and SPB reflectors were shown to be discharged as TRU waste if their initial uranium content was greater than or equal to 0.0044 weight percent.  The TRU waste inventories in </w:t>
      </w:r>
      <w:proofErr w:type="spellStart"/>
      <w:r w:rsidRPr="00F26DE2">
        <w:t>nCi</w:t>
      </w:r>
      <w:proofErr w:type="spellEnd"/>
      <w:r w:rsidRPr="00F26DE2">
        <w:t xml:space="preserve"> per gram of waste as calculated with TRITON for the three reflector regions are shown in </w:t>
      </w:r>
      <w:r w:rsidR="007511FA">
        <w:rPr>
          <w:highlight w:val="yellow"/>
        </w:rPr>
        <w:fldChar w:fldCharType="begin"/>
      </w:r>
      <w:r w:rsidR="00BA2085">
        <w:instrText xml:space="preserve"> REF _Ref285537367 \h </w:instrText>
      </w:r>
      <w:r w:rsidR="007511FA">
        <w:rPr>
          <w:highlight w:val="yellow"/>
        </w:rPr>
      </w:r>
      <w:r w:rsidR="007511FA">
        <w:rPr>
          <w:highlight w:val="yellow"/>
        </w:rPr>
        <w:fldChar w:fldCharType="separate"/>
      </w:r>
      <w:r w:rsidR="00D5167B">
        <w:t xml:space="preserve">Figure </w:t>
      </w:r>
      <w:r w:rsidR="00D5167B">
        <w:rPr>
          <w:noProof/>
        </w:rPr>
        <w:t>6</w:t>
      </w:r>
      <w:r w:rsidR="00D5167B">
        <w:t>.</w:t>
      </w:r>
      <w:r w:rsidR="00D5167B">
        <w:rPr>
          <w:noProof/>
        </w:rPr>
        <w:t>8</w:t>
      </w:r>
      <w:r w:rsidR="007511FA">
        <w:rPr>
          <w:highlight w:val="yellow"/>
        </w:rPr>
        <w:fldChar w:fldCharType="end"/>
      </w:r>
      <w:r w:rsidRPr="00F26DE2">
        <w:t>.</w:t>
      </w:r>
    </w:p>
    <w:p w:rsidR="002E259A" w:rsidRDefault="002E259A" w:rsidP="002E259A">
      <w:r w:rsidRPr="00F26DE2">
        <w:t xml:space="preserve">The PB3 TRU waste inventories as calculated in TRITON and standalone ORIGEN-S are illustrated in </w:t>
      </w:r>
      <w:r w:rsidR="007511FA">
        <w:rPr>
          <w:highlight w:val="yellow"/>
        </w:rPr>
        <w:fldChar w:fldCharType="begin"/>
      </w:r>
      <w:r w:rsidR="00BA2085">
        <w:instrText xml:space="preserve"> REF _Ref285537372 \h </w:instrText>
      </w:r>
      <w:r w:rsidR="007511FA">
        <w:rPr>
          <w:highlight w:val="yellow"/>
        </w:rPr>
      </w:r>
      <w:r w:rsidR="007511FA">
        <w:rPr>
          <w:highlight w:val="yellow"/>
        </w:rPr>
        <w:fldChar w:fldCharType="separate"/>
      </w:r>
      <w:r w:rsidR="00D5167B">
        <w:t xml:space="preserve">Figure </w:t>
      </w:r>
      <w:r w:rsidR="00D5167B">
        <w:rPr>
          <w:noProof/>
        </w:rPr>
        <w:t>6</w:t>
      </w:r>
      <w:r w:rsidR="00D5167B">
        <w:t>.</w:t>
      </w:r>
      <w:r w:rsidR="00D5167B">
        <w:rPr>
          <w:noProof/>
        </w:rPr>
        <w:t>9</w:t>
      </w:r>
      <w:r w:rsidR="007511FA">
        <w:rPr>
          <w:highlight w:val="yellow"/>
        </w:rPr>
        <w:fldChar w:fldCharType="end"/>
      </w:r>
      <w:r w:rsidRPr="00F26DE2">
        <w:t xml:space="preserve">.  As observed in </w:t>
      </w:r>
      <w:r w:rsidR="007511FA">
        <w:rPr>
          <w:highlight w:val="yellow"/>
        </w:rPr>
        <w:fldChar w:fldCharType="begin"/>
      </w:r>
      <w:r w:rsidR="00BA2085">
        <w:instrText xml:space="preserve"> REF _Ref285537372 \h </w:instrText>
      </w:r>
      <w:r w:rsidR="007511FA">
        <w:rPr>
          <w:highlight w:val="yellow"/>
        </w:rPr>
      </w:r>
      <w:r w:rsidR="007511FA">
        <w:rPr>
          <w:highlight w:val="yellow"/>
        </w:rPr>
        <w:fldChar w:fldCharType="separate"/>
      </w:r>
      <w:r w:rsidR="00D5167B">
        <w:t xml:space="preserve">Figure </w:t>
      </w:r>
      <w:r w:rsidR="00D5167B">
        <w:rPr>
          <w:noProof/>
        </w:rPr>
        <w:t>6</w:t>
      </w:r>
      <w:r w:rsidR="00D5167B">
        <w:t>.</w:t>
      </w:r>
      <w:r w:rsidR="00D5167B">
        <w:rPr>
          <w:noProof/>
        </w:rPr>
        <w:t>9</w:t>
      </w:r>
      <w:r w:rsidR="007511FA">
        <w:rPr>
          <w:highlight w:val="yellow"/>
        </w:rPr>
        <w:fldChar w:fldCharType="end"/>
      </w:r>
      <w:r w:rsidRPr="00F26DE2">
        <w:t xml:space="preserve">, the two ORIGEN-S calculations are in similar agreement but underestimate the total TRU inventory in comparison to the TRITON calculations.  The two TRITON calculations are in good agreement, but the results using a more accurate material composition and the KENO-VI geometry predict a slightly greater TRU waste curie inventory.  Input differences that caused these small inventory discrepancies are discussed </w:t>
      </w:r>
      <w:r w:rsidRPr="00956209">
        <w:t>in Section 6.2.2.  All four calculations support the conclusion that PB3 currently exceeds the TRU waste limit.  Note that PB3</w:t>
      </w:r>
      <w:r w:rsidRPr="00F26DE2">
        <w:t xml:space="preserve"> was discharged in October of 2000.</w:t>
      </w:r>
      <w:r>
        <w:br w:type="page"/>
      </w:r>
    </w:p>
    <w:p w:rsidR="002E259A" w:rsidRPr="0024454A" w:rsidRDefault="002E259A" w:rsidP="00C30857">
      <w:pPr>
        <w:spacing w:before="240" w:after="240" w:line="240" w:lineRule="auto"/>
        <w:ind w:firstLine="0"/>
        <w:jc w:val="center"/>
        <w:rPr>
          <w:b/>
        </w:rPr>
      </w:pPr>
      <w:r w:rsidRPr="0024454A">
        <w:rPr>
          <w:b/>
          <w:noProof/>
        </w:rPr>
        <w:lastRenderedPageBreak/>
        <w:drawing>
          <wp:inline distT="0" distB="0" distL="0" distR="0">
            <wp:extent cx="5489864" cy="3474720"/>
            <wp:effectExtent l="19050" t="0" r="15586" b="0"/>
            <wp:docPr id="74"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rsidR="002E259A" w:rsidRPr="0024454A" w:rsidRDefault="00BA2085" w:rsidP="00C30857">
      <w:pPr>
        <w:pStyle w:val="Caption"/>
        <w:spacing w:after="0"/>
      </w:pPr>
      <w:bookmarkStart w:id="255" w:name="_Ref285537367"/>
      <w:bookmarkStart w:id="256" w:name="_Toc295818235"/>
      <w:proofErr w:type="gramStart"/>
      <w:r>
        <w:t xml:space="preserve">Figure </w:t>
      </w:r>
      <w:r w:rsidR="007511FA">
        <w:fldChar w:fldCharType="begin"/>
      </w:r>
      <w:r w:rsidR="00AE17F8">
        <w:instrText xml:space="preserve"> STYLEREF 1 \s </w:instrText>
      </w:r>
      <w:r w:rsidR="007511FA">
        <w:fldChar w:fldCharType="separate"/>
      </w:r>
      <w:r w:rsidR="00D5167B">
        <w:rPr>
          <w:noProof/>
        </w:rPr>
        <w:t>6</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8</w:t>
      </w:r>
      <w:r w:rsidR="007511FA">
        <w:fldChar w:fldCharType="end"/>
      </w:r>
      <w:bookmarkEnd w:id="255"/>
      <w:r w:rsidR="002E259A" w:rsidRPr="0024454A">
        <w:t xml:space="preserve">.  </w:t>
      </w:r>
      <w:proofErr w:type="gramStart"/>
      <w:r w:rsidR="002E259A" w:rsidRPr="0024454A">
        <w:t>TRU waste inventory in beryllium reflector regions following discharge.</w:t>
      </w:r>
      <w:bookmarkEnd w:id="256"/>
      <w:proofErr w:type="gramEnd"/>
    </w:p>
    <w:p w:rsidR="002E259A" w:rsidRPr="0024454A" w:rsidRDefault="002E259A" w:rsidP="002E259A">
      <w:pPr>
        <w:spacing w:before="240" w:after="240"/>
        <w:rPr>
          <w:b/>
        </w:rPr>
      </w:pPr>
    </w:p>
    <w:p w:rsidR="002E259A" w:rsidRPr="0024454A" w:rsidRDefault="002E259A" w:rsidP="00C30857">
      <w:pPr>
        <w:spacing w:before="0" w:after="240" w:line="240" w:lineRule="auto"/>
        <w:ind w:firstLine="0"/>
        <w:jc w:val="center"/>
        <w:rPr>
          <w:b/>
        </w:rPr>
      </w:pPr>
      <w:r w:rsidRPr="0024454A">
        <w:rPr>
          <w:b/>
          <w:noProof/>
        </w:rPr>
        <w:drawing>
          <wp:inline distT="0" distB="0" distL="0" distR="0">
            <wp:extent cx="5489864" cy="3474720"/>
            <wp:effectExtent l="19050" t="0" r="15586" b="0"/>
            <wp:docPr id="75"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rsidR="002E259A" w:rsidRDefault="00BA2085" w:rsidP="00C30857">
      <w:pPr>
        <w:pStyle w:val="Caption"/>
        <w:spacing w:after="0"/>
      </w:pPr>
      <w:bookmarkStart w:id="257" w:name="_Ref285537372"/>
      <w:bookmarkStart w:id="258" w:name="_Toc295818236"/>
      <w:proofErr w:type="gramStart"/>
      <w:r>
        <w:t xml:space="preserve">Figure </w:t>
      </w:r>
      <w:r w:rsidR="007511FA">
        <w:fldChar w:fldCharType="begin"/>
      </w:r>
      <w:r w:rsidR="00AE17F8">
        <w:instrText xml:space="preserve"> STYLEREF 1 \s </w:instrText>
      </w:r>
      <w:r w:rsidR="007511FA">
        <w:fldChar w:fldCharType="separate"/>
      </w:r>
      <w:r w:rsidR="00D5167B">
        <w:rPr>
          <w:noProof/>
        </w:rPr>
        <w:t>6</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9</w:t>
      </w:r>
      <w:r w:rsidR="007511FA">
        <w:fldChar w:fldCharType="end"/>
      </w:r>
      <w:bookmarkEnd w:id="257"/>
      <w:r w:rsidR="002E259A" w:rsidRPr="0024454A">
        <w:t>.  TRU waste inventory in PB3 following discharge.</w:t>
      </w:r>
      <w:bookmarkEnd w:id="258"/>
      <w:r w:rsidR="002E259A">
        <w:br w:type="page"/>
      </w:r>
    </w:p>
    <w:p w:rsidR="002E259A" w:rsidRDefault="002E259A" w:rsidP="002E259A">
      <w:r w:rsidRPr="00F26DE2">
        <w:lastRenderedPageBreak/>
        <w:t xml:space="preserve">The June 2010 radionuclide curie levels of the major curie contributing nuclides in PB3 and as calculated in TRITON and ORIGEN-S are shown in </w:t>
      </w:r>
      <w:r w:rsidR="007511FA">
        <w:rPr>
          <w:highlight w:val="yellow"/>
        </w:rPr>
        <w:fldChar w:fldCharType="begin"/>
      </w:r>
      <w:r w:rsidR="00BA2085">
        <w:instrText xml:space="preserve"> REF _Ref285537389 \h </w:instrText>
      </w:r>
      <w:r w:rsidR="007511FA">
        <w:rPr>
          <w:highlight w:val="yellow"/>
        </w:rPr>
      </w:r>
      <w:r w:rsidR="007511FA">
        <w:rPr>
          <w:highlight w:val="yellow"/>
        </w:rPr>
        <w:fldChar w:fldCharType="separate"/>
      </w:r>
      <w:r w:rsidR="00D5167B">
        <w:t xml:space="preserve">Figure </w:t>
      </w:r>
      <w:r w:rsidR="00D5167B">
        <w:rPr>
          <w:noProof/>
        </w:rPr>
        <w:t>6</w:t>
      </w:r>
      <w:r w:rsidR="00D5167B">
        <w:t>.</w:t>
      </w:r>
      <w:r w:rsidR="00D5167B">
        <w:rPr>
          <w:noProof/>
        </w:rPr>
        <w:t>10</w:t>
      </w:r>
      <w:r w:rsidR="007511FA">
        <w:rPr>
          <w:highlight w:val="yellow"/>
        </w:rPr>
        <w:fldChar w:fldCharType="end"/>
      </w:r>
      <w:r w:rsidRPr="00F26DE2">
        <w:t xml:space="preserve">.  The bar plot shows that the ORIGEN-S calculations estimated larger inventories of light elements in comparison to TRITON and TRITON calculated larger inventories of fission products in comparison to ORIGEN-S.  The total PB3 radioactivity as calculated in TRITON, a best estimate ORIGEN-S calculation, and a conservative ORIGEN-S calculation as of June 2010 </w:t>
      </w:r>
      <w:r>
        <w:t>are</w:t>
      </w:r>
      <w:r w:rsidRPr="00F26DE2">
        <w:t xml:space="preserve"> 68 </w:t>
      </w:r>
      <w:proofErr w:type="spellStart"/>
      <w:r w:rsidRPr="00F26DE2">
        <w:t>kCi</w:t>
      </w:r>
      <w:proofErr w:type="spellEnd"/>
      <w:r w:rsidRPr="00F26DE2">
        <w:t xml:space="preserve">, 101 </w:t>
      </w:r>
      <w:proofErr w:type="spellStart"/>
      <w:r w:rsidRPr="00F26DE2">
        <w:t>kCi</w:t>
      </w:r>
      <w:proofErr w:type="spellEnd"/>
      <w:r w:rsidRPr="00F26DE2">
        <w:t xml:space="preserve">, and 161 </w:t>
      </w:r>
      <w:proofErr w:type="spellStart"/>
      <w:r w:rsidRPr="00F26DE2">
        <w:t>kCi</w:t>
      </w:r>
      <w:proofErr w:type="spellEnd"/>
      <w:r w:rsidRPr="00F26DE2">
        <w:t>, respectively.  Tritium, a beta emitter, contributes approximately 99% of the total radioactivity (</w:t>
      </w:r>
      <w:proofErr w:type="spellStart"/>
      <w:r w:rsidRPr="00F26DE2">
        <w:t>Ci</w:t>
      </w:r>
      <w:proofErr w:type="spellEnd"/>
      <w:r w:rsidRPr="00F26DE2">
        <w:t xml:space="preserve">) while </w:t>
      </w:r>
      <w:r w:rsidRPr="00F26DE2">
        <w:rPr>
          <w:vertAlign w:val="superscript"/>
        </w:rPr>
        <w:t>60</w:t>
      </w:r>
      <w:r w:rsidRPr="00F26DE2">
        <w:t xml:space="preserve">Co and </w:t>
      </w:r>
      <w:r w:rsidRPr="00F26DE2">
        <w:rPr>
          <w:vertAlign w:val="superscript"/>
        </w:rPr>
        <w:t>137</w:t>
      </w:r>
      <w:r w:rsidRPr="00F26DE2">
        <w:t>Cs (sources leading to high energy gamma rays) contribute approximately 0.35% and 0.01</w:t>
      </w:r>
      <w:r>
        <w:t>%</w:t>
      </w:r>
      <w:r w:rsidRPr="00F26DE2">
        <w:t xml:space="preserve"> </w:t>
      </w:r>
      <w:r>
        <w:t>-</w:t>
      </w:r>
      <w:r w:rsidRPr="00F26DE2">
        <w:t xml:space="preserve"> 0.04%, respectively.</w:t>
      </w:r>
    </w:p>
    <w:p w:rsidR="00CA2E5F" w:rsidRDefault="00CA2E5F" w:rsidP="002E259A"/>
    <w:p w:rsidR="00CA2E5F" w:rsidRDefault="00CA2E5F" w:rsidP="002E259A"/>
    <w:p w:rsidR="00CA2E5F" w:rsidRPr="0024454A" w:rsidRDefault="00CA2E5F" w:rsidP="00CA2E5F">
      <w:pPr>
        <w:spacing w:before="240" w:after="240" w:line="240" w:lineRule="auto"/>
        <w:ind w:firstLine="0"/>
        <w:rPr>
          <w:b/>
        </w:rPr>
      </w:pPr>
      <w:r w:rsidRPr="0024454A">
        <w:rPr>
          <w:b/>
          <w:noProof/>
        </w:rPr>
        <w:drawing>
          <wp:inline distT="0" distB="0" distL="0" distR="0">
            <wp:extent cx="5963689" cy="3840480"/>
            <wp:effectExtent l="19050" t="0" r="18011" b="7620"/>
            <wp:docPr id="66"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rsidR="00CA2E5F" w:rsidRDefault="00CA2E5F" w:rsidP="00EF70FA">
      <w:pPr>
        <w:pStyle w:val="Caption"/>
        <w:spacing w:line="360" w:lineRule="auto"/>
      </w:pPr>
      <w:bookmarkStart w:id="259" w:name="_Ref285537389"/>
      <w:bookmarkStart w:id="260" w:name="_Toc295818237"/>
      <w:proofErr w:type="gramStart"/>
      <w:r>
        <w:t xml:space="preserve">Figure </w:t>
      </w:r>
      <w:r w:rsidR="007511FA">
        <w:fldChar w:fldCharType="begin"/>
      </w:r>
      <w:r w:rsidR="00AE17F8">
        <w:instrText xml:space="preserve"> STYLEREF 1 \s </w:instrText>
      </w:r>
      <w:r w:rsidR="007511FA">
        <w:fldChar w:fldCharType="separate"/>
      </w:r>
      <w:r w:rsidR="00D5167B">
        <w:rPr>
          <w:noProof/>
        </w:rPr>
        <w:t>6</w:t>
      </w:r>
      <w:r w:rsidR="007511FA">
        <w:fldChar w:fldCharType="end"/>
      </w:r>
      <w:r>
        <w:t>.</w:t>
      </w:r>
      <w:proofErr w:type="gramEnd"/>
      <w:r w:rsidR="007511FA">
        <w:fldChar w:fldCharType="begin"/>
      </w:r>
      <w:r>
        <w:instrText xml:space="preserve"> SEQ Figure \* ARABIC \s 1 </w:instrText>
      </w:r>
      <w:r w:rsidR="007511FA">
        <w:fldChar w:fldCharType="separate"/>
      </w:r>
      <w:r w:rsidR="00D5167B">
        <w:rPr>
          <w:noProof/>
        </w:rPr>
        <w:t>10</w:t>
      </w:r>
      <w:r w:rsidR="007511FA">
        <w:fldChar w:fldCharType="end"/>
      </w:r>
      <w:bookmarkEnd w:id="259"/>
      <w:r>
        <w:t>.  June 2010</w:t>
      </w:r>
      <w:r w:rsidRPr="0024454A">
        <w:t xml:space="preserve"> radionuclide curie levels in PB3 as calculated in TRITON (left), ORIGEN-S best estimate (middle), and ORIGEN-S conservative (right).</w:t>
      </w:r>
      <w:bookmarkEnd w:id="260"/>
      <w:r>
        <w:br w:type="page"/>
      </w:r>
    </w:p>
    <w:p w:rsidR="002E259A" w:rsidRPr="00F26DE2" w:rsidRDefault="002E259A" w:rsidP="002E259A">
      <w:r w:rsidRPr="00F26DE2">
        <w:lastRenderedPageBreak/>
        <w:t xml:space="preserve">The primary </w:t>
      </w:r>
      <w:proofErr w:type="spellStart"/>
      <w:r w:rsidRPr="00F26DE2">
        <w:t>radionuclides</w:t>
      </w:r>
      <w:proofErr w:type="spellEnd"/>
      <w:r w:rsidRPr="00F26DE2">
        <w:t xml:space="preserve"> in PB3 following discharge are shown in </w:t>
      </w:r>
      <w:r w:rsidR="007511FA">
        <w:rPr>
          <w:highlight w:val="yellow"/>
        </w:rPr>
        <w:fldChar w:fldCharType="begin"/>
      </w:r>
      <w:r w:rsidR="00BA2085">
        <w:instrText xml:space="preserve"> REF _Ref285537413 \h </w:instrText>
      </w:r>
      <w:r w:rsidR="007511FA">
        <w:rPr>
          <w:highlight w:val="yellow"/>
        </w:rPr>
      </w:r>
      <w:r w:rsidR="007511FA">
        <w:rPr>
          <w:highlight w:val="yellow"/>
        </w:rPr>
        <w:fldChar w:fldCharType="separate"/>
      </w:r>
      <w:r w:rsidR="00D5167B" w:rsidRPr="00BA2085">
        <w:t xml:space="preserve">Table </w:t>
      </w:r>
      <w:r w:rsidR="00D5167B">
        <w:rPr>
          <w:noProof/>
        </w:rPr>
        <w:t>6</w:t>
      </w:r>
      <w:r w:rsidR="00D5167B">
        <w:t>.</w:t>
      </w:r>
      <w:r w:rsidR="00D5167B">
        <w:rPr>
          <w:noProof/>
        </w:rPr>
        <w:t>3</w:t>
      </w:r>
      <w:r w:rsidR="00D5167B" w:rsidRPr="00BA2085">
        <w:t xml:space="preserve">.  </w:t>
      </w:r>
      <w:proofErr w:type="gramStart"/>
      <w:r w:rsidR="00D5167B" w:rsidRPr="00BA2085">
        <w:t xml:space="preserve">PB3 post-discharge </w:t>
      </w:r>
      <w:proofErr w:type="spellStart"/>
      <w:r w:rsidR="00D5167B" w:rsidRPr="00BA2085">
        <w:t>radionuclides</w:t>
      </w:r>
      <w:proofErr w:type="spellEnd"/>
      <w:r w:rsidR="00D5167B" w:rsidRPr="00BA2085">
        <w:t xml:space="preserve"> (</w:t>
      </w:r>
      <w:proofErr w:type="spellStart"/>
      <w:r w:rsidR="00D5167B" w:rsidRPr="00BA2085">
        <w:t>Ci</w:t>
      </w:r>
      <w:proofErr w:type="spellEnd"/>
      <w:r w:rsidR="00D5167B" w:rsidRPr="00BA2085">
        <w:t>) (largest from TRITON or ORIGEN-S).</w:t>
      </w:r>
      <w:r w:rsidR="007511FA">
        <w:rPr>
          <w:highlight w:val="yellow"/>
        </w:rPr>
        <w:fldChar w:fldCharType="end"/>
      </w:r>
      <w:r w:rsidRPr="00237905">
        <w:t>.</w:t>
      </w:r>
      <w:proofErr w:type="gramEnd"/>
      <w:r w:rsidRPr="00F26DE2">
        <w:t xml:space="preserve">  The table lists nuclides present in quantities greater than 1 </w:t>
      </w:r>
      <w:proofErr w:type="spellStart"/>
      <w:r w:rsidRPr="00F26DE2">
        <w:t>Ci</w:t>
      </w:r>
      <w:proofErr w:type="spellEnd"/>
      <w:r w:rsidRPr="00F26DE2">
        <w:t xml:space="preserve"> at 9.67 years after discharge (i.e. June 2010) sorted in descending order.  The values for the 15 nuclides in </w:t>
      </w:r>
      <w:r w:rsidRPr="00237905">
        <w:t xml:space="preserve">Table </w:t>
      </w:r>
      <w:r>
        <w:t>3</w:t>
      </w:r>
      <w:r w:rsidRPr="00F26DE2">
        <w:t xml:space="preserve"> are the largest values calculated in either TRITON or standalone ORIGEN-S.  The radioactivity listed for </w:t>
      </w:r>
      <w:r w:rsidRPr="00F26DE2">
        <w:rPr>
          <w:vertAlign w:val="superscript"/>
        </w:rPr>
        <w:t>137</w:t>
      </w:r>
      <w:r w:rsidRPr="00F26DE2">
        <w:t xml:space="preserve">Cs, </w:t>
      </w:r>
      <w:r w:rsidRPr="00F26DE2">
        <w:rPr>
          <w:vertAlign w:val="superscript"/>
        </w:rPr>
        <w:t>137m</w:t>
      </w:r>
      <w:r w:rsidRPr="00F26DE2">
        <w:t xml:space="preserve">Ba, </w:t>
      </w:r>
      <w:r w:rsidRPr="00F26DE2">
        <w:rPr>
          <w:vertAlign w:val="superscript"/>
        </w:rPr>
        <w:t>90</w:t>
      </w:r>
      <w:r w:rsidRPr="00F26DE2">
        <w:t xml:space="preserve">Y, </w:t>
      </w:r>
      <w:r w:rsidRPr="00F26DE2">
        <w:rPr>
          <w:vertAlign w:val="superscript"/>
        </w:rPr>
        <w:t>90</w:t>
      </w:r>
      <w:r w:rsidRPr="00F26DE2">
        <w:t xml:space="preserve">Sr, and </w:t>
      </w:r>
      <w:r w:rsidRPr="00F26DE2">
        <w:rPr>
          <w:vertAlign w:val="superscript"/>
        </w:rPr>
        <w:t>241</w:t>
      </w:r>
      <w:r w:rsidRPr="00F26DE2">
        <w:t>Pu were produced by the TRITON calculation and the rest were calculated by ORIGEN-S.  After comparing all of these values to the hazard category thresholds</w:t>
      </w:r>
      <w:r w:rsidR="006B5D42">
        <w:t xml:space="preserve"> </w:t>
      </w:r>
      <w:r w:rsidR="007511FA">
        <w:fldChar w:fldCharType="begin"/>
      </w:r>
      <w:r w:rsidR="006B5D42">
        <w:instrText xml:space="preserve"> REF _Ref285637768 \n \h </w:instrText>
      </w:r>
      <w:r w:rsidR="007511FA">
        <w:fldChar w:fldCharType="separate"/>
      </w:r>
      <w:r w:rsidR="00D5167B">
        <w:t>[89]</w:t>
      </w:r>
      <w:r w:rsidR="007511FA">
        <w:fldChar w:fldCharType="end"/>
      </w:r>
      <w:r w:rsidRPr="00F26DE2">
        <w:t xml:space="preserve"> using the sum-of-the-fractions approach, it is concluded that PB3 can be classified as nuclear hazard category 3.</w:t>
      </w:r>
    </w:p>
    <w:p w:rsidR="002C4E29" w:rsidRDefault="002C4E29" w:rsidP="002C4E29"/>
    <w:p w:rsidR="002C4E29" w:rsidRPr="00BA2085" w:rsidRDefault="00BA2085" w:rsidP="00BA2085">
      <w:pPr>
        <w:pStyle w:val="Caption"/>
      </w:pPr>
      <w:bookmarkStart w:id="261" w:name="_Ref285537413"/>
      <w:bookmarkStart w:id="262" w:name="_Toc295818276"/>
      <w:proofErr w:type="gramStart"/>
      <w:r w:rsidRPr="00BA2085">
        <w:t xml:space="preserve">Table </w:t>
      </w:r>
      <w:r w:rsidR="007511FA">
        <w:fldChar w:fldCharType="begin"/>
      </w:r>
      <w:r w:rsidR="00AE17F8">
        <w:instrText xml:space="preserve"> STYLEREF 1 \s </w:instrText>
      </w:r>
      <w:r w:rsidR="007511FA">
        <w:fldChar w:fldCharType="separate"/>
      </w:r>
      <w:r w:rsidR="00D5167B">
        <w:rPr>
          <w:noProof/>
        </w:rPr>
        <w:t>6</w:t>
      </w:r>
      <w:r w:rsidR="007511FA">
        <w:fldChar w:fldCharType="end"/>
      </w:r>
      <w:r w:rsidR="00DE5151">
        <w:t>.</w:t>
      </w:r>
      <w:proofErr w:type="gramEnd"/>
      <w:r w:rsidR="007511FA">
        <w:fldChar w:fldCharType="begin"/>
      </w:r>
      <w:r w:rsidR="00C43F40">
        <w:instrText xml:space="preserve"> SEQ Table \* ARABIC \s 1 </w:instrText>
      </w:r>
      <w:r w:rsidR="007511FA">
        <w:fldChar w:fldCharType="separate"/>
      </w:r>
      <w:r w:rsidR="00D5167B">
        <w:rPr>
          <w:noProof/>
        </w:rPr>
        <w:t>3</w:t>
      </w:r>
      <w:r w:rsidR="007511FA">
        <w:fldChar w:fldCharType="end"/>
      </w:r>
      <w:r w:rsidR="002C4E29" w:rsidRPr="00BA2085">
        <w:t xml:space="preserve">.  </w:t>
      </w:r>
      <w:proofErr w:type="gramStart"/>
      <w:r w:rsidR="002C4E29" w:rsidRPr="00BA2085">
        <w:t xml:space="preserve">PB3 post-discharge </w:t>
      </w:r>
      <w:proofErr w:type="spellStart"/>
      <w:r w:rsidR="002C4E29" w:rsidRPr="00BA2085">
        <w:t>radionuclides</w:t>
      </w:r>
      <w:proofErr w:type="spellEnd"/>
      <w:r w:rsidR="002C4E29" w:rsidRPr="00BA2085">
        <w:t xml:space="preserve"> (</w:t>
      </w:r>
      <w:proofErr w:type="spellStart"/>
      <w:r w:rsidR="002C4E29" w:rsidRPr="00BA2085">
        <w:t>Ci</w:t>
      </w:r>
      <w:proofErr w:type="spellEnd"/>
      <w:r w:rsidR="002C4E29" w:rsidRPr="00BA2085">
        <w:t>) (largest from TRITON or ORIGEN-S).</w:t>
      </w:r>
      <w:bookmarkEnd w:id="261"/>
      <w:bookmarkEnd w:id="262"/>
      <w:proofErr w:type="gramEnd"/>
    </w:p>
    <w:tbl>
      <w:tblPr>
        <w:tblW w:w="8188" w:type="dxa"/>
        <w:jc w:val="center"/>
        <w:tblInd w:w="93" w:type="dxa"/>
        <w:tblLook w:val="04A0"/>
      </w:tblPr>
      <w:tblGrid>
        <w:gridCol w:w="1048"/>
        <w:gridCol w:w="1190"/>
        <w:gridCol w:w="1190"/>
        <w:gridCol w:w="1190"/>
        <w:gridCol w:w="1190"/>
        <w:gridCol w:w="1190"/>
        <w:gridCol w:w="1190"/>
      </w:tblGrid>
      <w:tr w:rsidR="002C4E29" w:rsidRPr="0024454A" w:rsidTr="002C4E29">
        <w:trPr>
          <w:trHeight w:val="300"/>
          <w:jc w:val="center"/>
        </w:trPr>
        <w:tc>
          <w:tcPr>
            <w:tcW w:w="104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C4E29" w:rsidRPr="008D236A" w:rsidRDefault="002C4E29" w:rsidP="002C4E29">
            <w:pPr>
              <w:spacing w:before="60" w:after="60" w:line="240" w:lineRule="auto"/>
              <w:ind w:firstLine="0"/>
              <w:jc w:val="center"/>
              <w:rPr>
                <w:b/>
                <w:bCs/>
                <w:color w:val="000000"/>
              </w:rPr>
            </w:pPr>
            <w:r w:rsidRPr="008D236A">
              <w:rPr>
                <w:b/>
                <w:bCs/>
                <w:color w:val="000000"/>
              </w:rPr>
              <w:t>Nuclide</w:t>
            </w:r>
          </w:p>
        </w:tc>
        <w:tc>
          <w:tcPr>
            <w:tcW w:w="7140" w:type="dxa"/>
            <w:gridSpan w:val="6"/>
            <w:tcBorders>
              <w:top w:val="single" w:sz="4" w:space="0" w:color="auto"/>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b/>
                <w:bCs/>
                <w:color w:val="000000"/>
              </w:rPr>
            </w:pPr>
            <w:r w:rsidRPr="008D236A">
              <w:rPr>
                <w:b/>
                <w:bCs/>
                <w:color w:val="000000"/>
              </w:rPr>
              <w:t>Years Following PB3 Discharge</w:t>
            </w:r>
          </w:p>
        </w:tc>
      </w:tr>
      <w:tr w:rsidR="002C4E29" w:rsidRPr="0024454A" w:rsidTr="002C4E29">
        <w:trPr>
          <w:trHeight w:val="300"/>
          <w:jc w:val="center"/>
        </w:trPr>
        <w:tc>
          <w:tcPr>
            <w:tcW w:w="1048" w:type="dxa"/>
            <w:vMerge/>
            <w:tcBorders>
              <w:top w:val="single" w:sz="4" w:space="0" w:color="auto"/>
              <w:left w:val="single" w:sz="4" w:space="0" w:color="auto"/>
              <w:bottom w:val="single" w:sz="4" w:space="0" w:color="auto"/>
              <w:right w:val="single" w:sz="4" w:space="0" w:color="auto"/>
            </w:tcBorders>
            <w:vAlign w:val="center"/>
            <w:hideMark/>
          </w:tcPr>
          <w:p w:rsidR="002C4E29" w:rsidRPr="008D236A" w:rsidRDefault="002C4E29" w:rsidP="002C4E29">
            <w:pPr>
              <w:spacing w:before="60" w:after="60" w:line="240" w:lineRule="auto"/>
              <w:ind w:firstLine="0"/>
              <w:rPr>
                <w:b/>
                <w:bCs/>
                <w:color w:val="000000"/>
              </w:rPr>
            </w:pP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b/>
                <w:bCs/>
                <w:color w:val="000000"/>
              </w:rPr>
            </w:pPr>
            <w:r w:rsidRPr="008D236A">
              <w:rPr>
                <w:b/>
                <w:bCs/>
                <w:color w:val="000000"/>
              </w:rPr>
              <w:t>0.00</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b/>
                <w:bCs/>
                <w:color w:val="000000"/>
              </w:rPr>
            </w:pPr>
            <w:r w:rsidRPr="008D236A">
              <w:rPr>
                <w:b/>
                <w:bCs/>
                <w:color w:val="000000"/>
              </w:rPr>
              <w:t>2.60</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b/>
                <w:bCs/>
                <w:color w:val="000000"/>
              </w:rPr>
            </w:pPr>
            <w:r w:rsidRPr="008D236A">
              <w:rPr>
                <w:b/>
                <w:bCs/>
                <w:color w:val="000000"/>
              </w:rPr>
              <w:t>4.96</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b/>
                <w:bCs/>
                <w:color w:val="000000"/>
              </w:rPr>
            </w:pPr>
            <w:r w:rsidRPr="008D236A">
              <w:rPr>
                <w:b/>
                <w:bCs/>
                <w:color w:val="000000"/>
              </w:rPr>
              <w:t>9.67</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b/>
                <w:bCs/>
                <w:color w:val="000000"/>
              </w:rPr>
            </w:pPr>
            <w:r w:rsidRPr="008D236A">
              <w:rPr>
                <w:b/>
                <w:bCs/>
                <w:color w:val="000000"/>
              </w:rPr>
              <w:t>19.67</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b/>
                <w:bCs/>
                <w:color w:val="000000"/>
              </w:rPr>
            </w:pPr>
            <w:r w:rsidRPr="008D236A">
              <w:rPr>
                <w:b/>
                <w:bCs/>
                <w:color w:val="000000"/>
              </w:rPr>
              <w:t>29.67</w:t>
            </w:r>
          </w:p>
        </w:tc>
      </w:tr>
      <w:tr w:rsidR="002C4E29" w:rsidRPr="0024454A" w:rsidTr="002C4E29">
        <w:trPr>
          <w:trHeight w:val="300"/>
          <w:jc w:val="center"/>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rPr>
                <w:b/>
                <w:bCs/>
                <w:color w:val="000000"/>
              </w:rPr>
            </w:pPr>
            <w:r w:rsidRPr="008D236A">
              <w:rPr>
                <w:b/>
                <w:bCs/>
                <w:color w:val="000000"/>
                <w:vertAlign w:val="superscript"/>
              </w:rPr>
              <w:t>3</w:t>
            </w:r>
            <w:r w:rsidRPr="008D236A">
              <w:rPr>
                <w:b/>
                <w:bCs/>
                <w:color w:val="000000"/>
              </w:rPr>
              <w:t>H</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2.76E+05</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2.38E+05</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2.09E+05</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1.60E+05</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9.12E+04</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5.20E+04</w:t>
            </w:r>
          </w:p>
        </w:tc>
      </w:tr>
      <w:tr w:rsidR="002C4E29" w:rsidRPr="0024454A" w:rsidTr="002C4E29">
        <w:trPr>
          <w:trHeight w:val="300"/>
          <w:jc w:val="center"/>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rPr>
                <w:b/>
                <w:bCs/>
                <w:color w:val="000000"/>
              </w:rPr>
            </w:pPr>
            <w:r w:rsidRPr="008D236A">
              <w:rPr>
                <w:b/>
                <w:bCs/>
                <w:color w:val="000000"/>
                <w:vertAlign w:val="superscript"/>
              </w:rPr>
              <w:t>60</w:t>
            </w:r>
            <w:r w:rsidRPr="008D236A">
              <w:rPr>
                <w:b/>
                <w:bCs/>
                <w:color w:val="000000"/>
              </w:rPr>
              <w:t>Co</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2.00E+03</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1.42E+03</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1.04E+03</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5.62E+02</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1.51E+02</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4.05E+01</w:t>
            </w:r>
          </w:p>
        </w:tc>
      </w:tr>
      <w:tr w:rsidR="002C4E29" w:rsidRPr="0024454A" w:rsidTr="002C4E29">
        <w:trPr>
          <w:trHeight w:val="300"/>
          <w:jc w:val="center"/>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rPr>
                <w:b/>
                <w:bCs/>
                <w:color w:val="000000"/>
              </w:rPr>
            </w:pPr>
            <w:r w:rsidRPr="008D236A">
              <w:rPr>
                <w:b/>
                <w:bCs/>
                <w:color w:val="000000"/>
                <w:vertAlign w:val="superscript"/>
              </w:rPr>
              <w:t>55</w:t>
            </w:r>
            <w:r w:rsidRPr="008D236A">
              <w:rPr>
                <w:b/>
                <w:bCs/>
                <w:color w:val="000000"/>
              </w:rPr>
              <w:t>Fe</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5.73E+03</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2.96E+03</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1.63E+03</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4.93E+02</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3.89E+01</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3.07E+00</w:t>
            </w:r>
          </w:p>
        </w:tc>
      </w:tr>
      <w:tr w:rsidR="002C4E29" w:rsidRPr="0024454A" w:rsidTr="002C4E29">
        <w:trPr>
          <w:trHeight w:val="300"/>
          <w:jc w:val="center"/>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rPr>
                <w:b/>
                <w:bCs/>
                <w:color w:val="000000"/>
              </w:rPr>
            </w:pPr>
            <w:r w:rsidRPr="008D236A">
              <w:rPr>
                <w:b/>
                <w:bCs/>
                <w:color w:val="000000"/>
                <w:vertAlign w:val="superscript"/>
              </w:rPr>
              <w:t>14</w:t>
            </w:r>
            <w:r w:rsidRPr="008D236A">
              <w:rPr>
                <w:b/>
                <w:bCs/>
                <w:color w:val="000000"/>
              </w:rPr>
              <w:t>C</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1.13E+02</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1.13E+02</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1.13E+02</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1.13E+02</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1.12E+02</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1.12E+02</w:t>
            </w:r>
          </w:p>
        </w:tc>
      </w:tr>
      <w:tr w:rsidR="002C4E29" w:rsidRPr="0024454A" w:rsidTr="002C4E29">
        <w:trPr>
          <w:trHeight w:val="300"/>
          <w:jc w:val="center"/>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rPr>
                <w:b/>
                <w:bCs/>
                <w:color w:val="000000"/>
              </w:rPr>
            </w:pPr>
            <w:r w:rsidRPr="008D236A">
              <w:rPr>
                <w:b/>
                <w:bCs/>
                <w:color w:val="000000"/>
                <w:vertAlign w:val="superscript"/>
              </w:rPr>
              <w:t>63</w:t>
            </w:r>
            <w:r w:rsidRPr="008D236A">
              <w:rPr>
                <w:b/>
                <w:bCs/>
                <w:color w:val="000000"/>
              </w:rPr>
              <w:t>Ni</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4.62E+01</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4.54E+01</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4.46E+01</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4.32E+01</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4.03E+01</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3.76E+01</w:t>
            </w:r>
          </w:p>
        </w:tc>
      </w:tr>
      <w:tr w:rsidR="002C4E29" w:rsidRPr="0024454A" w:rsidTr="002C4E29">
        <w:trPr>
          <w:trHeight w:val="300"/>
          <w:jc w:val="center"/>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rPr>
                <w:b/>
                <w:bCs/>
                <w:color w:val="000000"/>
              </w:rPr>
            </w:pPr>
            <w:r w:rsidRPr="008D236A">
              <w:rPr>
                <w:b/>
                <w:bCs/>
                <w:color w:val="000000"/>
                <w:vertAlign w:val="superscript"/>
              </w:rPr>
              <w:t>137</w:t>
            </w:r>
            <w:r w:rsidRPr="008D236A">
              <w:rPr>
                <w:b/>
                <w:bCs/>
                <w:color w:val="000000"/>
              </w:rPr>
              <w:t>Cs</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2.93E+01</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2.76E+01</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2.61E+01</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2.34E+01</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1.86E+01</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1.48E+01</w:t>
            </w:r>
          </w:p>
        </w:tc>
      </w:tr>
      <w:tr w:rsidR="002C4E29" w:rsidRPr="0024454A" w:rsidTr="002C4E29">
        <w:trPr>
          <w:trHeight w:val="300"/>
          <w:jc w:val="center"/>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rPr>
                <w:b/>
                <w:bCs/>
                <w:color w:val="000000"/>
              </w:rPr>
            </w:pPr>
            <w:r w:rsidRPr="008D236A">
              <w:rPr>
                <w:b/>
                <w:bCs/>
                <w:color w:val="000000"/>
                <w:vertAlign w:val="superscript"/>
              </w:rPr>
              <w:t>137m</w:t>
            </w:r>
            <w:r w:rsidRPr="008D236A">
              <w:rPr>
                <w:b/>
                <w:bCs/>
                <w:color w:val="000000"/>
              </w:rPr>
              <w:t>Ba</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2.79E+01</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2.60E+01</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2.47E+01</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2.21E+01</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1.76E+01</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1.39E+01</w:t>
            </w:r>
          </w:p>
        </w:tc>
      </w:tr>
      <w:tr w:rsidR="002C4E29" w:rsidRPr="0024454A" w:rsidTr="002C4E29">
        <w:trPr>
          <w:trHeight w:val="300"/>
          <w:jc w:val="center"/>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rPr>
                <w:b/>
                <w:bCs/>
                <w:color w:val="000000"/>
              </w:rPr>
            </w:pPr>
            <w:r w:rsidRPr="008D236A">
              <w:rPr>
                <w:b/>
                <w:bCs/>
                <w:color w:val="000000"/>
                <w:vertAlign w:val="superscript"/>
              </w:rPr>
              <w:t>204</w:t>
            </w:r>
            <w:r w:rsidRPr="008D236A">
              <w:rPr>
                <w:b/>
                <w:bCs/>
                <w:color w:val="000000"/>
              </w:rPr>
              <w:t>Tl</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1.26E+02</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7.82E+01</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5.08E+01</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2.14E+01</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3.42E+00</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5.47E-01</w:t>
            </w:r>
          </w:p>
        </w:tc>
      </w:tr>
      <w:tr w:rsidR="002C4E29" w:rsidRPr="0024454A" w:rsidTr="002C4E29">
        <w:trPr>
          <w:trHeight w:val="300"/>
          <w:jc w:val="center"/>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rPr>
                <w:b/>
                <w:bCs/>
                <w:color w:val="000000"/>
              </w:rPr>
            </w:pPr>
            <w:r w:rsidRPr="008D236A">
              <w:rPr>
                <w:b/>
                <w:bCs/>
                <w:color w:val="000000"/>
                <w:vertAlign w:val="superscript"/>
              </w:rPr>
              <w:t>10</w:t>
            </w:r>
            <w:r w:rsidRPr="008D236A">
              <w:rPr>
                <w:b/>
                <w:bCs/>
                <w:color w:val="000000"/>
              </w:rPr>
              <w:t>Be</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1.38E+01</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1.38E+01</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1.38E+01</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1.38E+01</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1.38E+01</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1.38E+01</w:t>
            </w:r>
          </w:p>
        </w:tc>
      </w:tr>
      <w:tr w:rsidR="002C4E29" w:rsidRPr="0024454A" w:rsidTr="002C4E29">
        <w:trPr>
          <w:trHeight w:val="300"/>
          <w:jc w:val="center"/>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rPr>
                <w:b/>
                <w:bCs/>
                <w:color w:val="000000"/>
              </w:rPr>
            </w:pPr>
            <w:r w:rsidRPr="008D236A">
              <w:rPr>
                <w:b/>
                <w:bCs/>
                <w:color w:val="000000"/>
                <w:vertAlign w:val="superscript"/>
              </w:rPr>
              <w:t>244</w:t>
            </w:r>
            <w:r w:rsidRPr="008D236A">
              <w:rPr>
                <w:b/>
                <w:bCs/>
                <w:color w:val="000000"/>
              </w:rPr>
              <w:t>Cm</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1.64E+01</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1.49E+01</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1.36E+01</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1.13E+01</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7.73E+00</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5.27E+00</w:t>
            </w:r>
          </w:p>
        </w:tc>
      </w:tr>
      <w:tr w:rsidR="002C4E29" w:rsidRPr="0024454A" w:rsidTr="002C4E29">
        <w:trPr>
          <w:trHeight w:val="300"/>
          <w:jc w:val="center"/>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rPr>
                <w:b/>
                <w:bCs/>
                <w:color w:val="000000"/>
              </w:rPr>
            </w:pPr>
            <w:r w:rsidRPr="008D236A">
              <w:rPr>
                <w:b/>
                <w:bCs/>
                <w:color w:val="000000"/>
                <w:vertAlign w:val="superscript"/>
              </w:rPr>
              <w:t>85</w:t>
            </w:r>
            <w:r w:rsidRPr="008D236A">
              <w:rPr>
                <w:b/>
                <w:bCs/>
                <w:color w:val="000000"/>
              </w:rPr>
              <w:t>Kr</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1.80E+01</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1.52E+01</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1.31E+01</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9.62E+00</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5.04E+00</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2.64E+00</w:t>
            </w:r>
          </w:p>
        </w:tc>
      </w:tr>
      <w:tr w:rsidR="002C4E29" w:rsidRPr="0024454A" w:rsidTr="002C4E29">
        <w:trPr>
          <w:trHeight w:val="300"/>
          <w:jc w:val="center"/>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rPr>
                <w:b/>
                <w:bCs/>
                <w:color w:val="000000"/>
              </w:rPr>
            </w:pPr>
            <w:r w:rsidRPr="008D236A">
              <w:rPr>
                <w:b/>
                <w:bCs/>
                <w:color w:val="000000"/>
                <w:vertAlign w:val="superscript"/>
              </w:rPr>
              <w:t>90</w:t>
            </w:r>
            <w:r w:rsidRPr="008D236A">
              <w:rPr>
                <w:b/>
                <w:bCs/>
                <w:color w:val="000000"/>
              </w:rPr>
              <w:t>Y</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1.40E+01</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8.34E+00</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7.87E+00</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7.01E+00</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5.48E+00</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4.28E+00</w:t>
            </w:r>
          </w:p>
        </w:tc>
      </w:tr>
      <w:tr w:rsidR="002C4E29" w:rsidRPr="0024454A" w:rsidTr="002C4E29">
        <w:trPr>
          <w:trHeight w:val="300"/>
          <w:jc w:val="center"/>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rPr>
                <w:b/>
                <w:bCs/>
                <w:color w:val="000000"/>
              </w:rPr>
            </w:pPr>
            <w:r w:rsidRPr="008D236A">
              <w:rPr>
                <w:b/>
                <w:bCs/>
                <w:color w:val="000000"/>
                <w:vertAlign w:val="superscript"/>
              </w:rPr>
              <w:t>90</w:t>
            </w:r>
            <w:r w:rsidRPr="008D236A">
              <w:rPr>
                <w:b/>
                <w:bCs/>
                <w:color w:val="000000"/>
              </w:rPr>
              <w:t>Sr</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8.89E+00</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8.34E+00</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7.87E+00</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7.01E+00</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5.48E+00</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4.28E+00</w:t>
            </w:r>
          </w:p>
        </w:tc>
      </w:tr>
      <w:tr w:rsidR="002C4E29" w:rsidRPr="0024454A" w:rsidTr="002C4E29">
        <w:trPr>
          <w:trHeight w:val="300"/>
          <w:jc w:val="center"/>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rPr>
                <w:b/>
                <w:bCs/>
                <w:color w:val="000000"/>
              </w:rPr>
            </w:pPr>
            <w:r w:rsidRPr="008D236A">
              <w:rPr>
                <w:b/>
                <w:bCs/>
                <w:color w:val="000000"/>
                <w:vertAlign w:val="superscript"/>
              </w:rPr>
              <w:t>134</w:t>
            </w:r>
            <w:r w:rsidRPr="008D236A">
              <w:rPr>
                <w:b/>
                <w:bCs/>
                <w:color w:val="000000"/>
              </w:rPr>
              <w:t>Cs</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1.63E+02</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6.82E+01</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3.09E+01</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6.34E+00</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2.20E-01</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7.63E-03</w:t>
            </w:r>
          </w:p>
        </w:tc>
      </w:tr>
      <w:tr w:rsidR="002C4E29" w:rsidRPr="0024454A" w:rsidTr="002C4E29">
        <w:trPr>
          <w:trHeight w:val="300"/>
          <w:jc w:val="center"/>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rPr>
                <w:b/>
                <w:bCs/>
                <w:color w:val="000000"/>
              </w:rPr>
            </w:pPr>
            <w:r w:rsidRPr="008D236A">
              <w:rPr>
                <w:b/>
                <w:bCs/>
                <w:color w:val="000000"/>
                <w:vertAlign w:val="superscript"/>
              </w:rPr>
              <w:t>241</w:t>
            </w:r>
            <w:r w:rsidRPr="008D236A">
              <w:rPr>
                <w:b/>
                <w:bCs/>
                <w:color w:val="000000"/>
              </w:rPr>
              <w:t>Pu</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1.72E+00</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1.52E+00</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1.36E+00</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1.08E+00</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6.66E-01</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4.11E-01</w:t>
            </w:r>
          </w:p>
        </w:tc>
      </w:tr>
      <w:tr w:rsidR="002C4E29" w:rsidRPr="0024454A" w:rsidTr="002C4E29">
        <w:trPr>
          <w:trHeight w:val="300"/>
          <w:jc w:val="center"/>
        </w:trPr>
        <w:tc>
          <w:tcPr>
            <w:tcW w:w="1048" w:type="dxa"/>
            <w:tcBorders>
              <w:top w:val="nil"/>
              <w:left w:val="single" w:sz="4" w:space="0" w:color="auto"/>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rPr>
                <w:b/>
                <w:bCs/>
                <w:color w:val="000000"/>
              </w:rPr>
            </w:pPr>
            <w:r w:rsidRPr="008D236A">
              <w:rPr>
                <w:b/>
                <w:bCs/>
                <w:color w:val="000000"/>
              </w:rPr>
              <w:t>Total</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3.12E+06</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2.43E+05</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2.12E+05</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1.61E+05</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9.16E+04</w:t>
            </w:r>
          </w:p>
        </w:tc>
        <w:tc>
          <w:tcPr>
            <w:tcW w:w="1190" w:type="dxa"/>
            <w:tcBorders>
              <w:top w:val="nil"/>
              <w:left w:val="nil"/>
              <w:bottom w:val="single" w:sz="4" w:space="0" w:color="auto"/>
              <w:right w:val="single" w:sz="4" w:space="0" w:color="auto"/>
            </w:tcBorders>
            <w:shd w:val="clear" w:color="auto" w:fill="auto"/>
            <w:noWrap/>
            <w:vAlign w:val="bottom"/>
            <w:hideMark/>
          </w:tcPr>
          <w:p w:rsidR="002C4E29" w:rsidRPr="008D236A" w:rsidRDefault="002C4E29" w:rsidP="002C4E29">
            <w:pPr>
              <w:spacing w:before="60" w:after="60" w:line="240" w:lineRule="auto"/>
              <w:ind w:firstLine="0"/>
              <w:jc w:val="center"/>
              <w:rPr>
                <w:color w:val="000000"/>
              </w:rPr>
            </w:pPr>
            <w:r w:rsidRPr="008D236A">
              <w:rPr>
                <w:color w:val="000000"/>
              </w:rPr>
              <w:t>5.22E+04</w:t>
            </w:r>
          </w:p>
        </w:tc>
      </w:tr>
    </w:tbl>
    <w:p w:rsidR="002C4E29" w:rsidRDefault="002C4E29">
      <w:pPr>
        <w:spacing w:before="0" w:after="200" w:line="276" w:lineRule="auto"/>
        <w:ind w:firstLine="0"/>
        <w:jc w:val="left"/>
        <w:rPr>
          <w:b/>
        </w:rPr>
      </w:pPr>
      <w:r>
        <w:rPr>
          <w:b/>
        </w:rPr>
        <w:br w:type="page"/>
      </w:r>
    </w:p>
    <w:p w:rsidR="00CA2E5F" w:rsidRDefault="00CA2E5F" w:rsidP="00CA2E5F">
      <w:r w:rsidRPr="00F26DE2">
        <w:lastRenderedPageBreak/>
        <w:t>The total radioactivity (</w:t>
      </w:r>
      <w:proofErr w:type="spellStart"/>
      <w:r w:rsidRPr="00F26DE2">
        <w:t>Ci</w:t>
      </w:r>
      <w:proofErr w:type="spellEnd"/>
      <w:r w:rsidRPr="00F26DE2">
        <w:t xml:space="preserve">) of the RB and SPB beryllium and aluminum regions is shown in </w:t>
      </w:r>
      <w:r w:rsidR="007511FA">
        <w:rPr>
          <w:highlight w:val="yellow"/>
        </w:rPr>
        <w:fldChar w:fldCharType="begin"/>
      </w:r>
      <w:r>
        <w:instrText xml:space="preserve"> REF _Ref285537397 \h </w:instrText>
      </w:r>
      <w:r w:rsidR="007511FA">
        <w:rPr>
          <w:highlight w:val="yellow"/>
        </w:rPr>
      </w:r>
      <w:r w:rsidR="007511FA">
        <w:rPr>
          <w:highlight w:val="yellow"/>
        </w:rPr>
        <w:fldChar w:fldCharType="separate"/>
      </w:r>
      <w:r w:rsidR="00D5167B">
        <w:t xml:space="preserve">Figure </w:t>
      </w:r>
      <w:r w:rsidR="00D5167B">
        <w:rPr>
          <w:noProof/>
        </w:rPr>
        <w:t>6</w:t>
      </w:r>
      <w:r w:rsidR="00D5167B">
        <w:t>.</w:t>
      </w:r>
      <w:r w:rsidR="00D5167B">
        <w:rPr>
          <w:noProof/>
        </w:rPr>
        <w:t>11</w:t>
      </w:r>
      <w:r w:rsidR="007511FA">
        <w:rPr>
          <w:highlight w:val="yellow"/>
        </w:rPr>
        <w:fldChar w:fldCharType="end"/>
      </w:r>
      <w:r w:rsidRPr="00237905">
        <w:t>.</w:t>
      </w:r>
      <w:r w:rsidRPr="00F26DE2">
        <w:t xml:space="preserve">  The curie level of the beryllium regions dominates that of the aluminum regions due to the high levels of tritium, which contributes more than 99% of the total RB and SPB curie inventories after a </w:t>
      </w:r>
      <w:r>
        <w:t>short</w:t>
      </w:r>
      <w:r w:rsidRPr="00F26DE2">
        <w:t xml:space="preserve"> decay</w:t>
      </w:r>
      <w:r>
        <w:t xml:space="preserve"> time (after the short-lived radioisotopes are removed)</w:t>
      </w:r>
      <w:r w:rsidRPr="00F26DE2">
        <w:t xml:space="preserve">.  The primary </w:t>
      </w:r>
      <w:proofErr w:type="spellStart"/>
      <w:r w:rsidRPr="00F26DE2">
        <w:t>radionuclides</w:t>
      </w:r>
      <w:proofErr w:type="spellEnd"/>
      <w:r w:rsidRPr="00F26DE2">
        <w:t xml:space="preserve"> in the RB and SPB following discharge are listed in </w:t>
      </w:r>
      <w:fldSimple w:instr=" REF _Ref285537428 \h  \* MERGEFORMAT ">
        <w:r w:rsidR="00D5167B">
          <w:t xml:space="preserve">Table </w:t>
        </w:r>
        <w:r w:rsidR="00D5167B">
          <w:rPr>
            <w:noProof/>
          </w:rPr>
          <w:t>6.4</w:t>
        </w:r>
      </w:fldSimple>
      <w:r w:rsidRPr="00BA2085">
        <w:t xml:space="preserve"> and </w:t>
      </w:r>
      <w:fldSimple w:instr=" REF _Ref285537433 \h  \* MERGEFORMAT ">
        <w:r w:rsidR="00D5167B">
          <w:t xml:space="preserve">Table </w:t>
        </w:r>
        <w:r w:rsidR="00D5167B">
          <w:rPr>
            <w:noProof/>
          </w:rPr>
          <w:t>6.5</w:t>
        </w:r>
      </w:fldSimple>
      <w:r w:rsidRPr="00F26DE2">
        <w:t xml:space="preserve">, respectively.  Both of these tables are sorted by the largest curie contributor to the smallest at a time 10 years after discharge for nuclides at levels greater than 1 curie.  </w:t>
      </w:r>
      <w:r>
        <w:t>The primary curie contributing radioisotopes present in the aluminum regions (</w:t>
      </w:r>
      <w:r w:rsidRPr="006F15BB">
        <w:rPr>
          <w:vertAlign w:val="superscript"/>
        </w:rPr>
        <w:t>55</w:t>
      </w:r>
      <w:r>
        <w:t xml:space="preserve">Fe, </w:t>
      </w:r>
      <w:r w:rsidRPr="006F15BB">
        <w:rPr>
          <w:vertAlign w:val="superscript"/>
        </w:rPr>
        <w:t>60</w:t>
      </w:r>
      <w:r>
        <w:t xml:space="preserve">Co, and </w:t>
      </w:r>
      <w:r w:rsidRPr="006F15BB">
        <w:rPr>
          <w:vertAlign w:val="superscript"/>
        </w:rPr>
        <w:t>63</w:t>
      </w:r>
      <w:r>
        <w:t xml:space="preserve">Ni) are plotted as a function of time after discharge in </w:t>
      </w:r>
      <w:r w:rsidR="007511FA">
        <w:rPr>
          <w:highlight w:val="yellow"/>
        </w:rPr>
        <w:fldChar w:fldCharType="begin"/>
      </w:r>
      <w:r>
        <w:instrText xml:space="preserve"> REF _Ref285537402 \h </w:instrText>
      </w:r>
      <w:r w:rsidR="007511FA">
        <w:rPr>
          <w:highlight w:val="yellow"/>
        </w:rPr>
      </w:r>
      <w:r w:rsidR="007511FA">
        <w:rPr>
          <w:highlight w:val="yellow"/>
        </w:rPr>
        <w:fldChar w:fldCharType="separate"/>
      </w:r>
      <w:r w:rsidR="00D5167B">
        <w:t xml:space="preserve">Figure </w:t>
      </w:r>
      <w:r w:rsidR="00D5167B">
        <w:rPr>
          <w:noProof/>
        </w:rPr>
        <w:t>6</w:t>
      </w:r>
      <w:r w:rsidR="00D5167B">
        <w:t>.</w:t>
      </w:r>
      <w:r w:rsidR="00D5167B">
        <w:rPr>
          <w:noProof/>
        </w:rPr>
        <w:t>12</w:t>
      </w:r>
      <w:r w:rsidR="007511FA">
        <w:rPr>
          <w:highlight w:val="yellow"/>
        </w:rPr>
        <w:fldChar w:fldCharType="end"/>
      </w:r>
      <w:r>
        <w:t xml:space="preserve">.  </w:t>
      </w:r>
      <w:r w:rsidRPr="00F26DE2">
        <w:t>After comparing the curie inventory to the hazard category thresholds</w:t>
      </w:r>
      <w:r>
        <w:t xml:space="preserve"> </w:t>
      </w:r>
      <w:r w:rsidR="007511FA">
        <w:fldChar w:fldCharType="begin"/>
      </w:r>
      <w:r>
        <w:instrText xml:space="preserve"> REF _Ref285637768 \n \h </w:instrText>
      </w:r>
      <w:r w:rsidR="007511FA">
        <w:fldChar w:fldCharType="separate"/>
      </w:r>
      <w:r w:rsidR="00D5167B">
        <w:t>[89]</w:t>
      </w:r>
      <w:r w:rsidR="007511FA">
        <w:fldChar w:fldCharType="end"/>
      </w:r>
      <w:r w:rsidRPr="00F26DE2">
        <w:t xml:space="preserve"> using the sum-of-the-fractions approach, it is concluded that the representative RB and SPB can be classified as nuclear hazard category 3.</w:t>
      </w:r>
    </w:p>
    <w:p w:rsidR="00CA2E5F" w:rsidRDefault="00CA2E5F" w:rsidP="00CA2E5F"/>
    <w:p w:rsidR="00CA2E5F" w:rsidRDefault="00CA2E5F" w:rsidP="00CA2E5F"/>
    <w:p w:rsidR="002C4E29" w:rsidRPr="0024454A" w:rsidRDefault="002C4E29" w:rsidP="00CA2E5F">
      <w:pPr>
        <w:spacing w:before="240" w:after="240" w:line="240" w:lineRule="auto"/>
        <w:ind w:firstLine="0"/>
        <w:jc w:val="center"/>
        <w:rPr>
          <w:b/>
        </w:rPr>
      </w:pPr>
      <w:r w:rsidRPr="0024454A">
        <w:rPr>
          <w:b/>
          <w:noProof/>
        </w:rPr>
        <w:drawing>
          <wp:inline distT="0" distB="0" distL="0" distR="0">
            <wp:extent cx="5954684" cy="3657600"/>
            <wp:effectExtent l="19050" t="0" r="27016" b="0"/>
            <wp:docPr id="7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rsidR="002C4E29" w:rsidRPr="00CA2E5F" w:rsidRDefault="00BA2085" w:rsidP="00CA2E5F">
      <w:pPr>
        <w:pStyle w:val="Caption"/>
      </w:pPr>
      <w:bookmarkStart w:id="263" w:name="_Ref285537397"/>
      <w:bookmarkStart w:id="264" w:name="_Toc295818238"/>
      <w:proofErr w:type="gramStart"/>
      <w:r>
        <w:t xml:space="preserve">Figure </w:t>
      </w:r>
      <w:r w:rsidR="007511FA">
        <w:fldChar w:fldCharType="begin"/>
      </w:r>
      <w:r w:rsidR="00AE17F8">
        <w:instrText xml:space="preserve"> STYLEREF 1 \s </w:instrText>
      </w:r>
      <w:r w:rsidR="007511FA">
        <w:fldChar w:fldCharType="separate"/>
      </w:r>
      <w:r w:rsidR="00D5167B">
        <w:rPr>
          <w:noProof/>
        </w:rPr>
        <w:t>6</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11</w:t>
      </w:r>
      <w:r w:rsidR="007511FA">
        <w:fldChar w:fldCharType="end"/>
      </w:r>
      <w:bookmarkEnd w:id="263"/>
      <w:r w:rsidR="002C4E29" w:rsidRPr="0024454A">
        <w:t xml:space="preserve">.  </w:t>
      </w:r>
      <w:proofErr w:type="gramStart"/>
      <w:r w:rsidR="002C4E29" w:rsidRPr="0024454A">
        <w:t>Total radioactivity in RB and SPB beryllium and aluminum regions.</w:t>
      </w:r>
      <w:bookmarkEnd w:id="264"/>
      <w:proofErr w:type="gramEnd"/>
      <w:r w:rsidR="002C4E29" w:rsidRPr="0024454A">
        <w:rPr>
          <w:b w:val="0"/>
        </w:rPr>
        <w:br w:type="page"/>
      </w:r>
    </w:p>
    <w:p w:rsidR="002C4E29" w:rsidRPr="0024454A" w:rsidRDefault="00BA2085" w:rsidP="00BA2085">
      <w:pPr>
        <w:pStyle w:val="Caption"/>
      </w:pPr>
      <w:bookmarkStart w:id="265" w:name="_Ref285537428"/>
      <w:bookmarkStart w:id="266" w:name="_Toc295818277"/>
      <w:proofErr w:type="gramStart"/>
      <w:r>
        <w:lastRenderedPageBreak/>
        <w:t xml:space="preserve">Table </w:t>
      </w:r>
      <w:r w:rsidR="007511FA">
        <w:fldChar w:fldCharType="begin"/>
      </w:r>
      <w:r w:rsidR="00AE17F8">
        <w:instrText xml:space="preserve"> STYLEREF 1 \s </w:instrText>
      </w:r>
      <w:r w:rsidR="007511FA">
        <w:fldChar w:fldCharType="separate"/>
      </w:r>
      <w:r w:rsidR="00D5167B">
        <w:rPr>
          <w:noProof/>
        </w:rPr>
        <w:t>6</w:t>
      </w:r>
      <w:r w:rsidR="007511FA">
        <w:fldChar w:fldCharType="end"/>
      </w:r>
      <w:r w:rsidR="00DE5151">
        <w:t>.</w:t>
      </w:r>
      <w:proofErr w:type="gramEnd"/>
      <w:r w:rsidR="007511FA">
        <w:fldChar w:fldCharType="begin"/>
      </w:r>
      <w:r w:rsidR="00C43F40">
        <w:instrText xml:space="preserve"> SEQ Table \* ARABIC \s 1 </w:instrText>
      </w:r>
      <w:r w:rsidR="007511FA">
        <w:fldChar w:fldCharType="separate"/>
      </w:r>
      <w:r w:rsidR="00D5167B">
        <w:rPr>
          <w:noProof/>
        </w:rPr>
        <w:t>4</w:t>
      </w:r>
      <w:r w:rsidR="007511FA">
        <w:fldChar w:fldCharType="end"/>
      </w:r>
      <w:bookmarkEnd w:id="265"/>
      <w:r w:rsidR="002C4E29" w:rsidRPr="0024454A">
        <w:t xml:space="preserve">.  </w:t>
      </w:r>
      <w:proofErr w:type="gramStart"/>
      <w:r w:rsidR="002C4E29">
        <w:t>Representative RB post-discharge</w:t>
      </w:r>
      <w:r w:rsidR="002C4E29" w:rsidRPr="0024454A">
        <w:t xml:space="preserve"> </w:t>
      </w:r>
      <w:proofErr w:type="spellStart"/>
      <w:r w:rsidR="002C4E29" w:rsidRPr="0024454A">
        <w:t>radionuclides</w:t>
      </w:r>
      <w:proofErr w:type="spellEnd"/>
      <w:r w:rsidR="002C4E29" w:rsidRPr="0024454A">
        <w:t xml:space="preserve"> (</w:t>
      </w:r>
      <w:proofErr w:type="spellStart"/>
      <w:r w:rsidR="002C4E29" w:rsidRPr="0024454A">
        <w:t>Ci</w:t>
      </w:r>
      <w:proofErr w:type="spellEnd"/>
      <w:r w:rsidR="002C4E29" w:rsidRPr="0024454A">
        <w:t>) (ORIGEN-S).</w:t>
      </w:r>
      <w:bookmarkEnd w:id="266"/>
      <w:proofErr w:type="gramEnd"/>
    </w:p>
    <w:tbl>
      <w:tblPr>
        <w:tblW w:w="9348" w:type="dxa"/>
        <w:tblInd w:w="93" w:type="dxa"/>
        <w:tblLook w:val="04A0"/>
      </w:tblPr>
      <w:tblGrid>
        <w:gridCol w:w="972"/>
        <w:gridCol w:w="1047"/>
        <w:gridCol w:w="1047"/>
        <w:gridCol w:w="1047"/>
        <w:gridCol w:w="1047"/>
        <w:gridCol w:w="1047"/>
        <w:gridCol w:w="1047"/>
        <w:gridCol w:w="1047"/>
        <w:gridCol w:w="1047"/>
      </w:tblGrid>
      <w:tr w:rsidR="002C4E29" w:rsidRPr="0024454A" w:rsidTr="002C4E29">
        <w:trPr>
          <w:trHeight w:val="300"/>
        </w:trPr>
        <w:tc>
          <w:tcPr>
            <w:tcW w:w="97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2C4E29" w:rsidRPr="0024454A" w:rsidRDefault="002C4E29" w:rsidP="002C4E29">
            <w:pPr>
              <w:spacing w:before="0" w:after="0" w:line="240" w:lineRule="auto"/>
              <w:ind w:hanging="3"/>
              <w:jc w:val="center"/>
              <w:rPr>
                <w:b/>
                <w:bCs/>
                <w:color w:val="000000"/>
                <w:sz w:val="20"/>
              </w:rPr>
            </w:pPr>
            <w:r w:rsidRPr="0024454A">
              <w:rPr>
                <w:b/>
                <w:bCs/>
                <w:color w:val="000000"/>
                <w:sz w:val="20"/>
              </w:rPr>
              <w:t>Nuclide</w:t>
            </w:r>
          </w:p>
        </w:tc>
        <w:tc>
          <w:tcPr>
            <w:tcW w:w="8376" w:type="dxa"/>
            <w:gridSpan w:val="8"/>
            <w:tcBorders>
              <w:top w:val="single" w:sz="4" w:space="0" w:color="auto"/>
              <w:left w:val="nil"/>
              <w:bottom w:val="single" w:sz="4" w:space="0" w:color="auto"/>
              <w:right w:val="single" w:sz="4" w:space="0" w:color="000000"/>
            </w:tcBorders>
            <w:shd w:val="clear" w:color="auto" w:fill="auto"/>
            <w:noWrap/>
            <w:vAlign w:val="bottom"/>
            <w:hideMark/>
          </w:tcPr>
          <w:p w:rsidR="002C4E29" w:rsidRPr="0024454A" w:rsidRDefault="002C4E29" w:rsidP="002C4E29">
            <w:pPr>
              <w:spacing w:before="0" w:after="0" w:line="240" w:lineRule="auto"/>
              <w:ind w:hanging="3"/>
              <w:jc w:val="center"/>
              <w:rPr>
                <w:b/>
                <w:bCs/>
                <w:color w:val="000000"/>
                <w:sz w:val="20"/>
              </w:rPr>
            </w:pPr>
            <w:r w:rsidRPr="0024454A">
              <w:rPr>
                <w:b/>
                <w:bCs/>
                <w:color w:val="000000"/>
                <w:sz w:val="20"/>
              </w:rPr>
              <w:t xml:space="preserve">Years Following RB Discharge (EOL ~ 102 </w:t>
            </w:r>
            <w:proofErr w:type="spellStart"/>
            <w:r w:rsidRPr="0024454A">
              <w:rPr>
                <w:b/>
                <w:bCs/>
                <w:color w:val="000000"/>
                <w:sz w:val="20"/>
              </w:rPr>
              <w:t>GWd</w:t>
            </w:r>
            <w:proofErr w:type="spellEnd"/>
            <w:r w:rsidRPr="0024454A">
              <w:rPr>
                <w:b/>
                <w:bCs/>
                <w:color w:val="000000"/>
                <w:sz w:val="20"/>
              </w:rPr>
              <w:t>)</w:t>
            </w:r>
          </w:p>
        </w:tc>
      </w:tr>
      <w:tr w:rsidR="002C4E29" w:rsidRPr="0024454A" w:rsidTr="002C4E29">
        <w:trPr>
          <w:trHeight w:val="300"/>
        </w:trPr>
        <w:tc>
          <w:tcPr>
            <w:tcW w:w="972" w:type="dxa"/>
            <w:vMerge/>
            <w:tcBorders>
              <w:top w:val="single" w:sz="4" w:space="0" w:color="auto"/>
              <w:left w:val="single" w:sz="4" w:space="0" w:color="auto"/>
              <w:bottom w:val="single" w:sz="4" w:space="0" w:color="000000"/>
              <w:right w:val="single" w:sz="4" w:space="0" w:color="auto"/>
            </w:tcBorders>
            <w:vAlign w:val="center"/>
            <w:hideMark/>
          </w:tcPr>
          <w:p w:rsidR="002C4E29" w:rsidRPr="0024454A" w:rsidRDefault="002C4E29" w:rsidP="002C4E29">
            <w:pPr>
              <w:spacing w:before="0" w:after="0" w:line="240" w:lineRule="auto"/>
              <w:ind w:hanging="3"/>
              <w:rPr>
                <w:b/>
                <w:bCs/>
                <w:color w:val="000000"/>
                <w:sz w:val="20"/>
              </w:rPr>
            </w:pP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b/>
                <w:bCs/>
                <w:color w:val="000000"/>
                <w:sz w:val="20"/>
              </w:rPr>
            </w:pPr>
            <w:r w:rsidRPr="0024454A">
              <w:rPr>
                <w:b/>
                <w:bCs/>
                <w:color w:val="000000"/>
                <w:sz w:val="20"/>
              </w:rPr>
              <w:t>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b/>
                <w:bCs/>
                <w:color w:val="000000"/>
                <w:sz w:val="20"/>
              </w:rPr>
            </w:pPr>
            <w:r w:rsidRPr="0024454A">
              <w:rPr>
                <w:b/>
                <w:bCs/>
                <w:color w:val="000000"/>
                <w:sz w:val="20"/>
              </w:rPr>
              <w:t>1</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b/>
                <w:bCs/>
                <w:color w:val="000000"/>
                <w:sz w:val="20"/>
              </w:rPr>
            </w:pPr>
            <w:r w:rsidRPr="0024454A">
              <w:rPr>
                <w:b/>
                <w:bCs/>
                <w:color w:val="000000"/>
                <w:sz w:val="20"/>
              </w:rPr>
              <w:t>5</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b/>
                <w:bCs/>
                <w:color w:val="000000"/>
                <w:sz w:val="20"/>
              </w:rPr>
            </w:pPr>
            <w:r w:rsidRPr="0024454A">
              <w:rPr>
                <w:b/>
                <w:bCs/>
                <w:color w:val="000000"/>
                <w:sz w:val="20"/>
              </w:rPr>
              <w:t>10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b/>
                <w:bCs/>
                <w:color w:val="000000"/>
                <w:sz w:val="20"/>
              </w:rPr>
            </w:pPr>
            <w:r w:rsidRPr="0024454A">
              <w:rPr>
                <w:b/>
                <w:bCs/>
                <w:color w:val="000000"/>
                <w:sz w:val="20"/>
              </w:rPr>
              <w:t>20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b/>
                <w:bCs/>
                <w:color w:val="000000"/>
                <w:sz w:val="20"/>
              </w:rPr>
            </w:pPr>
            <w:r w:rsidRPr="0024454A">
              <w:rPr>
                <w:b/>
                <w:bCs/>
                <w:color w:val="000000"/>
                <w:sz w:val="20"/>
              </w:rPr>
              <w:t>30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b/>
                <w:bCs/>
                <w:color w:val="000000"/>
                <w:sz w:val="20"/>
              </w:rPr>
            </w:pPr>
            <w:r w:rsidRPr="0024454A">
              <w:rPr>
                <w:b/>
                <w:bCs/>
                <w:color w:val="000000"/>
                <w:sz w:val="20"/>
              </w:rPr>
              <w:t>40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b/>
                <w:bCs/>
                <w:color w:val="000000"/>
                <w:sz w:val="20"/>
              </w:rPr>
            </w:pPr>
            <w:r w:rsidRPr="0024454A">
              <w:rPr>
                <w:b/>
                <w:bCs/>
                <w:color w:val="000000"/>
                <w:sz w:val="20"/>
              </w:rPr>
              <w:t>50</w:t>
            </w:r>
          </w:p>
        </w:tc>
      </w:tr>
      <w:tr w:rsidR="002C4E29" w:rsidRPr="0024454A" w:rsidTr="002C4E29">
        <w:trPr>
          <w:trHeight w:val="300"/>
        </w:trPr>
        <w:tc>
          <w:tcPr>
            <w:tcW w:w="972" w:type="dxa"/>
            <w:tcBorders>
              <w:top w:val="nil"/>
              <w:left w:val="single" w:sz="4" w:space="0" w:color="auto"/>
              <w:bottom w:val="single" w:sz="4" w:space="0" w:color="auto"/>
              <w:right w:val="single" w:sz="4" w:space="0" w:color="auto"/>
            </w:tcBorders>
            <w:shd w:val="clear" w:color="auto" w:fill="auto"/>
            <w:noWrap/>
            <w:vAlign w:val="center"/>
            <w:hideMark/>
          </w:tcPr>
          <w:p w:rsidR="002C4E29" w:rsidRPr="0024454A" w:rsidRDefault="002C4E29" w:rsidP="002C4E29">
            <w:pPr>
              <w:spacing w:before="0" w:after="0" w:line="240" w:lineRule="auto"/>
              <w:ind w:hanging="3"/>
              <w:rPr>
                <w:b/>
                <w:bCs/>
                <w:color w:val="000000"/>
                <w:sz w:val="20"/>
              </w:rPr>
            </w:pPr>
            <w:r w:rsidRPr="0024454A">
              <w:rPr>
                <w:b/>
                <w:bCs/>
                <w:color w:val="000000"/>
                <w:sz w:val="20"/>
                <w:vertAlign w:val="superscript"/>
              </w:rPr>
              <w:t>3</w:t>
            </w:r>
            <w:r w:rsidRPr="0024454A">
              <w:rPr>
                <w:b/>
                <w:bCs/>
                <w:color w:val="000000"/>
                <w:sz w:val="20"/>
              </w:rPr>
              <w:t>H</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1.50E+05</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1.42E+05</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1.13E+05</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8.56E+04</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4.88E+04</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2.78E+04</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1.59E+04</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9.04E+03</w:t>
            </w:r>
          </w:p>
        </w:tc>
      </w:tr>
      <w:tr w:rsidR="002C4E29" w:rsidRPr="0024454A" w:rsidTr="002C4E29">
        <w:trPr>
          <w:trHeight w:val="300"/>
        </w:trPr>
        <w:tc>
          <w:tcPr>
            <w:tcW w:w="972" w:type="dxa"/>
            <w:tcBorders>
              <w:top w:val="nil"/>
              <w:left w:val="single" w:sz="4" w:space="0" w:color="auto"/>
              <w:bottom w:val="single" w:sz="4" w:space="0" w:color="auto"/>
              <w:right w:val="single" w:sz="4" w:space="0" w:color="auto"/>
            </w:tcBorders>
            <w:shd w:val="clear" w:color="auto" w:fill="auto"/>
            <w:noWrap/>
            <w:vAlign w:val="center"/>
            <w:hideMark/>
          </w:tcPr>
          <w:p w:rsidR="002C4E29" w:rsidRPr="0024454A" w:rsidRDefault="002C4E29" w:rsidP="002C4E29">
            <w:pPr>
              <w:spacing w:before="0" w:after="0" w:line="240" w:lineRule="auto"/>
              <w:ind w:hanging="3"/>
              <w:rPr>
                <w:b/>
                <w:bCs/>
                <w:color w:val="000000"/>
                <w:sz w:val="20"/>
              </w:rPr>
            </w:pPr>
            <w:r w:rsidRPr="0024454A">
              <w:rPr>
                <w:b/>
                <w:bCs/>
                <w:color w:val="000000"/>
                <w:sz w:val="20"/>
                <w:vertAlign w:val="superscript"/>
              </w:rPr>
              <w:t>55</w:t>
            </w:r>
            <w:r w:rsidRPr="0024454A">
              <w:rPr>
                <w:b/>
                <w:bCs/>
                <w:color w:val="000000"/>
                <w:sz w:val="20"/>
              </w:rPr>
              <w:t>Fe</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4.59E+03</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3.56E+03</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1.29E+03</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3.62E+02</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2.86E+01</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2.26E+00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1.78E-01</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1.41E-02</w:t>
            </w:r>
          </w:p>
        </w:tc>
      </w:tr>
      <w:tr w:rsidR="002C4E29" w:rsidRPr="0024454A" w:rsidTr="002C4E29">
        <w:trPr>
          <w:trHeight w:val="300"/>
        </w:trPr>
        <w:tc>
          <w:tcPr>
            <w:tcW w:w="972" w:type="dxa"/>
            <w:tcBorders>
              <w:top w:val="nil"/>
              <w:left w:val="single" w:sz="4" w:space="0" w:color="auto"/>
              <w:bottom w:val="single" w:sz="4" w:space="0" w:color="auto"/>
              <w:right w:val="single" w:sz="4" w:space="0" w:color="auto"/>
            </w:tcBorders>
            <w:shd w:val="clear" w:color="auto" w:fill="auto"/>
            <w:noWrap/>
            <w:vAlign w:val="center"/>
            <w:hideMark/>
          </w:tcPr>
          <w:p w:rsidR="002C4E29" w:rsidRPr="0024454A" w:rsidRDefault="002C4E29" w:rsidP="002C4E29">
            <w:pPr>
              <w:spacing w:before="0" w:after="0" w:line="240" w:lineRule="auto"/>
              <w:ind w:hanging="3"/>
              <w:rPr>
                <w:b/>
                <w:bCs/>
                <w:color w:val="000000"/>
                <w:sz w:val="20"/>
              </w:rPr>
            </w:pPr>
            <w:r w:rsidRPr="0024454A">
              <w:rPr>
                <w:b/>
                <w:bCs/>
                <w:color w:val="000000"/>
                <w:sz w:val="20"/>
                <w:vertAlign w:val="superscript"/>
              </w:rPr>
              <w:t>60</w:t>
            </w:r>
            <w:r w:rsidRPr="0024454A">
              <w:rPr>
                <w:b/>
                <w:bCs/>
                <w:color w:val="000000"/>
                <w:sz w:val="20"/>
              </w:rPr>
              <w:t>Co</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4.38E+02</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3.84E+02</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2.27E+02</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1.17E+02</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3.15E+01</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8.46E+00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2.27E+00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6.09E-01</w:t>
            </w:r>
          </w:p>
        </w:tc>
      </w:tr>
      <w:tr w:rsidR="002C4E29" w:rsidRPr="0024454A" w:rsidTr="002C4E29">
        <w:trPr>
          <w:trHeight w:val="300"/>
        </w:trPr>
        <w:tc>
          <w:tcPr>
            <w:tcW w:w="972" w:type="dxa"/>
            <w:tcBorders>
              <w:top w:val="nil"/>
              <w:left w:val="single" w:sz="4" w:space="0" w:color="auto"/>
              <w:bottom w:val="single" w:sz="4" w:space="0" w:color="auto"/>
              <w:right w:val="single" w:sz="4" w:space="0" w:color="auto"/>
            </w:tcBorders>
            <w:shd w:val="clear" w:color="auto" w:fill="auto"/>
            <w:noWrap/>
            <w:vAlign w:val="center"/>
            <w:hideMark/>
          </w:tcPr>
          <w:p w:rsidR="002C4E29" w:rsidRPr="0024454A" w:rsidRDefault="002C4E29" w:rsidP="002C4E29">
            <w:pPr>
              <w:spacing w:before="0" w:after="0" w:line="240" w:lineRule="auto"/>
              <w:ind w:hanging="3"/>
              <w:rPr>
                <w:b/>
                <w:bCs/>
                <w:color w:val="000000"/>
                <w:sz w:val="20"/>
              </w:rPr>
            </w:pPr>
            <w:r w:rsidRPr="0024454A">
              <w:rPr>
                <w:b/>
                <w:bCs/>
                <w:color w:val="000000"/>
                <w:sz w:val="20"/>
                <w:vertAlign w:val="superscript"/>
              </w:rPr>
              <w:t>63</w:t>
            </w:r>
            <w:r w:rsidRPr="0024454A">
              <w:rPr>
                <w:b/>
                <w:bCs/>
                <w:color w:val="000000"/>
                <w:sz w:val="20"/>
              </w:rPr>
              <w:t>Ni</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1.99E+01</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1.97E+01</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1.92E+01</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1.85E+01</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1.73E+01</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1.61E+01</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1.50E+01</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1.40E+01</w:t>
            </w:r>
          </w:p>
        </w:tc>
      </w:tr>
      <w:tr w:rsidR="002C4E29" w:rsidRPr="0024454A" w:rsidTr="002C4E29">
        <w:trPr>
          <w:trHeight w:val="300"/>
        </w:trPr>
        <w:tc>
          <w:tcPr>
            <w:tcW w:w="972" w:type="dxa"/>
            <w:tcBorders>
              <w:top w:val="nil"/>
              <w:left w:val="single" w:sz="4" w:space="0" w:color="auto"/>
              <w:bottom w:val="single" w:sz="4" w:space="0" w:color="auto"/>
              <w:right w:val="single" w:sz="4" w:space="0" w:color="auto"/>
            </w:tcBorders>
            <w:shd w:val="clear" w:color="auto" w:fill="auto"/>
            <w:noWrap/>
            <w:vAlign w:val="center"/>
            <w:hideMark/>
          </w:tcPr>
          <w:p w:rsidR="002C4E29" w:rsidRPr="0024454A" w:rsidRDefault="002C4E29" w:rsidP="002C4E29">
            <w:pPr>
              <w:spacing w:before="0" w:after="0" w:line="240" w:lineRule="auto"/>
              <w:ind w:hanging="3"/>
              <w:rPr>
                <w:b/>
                <w:bCs/>
                <w:color w:val="000000"/>
                <w:sz w:val="20"/>
              </w:rPr>
            </w:pPr>
            <w:r w:rsidRPr="0024454A">
              <w:rPr>
                <w:b/>
                <w:bCs/>
                <w:color w:val="000000"/>
                <w:sz w:val="20"/>
                <w:vertAlign w:val="superscript"/>
              </w:rPr>
              <w:t>14</w:t>
            </w:r>
            <w:r w:rsidRPr="0024454A">
              <w:rPr>
                <w:b/>
                <w:bCs/>
                <w:color w:val="000000"/>
                <w:sz w:val="20"/>
              </w:rPr>
              <w:t>C</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6.24E+00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6.24E+00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6.24E+00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6.24E+00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6.23E+00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6.22E+00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6.21E+00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6.21E+00</w:t>
            </w:r>
          </w:p>
        </w:tc>
      </w:tr>
      <w:tr w:rsidR="002C4E29" w:rsidRPr="0024454A" w:rsidTr="002C4E29">
        <w:trPr>
          <w:trHeight w:val="300"/>
        </w:trPr>
        <w:tc>
          <w:tcPr>
            <w:tcW w:w="972" w:type="dxa"/>
            <w:tcBorders>
              <w:top w:val="nil"/>
              <w:left w:val="single" w:sz="4" w:space="0" w:color="auto"/>
              <w:bottom w:val="single" w:sz="4" w:space="0" w:color="auto"/>
              <w:right w:val="single" w:sz="4" w:space="0" w:color="auto"/>
            </w:tcBorders>
            <w:shd w:val="clear" w:color="auto" w:fill="auto"/>
            <w:noWrap/>
            <w:vAlign w:val="center"/>
            <w:hideMark/>
          </w:tcPr>
          <w:p w:rsidR="002C4E29" w:rsidRPr="0024454A" w:rsidRDefault="002C4E29" w:rsidP="002C4E29">
            <w:pPr>
              <w:spacing w:before="0" w:after="0" w:line="240" w:lineRule="auto"/>
              <w:ind w:hanging="3"/>
              <w:rPr>
                <w:b/>
                <w:bCs/>
                <w:color w:val="000000"/>
                <w:sz w:val="20"/>
              </w:rPr>
            </w:pPr>
            <w:r w:rsidRPr="0024454A">
              <w:rPr>
                <w:b/>
                <w:bCs/>
                <w:color w:val="000000"/>
                <w:sz w:val="20"/>
                <w:vertAlign w:val="superscript"/>
              </w:rPr>
              <w:t>125</w:t>
            </w:r>
            <w:r w:rsidRPr="0024454A">
              <w:rPr>
                <w:b/>
                <w:bCs/>
                <w:color w:val="000000"/>
                <w:sz w:val="20"/>
              </w:rPr>
              <w:t>Sb</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4.70E+01</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3.64E+01</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1.32E+01</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3.71E+00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2.93E-01</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2.31E-02</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1.82E-03</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1.44E-04</w:t>
            </w:r>
          </w:p>
        </w:tc>
      </w:tr>
      <w:tr w:rsidR="002C4E29" w:rsidRPr="0024454A" w:rsidTr="002C4E29">
        <w:trPr>
          <w:trHeight w:val="300"/>
        </w:trPr>
        <w:tc>
          <w:tcPr>
            <w:tcW w:w="972" w:type="dxa"/>
            <w:tcBorders>
              <w:top w:val="nil"/>
              <w:left w:val="single" w:sz="4" w:space="0" w:color="auto"/>
              <w:bottom w:val="single" w:sz="4" w:space="0" w:color="auto"/>
              <w:right w:val="single" w:sz="4" w:space="0" w:color="auto"/>
            </w:tcBorders>
            <w:shd w:val="clear" w:color="auto" w:fill="auto"/>
            <w:noWrap/>
            <w:vAlign w:val="center"/>
            <w:hideMark/>
          </w:tcPr>
          <w:p w:rsidR="002C4E29" w:rsidRPr="0024454A" w:rsidRDefault="002C4E29" w:rsidP="002C4E29">
            <w:pPr>
              <w:spacing w:before="0" w:after="0" w:line="240" w:lineRule="auto"/>
              <w:ind w:hanging="3"/>
              <w:rPr>
                <w:b/>
                <w:bCs/>
                <w:color w:val="000000"/>
                <w:sz w:val="20"/>
              </w:rPr>
            </w:pPr>
            <w:r w:rsidRPr="0024454A">
              <w:rPr>
                <w:b/>
                <w:bCs/>
                <w:color w:val="000000"/>
                <w:sz w:val="20"/>
                <w:vertAlign w:val="superscript"/>
              </w:rPr>
              <w:t>204</w:t>
            </w:r>
            <w:r w:rsidRPr="0024454A">
              <w:rPr>
                <w:b/>
                <w:bCs/>
                <w:color w:val="000000"/>
                <w:sz w:val="20"/>
              </w:rPr>
              <w:t>Tl</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1.61E+01</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1.34E+01</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6.43E+00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2.57E+00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4.11E-01</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6.57E-02</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1.05E-02</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1.68E-03</w:t>
            </w:r>
          </w:p>
        </w:tc>
      </w:tr>
      <w:tr w:rsidR="002C4E29" w:rsidRPr="0024454A" w:rsidTr="002C4E29">
        <w:trPr>
          <w:trHeight w:val="300"/>
        </w:trPr>
        <w:tc>
          <w:tcPr>
            <w:tcW w:w="972" w:type="dxa"/>
            <w:tcBorders>
              <w:top w:val="nil"/>
              <w:left w:val="single" w:sz="4" w:space="0" w:color="auto"/>
              <w:bottom w:val="single" w:sz="4" w:space="0" w:color="auto"/>
              <w:right w:val="single" w:sz="4" w:space="0" w:color="auto"/>
            </w:tcBorders>
            <w:shd w:val="clear" w:color="auto" w:fill="auto"/>
            <w:noWrap/>
            <w:vAlign w:val="center"/>
            <w:hideMark/>
          </w:tcPr>
          <w:p w:rsidR="002C4E29" w:rsidRPr="0024454A" w:rsidRDefault="002C4E29" w:rsidP="002C4E29">
            <w:pPr>
              <w:spacing w:before="0" w:after="0" w:line="240" w:lineRule="auto"/>
              <w:ind w:hanging="3"/>
              <w:rPr>
                <w:b/>
                <w:bCs/>
                <w:color w:val="000000"/>
                <w:sz w:val="20"/>
              </w:rPr>
            </w:pPr>
            <w:r w:rsidRPr="0024454A">
              <w:rPr>
                <w:b/>
                <w:bCs/>
                <w:color w:val="000000"/>
                <w:sz w:val="20"/>
                <w:vertAlign w:val="superscript"/>
              </w:rPr>
              <w:t>85</w:t>
            </w:r>
            <w:r w:rsidRPr="0024454A">
              <w:rPr>
                <w:b/>
                <w:bCs/>
                <w:color w:val="000000"/>
                <w:sz w:val="20"/>
              </w:rPr>
              <w:t>Kr</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3.10E+00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2.90E+00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2.24E+00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1.62E+00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8.49E-01</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4.45E-01</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2.33E-01</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1.22E-01</w:t>
            </w:r>
          </w:p>
        </w:tc>
      </w:tr>
      <w:tr w:rsidR="002C4E29" w:rsidRPr="0024454A" w:rsidTr="002C4E29">
        <w:trPr>
          <w:trHeight w:val="300"/>
        </w:trPr>
        <w:tc>
          <w:tcPr>
            <w:tcW w:w="972" w:type="dxa"/>
            <w:tcBorders>
              <w:top w:val="nil"/>
              <w:left w:val="single" w:sz="4" w:space="0" w:color="auto"/>
              <w:bottom w:val="single" w:sz="4" w:space="0" w:color="auto"/>
              <w:right w:val="single" w:sz="4" w:space="0" w:color="auto"/>
            </w:tcBorders>
            <w:shd w:val="clear" w:color="auto" w:fill="auto"/>
            <w:noWrap/>
            <w:vAlign w:val="center"/>
            <w:hideMark/>
          </w:tcPr>
          <w:p w:rsidR="002C4E29" w:rsidRPr="0024454A" w:rsidRDefault="002C4E29" w:rsidP="002C4E29">
            <w:pPr>
              <w:spacing w:before="0" w:after="0" w:line="240" w:lineRule="auto"/>
              <w:ind w:hanging="3"/>
              <w:rPr>
                <w:b/>
                <w:bCs/>
                <w:color w:val="000000"/>
                <w:sz w:val="20"/>
              </w:rPr>
            </w:pPr>
            <w:r w:rsidRPr="0024454A">
              <w:rPr>
                <w:b/>
                <w:bCs/>
                <w:color w:val="000000"/>
                <w:sz w:val="20"/>
                <w:vertAlign w:val="superscript"/>
              </w:rPr>
              <w:t>137</w:t>
            </w:r>
            <w:r w:rsidRPr="0024454A">
              <w:rPr>
                <w:b/>
                <w:bCs/>
                <w:color w:val="000000"/>
                <w:sz w:val="20"/>
              </w:rPr>
              <w:t>Cs</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1.79E+00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1.75E+00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1.60E+00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1.42E+00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1.13E+00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8.98E-01</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7.12E-01</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5.66E-01</w:t>
            </w:r>
          </w:p>
        </w:tc>
      </w:tr>
      <w:tr w:rsidR="002C4E29" w:rsidRPr="0024454A" w:rsidTr="002C4E29">
        <w:trPr>
          <w:trHeight w:val="300"/>
        </w:trPr>
        <w:tc>
          <w:tcPr>
            <w:tcW w:w="972" w:type="dxa"/>
            <w:tcBorders>
              <w:top w:val="nil"/>
              <w:left w:val="single" w:sz="4" w:space="0" w:color="auto"/>
              <w:bottom w:val="single" w:sz="4" w:space="0" w:color="auto"/>
              <w:right w:val="single" w:sz="4" w:space="0" w:color="auto"/>
            </w:tcBorders>
            <w:shd w:val="clear" w:color="auto" w:fill="auto"/>
            <w:noWrap/>
            <w:vAlign w:val="center"/>
            <w:hideMark/>
          </w:tcPr>
          <w:p w:rsidR="002C4E29" w:rsidRPr="0024454A" w:rsidRDefault="002C4E29" w:rsidP="002C4E29">
            <w:pPr>
              <w:spacing w:before="0" w:after="0" w:line="240" w:lineRule="auto"/>
              <w:ind w:hanging="3"/>
              <w:rPr>
                <w:b/>
                <w:bCs/>
                <w:color w:val="000000"/>
                <w:sz w:val="20"/>
              </w:rPr>
            </w:pPr>
            <w:r w:rsidRPr="0024454A">
              <w:rPr>
                <w:b/>
                <w:bCs/>
                <w:color w:val="000000"/>
                <w:sz w:val="20"/>
                <w:vertAlign w:val="superscript"/>
              </w:rPr>
              <w:t>137m</w:t>
            </w:r>
            <w:r w:rsidRPr="0024454A">
              <w:rPr>
                <w:b/>
                <w:bCs/>
                <w:color w:val="000000"/>
                <w:sz w:val="20"/>
              </w:rPr>
              <w:t>Ba</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1.99E+00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1.66E+00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1.51E+00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1.35E+00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1.07E+00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8.48E-01</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6.73E-01</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5.34E-01</w:t>
            </w:r>
          </w:p>
        </w:tc>
      </w:tr>
      <w:tr w:rsidR="002C4E29" w:rsidRPr="0024454A" w:rsidTr="002C4E29">
        <w:trPr>
          <w:trHeight w:val="300"/>
        </w:trPr>
        <w:tc>
          <w:tcPr>
            <w:tcW w:w="972" w:type="dxa"/>
            <w:tcBorders>
              <w:top w:val="nil"/>
              <w:left w:val="single" w:sz="4" w:space="0" w:color="auto"/>
              <w:bottom w:val="single" w:sz="4" w:space="0" w:color="auto"/>
              <w:right w:val="single" w:sz="4" w:space="0" w:color="auto"/>
            </w:tcBorders>
            <w:shd w:val="clear" w:color="auto" w:fill="auto"/>
            <w:noWrap/>
            <w:vAlign w:val="center"/>
            <w:hideMark/>
          </w:tcPr>
          <w:p w:rsidR="002C4E29" w:rsidRPr="0024454A" w:rsidRDefault="002C4E29" w:rsidP="002C4E29">
            <w:pPr>
              <w:spacing w:before="0" w:after="0" w:line="240" w:lineRule="auto"/>
              <w:ind w:hanging="3"/>
              <w:rPr>
                <w:b/>
                <w:bCs/>
                <w:color w:val="000000"/>
                <w:sz w:val="20"/>
              </w:rPr>
            </w:pPr>
            <w:r w:rsidRPr="0024454A">
              <w:rPr>
                <w:b/>
                <w:bCs/>
                <w:color w:val="000000"/>
                <w:sz w:val="20"/>
              </w:rPr>
              <w:t>Total</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8.91E+06</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1.48E+05</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1.15E+05</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8.61E+04</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4.89E+04</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2.79E+04</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1.59E+04</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9.06E+03</w:t>
            </w:r>
          </w:p>
        </w:tc>
      </w:tr>
    </w:tbl>
    <w:p w:rsidR="002C4E29" w:rsidRPr="00CA2E5F" w:rsidRDefault="002C4E29" w:rsidP="002C4E29"/>
    <w:p w:rsidR="002C4E29" w:rsidRPr="00CA2E5F" w:rsidRDefault="002C4E29" w:rsidP="002C4E29"/>
    <w:p w:rsidR="002C4E29" w:rsidRPr="00CA2E5F" w:rsidRDefault="002C4E29" w:rsidP="002C4E29"/>
    <w:p w:rsidR="002C4E29" w:rsidRPr="00CA2E5F" w:rsidRDefault="002C4E29" w:rsidP="002C4E29"/>
    <w:p w:rsidR="002C4E29" w:rsidRPr="0024454A" w:rsidRDefault="00BA2085" w:rsidP="00BA2085">
      <w:pPr>
        <w:pStyle w:val="Caption"/>
      </w:pPr>
      <w:bookmarkStart w:id="267" w:name="_Ref285537433"/>
      <w:bookmarkStart w:id="268" w:name="_Toc295818278"/>
      <w:proofErr w:type="gramStart"/>
      <w:r>
        <w:t xml:space="preserve">Table </w:t>
      </w:r>
      <w:r w:rsidR="007511FA">
        <w:fldChar w:fldCharType="begin"/>
      </w:r>
      <w:r w:rsidR="00AE17F8">
        <w:instrText xml:space="preserve"> STYLEREF 1 \s </w:instrText>
      </w:r>
      <w:r w:rsidR="007511FA">
        <w:fldChar w:fldCharType="separate"/>
      </w:r>
      <w:r w:rsidR="00D5167B">
        <w:rPr>
          <w:noProof/>
        </w:rPr>
        <w:t>6</w:t>
      </w:r>
      <w:r w:rsidR="007511FA">
        <w:fldChar w:fldCharType="end"/>
      </w:r>
      <w:r w:rsidR="00DE5151">
        <w:t>.</w:t>
      </w:r>
      <w:proofErr w:type="gramEnd"/>
      <w:r w:rsidR="007511FA">
        <w:fldChar w:fldCharType="begin"/>
      </w:r>
      <w:r w:rsidR="00C43F40">
        <w:instrText xml:space="preserve"> SEQ Table \* ARABIC \s 1 </w:instrText>
      </w:r>
      <w:r w:rsidR="007511FA">
        <w:fldChar w:fldCharType="separate"/>
      </w:r>
      <w:r w:rsidR="00D5167B">
        <w:rPr>
          <w:noProof/>
        </w:rPr>
        <w:t>5</w:t>
      </w:r>
      <w:r w:rsidR="007511FA">
        <w:fldChar w:fldCharType="end"/>
      </w:r>
      <w:bookmarkEnd w:id="267"/>
      <w:r w:rsidR="002C4E29" w:rsidRPr="0024454A">
        <w:t xml:space="preserve">.  </w:t>
      </w:r>
      <w:proofErr w:type="gramStart"/>
      <w:r w:rsidR="002C4E29">
        <w:t>R</w:t>
      </w:r>
      <w:r w:rsidR="002C4E29" w:rsidRPr="0024454A">
        <w:t xml:space="preserve">epresentative SPB </w:t>
      </w:r>
      <w:r w:rsidR="002C4E29">
        <w:t xml:space="preserve">post-discharge </w:t>
      </w:r>
      <w:proofErr w:type="spellStart"/>
      <w:r w:rsidR="002C4E29" w:rsidRPr="0024454A">
        <w:t>radionuclides</w:t>
      </w:r>
      <w:proofErr w:type="spellEnd"/>
      <w:r w:rsidR="002C4E29" w:rsidRPr="0024454A">
        <w:t xml:space="preserve"> (</w:t>
      </w:r>
      <w:proofErr w:type="spellStart"/>
      <w:r w:rsidR="002C4E29" w:rsidRPr="0024454A">
        <w:t>Ci</w:t>
      </w:r>
      <w:proofErr w:type="spellEnd"/>
      <w:r w:rsidR="002C4E29" w:rsidRPr="0024454A">
        <w:t>) (ORIGEN-S).</w:t>
      </w:r>
      <w:bookmarkEnd w:id="268"/>
      <w:proofErr w:type="gramEnd"/>
    </w:p>
    <w:tbl>
      <w:tblPr>
        <w:tblW w:w="9348" w:type="dxa"/>
        <w:tblInd w:w="93" w:type="dxa"/>
        <w:tblLook w:val="04A0"/>
      </w:tblPr>
      <w:tblGrid>
        <w:gridCol w:w="972"/>
        <w:gridCol w:w="1047"/>
        <w:gridCol w:w="1047"/>
        <w:gridCol w:w="1047"/>
        <w:gridCol w:w="1047"/>
        <w:gridCol w:w="1047"/>
        <w:gridCol w:w="1047"/>
        <w:gridCol w:w="1047"/>
        <w:gridCol w:w="1047"/>
      </w:tblGrid>
      <w:tr w:rsidR="002C4E29" w:rsidRPr="0024454A" w:rsidTr="002C4E29">
        <w:trPr>
          <w:trHeight w:val="300"/>
        </w:trPr>
        <w:tc>
          <w:tcPr>
            <w:tcW w:w="97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2C4E29" w:rsidRPr="0024454A" w:rsidRDefault="002C4E29" w:rsidP="002C4E29">
            <w:pPr>
              <w:spacing w:before="0" w:after="0" w:line="240" w:lineRule="auto"/>
              <w:ind w:hanging="3"/>
              <w:jc w:val="center"/>
              <w:rPr>
                <w:b/>
                <w:bCs/>
                <w:color w:val="000000"/>
                <w:sz w:val="20"/>
              </w:rPr>
            </w:pPr>
            <w:r>
              <w:rPr>
                <w:b/>
                <w:bCs/>
                <w:color w:val="000000"/>
                <w:sz w:val="20"/>
              </w:rPr>
              <w:t>N</w:t>
            </w:r>
            <w:r w:rsidRPr="0024454A">
              <w:rPr>
                <w:b/>
                <w:bCs/>
                <w:color w:val="000000"/>
                <w:sz w:val="20"/>
              </w:rPr>
              <w:t>uclide</w:t>
            </w:r>
          </w:p>
        </w:tc>
        <w:tc>
          <w:tcPr>
            <w:tcW w:w="8376" w:type="dxa"/>
            <w:gridSpan w:val="8"/>
            <w:tcBorders>
              <w:top w:val="single" w:sz="4" w:space="0" w:color="auto"/>
              <w:left w:val="nil"/>
              <w:bottom w:val="single" w:sz="4" w:space="0" w:color="auto"/>
              <w:right w:val="single" w:sz="4" w:space="0" w:color="000000"/>
            </w:tcBorders>
            <w:shd w:val="clear" w:color="auto" w:fill="auto"/>
            <w:noWrap/>
            <w:vAlign w:val="bottom"/>
            <w:hideMark/>
          </w:tcPr>
          <w:p w:rsidR="002C4E29" w:rsidRPr="0024454A" w:rsidRDefault="002C4E29" w:rsidP="002C4E29">
            <w:pPr>
              <w:spacing w:before="0" w:after="0" w:line="240" w:lineRule="auto"/>
              <w:ind w:hanging="3"/>
              <w:jc w:val="center"/>
              <w:rPr>
                <w:b/>
                <w:bCs/>
                <w:color w:val="000000"/>
                <w:sz w:val="20"/>
              </w:rPr>
            </w:pPr>
            <w:r>
              <w:rPr>
                <w:b/>
                <w:bCs/>
                <w:color w:val="000000"/>
                <w:sz w:val="20"/>
              </w:rPr>
              <w:t>Years Following SPB D</w:t>
            </w:r>
            <w:r w:rsidRPr="0024454A">
              <w:rPr>
                <w:b/>
                <w:bCs/>
                <w:color w:val="000000"/>
                <w:sz w:val="20"/>
              </w:rPr>
              <w:t xml:space="preserve">ischarge (EOL ~ </w:t>
            </w:r>
            <w:r>
              <w:rPr>
                <w:b/>
                <w:bCs/>
                <w:color w:val="000000"/>
                <w:sz w:val="20"/>
              </w:rPr>
              <w:t>204</w:t>
            </w:r>
            <w:r w:rsidRPr="0024454A">
              <w:rPr>
                <w:b/>
                <w:bCs/>
                <w:color w:val="000000"/>
                <w:sz w:val="20"/>
              </w:rPr>
              <w:t xml:space="preserve"> </w:t>
            </w:r>
            <w:proofErr w:type="spellStart"/>
            <w:r w:rsidRPr="0024454A">
              <w:rPr>
                <w:b/>
                <w:bCs/>
                <w:color w:val="000000"/>
                <w:sz w:val="20"/>
              </w:rPr>
              <w:t>GWd</w:t>
            </w:r>
            <w:proofErr w:type="spellEnd"/>
            <w:r w:rsidRPr="0024454A">
              <w:rPr>
                <w:b/>
                <w:bCs/>
                <w:color w:val="000000"/>
                <w:sz w:val="20"/>
              </w:rPr>
              <w:t>)</w:t>
            </w:r>
          </w:p>
        </w:tc>
      </w:tr>
      <w:tr w:rsidR="002C4E29" w:rsidRPr="0024454A" w:rsidTr="002C4E29">
        <w:trPr>
          <w:trHeight w:val="300"/>
        </w:trPr>
        <w:tc>
          <w:tcPr>
            <w:tcW w:w="972" w:type="dxa"/>
            <w:vMerge/>
            <w:tcBorders>
              <w:top w:val="single" w:sz="4" w:space="0" w:color="auto"/>
              <w:left w:val="single" w:sz="4" w:space="0" w:color="auto"/>
              <w:bottom w:val="single" w:sz="4" w:space="0" w:color="000000"/>
              <w:right w:val="single" w:sz="4" w:space="0" w:color="auto"/>
            </w:tcBorders>
            <w:vAlign w:val="center"/>
            <w:hideMark/>
          </w:tcPr>
          <w:p w:rsidR="002C4E29" w:rsidRPr="0024454A" w:rsidRDefault="002C4E29" w:rsidP="002C4E29">
            <w:pPr>
              <w:spacing w:before="0" w:after="0" w:line="240" w:lineRule="auto"/>
              <w:ind w:hanging="3"/>
              <w:rPr>
                <w:b/>
                <w:bCs/>
                <w:color w:val="000000"/>
                <w:sz w:val="20"/>
              </w:rPr>
            </w:pP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b/>
                <w:bCs/>
                <w:color w:val="000000"/>
                <w:sz w:val="20"/>
              </w:rPr>
            </w:pPr>
            <w:r w:rsidRPr="0024454A">
              <w:rPr>
                <w:b/>
                <w:bCs/>
                <w:color w:val="000000"/>
                <w:sz w:val="20"/>
              </w:rPr>
              <w:t>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b/>
                <w:bCs/>
                <w:color w:val="000000"/>
                <w:sz w:val="20"/>
              </w:rPr>
            </w:pPr>
            <w:r w:rsidRPr="0024454A">
              <w:rPr>
                <w:b/>
                <w:bCs/>
                <w:color w:val="000000"/>
                <w:sz w:val="20"/>
              </w:rPr>
              <w:t>1</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b/>
                <w:bCs/>
                <w:color w:val="000000"/>
                <w:sz w:val="20"/>
              </w:rPr>
            </w:pPr>
            <w:r w:rsidRPr="0024454A">
              <w:rPr>
                <w:b/>
                <w:bCs/>
                <w:color w:val="000000"/>
                <w:sz w:val="20"/>
              </w:rPr>
              <w:t>5</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b/>
                <w:bCs/>
                <w:color w:val="000000"/>
                <w:sz w:val="20"/>
              </w:rPr>
            </w:pPr>
            <w:r w:rsidRPr="0024454A">
              <w:rPr>
                <w:b/>
                <w:bCs/>
                <w:color w:val="000000"/>
                <w:sz w:val="20"/>
              </w:rPr>
              <w:t>10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b/>
                <w:bCs/>
                <w:color w:val="000000"/>
                <w:sz w:val="20"/>
              </w:rPr>
            </w:pPr>
            <w:r w:rsidRPr="0024454A">
              <w:rPr>
                <w:b/>
                <w:bCs/>
                <w:color w:val="000000"/>
                <w:sz w:val="20"/>
              </w:rPr>
              <w:t>20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b/>
                <w:bCs/>
                <w:color w:val="000000"/>
                <w:sz w:val="20"/>
              </w:rPr>
            </w:pPr>
            <w:r w:rsidRPr="0024454A">
              <w:rPr>
                <w:b/>
                <w:bCs/>
                <w:color w:val="000000"/>
                <w:sz w:val="20"/>
              </w:rPr>
              <w:t>30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b/>
                <w:bCs/>
                <w:color w:val="000000"/>
                <w:sz w:val="20"/>
              </w:rPr>
            </w:pPr>
            <w:r w:rsidRPr="0024454A">
              <w:rPr>
                <w:b/>
                <w:bCs/>
                <w:color w:val="000000"/>
                <w:sz w:val="20"/>
              </w:rPr>
              <w:t>40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b/>
                <w:bCs/>
                <w:color w:val="000000"/>
                <w:sz w:val="20"/>
              </w:rPr>
            </w:pPr>
            <w:r w:rsidRPr="0024454A">
              <w:rPr>
                <w:b/>
                <w:bCs/>
                <w:color w:val="000000"/>
                <w:sz w:val="20"/>
              </w:rPr>
              <w:t>50</w:t>
            </w:r>
          </w:p>
        </w:tc>
      </w:tr>
      <w:tr w:rsidR="002C4E29" w:rsidRPr="0024454A" w:rsidTr="002C4E29">
        <w:trPr>
          <w:trHeight w:val="300"/>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rPr>
                <w:b/>
                <w:bCs/>
                <w:color w:val="000000"/>
                <w:sz w:val="20"/>
              </w:rPr>
            </w:pPr>
            <w:r w:rsidRPr="0024454A">
              <w:rPr>
                <w:b/>
                <w:bCs/>
                <w:color w:val="000000"/>
                <w:sz w:val="20"/>
                <w:vertAlign w:val="superscript"/>
              </w:rPr>
              <w:t>3</w:t>
            </w:r>
            <w:r>
              <w:rPr>
                <w:b/>
                <w:bCs/>
                <w:color w:val="000000"/>
                <w:sz w:val="20"/>
              </w:rPr>
              <w:t>H</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1.09E+05</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1.03E+05</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8.22E+04</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6.20E+04</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3.54E+04</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2.02E+04</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1.15E+04</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6.55E+03</w:t>
            </w:r>
          </w:p>
        </w:tc>
      </w:tr>
      <w:tr w:rsidR="002C4E29" w:rsidRPr="0024454A" w:rsidTr="002C4E29">
        <w:trPr>
          <w:trHeight w:val="300"/>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rPr>
                <w:b/>
                <w:bCs/>
                <w:color w:val="000000"/>
                <w:sz w:val="20"/>
              </w:rPr>
            </w:pPr>
            <w:r w:rsidRPr="0024454A">
              <w:rPr>
                <w:b/>
                <w:bCs/>
                <w:color w:val="000000"/>
                <w:sz w:val="20"/>
                <w:vertAlign w:val="superscript"/>
              </w:rPr>
              <w:t>60</w:t>
            </w:r>
            <w:r>
              <w:rPr>
                <w:b/>
                <w:bCs/>
                <w:color w:val="000000"/>
                <w:sz w:val="20"/>
              </w:rPr>
              <w:t>Co</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4.67E+02</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4.10E+02</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2.42E+02</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1.25E+02</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3.37E+01</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9.03E+00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2.42E+00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6.51E-01</w:t>
            </w:r>
          </w:p>
        </w:tc>
      </w:tr>
      <w:tr w:rsidR="002C4E29" w:rsidRPr="0024454A" w:rsidTr="002C4E29">
        <w:trPr>
          <w:trHeight w:val="300"/>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rPr>
                <w:b/>
                <w:bCs/>
                <w:color w:val="000000"/>
                <w:sz w:val="20"/>
              </w:rPr>
            </w:pPr>
            <w:r w:rsidRPr="0024454A">
              <w:rPr>
                <w:b/>
                <w:bCs/>
                <w:color w:val="000000"/>
                <w:sz w:val="20"/>
                <w:vertAlign w:val="superscript"/>
              </w:rPr>
              <w:t>55</w:t>
            </w:r>
            <w:r>
              <w:rPr>
                <w:b/>
                <w:bCs/>
                <w:color w:val="000000"/>
                <w:sz w:val="20"/>
              </w:rPr>
              <w:t>Fe</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1.51E+03</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1.17E+03</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4.24E+02</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1.19E+02</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9.40E+00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7.42E-01</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5.86E-02</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4.63E-03</w:t>
            </w:r>
          </w:p>
        </w:tc>
      </w:tr>
      <w:tr w:rsidR="002C4E29" w:rsidRPr="0024454A" w:rsidTr="002C4E29">
        <w:trPr>
          <w:trHeight w:val="300"/>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rPr>
                <w:b/>
                <w:bCs/>
                <w:color w:val="000000"/>
                <w:sz w:val="20"/>
              </w:rPr>
            </w:pPr>
            <w:r w:rsidRPr="0024454A">
              <w:rPr>
                <w:b/>
                <w:bCs/>
                <w:color w:val="000000"/>
                <w:sz w:val="20"/>
                <w:vertAlign w:val="superscript"/>
              </w:rPr>
              <w:t>14</w:t>
            </w:r>
            <w:r w:rsidRPr="0024454A">
              <w:rPr>
                <w:b/>
                <w:bCs/>
                <w:color w:val="000000"/>
                <w:sz w:val="20"/>
              </w:rPr>
              <w:t>C</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1.67E+01</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1.67E+01</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1.67E+01</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1.67E+01</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1.66E+01</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1.66E+01</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1.66E+01</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1.66E+01</w:t>
            </w:r>
          </w:p>
        </w:tc>
      </w:tr>
      <w:tr w:rsidR="002C4E29" w:rsidRPr="0024454A" w:rsidTr="002C4E29">
        <w:trPr>
          <w:trHeight w:val="300"/>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rPr>
                <w:b/>
                <w:bCs/>
                <w:color w:val="000000"/>
                <w:sz w:val="20"/>
              </w:rPr>
            </w:pPr>
            <w:r w:rsidRPr="0024454A">
              <w:rPr>
                <w:b/>
                <w:bCs/>
                <w:color w:val="000000"/>
                <w:sz w:val="20"/>
                <w:vertAlign w:val="superscript"/>
              </w:rPr>
              <w:t>63</w:t>
            </w:r>
            <w:r>
              <w:rPr>
                <w:b/>
                <w:bCs/>
                <w:color w:val="000000"/>
                <w:sz w:val="20"/>
              </w:rPr>
              <w:t>Ni</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6.84E+00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6.80E+00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6.61E+00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6.39E+00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5.96E+00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5.56E+00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5.19E+00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4.84E+00</w:t>
            </w:r>
          </w:p>
        </w:tc>
      </w:tr>
      <w:tr w:rsidR="002C4E29" w:rsidRPr="0024454A" w:rsidTr="002C4E29">
        <w:trPr>
          <w:trHeight w:val="300"/>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rPr>
                <w:b/>
                <w:bCs/>
                <w:color w:val="000000"/>
                <w:sz w:val="20"/>
              </w:rPr>
            </w:pPr>
            <w:r w:rsidRPr="0024454A">
              <w:rPr>
                <w:b/>
                <w:bCs/>
                <w:color w:val="000000"/>
                <w:sz w:val="20"/>
                <w:vertAlign w:val="superscript"/>
              </w:rPr>
              <w:t>137</w:t>
            </w:r>
            <w:r>
              <w:rPr>
                <w:b/>
                <w:bCs/>
                <w:color w:val="000000"/>
                <w:sz w:val="20"/>
              </w:rPr>
              <w:t>Cs</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3.62E+00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3.53E+00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3.22E+00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2.87E+00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2.28E+00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1.81E+00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1.44E+00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1.14E+00</w:t>
            </w:r>
          </w:p>
        </w:tc>
      </w:tr>
      <w:tr w:rsidR="002C4E29" w:rsidRPr="0024454A" w:rsidTr="002C4E29">
        <w:trPr>
          <w:trHeight w:val="300"/>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rPr>
                <w:b/>
                <w:bCs/>
                <w:color w:val="000000"/>
                <w:sz w:val="20"/>
              </w:rPr>
            </w:pPr>
            <w:r w:rsidRPr="0024454A">
              <w:rPr>
                <w:b/>
                <w:bCs/>
                <w:color w:val="000000"/>
                <w:sz w:val="20"/>
                <w:vertAlign w:val="superscript"/>
              </w:rPr>
              <w:t>137m</w:t>
            </w:r>
            <w:r w:rsidRPr="0024454A">
              <w:rPr>
                <w:b/>
                <w:bCs/>
                <w:color w:val="000000"/>
                <w:sz w:val="20"/>
              </w:rPr>
              <w:t>Ba</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3.96E+00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3.34E+00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3.04E+00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2.71E+00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2.15E+00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1.71E+00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1.35E+00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1.08E+00</w:t>
            </w:r>
          </w:p>
        </w:tc>
      </w:tr>
      <w:tr w:rsidR="002C4E29" w:rsidRPr="0024454A" w:rsidTr="002C4E29">
        <w:trPr>
          <w:trHeight w:val="300"/>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rPr>
                <w:b/>
                <w:bCs/>
                <w:color w:val="000000"/>
                <w:sz w:val="20"/>
              </w:rPr>
            </w:pPr>
            <w:r w:rsidRPr="0024454A">
              <w:rPr>
                <w:b/>
                <w:bCs/>
                <w:color w:val="000000"/>
                <w:sz w:val="20"/>
                <w:vertAlign w:val="superscript"/>
              </w:rPr>
              <w:t>85</w:t>
            </w:r>
            <w:r>
              <w:rPr>
                <w:b/>
                <w:bCs/>
                <w:color w:val="000000"/>
                <w:sz w:val="20"/>
              </w:rPr>
              <w:t>Kr</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4.97E+00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4.66E+00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3.60E+00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2.60E+00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1.36E+00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7.14E-01</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3.74E-01</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1.96E-01</w:t>
            </w:r>
          </w:p>
        </w:tc>
      </w:tr>
      <w:tr w:rsidR="002C4E29" w:rsidRPr="0024454A" w:rsidTr="002C4E29">
        <w:trPr>
          <w:trHeight w:val="300"/>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rPr>
                <w:b/>
                <w:bCs/>
                <w:color w:val="000000"/>
                <w:sz w:val="20"/>
              </w:rPr>
            </w:pPr>
            <w:r w:rsidRPr="0024454A">
              <w:rPr>
                <w:b/>
                <w:bCs/>
                <w:color w:val="000000"/>
                <w:sz w:val="20"/>
                <w:vertAlign w:val="superscript"/>
              </w:rPr>
              <w:t>204</w:t>
            </w:r>
            <w:r>
              <w:rPr>
                <w:b/>
                <w:bCs/>
                <w:color w:val="000000"/>
                <w:sz w:val="20"/>
              </w:rPr>
              <w:t>Tl</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1.41E+01</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1.17E+01</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5.64E+00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2.26E+00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3.60E-01</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5.76E-02</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9.21E-03</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1.47E-03</w:t>
            </w:r>
          </w:p>
        </w:tc>
      </w:tr>
      <w:tr w:rsidR="002C4E29" w:rsidRPr="0024454A" w:rsidTr="002C4E29">
        <w:trPr>
          <w:trHeight w:val="300"/>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rPr>
                <w:b/>
                <w:bCs/>
                <w:color w:val="000000"/>
                <w:sz w:val="20"/>
              </w:rPr>
            </w:pPr>
            <w:r w:rsidRPr="0024454A">
              <w:rPr>
                <w:b/>
                <w:bCs/>
                <w:color w:val="000000"/>
                <w:sz w:val="20"/>
                <w:vertAlign w:val="superscript"/>
              </w:rPr>
              <w:t>10</w:t>
            </w:r>
            <w:r>
              <w:rPr>
                <w:b/>
                <w:bCs/>
                <w:color w:val="000000"/>
                <w:sz w:val="20"/>
              </w:rPr>
              <w:t>Be</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2.08E+00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2.08E+00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2.08E+00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2.08E+00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2.08E+00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2.08E+00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2.08E+00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2.08E+00</w:t>
            </w:r>
          </w:p>
        </w:tc>
      </w:tr>
      <w:tr w:rsidR="002C4E29" w:rsidRPr="0024454A" w:rsidTr="002C4E29">
        <w:trPr>
          <w:trHeight w:val="300"/>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rPr>
                <w:b/>
                <w:bCs/>
                <w:color w:val="000000"/>
                <w:sz w:val="20"/>
              </w:rPr>
            </w:pPr>
            <w:r w:rsidRPr="0024454A">
              <w:rPr>
                <w:b/>
                <w:bCs/>
                <w:color w:val="000000"/>
                <w:sz w:val="20"/>
                <w:vertAlign w:val="superscript"/>
              </w:rPr>
              <w:t>244</w:t>
            </w:r>
            <w:r>
              <w:rPr>
                <w:b/>
                <w:bCs/>
                <w:color w:val="000000"/>
                <w:sz w:val="20"/>
              </w:rPr>
              <w:t>Cm</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1.91E+00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1.84E+00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1.58E+00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1.31E+00</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8.90E-01</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6.07E-01</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4.14E-01</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2.82E-01</w:t>
            </w:r>
          </w:p>
        </w:tc>
      </w:tr>
      <w:tr w:rsidR="002C4E29" w:rsidRPr="0024454A" w:rsidTr="002C4E29">
        <w:trPr>
          <w:trHeight w:val="300"/>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rPr>
                <w:b/>
                <w:bCs/>
                <w:color w:val="000000"/>
                <w:sz w:val="20"/>
              </w:rPr>
            </w:pPr>
            <w:r>
              <w:rPr>
                <w:b/>
                <w:bCs/>
                <w:color w:val="000000"/>
                <w:sz w:val="20"/>
              </w:rPr>
              <w:t>T</w:t>
            </w:r>
            <w:r w:rsidRPr="0024454A">
              <w:rPr>
                <w:b/>
                <w:bCs/>
                <w:color w:val="000000"/>
                <w:sz w:val="20"/>
              </w:rPr>
              <w:t>otal</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2.28E+06</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1.05E+05</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8.29E+04</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6.23E+04</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3.54E+04</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2.02E+04</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1.15E+04</w:t>
            </w:r>
          </w:p>
        </w:tc>
        <w:tc>
          <w:tcPr>
            <w:tcW w:w="1047" w:type="dxa"/>
            <w:tcBorders>
              <w:top w:val="nil"/>
              <w:left w:val="nil"/>
              <w:bottom w:val="single" w:sz="4" w:space="0" w:color="auto"/>
              <w:right w:val="single" w:sz="4" w:space="0" w:color="auto"/>
            </w:tcBorders>
            <w:shd w:val="clear" w:color="auto" w:fill="auto"/>
            <w:noWrap/>
            <w:vAlign w:val="bottom"/>
            <w:hideMark/>
          </w:tcPr>
          <w:p w:rsidR="002C4E29" w:rsidRPr="0024454A" w:rsidRDefault="002C4E29" w:rsidP="002C4E29">
            <w:pPr>
              <w:spacing w:before="0" w:after="0" w:line="240" w:lineRule="auto"/>
              <w:ind w:hanging="3"/>
              <w:jc w:val="center"/>
              <w:rPr>
                <w:color w:val="000000"/>
                <w:sz w:val="20"/>
              </w:rPr>
            </w:pPr>
            <w:r w:rsidRPr="0024454A">
              <w:rPr>
                <w:color w:val="000000"/>
                <w:sz w:val="20"/>
              </w:rPr>
              <w:t>6.57E+03</w:t>
            </w:r>
          </w:p>
        </w:tc>
      </w:tr>
    </w:tbl>
    <w:p w:rsidR="002C4E29" w:rsidRDefault="002C4E29">
      <w:pPr>
        <w:spacing w:before="0" w:after="200" w:line="276" w:lineRule="auto"/>
        <w:ind w:firstLine="0"/>
        <w:jc w:val="left"/>
      </w:pPr>
      <w:r>
        <w:br w:type="page"/>
      </w:r>
    </w:p>
    <w:p w:rsidR="002C4E29" w:rsidRPr="0024454A" w:rsidRDefault="002C4E29" w:rsidP="00CA2E5F">
      <w:pPr>
        <w:spacing w:before="240" w:after="240" w:line="240" w:lineRule="auto"/>
        <w:ind w:firstLine="0"/>
        <w:jc w:val="center"/>
        <w:rPr>
          <w:b/>
        </w:rPr>
      </w:pPr>
      <w:r w:rsidRPr="0024454A">
        <w:rPr>
          <w:b/>
          <w:noProof/>
        </w:rPr>
        <w:lastRenderedPageBreak/>
        <w:drawing>
          <wp:inline distT="0" distB="0" distL="0" distR="0">
            <wp:extent cx="5964959" cy="3840480"/>
            <wp:effectExtent l="19050" t="0" r="16741" b="7620"/>
            <wp:docPr id="78"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rsidR="002C4E29" w:rsidRDefault="00BA2085" w:rsidP="00BA2085">
      <w:pPr>
        <w:pStyle w:val="Caption"/>
      </w:pPr>
      <w:bookmarkStart w:id="269" w:name="_Ref285537402"/>
      <w:bookmarkStart w:id="270" w:name="_Toc295818239"/>
      <w:proofErr w:type="gramStart"/>
      <w:r>
        <w:t xml:space="preserve">Figure </w:t>
      </w:r>
      <w:r w:rsidR="007511FA">
        <w:fldChar w:fldCharType="begin"/>
      </w:r>
      <w:r w:rsidR="00AE17F8">
        <w:instrText xml:space="preserve"> STYLEREF 1 \s </w:instrText>
      </w:r>
      <w:r w:rsidR="007511FA">
        <w:fldChar w:fldCharType="separate"/>
      </w:r>
      <w:r w:rsidR="00D5167B">
        <w:rPr>
          <w:noProof/>
        </w:rPr>
        <w:t>6</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12</w:t>
      </w:r>
      <w:r w:rsidR="007511FA">
        <w:fldChar w:fldCharType="end"/>
      </w:r>
      <w:bookmarkEnd w:id="269"/>
      <w:r w:rsidR="002C4E29" w:rsidRPr="0024454A">
        <w:t xml:space="preserve">.  </w:t>
      </w:r>
      <w:proofErr w:type="gramStart"/>
      <w:r w:rsidR="002C4E29" w:rsidRPr="0024454A">
        <w:t xml:space="preserve">Major RB and SPB aluminum region </w:t>
      </w:r>
      <w:proofErr w:type="spellStart"/>
      <w:r w:rsidR="002C4E29" w:rsidRPr="0024454A">
        <w:t>radionuclides</w:t>
      </w:r>
      <w:proofErr w:type="spellEnd"/>
      <w:r w:rsidR="002C4E29" w:rsidRPr="0024454A">
        <w:t>.</w:t>
      </w:r>
      <w:bookmarkEnd w:id="270"/>
      <w:proofErr w:type="gramEnd"/>
    </w:p>
    <w:p w:rsidR="00BB435A" w:rsidRPr="00CA2E5F" w:rsidRDefault="00BB435A">
      <w:pPr>
        <w:spacing w:before="0" w:after="200" w:line="276" w:lineRule="auto"/>
        <w:ind w:firstLine="0"/>
        <w:jc w:val="left"/>
      </w:pPr>
    </w:p>
    <w:p w:rsidR="002C4E29" w:rsidRDefault="00BB435A" w:rsidP="00AA149C">
      <w:pPr>
        <w:pStyle w:val="Heading2"/>
      </w:pPr>
      <w:bookmarkStart w:id="271" w:name="_Toc295818147"/>
      <w:r>
        <w:t>Beryllium Activation Summary</w:t>
      </w:r>
      <w:bookmarkEnd w:id="271"/>
    </w:p>
    <w:p w:rsidR="00BB435A" w:rsidRPr="00F26DE2" w:rsidRDefault="00BB435A" w:rsidP="00BB435A">
      <w:r>
        <w:t>Helium-3</w:t>
      </w:r>
      <w:r w:rsidRPr="00F26DE2">
        <w:t xml:space="preserve"> is produced and depleted during operation (neutron flux environment) and is produced during an outage (no neutron flux environment) due to the radioactive decay of tritium.  A newly-derived correlation was developed and shown to improve the accuracy of predicting the symmetrical critical control element positions following long periods of down time between cycles.  The newly-derived methodology is currently being </w:t>
      </w:r>
      <w:r>
        <w:t>incorporated in</w:t>
      </w:r>
      <w:r w:rsidRPr="00F26DE2">
        <w:t xml:space="preserve"> the HFIR Estimated Symmetrical Critical Control Element Position procedure.  The explanation for the observed inadequacy of the current procedure for predicting the poisoning effect following long shutdowns</w:t>
      </w:r>
      <w:r>
        <w:t xml:space="preserve"> </w:t>
      </w:r>
      <w:r w:rsidRPr="00F26DE2">
        <w:t xml:space="preserve">(several months) is due to </w:t>
      </w:r>
      <w:r>
        <w:t>the</w:t>
      </w:r>
      <w:r w:rsidRPr="00F26DE2">
        <w:t xml:space="preserve"> buildup of </w:t>
      </w:r>
      <w:r w:rsidRPr="00F26DE2">
        <w:rPr>
          <w:vertAlign w:val="superscript"/>
        </w:rPr>
        <w:t>3</w:t>
      </w:r>
      <w:r w:rsidRPr="00F26DE2">
        <w:t xml:space="preserve">He in the reflector as a function of decay time not corresponding to a linear decrease in reactivity.  The current procedure for estimating poisoning effects had assumed a linear relationship and an operating power of </w:t>
      </w:r>
      <w:r w:rsidRPr="00F26DE2">
        <w:lastRenderedPageBreak/>
        <w:t>100 MW</w:t>
      </w:r>
      <w:r w:rsidRPr="00F26DE2">
        <w:rPr>
          <w:vertAlign w:val="subscript"/>
        </w:rPr>
        <w:t>th</w:t>
      </w:r>
      <w:r>
        <w:t>.  T</w:t>
      </w:r>
      <w:r w:rsidRPr="00F26DE2">
        <w:t>he results derived serve to validate the SCALE system and associated cross section libraries for predicting the in-growth of nuclides during irradiation of beryllium.</w:t>
      </w:r>
    </w:p>
    <w:p w:rsidR="00BB435A" w:rsidRPr="00F26DE2" w:rsidRDefault="00BB435A" w:rsidP="00BB435A">
      <w:r w:rsidRPr="00F26DE2">
        <w:t xml:space="preserve">The results leading to the new reflector reactivity prediction methodology also provided insight into the production rate of other significant nuclides in the beryllium reflector regions.  </w:t>
      </w:r>
      <w:r w:rsidRPr="00F26DE2">
        <w:rPr>
          <w:vertAlign w:val="superscript"/>
        </w:rPr>
        <w:t>6</w:t>
      </w:r>
      <w:r w:rsidRPr="00F26DE2">
        <w:t xml:space="preserve">Li was shown to reach an equilibrium concentration of approximately </w:t>
      </w:r>
      <w:r>
        <w:t xml:space="preserve">1.29 </w:t>
      </w:r>
      <w:proofErr w:type="spellStart"/>
      <w:r>
        <w:rPr>
          <w:rFonts w:ascii="Calibri" w:hAnsi="Calibri"/>
        </w:rPr>
        <w:t>μ</w:t>
      </w:r>
      <w:r>
        <w:t>g</w:t>
      </w:r>
      <w:proofErr w:type="spellEnd"/>
      <w:r>
        <w:t xml:space="preserve">/g </w:t>
      </w:r>
      <w:proofErr w:type="gramStart"/>
      <w:r>
        <w:t>Be</w:t>
      </w:r>
      <w:proofErr w:type="gramEnd"/>
      <w:r w:rsidRPr="00303848">
        <w:t xml:space="preserve"> </w:t>
      </w:r>
      <w:r w:rsidRPr="00F26DE2">
        <w:t>after four to five full power cycles</w:t>
      </w:r>
      <w:r>
        <w:t>.</w:t>
      </w:r>
      <w:r w:rsidRPr="00F26DE2">
        <w:t xml:space="preserve">  He</w:t>
      </w:r>
      <w:r>
        <w:t>lium-3</w:t>
      </w:r>
      <w:r w:rsidRPr="00F26DE2">
        <w:t xml:space="preserve"> was shown to never achieve equilibrium</w:t>
      </w:r>
      <w:r>
        <w:t xml:space="preserve"> and is produced at a rate of a</w:t>
      </w:r>
      <w:r w:rsidRPr="00994E1E">
        <w:t>pproximately 2.5</w:t>
      </w:r>
      <w:r>
        <w:t>5</w:t>
      </w:r>
      <w:r w:rsidRPr="00994E1E">
        <w:t xml:space="preserve"> </w:t>
      </w:r>
      <w:proofErr w:type="spellStart"/>
      <w:r w:rsidRPr="00994E1E">
        <w:t>ng</w:t>
      </w:r>
      <w:proofErr w:type="spellEnd"/>
      <w:r w:rsidRPr="00994E1E">
        <w:t xml:space="preserve">/g </w:t>
      </w:r>
      <w:proofErr w:type="gramStart"/>
      <w:r w:rsidRPr="00994E1E">
        <w:t>Be</w:t>
      </w:r>
      <w:proofErr w:type="gramEnd"/>
      <w:r>
        <w:t xml:space="preserve"> per</w:t>
      </w:r>
      <w:r w:rsidRPr="00994E1E">
        <w:t xml:space="preserve"> typical cycle</w:t>
      </w:r>
      <w:r w:rsidRPr="00F26DE2">
        <w:t xml:space="preserve">.  Tritium, a </w:t>
      </w:r>
      <w:proofErr w:type="spellStart"/>
      <w:r w:rsidRPr="00F26DE2">
        <w:t>radiolytic</w:t>
      </w:r>
      <w:proofErr w:type="spellEnd"/>
      <w:r w:rsidRPr="00F26DE2">
        <w:t xml:space="preserve"> gas, is produced at a rate of approximately</w:t>
      </w:r>
      <w:r>
        <w:t xml:space="preserve"> 0.55 </w:t>
      </w:r>
      <w:proofErr w:type="spellStart"/>
      <w:r w:rsidRPr="00994E1E">
        <w:t>μg</w:t>
      </w:r>
      <w:proofErr w:type="spellEnd"/>
      <w:r w:rsidRPr="00994E1E">
        <w:t xml:space="preserve">/g </w:t>
      </w:r>
      <w:proofErr w:type="gramStart"/>
      <w:r w:rsidRPr="00994E1E">
        <w:t>Be</w:t>
      </w:r>
      <w:proofErr w:type="gramEnd"/>
      <w:r>
        <w:t xml:space="preserve"> </w:t>
      </w:r>
      <w:r w:rsidRPr="00994E1E">
        <w:t>per typical cycle</w:t>
      </w:r>
      <w:r w:rsidRPr="00F26DE2">
        <w:t>.  Tritium is the major curie contributor in spent reflectors and although it is tightly bound in the beryllium lattice it can be released if the beryllium begins to corrode</w:t>
      </w:r>
      <w:r w:rsidR="006B5D42">
        <w:t xml:space="preserve"> </w:t>
      </w:r>
      <w:r w:rsidR="007511FA">
        <w:fldChar w:fldCharType="begin"/>
      </w:r>
      <w:r w:rsidR="006B5D42">
        <w:instrText xml:space="preserve"> REF _Ref285637669 \n \h </w:instrText>
      </w:r>
      <w:r w:rsidR="007511FA">
        <w:fldChar w:fldCharType="separate"/>
      </w:r>
      <w:r w:rsidR="00D5167B">
        <w:t>[81]</w:t>
      </w:r>
      <w:r w:rsidR="007511FA">
        <w:fldChar w:fldCharType="end"/>
      </w:r>
      <w:r w:rsidRPr="00F26DE2">
        <w:t>.  He</w:t>
      </w:r>
      <w:r>
        <w:t>lium-4</w:t>
      </w:r>
      <w:r w:rsidRPr="00F26DE2">
        <w:t xml:space="preserve"> is produced at a rate of approximately </w:t>
      </w:r>
      <w:r>
        <w:t xml:space="preserve">5.39 </w:t>
      </w:r>
      <w:proofErr w:type="spellStart"/>
      <w:r w:rsidRPr="00994E1E">
        <w:t>μg</w:t>
      </w:r>
      <w:proofErr w:type="spellEnd"/>
      <w:r w:rsidRPr="00994E1E">
        <w:t xml:space="preserve">/g </w:t>
      </w:r>
      <w:proofErr w:type="gramStart"/>
      <w:r w:rsidRPr="00994E1E">
        <w:t>Be</w:t>
      </w:r>
      <w:proofErr w:type="gramEnd"/>
      <w:r>
        <w:t xml:space="preserve"> </w:t>
      </w:r>
      <w:r w:rsidRPr="00994E1E">
        <w:t xml:space="preserve">per typical cycle </w:t>
      </w:r>
      <w:r>
        <w:t xml:space="preserve">and is </w:t>
      </w:r>
      <w:r w:rsidRPr="00F26DE2">
        <w:t xml:space="preserve">a gas </w:t>
      </w:r>
      <w:r>
        <w:t>that</w:t>
      </w:r>
      <w:r w:rsidRPr="00F26DE2">
        <w:t xml:space="preserve"> causes the beryllium reflector regions to swell and crack and therefore dictates the life span of the reflector regions.</w:t>
      </w:r>
    </w:p>
    <w:p w:rsidR="00BB435A" w:rsidRPr="00F26DE2" w:rsidRDefault="00BB435A" w:rsidP="00BB435A">
      <w:r w:rsidRPr="00F26DE2">
        <w:t xml:space="preserve">If the reflector regions are manufactured to the current HFIR specification of less than or equal to 11 micrograms of uranium per gram of reflector then the reflectors would be discharged below the transuranic waste threshold with the possibility of the RB exceeding the threshold after approximately 40 years of decay.  If the initial uranium concentration is greater than or equal to 44 micrograms per gram of reflector then PB3 became transuranic waste approximately two to three years after being discharged and representative RB and SPB reflectors are discharged as transuranic waste.  The maximum initial uranium concentration that could be accommodated without exceeding the transuranic waste threshold was not determined, but it appears to be close to the 11 microgram per gram </w:t>
      </w:r>
      <w:r>
        <w:t>limit</w:t>
      </w:r>
      <w:r w:rsidRPr="00F26DE2">
        <w:t>.</w:t>
      </w:r>
    </w:p>
    <w:p w:rsidR="00BB435A" w:rsidRPr="00F26DE2" w:rsidRDefault="00BB435A" w:rsidP="00BB435A">
      <w:r w:rsidRPr="00F26DE2">
        <w:t xml:space="preserve">Therefore, the amount of uranium impurity in the fresh beryllium reflectors is </w:t>
      </w:r>
      <w:r>
        <w:t>a</w:t>
      </w:r>
      <w:r w:rsidRPr="00F26DE2">
        <w:t xml:space="preserve"> concern because the initial amount of uranium dictates whether or not the reflectors become transuranic waste.  Classification of the reflectors as transuranic waste also categorizes them as </w:t>
      </w:r>
      <w:r>
        <w:t>“</w:t>
      </w:r>
      <w:r w:rsidRPr="00F26DE2">
        <w:t>waste with no</w:t>
      </w:r>
      <w:r>
        <w:t xml:space="preserve"> identified</w:t>
      </w:r>
      <w:r w:rsidRPr="00F26DE2">
        <w:t xml:space="preserve"> path to disposal</w:t>
      </w:r>
      <w:r>
        <w:t>”</w:t>
      </w:r>
      <w:r w:rsidRPr="00F26DE2">
        <w:t xml:space="preserve"> since the isotopic content exceeds the acceptance criteria for the </w:t>
      </w:r>
      <w:r w:rsidRPr="00E95E92">
        <w:t>Nevada Test Site</w:t>
      </w:r>
      <w:r w:rsidR="006B5D42">
        <w:t xml:space="preserve"> </w:t>
      </w:r>
      <w:r w:rsidR="007511FA">
        <w:fldChar w:fldCharType="begin"/>
      </w:r>
      <w:r w:rsidR="006B5D42">
        <w:instrText xml:space="preserve"> REF _Ref285637758 \n \h </w:instrText>
      </w:r>
      <w:r w:rsidR="007511FA">
        <w:fldChar w:fldCharType="separate"/>
      </w:r>
      <w:r w:rsidR="00D5167B">
        <w:t>[88]</w:t>
      </w:r>
      <w:r w:rsidR="007511FA">
        <w:fldChar w:fldCharType="end"/>
      </w:r>
      <w:r w:rsidRPr="00F26DE2">
        <w:t xml:space="preserve"> and non-defense transuranic waste is not currently accepted at the </w:t>
      </w:r>
      <w:r w:rsidRPr="000C405E">
        <w:t>Waste Isolation Pilot Plant</w:t>
      </w:r>
      <w:r>
        <w:t xml:space="preserve"> in New Mexico </w:t>
      </w:r>
      <w:r w:rsidR="007511FA">
        <w:fldChar w:fldCharType="begin"/>
      </w:r>
      <w:r w:rsidR="006B5D42">
        <w:instrText xml:space="preserve"> REF _Ref285638134 \n \h </w:instrText>
      </w:r>
      <w:r w:rsidR="007511FA">
        <w:fldChar w:fldCharType="separate"/>
      </w:r>
      <w:r w:rsidR="00D5167B">
        <w:t>[93]</w:t>
      </w:r>
      <w:r w:rsidR="007511FA">
        <w:fldChar w:fldCharType="end"/>
      </w:r>
      <w:r w:rsidRPr="00F26DE2">
        <w:t xml:space="preserve">.  In addition to the transuranic waste determination, other factors such as the </w:t>
      </w:r>
      <w:r w:rsidRPr="00F26DE2">
        <w:rPr>
          <w:vertAlign w:val="superscript"/>
        </w:rPr>
        <w:t>14</w:t>
      </w:r>
      <w:r w:rsidRPr="00F26DE2">
        <w:t xml:space="preserve">C concentrations being greater </w:t>
      </w:r>
      <w:r w:rsidRPr="00F26DE2">
        <w:lastRenderedPageBreak/>
        <w:t xml:space="preserve">than the </w:t>
      </w:r>
      <w:r w:rsidRPr="00AB421C">
        <w:t>Class C upper activity limit</w:t>
      </w:r>
      <w:r w:rsidRPr="00F26DE2">
        <w:t xml:space="preserve"> </w:t>
      </w:r>
      <w:r>
        <w:t xml:space="preserve">of </w:t>
      </w:r>
      <w:r w:rsidRPr="00F26DE2">
        <w:t xml:space="preserve">80 </w:t>
      </w:r>
      <w:proofErr w:type="spellStart"/>
      <w:r w:rsidRPr="00F26DE2">
        <w:t>Ci</w:t>
      </w:r>
      <w:proofErr w:type="spellEnd"/>
      <w:r w:rsidRPr="00F26DE2">
        <w:t>/m</w:t>
      </w:r>
      <w:r w:rsidRPr="00F26DE2">
        <w:rPr>
          <w:vertAlign w:val="superscript"/>
        </w:rPr>
        <w:t>3</w:t>
      </w:r>
      <w:r>
        <w:t xml:space="preserve"> in activated metal</w:t>
      </w:r>
      <w:r w:rsidR="006B5D42">
        <w:t xml:space="preserve"> </w:t>
      </w:r>
      <w:r w:rsidR="007511FA">
        <w:fldChar w:fldCharType="begin"/>
      </w:r>
      <w:r w:rsidR="006B5D42">
        <w:instrText xml:space="preserve"> REF _Ref285638144 \n \h </w:instrText>
      </w:r>
      <w:r w:rsidR="007511FA">
        <w:fldChar w:fldCharType="separate"/>
      </w:r>
      <w:r w:rsidR="00D5167B">
        <w:t>[94]</w:t>
      </w:r>
      <w:r w:rsidR="007511FA">
        <w:fldChar w:fldCharType="end"/>
      </w:r>
      <w:r>
        <w:t xml:space="preserve"> </w:t>
      </w:r>
      <w:r w:rsidRPr="00F26DE2">
        <w:t>contribute to the designation of no path to disposal.</w:t>
      </w:r>
    </w:p>
    <w:p w:rsidR="00BB435A" w:rsidRPr="00F26DE2" w:rsidRDefault="00BB435A" w:rsidP="00BB435A">
      <w:pPr>
        <w:rPr>
          <w:bCs/>
        </w:rPr>
      </w:pPr>
      <w:r w:rsidRPr="00F26DE2">
        <w:rPr>
          <w:bCs/>
        </w:rPr>
        <w:t>The total curie inventory of PB3</w:t>
      </w:r>
      <w:r>
        <w:rPr>
          <w:bCs/>
        </w:rPr>
        <w:t>as of June 2010 and</w:t>
      </w:r>
      <w:r w:rsidRPr="00F26DE2">
        <w:rPr>
          <w:bCs/>
        </w:rPr>
        <w:t xml:space="preserve"> as calculated in TRITON is approximately 67.6 </w:t>
      </w:r>
      <w:proofErr w:type="spellStart"/>
      <w:r w:rsidRPr="00F26DE2">
        <w:rPr>
          <w:bCs/>
        </w:rPr>
        <w:t>kCi</w:t>
      </w:r>
      <w:proofErr w:type="spellEnd"/>
      <w:r w:rsidRPr="00F26DE2">
        <w:rPr>
          <w:bCs/>
        </w:rPr>
        <w:t xml:space="preserve"> and 21 different </w:t>
      </w:r>
      <w:proofErr w:type="spellStart"/>
      <w:r w:rsidRPr="00F26DE2">
        <w:rPr>
          <w:bCs/>
        </w:rPr>
        <w:t>radionuclides</w:t>
      </w:r>
      <w:proofErr w:type="spellEnd"/>
      <w:r w:rsidRPr="00F26DE2">
        <w:rPr>
          <w:bCs/>
        </w:rPr>
        <w:t xml:space="preserve"> with curie levels greater than 0.1 </w:t>
      </w:r>
      <w:proofErr w:type="spellStart"/>
      <w:r w:rsidRPr="00F26DE2">
        <w:rPr>
          <w:bCs/>
        </w:rPr>
        <w:t>Ci</w:t>
      </w:r>
      <w:proofErr w:type="spellEnd"/>
      <w:r w:rsidRPr="00F26DE2">
        <w:rPr>
          <w:bCs/>
        </w:rPr>
        <w:t xml:space="preserve"> contribute to this radioactivity.  The predominant radionuclide is tritium at 66</w:t>
      </w:r>
      <w:r>
        <w:rPr>
          <w:bCs/>
        </w:rPr>
        <w:t>.8</w:t>
      </w:r>
      <w:r w:rsidRPr="00F26DE2">
        <w:rPr>
          <w:bCs/>
        </w:rPr>
        <w:t xml:space="preserve"> </w:t>
      </w:r>
      <w:proofErr w:type="spellStart"/>
      <w:r>
        <w:rPr>
          <w:bCs/>
        </w:rPr>
        <w:t>k</w:t>
      </w:r>
      <w:r w:rsidRPr="00F26DE2">
        <w:rPr>
          <w:bCs/>
        </w:rPr>
        <w:t>Ci</w:t>
      </w:r>
      <w:proofErr w:type="spellEnd"/>
      <w:r w:rsidRPr="00F26DE2">
        <w:rPr>
          <w:bCs/>
        </w:rPr>
        <w:t xml:space="preserve"> (</w:t>
      </w:r>
      <w:r>
        <w:rPr>
          <w:bCs/>
        </w:rPr>
        <w:t>~</w:t>
      </w:r>
      <w:r w:rsidRPr="00F26DE2">
        <w:rPr>
          <w:bCs/>
        </w:rPr>
        <w:t xml:space="preserve">6.91 grams).  The predominant gamma emitter is </w:t>
      </w:r>
      <w:r w:rsidRPr="00F26DE2">
        <w:rPr>
          <w:bCs/>
          <w:vertAlign w:val="superscript"/>
        </w:rPr>
        <w:t>60</w:t>
      </w:r>
      <w:r w:rsidRPr="00F26DE2">
        <w:rPr>
          <w:bCs/>
        </w:rPr>
        <w:t xml:space="preserve">Co at 221 </w:t>
      </w:r>
      <w:proofErr w:type="spellStart"/>
      <w:r w:rsidRPr="00F26DE2">
        <w:rPr>
          <w:bCs/>
        </w:rPr>
        <w:t>Ci</w:t>
      </w:r>
      <w:proofErr w:type="spellEnd"/>
      <w:r w:rsidRPr="00F26DE2">
        <w:rPr>
          <w:bCs/>
        </w:rPr>
        <w:t xml:space="preserve"> (</w:t>
      </w:r>
      <w:r>
        <w:rPr>
          <w:bCs/>
        </w:rPr>
        <w:t>~</w:t>
      </w:r>
      <w:r w:rsidRPr="00F26DE2">
        <w:rPr>
          <w:bCs/>
        </w:rPr>
        <w:t xml:space="preserve">0.20 grams).  Other contributing nuclides include </w:t>
      </w:r>
      <w:r w:rsidRPr="00F26DE2">
        <w:rPr>
          <w:bCs/>
          <w:vertAlign w:val="superscript"/>
        </w:rPr>
        <w:t>55</w:t>
      </w:r>
      <w:r w:rsidRPr="00F26DE2">
        <w:rPr>
          <w:bCs/>
        </w:rPr>
        <w:t xml:space="preserve">Fe, </w:t>
      </w:r>
      <w:r w:rsidRPr="00F26DE2">
        <w:rPr>
          <w:bCs/>
          <w:vertAlign w:val="superscript"/>
        </w:rPr>
        <w:t>14</w:t>
      </w:r>
      <w:r w:rsidRPr="00F26DE2">
        <w:rPr>
          <w:bCs/>
        </w:rPr>
        <w:t xml:space="preserve">C, and </w:t>
      </w:r>
      <w:r w:rsidRPr="00F26DE2">
        <w:rPr>
          <w:bCs/>
          <w:vertAlign w:val="superscript"/>
        </w:rPr>
        <w:t>63</w:t>
      </w:r>
      <w:r w:rsidRPr="00F26DE2">
        <w:rPr>
          <w:bCs/>
        </w:rPr>
        <w:t xml:space="preserve">Ni at 386, 89, and 42 </w:t>
      </w:r>
      <w:proofErr w:type="spellStart"/>
      <w:r w:rsidRPr="00F26DE2">
        <w:rPr>
          <w:bCs/>
        </w:rPr>
        <w:t>Ci</w:t>
      </w:r>
      <w:proofErr w:type="spellEnd"/>
      <w:r w:rsidRPr="00F26DE2">
        <w:rPr>
          <w:bCs/>
        </w:rPr>
        <w:t xml:space="preserve">, respectively.  </w:t>
      </w:r>
      <w:r w:rsidRPr="00F26DE2">
        <w:t xml:space="preserve">After 10 years of decay, the total radioactivity of a representative RB and SPB reflector as calculated in standalone ORIGEN-S is 861 </w:t>
      </w:r>
      <w:proofErr w:type="spellStart"/>
      <w:r w:rsidRPr="00F26DE2">
        <w:t>kCi</w:t>
      </w:r>
      <w:proofErr w:type="spellEnd"/>
      <w:r w:rsidRPr="00F26DE2">
        <w:t xml:space="preserve"> and 623 </w:t>
      </w:r>
      <w:proofErr w:type="spellStart"/>
      <w:r w:rsidRPr="00F26DE2">
        <w:t>kCi</w:t>
      </w:r>
      <w:proofErr w:type="spellEnd"/>
      <w:r>
        <w:t>, respectively,</w:t>
      </w:r>
      <w:r w:rsidRPr="00F26DE2">
        <w:t xml:space="preserve"> and over 99% of the radioactivity is contributed by tritium.  The major gamma emitter, </w:t>
      </w:r>
      <w:r w:rsidRPr="00F26DE2">
        <w:rPr>
          <w:bCs/>
          <w:vertAlign w:val="superscript"/>
        </w:rPr>
        <w:t>60</w:t>
      </w:r>
      <w:r w:rsidRPr="00F26DE2">
        <w:rPr>
          <w:bCs/>
        </w:rPr>
        <w:t>Co</w:t>
      </w:r>
      <w:r w:rsidRPr="00F26DE2">
        <w:t xml:space="preserve">, is present at curie levels of 117 and 125 </w:t>
      </w:r>
      <w:proofErr w:type="spellStart"/>
      <w:r w:rsidRPr="00F26DE2">
        <w:t>Ci</w:t>
      </w:r>
      <w:proofErr w:type="spellEnd"/>
      <w:r w:rsidRPr="00F26DE2">
        <w:t xml:space="preserve"> in the RB and SPB, respecti</w:t>
      </w:r>
      <w:r w:rsidR="00BA2085">
        <w:t>vely, after 10 years of decay.</w:t>
      </w:r>
    </w:p>
    <w:p w:rsidR="00BB435A" w:rsidRPr="00F26DE2" w:rsidRDefault="00BB435A" w:rsidP="00BB435A">
      <w:r w:rsidRPr="00F26DE2">
        <w:rPr>
          <w:bCs/>
        </w:rPr>
        <w:t xml:space="preserve">According to the radionuclide threshold limits defined in </w:t>
      </w:r>
      <w:r w:rsidRPr="00E95E92">
        <w:rPr>
          <w:bCs/>
        </w:rPr>
        <w:t>DOE-</w:t>
      </w:r>
      <w:r>
        <w:rPr>
          <w:bCs/>
        </w:rPr>
        <w:t>STD-</w:t>
      </w:r>
      <w:r w:rsidRPr="00E95E92">
        <w:rPr>
          <w:bCs/>
        </w:rPr>
        <w:t>1027</w:t>
      </w:r>
      <w:r>
        <w:rPr>
          <w:bCs/>
        </w:rPr>
        <w:t xml:space="preserve"> </w:t>
      </w:r>
      <w:r w:rsidR="007511FA">
        <w:rPr>
          <w:bCs/>
        </w:rPr>
        <w:fldChar w:fldCharType="begin"/>
      </w:r>
      <w:r w:rsidR="006B5D42">
        <w:rPr>
          <w:bCs/>
        </w:rPr>
        <w:instrText xml:space="preserve"> REF _Ref285637768 \n \h </w:instrText>
      </w:r>
      <w:r w:rsidR="007511FA">
        <w:rPr>
          <w:bCs/>
        </w:rPr>
      </w:r>
      <w:r w:rsidR="007511FA">
        <w:rPr>
          <w:bCs/>
        </w:rPr>
        <w:fldChar w:fldCharType="separate"/>
      </w:r>
      <w:r w:rsidR="00D5167B">
        <w:rPr>
          <w:bCs/>
        </w:rPr>
        <w:t>[89]</w:t>
      </w:r>
      <w:r w:rsidR="007511FA">
        <w:rPr>
          <w:bCs/>
        </w:rPr>
        <w:fldChar w:fldCharType="end"/>
      </w:r>
      <w:r w:rsidRPr="00F26DE2">
        <w:rPr>
          <w:bCs/>
        </w:rPr>
        <w:t xml:space="preserve">, </w:t>
      </w:r>
      <w:r>
        <w:rPr>
          <w:bCs/>
        </w:rPr>
        <w:t>PB3</w:t>
      </w:r>
      <w:r w:rsidRPr="00F26DE2">
        <w:rPr>
          <w:bCs/>
        </w:rPr>
        <w:t xml:space="preserve"> is currently nuclear hazard category 3 and representative RB and SPB reflectors were also shown to be hazard category 3.  </w:t>
      </w:r>
      <w:r w:rsidRPr="00F26DE2">
        <w:t xml:space="preserve">The nuclear hazard category and the specific isotopic inventories can be used to determine whether the reflectors fit within the authorized limits specified in the safety basis for the proposed temporary storage location.  If that is found to be the case, the hazard category and isotopic inventories will be used to develop a transportation safety document for moving the reflectors from the </w:t>
      </w:r>
      <w:r>
        <w:t xml:space="preserve">spent fuel </w:t>
      </w:r>
      <w:r w:rsidRPr="00F26DE2">
        <w:t>pool to the storage location.</w:t>
      </w:r>
    </w:p>
    <w:p w:rsidR="002C4E29" w:rsidRPr="0024454A" w:rsidRDefault="00BB435A" w:rsidP="002C4E29">
      <w:pPr>
        <w:rPr>
          <w:b/>
        </w:rPr>
      </w:pPr>
      <w:r w:rsidRPr="00F26DE2">
        <w:t xml:space="preserve">The </w:t>
      </w:r>
      <w:r>
        <w:t>standalone</w:t>
      </w:r>
      <w:r w:rsidRPr="00F26DE2">
        <w:t xml:space="preserve"> ORIGEN-S calculations were shown to </w:t>
      </w:r>
      <w:proofErr w:type="spellStart"/>
      <w:r w:rsidRPr="00F26DE2">
        <w:t>overpredict</w:t>
      </w:r>
      <w:proofErr w:type="spellEnd"/>
      <w:r w:rsidRPr="00F26DE2">
        <w:t xml:space="preserve"> the tritium inventory and </w:t>
      </w:r>
      <w:proofErr w:type="spellStart"/>
      <w:r w:rsidRPr="00F26DE2">
        <w:t>underpredict</w:t>
      </w:r>
      <w:proofErr w:type="spellEnd"/>
      <w:r w:rsidRPr="00F26DE2">
        <w:t xml:space="preserve"> the transuranic waste inventory in comparison to the TRITON calculations.  It is therefore shown that more details need to be inserted into </w:t>
      </w:r>
      <w:r>
        <w:t>standalone</w:t>
      </w:r>
      <w:r w:rsidRPr="00F26DE2">
        <w:t xml:space="preserve"> ORIGEN-S calculations in order to properly predict the total nuclide inventory in the beryllium reflector regions.  The best estimate ORIGEN-S calculations utilized the </w:t>
      </w:r>
      <w:r>
        <w:t>cycle-</w:t>
      </w:r>
      <w:r w:rsidRPr="00F26DE2">
        <w:t xml:space="preserve">averaged thermal, </w:t>
      </w:r>
      <w:r>
        <w:t>resonance</w:t>
      </w:r>
      <w:r w:rsidRPr="00F26DE2">
        <w:t xml:space="preserve">, and fast neutron fluxes in the permanent beryllium reflector as calculated with benchmarked MCNP calculations.  Thus, it is shown here that modeling the permanent reflector as a point is not sufficient for this application and therefore </w:t>
      </w:r>
      <w:r>
        <w:t xml:space="preserve">the reflectors </w:t>
      </w:r>
      <w:r w:rsidRPr="00F26DE2">
        <w:t>must be depleted via a radially varying neutron flux.</w:t>
      </w:r>
      <w:r w:rsidR="002C4E29" w:rsidRPr="0024454A">
        <w:rPr>
          <w:b/>
        </w:rPr>
        <w:br w:type="page"/>
      </w:r>
    </w:p>
    <w:p w:rsidR="00535B14" w:rsidRDefault="00535B14" w:rsidP="00AA149C">
      <w:pPr>
        <w:pStyle w:val="Heading1"/>
      </w:pPr>
      <w:bookmarkStart w:id="272" w:name="_Toc295818148"/>
      <w:r>
        <w:lastRenderedPageBreak/>
        <w:t>Post-Irradiation Curium Target Rod Inventory</w:t>
      </w:r>
      <w:bookmarkEnd w:id="272"/>
    </w:p>
    <w:p w:rsidR="006637AA" w:rsidRDefault="006637AA" w:rsidP="006637AA">
      <w:r>
        <w:t>In this chapter, the post-irradiation compositions of curium target rods that were irradiated for several cycles in the flux-trap target region (FTT) of HFIR were calculated and compared to dissolver solution measurements.  This study was performed in order to validate the SCALE/KENO model of HFIR and the ENDF/B-VII neutron cross section libraries for predicting the composition, specifically the amount of californium-252 and berkelium-249, of target rods following irradiation.</w:t>
      </w:r>
    </w:p>
    <w:p w:rsidR="00710995" w:rsidRDefault="004842FC" w:rsidP="004842FC">
      <w:r>
        <w:t xml:space="preserve">HFIR was originally designed to produce </w:t>
      </w:r>
      <w:proofErr w:type="spellStart"/>
      <w:r>
        <w:t>transplutonium</w:t>
      </w:r>
      <w:proofErr w:type="spellEnd"/>
      <w:r>
        <w:t xml:space="preserve"> isotopes such as </w:t>
      </w:r>
      <w:r>
        <w:rPr>
          <w:vertAlign w:val="superscript"/>
        </w:rPr>
        <w:t>252</w:t>
      </w:r>
      <w:r>
        <w:t>Cf.  The FTT region contains 37 experiment sites and is located at the center of the reactor.  At full power (85 MW</w:t>
      </w:r>
      <w:r>
        <w:rPr>
          <w:vertAlign w:val="subscript"/>
        </w:rPr>
        <w:t>th</w:t>
      </w:r>
      <w:r>
        <w:t>), a peak thermal neutron flux of about 2.2x10</w:t>
      </w:r>
      <w:r>
        <w:rPr>
          <w:vertAlign w:val="superscript"/>
        </w:rPr>
        <w:t>15 </w:t>
      </w:r>
      <w:r>
        <w:t>neutrons/cm</w:t>
      </w:r>
      <w:r>
        <w:rPr>
          <w:vertAlign w:val="superscript"/>
        </w:rPr>
        <w:t>2</w:t>
      </w:r>
      <w:r>
        <w:t xml:space="preserve">/sec exists in the flux trap, which is an excellent neutron environment for producing </w:t>
      </w:r>
      <w:r w:rsidRPr="00A82CA7">
        <w:rPr>
          <w:vertAlign w:val="superscript"/>
        </w:rPr>
        <w:t>252</w:t>
      </w:r>
      <w:r w:rsidRPr="00A82CA7">
        <w:t>Cf</w:t>
      </w:r>
      <w:r>
        <w:t xml:space="preserve"> and other </w:t>
      </w:r>
      <w:proofErr w:type="spellStart"/>
      <w:r>
        <w:t>transplutonium</w:t>
      </w:r>
      <w:proofErr w:type="spellEnd"/>
      <w:r>
        <w:t xml:space="preserve"> isotopes.  F</w:t>
      </w:r>
      <w:r w:rsidRPr="005331C2">
        <w:t xml:space="preserve">ollowing the irradiation of target rods in HFIR, </w:t>
      </w:r>
      <w:r>
        <w:t xml:space="preserve">the </w:t>
      </w:r>
      <w:r w:rsidRPr="005331C2">
        <w:t xml:space="preserve">Radiochemical Engineering Development Center </w:t>
      </w:r>
      <w:r>
        <w:t>(</w:t>
      </w:r>
      <w:r w:rsidRPr="005331C2">
        <w:t>REDC</w:t>
      </w:r>
      <w:r>
        <w:t>)</w:t>
      </w:r>
      <w:r w:rsidRPr="005331C2">
        <w:t xml:space="preserve"> process</w:t>
      </w:r>
      <w:r>
        <w:t>es</w:t>
      </w:r>
      <w:r w:rsidRPr="005331C2">
        <w:t xml:space="preserve"> the targets for the separation, recovery, and purification of the heavy elements</w:t>
      </w:r>
      <w:r>
        <w:t xml:space="preserve"> </w:t>
      </w:r>
      <w:r w:rsidRPr="005331C2">
        <w:t>(</w:t>
      </w:r>
      <w:proofErr w:type="spellStart"/>
      <w:r w:rsidRPr="005331C2">
        <w:t>Bk</w:t>
      </w:r>
      <w:proofErr w:type="spellEnd"/>
      <w:r w:rsidRPr="005331C2">
        <w:t xml:space="preserve">, </w:t>
      </w:r>
      <w:proofErr w:type="spellStart"/>
      <w:r w:rsidRPr="005331C2">
        <w:t>Cf</w:t>
      </w:r>
      <w:proofErr w:type="spellEnd"/>
      <w:r w:rsidRPr="005331C2">
        <w:t xml:space="preserve">, Es, and Fm). </w:t>
      </w:r>
      <w:r>
        <w:t xml:space="preserve"> </w:t>
      </w:r>
      <w:r w:rsidRPr="005331C2">
        <w:t xml:space="preserve">The </w:t>
      </w:r>
      <w:r>
        <w:t xml:space="preserve">dissolver solution </w:t>
      </w:r>
      <w:r w:rsidRPr="005331C2">
        <w:t xml:space="preserve">processing method includes chemical dissolution of the targets followed by a series of solvent extraction, ion exchange, and precipitation steps to separate and purify the </w:t>
      </w:r>
      <w:r>
        <w:t>heavy</w:t>
      </w:r>
      <w:r w:rsidRPr="005331C2">
        <w:t xml:space="preserve"> elements.</w:t>
      </w:r>
      <w:r w:rsidR="00C20CA9">
        <w:t xml:space="preserve">  </w:t>
      </w:r>
    </w:p>
    <w:p w:rsidR="002B6F46" w:rsidRDefault="00C20CA9" w:rsidP="00B12830">
      <w:r>
        <w:t xml:space="preserve">A summary of the </w:t>
      </w:r>
      <w:r w:rsidR="00710995">
        <w:t xml:space="preserve">flux trap loading for all cycles up to cycle 425 is shown in </w:t>
      </w:r>
      <w:r w:rsidR="007511FA">
        <w:rPr>
          <w:highlight w:val="yellow"/>
        </w:rPr>
        <w:fldChar w:fldCharType="begin"/>
      </w:r>
      <w:r w:rsidR="00BA2085">
        <w:instrText xml:space="preserve"> REF _Ref285537508 \h </w:instrText>
      </w:r>
      <w:r w:rsidR="007511FA">
        <w:rPr>
          <w:highlight w:val="yellow"/>
        </w:rPr>
      </w:r>
      <w:r w:rsidR="007511FA">
        <w:rPr>
          <w:highlight w:val="yellow"/>
        </w:rPr>
        <w:fldChar w:fldCharType="separate"/>
      </w:r>
      <w:r w:rsidR="00D5167B">
        <w:t xml:space="preserve">Figure </w:t>
      </w:r>
      <w:r w:rsidR="00D5167B">
        <w:rPr>
          <w:noProof/>
        </w:rPr>
        <w:t>7</w:t>
      </w:r>
      <w:r w:rsidR="00D5167B">
        <w:t>.</w:t>
      </w:r>
      <w:r w:rsidR="00D5167B">
        <w:rPr>
          <w:noProof/>
        </w:rPr>
        <w:t>1</w:t>
      </w:r>
      <w:r w:rsidR="007511FA">
        <w:rPr>
          <w:highlight w:val="yellow"/>
        </w:rPr>
        <w:fldChar w:fldCharType="end"/>
      </w:r>
      <w:r w:rsidR="00710995">
        <w:t>.  This figure shows the types of targets loaded into the interior flux trap positions (total of 31 interior positions) and the percentage of the interior flux trap positions that they occupied.  Aluminum target rods are utilized in the flux trap when experimental targets are not being irradiated to satisfy coolant flow restrictions.  The target feedstock was originally</w:t>
      </w:r>
      <w:r w:rsidR="002B6F46">
        <w:t xml:space="preserve"> </w:t>
      </w:r>
      <w:r w:rsidR="002B6F46" w:rsidRPr="002B6F46">
        <w:rPr>
          <w:vertAlign w:val="superscript"/>
        </w:rPr>
        <w:t>239</w:t>
      </w:r>
      <w:r w:rsidR="002B6F46">
        <w:t>Pu and</w:t>
      </w:r>
      <w:r w:rsidR="00710995">
        <w:t xml:space="preserve"> </w:t>
      </w:r>
      <w:r w:rsidR="00710995">
        <w:rPr>
          <w:vertAlign w:val="superscript"/>
        </w:rPr>
        <w:t>242</w:t>
      </w:r>
      <w:r w:rsidR="00710995">
        <w:t xml:space="preserve">Pu, but then changed to curium, which was produced from the Savannah River reactors.  </w:t>
      </w:r>
      <w:r w:rsidR="002B6F46">
        <w:t xml:space="preserve">If the feedstock is plutonium, only 0.3% and 3.0% of the initial </w:t>
      </w:r>
      <w:r w:rsidR="002B6F46" w:rsidRPr="002B6F46">
        <w:rPr>
          <w:vertAlign w:val="superscript"/>
        </w:rPr>
        <w:t>239</w:t>
      </w:r>
      <w:r w:rsidR="002B6F46">
        <w:t xml:space="preserve">Pu and </w:t>
      </w:r>
      <w:r w:rsidR="002B6F46" w:rsidRPr="002B6F46">
        <w:rPr>
          <w:vertAlign w:val="superscript"/>
        </w:rPr>
        <w:t>242</w:t>
      </w:r>
      <w:r w:rsidR="002B6F46">
        <w:t xml:space="preserve">Pu atoms are transmuted into </w:t>
      </w:r>
      <w:r w:rsidR="002B6F46">
        <w:rPr>
          <w:vertAlign w:val="superscript"/>
        </w:rPr>
        <w:t>252</w:t>
      </w:r>
      <w:r w:rsidR="002B6F46">
        <w:t xml:space="preserve">Cf, respectively.  However, when starting with curium as feed, 3.0%, 20%, and 38% of the initial </w:t>
      </w:r>
      <w:r w:rsidR="002B6F46">
        <w:rPr>
          <w:vertAlign w:val="superscript"/>
        </w:rPr>
        <w:t>244</w:t>
      </w:r>
      <w:r w:rsidR="002B6F46">
        <w:t xml:space="preserve">Cm, </w:t>
      </w:r>
      <w:r w:rsidR="002B6F46">
        <w:rPr>
          <w:vertAlign w:val="superscript"/>
        </w:rPr>
        <w:t>246</w:t>
      </w:r>
      <w:r w:rsidR="002B6F46">
        <w:t xml:space="preserve">Cm, and </w:t>
      </w:r>
      <w:r w:rsidR="002B6F46">
        <w:rPr>
          <w:vertAlign w:val="superscript"/>
        </w:rPr>
        <w:t>248</w:t>
      </w:r>
      <w:r w:rsidR="002B6F46">
        <w:t xml:space="preserve">Cm atoms are transmuted into </w:t>
      </w:r>
      <w:r w:rsidR="002B6F46">
        <w:rPr>
          <w:vertAlign w:val="superscript"/>
        </w:rPr>
        <w:t>252</w:t>
      </w:r>
      <w:r w:rsidR="002B6F46">
        <w:t>Cf.</w:t>
      </w:r>
      <w:r w:rsidR="002B6F46">
        <w:br w:type="page"/>
      </w:r>
    </w:p>
    <w:p w:rsidR="002B6F46" w:rsidRDefault="002B6F46" w:rsidP="00EF70FA">
      <w:pPr>
        <w:spacing w:line="240" w:lineRule="auto"/>
        <w:ind w:firstLine="0"/>
        <w:jc w:val="center"/>
      </w:pPr>
      <w:r w:rsidRPr="002B6F46">
        <w:rPr>
          <w:noProof/>
        </w:rPr>
        <w:lastRenderedPageBreak/>
        <w:drawing>
          <wp:inline distT="0" distB="0" distL="0" distR="0">
            <wp:extent cx="5931650" cy="4572000"/>
            <wp:effectExtent l="19050" t="0" r="11950" b="0"/>
            <wp:docPr id="84"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rsidR="002B6F46" w:rsidRDefault="00BA2085" w:rsidP="00BA2085">
      <w:pPr>
        <w:pStyle w:val="Caption"/>
      </w:pPr>
      <w:bookmarkStart w:id="273" w:name="_Ref285537508"/>
      <w:bookmarkStart w:id="274" w:name="_Toc295818240"/>
      <w:proofErr w:type="gramStart"/>
      <w:r>
        <w:t xml:space="preserve">Figure </w:t>
      </w:r>
      <w:r w:rsidR="007511FA">
        <w:fldChar w:fldCharType="begin"/>
      </w:r>
      <w:r w:rsidR="00AE17F8">
        <w:instrText xml:space="preserve"> STYLEREF 1 \s </w:instrText>
      </w:r>
      <w:r w:rsidR="007511FA">
        <w:fldChar w:fldCharType="separate"/>
      </w:r>
      <w:r w:rsidR="00D5167B">
        <w:rPr>
          <w:noProof/>
        </w:rPr>
        <w:t>7</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1</w:t>
      </w:r>
      <w:r w:rsidR="007511FA">
        <w:fldChar w:fldCharType="end"/>
      </w:r>
      <w:bookmarkEnd w:id="273"/>
      <w:r w:rsidR="002B6F46" w:rsidRPr="002B6F46">
        <w:t>.</w:t>
      </w:r>
      <w:r w:rsidR="002B6F46">
        <w:t xml:space="preserve"> </w:t>
      </w:r>
      <w:r w:rsidR="002B6F46" w:rsidRPr="002B6F46">
        <w:t xml:space="preserve"> Flux trap loading summary (407 – 418 are boxed in and </w:t>
      </w:r>
      <w:r w:rsidR="002B6F46">
        <w:t xml:space="preserve">are </w:t>
      </w:r>
      <w:r w:rsidR="002B6F46" w:rsidRPr="002B6F46">
        <w:t xml:space="preserve">the </w:t>
      </w:r>
      <w:r w:rsidR="002B6F46">
        <w:t>focus</w:t>
      </w:r>
      <w:r w:rsidR="002B6F46" w:rsidRPr="002B6F46">
        <w:t xml:space="preserve"> of this study).</w:t>
      </w:r>
      <w:bookmarkEnd w:id="274"/>
    </w:p>
    <w:p w:rsidR="002B6F46" w:rsidRDefault="002B6F46">
      <w:pPr>
        <w:spacing w:before="0" w:after="200" w:line="276" w:lineRule="auto"/>
        <w:ind w:firstLine="0"/>
        <w:jc w:val="left"/>
        <w:rPr>
          <w:b/>
        </w:rPr>
      </w:pPr>
      <w:r>
        <w:rPr>
          <w:b/>
        </w:rPr>
        <w:br w:type="page"/>
      </w:r>
    </w:p>
    <w:p w:rsidR="00535B14" w:rsidRDefault="004842FC" w:rsidP="00AA149C">
      <w:pPr>
        <w:pStyle w:val="Heading2"/>
      </w:pPr>
      <w:bookmarkStart w:id="275" w:name="_Toc295818149"/>
      <w:r>
        <w:lastRenderedPageBreak/>
        <w:t>Curium Target Information</w:t>
      </w:r>
      <w:bookmarkEnd w:id="275"/>
    </w:p>
    <w:p w:rsidR="002B6F46" w:rsidRDefault="006637AA" w:rsidP="00DC146B">
      <w:r>
        <w:t>Seven transuranic target rods were removed from the FTT following the shutdown of cycle 418 (December 5, 2008) and analyzed via dissolver solution on March 21, 2009</w:t>
      </w:r>
      <w:r w:rsidR="006B5D42">
        <w:t xml:space="preserve"> </w:t>
      </w:r>
      <w:r w:rsidR="007511FA">
        <w:fldChar w:fldCharType="begin"/>
      </w:r>
      <w:r w:rsidR="006B5D42">
        <w:instrText xml:space="preserve"> REF _Ref285638180 \n \h </w:instrText>
      </w:r>
      <w:r w:rsidR="007511FA">
        <w:fldChar w:fldCharType="separate"/>
      </w:r>
      <w:r w:rsidR="00D5167B">
        <w:t>[95]</w:t>
      </w:r>
      <w:r w:rsidR="007511FA">
        <w:fldChar w:fldCharType="end"/>
      </w:r>
      <w:r>
        <w:t xml:space="preserve">.  </w:t>
      </w:r>
      <w:r w:rsidR="004842FC">
        <w:t>Target r</w:t>
      </w:r>
      <w:r>
        <w:t>ods S28, S30, S31, S32, S33, and S34 were irradiated during HFIR cycles 408 – 418 (21643 MWd)</w:t>
      </w:r>
      <w:r w:rsidR="006B5D42">
        <w:t xml:space="preserve"> </w:t>
      </w:r>
      <w:r w:rsidR="007511FA">
        <w:fldChar w:fldCharType="begin"/>
      </w:r>
      <w:r w:rsidR="006B5D42">
        <w:instrText xml:space="preserve"> REF _Ref285638188 \n \h </w:instrText>
      </w:r>
      <w:r w:rsidR="007511FA">
        <w:fldChar w:fldCharType="separate"/>
      </w:r>
      <w:r w:rsidR="00D5167B">
        <w:t>[96]</w:t>
      </w:r>
      <w:r w:rsidR="007511FA">
        <w:fldChar w:fldCharType="end"/>
      </w:r>
      <w:r>
        <w:t xml:space="preserve"> while </w:t>
      </w:r>
      <w:r w:rsidR="004842FC">
        <w:t xml:space="preserve">target </w:t>
      </w:r>
      <w:r>
        <w:t>rod S27 was irradiated durin</w:t>
      </w:r>
      <w:r w:rsidR="006B5D42">
        <w:t xml:space="preserve">g cycles 407 - 418 (23642 MWd) </w:t>
      </w:r>
      <w:r w:rsidR="007511FA">
        <w:fldChar w:fldCharType="begin"/>
      </w:r>
      <w:r w:rsidR="006B5D42">
        <w:instrText xml:space="preserve"> REF _Ref285638195 \n \h </w:instrText>
      </w:r>
      <w:r w:rsidR="007511FA">
        <w:fldChar w:fldCharType="separate"/>
      </w:r>
      <w:r w:rsidR="00D5167B">
        <w:t>[97]</w:t>
      </w:r>
      <w:r w:rsidR="007511FA">
        <w:fldChar w:fldCharType="end"/>
      </w:r>
      <w:r>
        <w:t xml:space="preserve">. </w:t>
      </w:r>
      <w:r w:rsidR="00FC766F">
        <w:t xml:space="preserve"> </w:t>
      </w:r>
      <w:r w:rsidR="004842FC">
        <w:t xml:space="preserve">Target </w:t>
      </w:r>
      <w:r>
        <w:t xml:space="preserve">S27 was irradiated for 23.51 days followed by a 485 day decay period (cycle 407). </w:t>
      </w:r>
      <w:r w:rsidR="004842FC">
        <w:t xml:space="preserve"> Targets </w:t>
      </w:r>
      <w:r>
        <w:t>S28, S30, S31, S32, S33, and S34 were inserted into the FTT at the startup of cycle 408 (with S27 still loaded).</w:t>
      </w:r>
      <w:r w:rsidR="004842FC">
        <w:t xml:space="preserve"> </w:t>
      </w:r>
      <w:r>
        <w:t xml:space="preserve"> </w:t>
      </w:r>
      <w:r w:rsidR="00DA531F">
        <w:t>A summary of the</w:t>
      </w:r>
      <w:r w:rsidR="00C20CA9">
        <w:t xml:space="preserve"> </w:t>
      </w:r>
      <w:r w:rsidR="00DC146B">
        <w:t xml:space="preserve">HFIR fuel cycles 407 – 418 is listed in </w:t>
      </w:r>
      <w:r w:rsidR="007511FA">
        <w:rPr>
          <w:highlight w:val="yellow"/>
        </w:rPr>
        <w:fldChar w:fldCharType="begin"/>
      </w:r>
      <w:r w:rsidR="00BA2085">
        <w:instrText xml:space="preserve"> REF _Ref285537666 \h </w:instrText>
      </w:r>
      <w:r w:rsidR="007511FA">
        <w:rPr>
          <w:highlight w:val="yellow"/>
        </w:rPr>
      </w:r>
      <w:r w:rsidR="007511FA">
        <w:rPr>
          <w:highlight w:val="yellow"/>
        </w:rPr>
        <w:fldChar w:fldCharType="separate"/>
      </w:r>
      <w:r w:rsidR="00D5167B">
        <w:t xml:space="preserve">Table </w:t>
      </w:r>
      <w:r w:rsidR="00D5167B">
        <w:rPr>
          <w:noProof/>
        </w:rPr>
        <w:t>7</w:t>
      </w:r>
      <w:r w:rsidR="00D5167B">
        <w:t>.</w:t>
      </w:r>
      <w:r w:rsidR="00D5167B">
        <w:rPr>
          <w:noProof/>
        </w:rPr>
        <w:t>1</w:t>
      </w:r>
      <w:r w:rsidR="007511FA">
        <w:rPr>
          <w:highlight w:val="yellow"/>
        </w:rPr>
        <w:fldChar w:fldCharType="end"/>
      </w:r>
      <w:r w:rsidR="00DC146B">
        <w:t xml:space="preserve"> and shows the irradiation and decay history for these targets.  </w:t>
      </w:r>
      <w:r>
        <w:t xml:space="preserve">The </w:t>
      </w:r>
      <w:r w:rsidR="004842FC">
        <w:t>experiment configuration of targets within the FTT is</w:t>
      </w:r>
      <w:r>
        <w:t xml:space="preserve"> shown in </w:t>
      </w:r>
      <w:r w:rsidR="007511FA">
        <w:rPr>
          <w:highlight w:val="yellow"/>
        </w:rPr>
        <w:fldChar w:fldCharType="begin"/>
      </w:r>
      <w:r w:rsidR="00BA2085">
        <w:instrText xml:space="preserve"> REF _Ref285537686 \h </w:instrText>
      </w:r>
      <w:r w:rsidR="007511FA">
        <w:rPr>
          <w:highlight w:val="yellow"/>
        </w:rPr>
      </w:r>
      <w:r w:rsidR="007511FA">
        <w:rPr>
          <w:highlight w:val="yellow"/>
        </w:rPr>
        <w:fldChar w:fldCharType="separate"/>
      </w:r>
      <w:r w:rsidR="00D5167B">
        <w:t xml:space="preserve">Figure </w:t>
      </w:r>
      <w:r w:rsidR="00D5167B">
        <w:rPr>
          <w:noProof/>
        </w:rPr>
        <w:t>7</w:t>
      </w:r>
      <w:r w:rsidR="00D5167B">
        <w:t>.</w:t>
      </w:r>
      <w:r w:rsidR="00D5167B">
        <w:rPr>
          <w:noProof/>
        </w:rPr>
        <w:t>2</w:t>
      </w:r>
      <w:r w:rsidR="007511FA">
        <w:rPr>
          <w:highlight w:val="yellow"/>
        </w:rPr>
        <w:fldChar w:fldCharType="end"/>
      </w:r>
      <w:r>
        <w:t>.</w:t>
      </w:r>
      <w:r w:rsidR="004842FC">
        <w:t xml:space="preserve">  Targets S27, S28, S30, S31, S32, S33, and S34 were irradiated in target locations C4, C1, F5, C5, E5, E4, and C3, respectively.</w:t>
      </w:r>
    </w:p>
    <w:p w:rsidR="002B6F46" w:rsidRDefault="002B6F46" w:rsidP="002B6F46">
      <w:r>
        <w:t xml:space="preserve">Initially, the target rods contained between 6.47 and 7.68 grams of actinides and were composed of either 31 or 35 pellets. Each pellet was initially composed of approximately 51 wt% </w:t>
      </w:r>
      <w:r>
        <w:rPr>
          <w:vertAlign w:val="superscript"/>
        </w:rPr>
        <w:t>246</w:t>
      </w:r>
      <w:r>
        <w:t xml:space="preserve">Cm, 23 wt% </w:t>
      </w:r>
      <w:r>
        <w:rPr>
          <w:vertAlign w:val="superscript"/>
        </w:rPr>
        <w:t>244</w:t>
      </w:r>
      <w:r>
        <w:t xml:space="preserve">Cm, 11 wt% </w:t>
      </w:r>
      <w:r>
        <w:rPr>
          <w:vertAlign w:val="superscript"/>
        </w:rPr>
        <w:t>248</w:t>
      </w:r>
      <w:r>
        <w:t xml:space="preserve">Cm, 7.3 wt% </w:t>
      </w:r>
      <w:r>
        <w:rPr>
          <w:vertAlign w:val="superscript"/>
        </w:rPr>
        <w:t>243</w:t>
      </w:r>
      <w:r>
        <w:t xml:space="preserve">Am, 3.7 wt% </w:t>
      </w:r>
      <w:r>
        <w:rPr>
          <w:vertAlign w:val="superscript"/>
        </w:rPr>
        <w:t>240</w:t>
      </w:r>
      <w:r>
        <w:t xml:space="preserve">Pu, 2.2 wt% </w:t>
      </w:r>
      <w:r>
        <w:rPr>
          <w:vertAlign w:val="superscript"/>
        </w:rPr>
        <w:t>241</w:t>
      </w:r>
      <w:r>
        <w:t xml:space="preserve">Am, 1.5 wt% </w:t>
      </w:r>
      <w:r>
        <w:rPr>
          <w:vertAlign w:val="superscript"/>
        </w:rPr>
        <w:t>247</w:t>
      </w:r>
      <w:r>
        <w:t xml:space="preserve">Cm, as well as trace amounts of other </w:t>
      </w:r>
      <w:proofErr w:type="spellStart"/>
      <w:r>
        <w:t>Pu</w:t>
      </w:r>
      <w:proofErr w:type="spellEnd"/>
      <w:r>
        <w:t xml:space="preserve">, Cm, Am, </w:t>
      </w:r>
      <w:proofErr w:type="spellStart"/>
      <w:r>
        <w:t>Bk</w:t>
      </w:r>
      <w:proofErr w:type="spellEnd"/>
      <w:r>
        <w:t xml:space="preserve">, and </w:t>
      </w:r>
      <w:proofErr w:type="spellStart"/>
      <w:r>
        <w:t>Cf</w:t>
      </w:r>
      <w:proofErr w:type="spellEnd"/>
      <w:r>
        <w:t xml:space="preserve"> isotopes</w:t>
      </w:r>
      <w:r w:rsidR="006B5D42">
        <w:t xml:space="preserve">, </w:t>
      </w:r>
      <w:r w:rsidR="007511FA">
        <w:fldChar w:fldCharType="begin"/>
      </w:r>
      <w:r w:rsidR="006B5D42">
        <w:instrText xml:space="preserve"> REF _Ref285638188 \n \h </w:instrText>
      </w:r>
      <w:r w:rsidR="007511FA">
        <w:fldChar w:fldCharType="separate"/>
      </w:r>
      <w:r w:rsidR="00D5167B">
        <w:t>[96]</w:t>
      </w:r>
      <w:r w:rsidR="007511FA">
        <w:fldChar w:fldCharType="end"/>
      </w:r>
      <w:r w:rsidR="006B5D42">
        <w:t xml:space="preserve"> and </w:t>
      </w:r>
      <w:r w:rsidR="007511FA">
        <w:fldChar w:fldCharType="begin"/>
      </w:r>
      <w:r w:rsidR="006B5D42">
        <w:instrText xml:space="preserve"> REF _Ref285638195 \n \h </w:instrText>
      </w:r>
      <w:r w:rsidR="007511FA">
        <w:fldChar w:fldCharType="separate"/>
      </w:r>
      <w:r w:rsidR="00D5167B">
        <w:t>[97]</w:t>
      </w:r>
      <w:r w:rsidR="007511FA">
        <w:fldChar w:fldCharType="end"/>
      </w:r>
      <w:r>
        <w:t xml:space="preserve">.  The initial actinide loading for the seven targets are listed in </w:t>
      </w:r>
      <w:r w:rsidR="007511FA">
        <w:rPr>
          <w:highlight w:val="yellow"/>
        </w:rPr>
        <w:fldChar w:fldCharType="begin"/>
      </w:r>
      <w:r w:rsidR="00BA2085">
        <w:instrText xml:space="preserve"> REF _Ref285537672 \h </w:instrText>
      </w:r>
      <w:r w:rsidR="007511FA">
        <w:rPr>
          <w:highlight w:val="yellow"/>
        </w:rPr>
      </w:r>
      <w:r w:rsidR="007511FA">
        <w:rPr>
          <w:highlight w:val="yellow"/>
        </w:rPr>
        <w:fldChar w:fldCharType="separate"/>
      </w:r>
      <w:r w:rsidR="00D5167B">
        <w:t xml:space="preserve">Table </w:t>
      </w:r>
      <w:r w:rsidR="00D5167B">
        <w:rPr>
          <w:noProof/>
        </w:rPr>
        <w:t>7</w:t>
      </w:r>
      <w:r w:rsidR="00D5167B">
        <w:t>.</w:t>
      </w:r>
      <w:r w:rsidR="00D5167B">
        <w:rPr>
          <w:noProof/>
        </w:rPr>
        <w:t>2</w:t>
      </w:r>
      <w:r w:rsidR="007511FA">
        <w:rPr>
          <w:highlight w:val="yellow"/>
        </w:rPr>
        <w:fldChar w:fldCharType="end"/>
      </w:r>
      <w:r>
        <w:t>.</w:t>
      </w:r>
    </w:p>
    <w:p w:rsidR="00DC146B" w:rsidRDefault="00DC146B" w:rsidP="00DC146B">
      <w:r>
        <w:br w:type="page"/>
      </w:r>
    </w:p>
    <w:p w:rsidR="006637AA" w:rsidRPr="00DC146B" w:rsidRDefault="00BA2085" w:rsidP="00BA2085">
      <w:pPr>
        <w:pStyle w:val="Caption"/>
      </w:pPr>
      <w:bookmarkStart w:id="276" w:name="_Ref285537666"/>
      <w:bookmarkStart w:id="277" w:name="_Toc295818279"/>
      <w:proofErr w:type="gramStart"/>
      <w:r>
        <w:lastRenderedPageBreak/>
        <w:t xml:space="preserve">Table </w:t>
      </w:r>
      <w:r w:rsidR="007511FA">
        <w:fldChar w:fldCharType="begin"/>
      </w:r>
      <w:r w:rsidR="00AE17F8">
        <w:instrText xml:space="preserve"> STYLEREF 1 \s </w:instrText>
      </w:r>
      <w:r w:rsidR="007511FA">
        <w:fldChar w:fldCharType="separate"/>
      </w:r>
      <w:r w:rsidR="00D5167B">
        <w:rPr>
          <w:noProof/>
        </w:rPr>
        <w:t>7</w:t>
      </w:r>
      <w:r w:rsidR="007511FA">
        <w:fldChar w:fldCharType="end"/>
      </w:r>
      <w:r w:rsidR="00DE5151">
        <w:t>.</w:t>
      </w:r>
      <w:proofErr w:type="gramEnd"/>
      <w:r w:rsidR="007511FA">
        <w:fldChar w:fldCharType="begin"/>
      </w:r>
      <w:r w:rsidR="00C43F40">
        <w:instrText xml:space="preserve"> SEQ Table \* ARABIC \s 1 </w:instrText>
      </w:r>
      <w:r w:rsidR="007511FA">
        <w:fldChar w:fldCharType="separate"/>
      </w:r>
      <w:r w:rsidR="00D5167B">
        <w:rPr>
          <w:noProof/>
        </w:rPr>
        <w:t>1</w:t>
      </w:r>
      <w:r w:rsidR="007511FA">
        <w:fldChar w:fldCharType="end"/>
      </w:r>
      <w:bookmarkEnd w:id="276"/>
      <w:r w:rsidR="00DC146B">
        <w:t xml:space="preserve">.  </w:t>
      </w:r>
      <w:proofErr w:type="gramStart"/>
      <w:r w:rsidR="00DC146B">
        <w:t>Irradiation history of target rods.</w:t>
      </w:r>
      <w:bookmarkEnd w:id="277"/>
      <w:proofErr w:type="gramEnd"/>
    </w:p>
    <w:tbl>
      <w:tblPr>
        <w:tblW w:w="5331" w:type="dxa"/>
        <w:jc w:val="center"/>
        <w:tblInd w:w="93" w:type="dxa"/>
        <w:tblLook w:val="04A0"/>
      </w:tblPr>
      <w:tblGrid>
        <w:gridCol w:w="1017"/>
        <w:gridCol w:w="1329"/>
        <w:gridCol w:w="828"/>
        <w:gridCol w:w="1329"/>
        <w:gridCol w:w="828"/>
      </w:tblGrid>
      <w:tr w:rsidR="00DC146B" w:rsidRPr="00DC146B" w:rsidTr="00DC146B">
        <w:trPr>
          <w:trHeight w:val="300"/>
          <w:jc w:val="center"/>
        </w:trPr>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center"/>
              <w:rPr>
                <w:rFonts w:eastAsia="Times New Roman" w:cstheme="minorHAnsi"/>
                <w:b/>
                <w:bCs/>
                <w:color w:val="000000"/>
              </w:rPr>
            </w:pPr>
            <w:r w:rsidRPr="00DC146B">
              <w:rPr>
                <w:rFonts w:eastAsia="Times New Roman" w:cstheme="minorHAnsi"/>
                <w:b/>
                <w:bCs/>
                <w:color w:val="000000"/>
              </w:rPr>
              <w:t>Cycle #</w:t>
            </w:r>
          </w:p>
        </w:tc>
        <w:tc>
          <w:tcPr>
            <w:tcW w:w="2157" w:type="dxa"/>
            <w:gridSpan w:val="2"/>
            <w:tcBorders>
              <w:top w:val="single" w:sz="4" w:space="0" w:color="auto"/>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center"/>
              <w:rPr>
                <w:rFonts w:eastAsia="Times New Roman" w:cstheme="minorHAnsi"/>
                <w:b/>
                <w:bCs/>
                <w:color w:val="000000"/>
              </w:rPr>
            </w:pPr>
            <w:r w:rsidRPr="00DC146B">
              <w:rPr>
                <w:rFonts w:eastAsia="Times New Roman" w:cstheme="minorHAnsi"/>
                <w:b/>
                <w:bCs/>
                <w:color w:val="000000"/>
              </w:rPr>
              <w:t>Cycle Start</w:t>
            </w:r>
            <w:r>
              <w:rPr>
                <w:rFonts w:eastAsia="Times New Roman" w:cstheme="minorHAnsi"/>
                <w:b/>
                <w:bCs/>
                <w:color w:val="000000"/>
              </w:rPr>
              <w:t>up</w:t>
            </w:r>
          </w:p>
        </w:tc>
        <w:tc>
          <w:tcPr>
            <w:tcW w:w="2157" w:type="dxa"/>
            <w:gridSpan w:val="2"/>
            <w:tcBorders>
              <w:top w:val="single" w:sz="4" w:space="0" w:color="auto"/>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center"/>
              <w:rPr>
                <w:rFonts w:eastAsia="Times New Roman" w:cstheme="minorHAnsi"/>
                <w:b/>
                <w:bCs/>
                <w:color w:val="000000"/>
              </w:rPr>
            </w:pPr>
            <w:r w:rsidRPr="00DC146B">
              <w:rPr>
                <w:rFonts w:eastAsia="Times New Roman" w:cstheme="minorHAnsi"/>
                <w:b/>
                <w:bCs/>
                <w:color w:val="000000"/>
              </w:rPr>
              <w:t xml:space="preserve">Cycle </w:t>
            </w:r>
            <w:r>
              <w:rPr>
                <w:rFonts w:eastAsia="Times New Roman" w:cstheme="minorHAnsi"/>
                <w:b/>
                <w:bCs/>
                <w:color w:val="000000"/>
              </w:rPr>
              <w:t>Shutdown</w:t>
            </w:r>
          </w:p>
        </w:tc>
      </w:tr>
      <w:tr w:rsidR="00DC146B" w:rsidRPr="00DC146B" w:rsidTr="00DC146B">
        <w:trPr>
          <w:trHeight w:val="300"/>
          <w:jc w:val="center"/>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center"/>
              <w:rPr>
                <w:rFonts w:eastAsia="Times New Roman" w:cstheme="minorHAnsi"/>
                <w:color w:val="000000"/>
              </w:rPr>
            </w:pPr>
            <w:r w:rsidRPr="00DC146B">
              <w:rPr>
                <w:rFonts w:eastAsia="Times New Roman" w:cstheme="minorHAnsi"/>
                <w:color w:val="000000"/>
              </w:rPr>
              <w:t>407</w:t>
            </w:r>
          </w:p>
        </w:tc>
        <w:tc>
          <w:tcPr>
            <w:tcW w:w="1329"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12/21/2005</w:t>
            </w:r>
          </w:p>
        </w:tc>
        <w:tc>
          <w:tcPr>
            <w:tcW w:w="828"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8:51</w:t>
            </w:r>
          </w:p>
        </w:tc>
        <w:tc>
          <w:tcPr>
            <w:tcW w:w="1329"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1/13/2006</w:t>
            </w:r>
          </w:p>
        </w:tc>
        <w:tc>
          <w:tcPr>
            <w:tcW w:w="828"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21:08</w:t>
            </w:r>
          </w:p>
        </w:tc>
      </w:tr>
      <w:tr w:rsidR="00DC146B" w:rsidRPr="00DC146B" w:rsidTr="00DC146B">
        <w:trPr>
          <w:trHeight w:val="300"/>
          <w:jc w:val="center"/>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center"/>
              <w:rPr>
                <w:rFonts w:eastAsia="Times New Roman" w:cstheme="minorHAnsi"/>
                <w:color w:val="000000"/>
              </w:rPr>
            </w:pPr>
            <w:r w:rsidRPr="00DC146B">
              <w:rPr>
                <w:rFonts w:eastAsia="Times New Roman" w:cstheme="minorHAnsi"/>
                <w:color w:val="000000"/>
              </w:rPr>
              <w:t>408a</w:t>
            </w:r>
          </w:p>
        </w:tc>
        <w:tc>
          <w:tcPr>
            <w:tcW w:w="1329"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5/13/2007</w:t>
            </w:r>
          </w:p>
        </w:tc>
        <w:tc>
          <w:tcPr>
            <w:tcW w:w="828"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21:58</w:t>
            </w:r>
          </w:p>
        </w:tc>
        <w:tc>
          <w:tcPr>
            <w:tcW w:w="1329"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5/14/2007</w:t>
            </w:r>
          </w:p>
        </w:tc>
        <w:tc>
          <w:tcPr>
            <w:tcW w:w="828"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20:21</w:t>
            </w:r>
          </w:p>
        </w:tc>
      </w:tr>
      <w:tr w:rsidR="00DC146B" w:rsidRPr="00DC146B" w:rsidTr="00DC146B">
        <w:trPr>
          <w:trHeight w:val="300"/>
          <w:jc w:val="center"/>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center"/>
              <w:rPr>
                <w:rFonts w:eastAsia="Times New Roman" w:cstheme="minorHAnsi"/>
                <w:color w:val="000000"/>
              </w:rPr>
            </w:pPr>
            <w:r w:rsidRPr="00DC146B">
              <w:rPr>
                <w:rFonts w:eastAsia="Times New Roman" w:cstheme="minorHAnsi"/>
                <w:color w:val="000000"/>
              </w:rPr>
              <w:t>408b</w:t>
            </w:r>
          </w:p>
        </w:tc>
        <w:tc>
          <w:tcPr>
            <w:tcW w:w="1329"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5/15/2007</w:t>
            </w:r>
          </w:p>
        </w:tc>
        <w:tc>
          <w:tcPr>
            <w:tcW w:w="828"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21:24</w:t>
            </w:r>
          </w:p>
        </w:tc>
        <w:tc>
          <w:tcPr>
            <w:tcW w:w="1329"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6/9/2007</w:t>
            </w:r>
          </w:p>
        </w:tc>
        <w:tc>
          <w:tcPr>
            <w:tcW w:w="828"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15:30</w:t>
            </w:r>
          </w:p>
        </w:tc>
      </w:tr>
      <w:tr w:rsidR="00DC146B" w:rsidRPr="00DC146B" w:rsidTr="00DC146B">
        <w:trPr>
          <w:trHeight w:val="300"/>
          <w:jc w:val="center"/>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center"/>
              <w:rPr>
                <w:rFonts w:eastAsia="Times New Roman" w:cstheme="minorHAnsi"/>
                <w:color w:val="000000"/>
              </w:rPr>
            </w:pPr>
            <w:r w:rsidRPr="00DC146B">
              <w:rPr>
                <w:rFonts w:eastAsia="Times New Roman" w:cstheme="minorHAnsi"/>
                <w:color w:val="000000"/>
              </w:rPr>
              <w:t>409</w:t>
            </w:r>
          </w:p>
        </w:tc>
        <w:tc>
          <w:tcPr>
            <w:tcW w:w="1329"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6/27/2007</w:t>
            </w:r>
          </w:p>
        </w:tc>
        <w:tc>
          <w:tcPr>
            <w:tcW w:w="828"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8:05</w:t>
            </w:r>
          </w:p>
        </w:tc>
        <w:tc>
          <w:tcPr>
            <w:tcW w:w="1329"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7/20/2007</w:t>
            </w:r>
          </w:p>
        </w:tc>
        <w:tc>
          <w:tcPr>
            <w:tcW w:w="828"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16:00</w:t>
            </w:r>
          </w:p>
        </w:tc>
      </w:tr>
      <w:tr w:rsidR="00DC146B" w:rsidRPr="00DC146B" w:rsidTr="00DC146B">
        <w:trPr>
          <w:trHeight w:val="300"/>
          <w:jc w:val="center"/>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center"/>
              <w:rPr>
                <w:rFonts w:eastAsia="Times New Roman" w:cstheme="minorHAnsi"/>
                <w:color w:val="000000"/>
              </w:rPr>
            </w:pPr>
            <w:r w:rsidRPr="00DC146B">
              <w:rPr>
                <w:rFonts w:eastAsia="Times New Roman" w:cstheme="minorHAnsi"/>
                <w:color w:val="000000"/>
              </w:rPr>
              <w:t>410a</w:t>
            </w:r>
          </w:p>
        </w:tc>
        <w:tc>
          <w:tcPr>
            <w:tcW w:w="1329"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8/15/2007</w:t>
            </w:r>
          </w:p>
        </w:tc>
        <w:tc>
          <w:tcPr>
            <w:tcW w:w="828"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8:09</w:t>
            </w:r>
          </w:p>
        </w:tc>
        <w:tc>
          <w:tcPr>
            <w:tcW w:w="1329"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9/3/2007</w:t>
            </w:r>
          </w:p>
        </w:tc>
        <w:tc>
          <w:tcPr>
            <w:tcW w:w="828"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12:00</w:t>
            </w:r>
          </w:p>
        </w:tc>
      </w:tr>
      <w:tr w:rsidR="00DC146B" w:rsidRPr="00DC146B" w:rsidTr="00DC146B">
        <w:trPr>
          <w:trHeight w:val="300"/>
          <w:jc w:val="center"/>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center"/>
              <w:rPr>
                <w:rFonts w:eastAsia="Times New Roman" w:cstheme="minorHAnsi"/>
                <w:color w:val="000000"/>
              </w:rPr>
            </w:pPr>
            <w:r w:rsidRPr="00DC146B">
              <w:rPr>
                <w:rFonts w:eastAsia="Times New Roman" w:cstheme="minorHAnsi"/>
                <w:color w:val="000000"/>
              </w:rPr>
              <w:t>410b</w:t>
            </w:r>
          </w:p>
        </w:tc>
        <w:tc>
          <w:tcPr>
            <w:tcW w:w="1329"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9/26/2007</w:t>
            </w:r>
          </w:p>
        </w:tc>
        <w:tc>
          <w:tcPr>
            <w:tcW w:w="828"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7:32</w:t>
            </w:r>
          </w:p>
        </w:tc>
        <w:tc>
          <w:tcPr>
            <w:tcW w:w="1329"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9/26/2007</w:t>
            </w:r>
          </w:p>
        </w:tc>
        <w:tc>
          <w:tcPr>
            <w:tcW w:w="828"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13:10</w:t>
            </w:r>
          </w:p>
        </w:tc>
      </w:tr>
      <w:tr w:rsidR="00DC146B" w:rsidRPr="00DC146B" w:rsidTr="00DC146B">
        <w:trPr>
          <w:trHeight w:val="300"/>
          <w:jc w:val="center"/>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center"/>
              <w:rPr>
                <w:rFonts w:eastAsia="Times New Roman" w:cstheme="minorHAnsi"/>
                <w:color w:val="000000"/>
              </w:rPr>
            </w:pPr>
            <w:r w:rsidRPr="00DC146B">
              <w:rPr>
                <w:rFonts w:eastAsia="Times New Roman" w:cstheme="minorHAnsi"/>
                <w:color w:val="000000"/>
              </w:rPr>
              <w:t>410c</w:t>
            </w:r>
          </w:p>
        </w:tc>
        <w:tc>
          <w:tcPr>
            <w:tcW w:w="1329"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9/28/2007</w:t>
            </w:r>
          </w:p>
        </w:tc>
        <w:tc>
          <w:tcPr>
            <w:tcW w:w="828"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4:34</w:t>
            </w:r>
          </w:p>
        </w:tc>
        <w:tc>
          <w:tcPr>
            <w:tcW w:w="1329"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10/2/2007</w:t>
            </w:r>
          </w:p>
        </w:tc>
        <w:tc>
          <w:tcPr>
            <w:tcW w:w="828"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13:42</w:t>
            </w:r>
          </w:p>
        </w:tc>
      </w:tr>
      <w:tr w:rsidR="00DC146B" w:rsidRPr="00DC146B" w:rsidTr="00DC146B">
        <w:trPr>
          <w:trHeight w:val="300"/>
          <w:jc w:val="center"/>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center"/>
              <w:rPr>
                <w:rFonts w:eastAsia="Times New Roman" w:cstheme="minorHAnsi"/>
                <w:color w:val="000000"/>
              </w:rPr>
            </w:pPr>
            <w:r w:rsidRPr="00DC146B">
              <w:rPr>
                <w:rFonts w:eastAsia="Times New Roman" w:cstheme="minorHAnsi"/>
                <w:color w:val="000000"/>
              </w:rPr>
              <w:t>411</w:t>
            </w:r>
          </w:p>
        </w:tc>
        <w:tc>
          <w:tcPr>
            <w:tcW w:w="1329"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11/14/2007</w:t>
            </w:r>
          </w:p>
        </w:tc>
        <w:tc>
          <w:tcPr>
            <w:tcW w:w="828"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7:31</w:t>
            </w:r>
          </w:p>
        </w:tc>
        <w:tc>
          <w:tcPr>
            <w:tcW w:w="1329"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12/8/2007</w:t>
            </w:r>
          </w:p>
        </w:tc>
        <w:tc>
          <w:tcPr>
            <w:tcW w:w="828"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0:43</w:t>
            </w:r>
          </w:p>
        </w:tc>
      </w:tr>
      <w:tr w:rsidR="00DC146B" w:rsidRPr="00DC146B" w:rsidTr="00DC146B">
        <w:trPr>
          <w:trHeight w:val="300"/>
          <w:jc w:val="center"/>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center"/>
              <w:rPr>
                <w:rFonts w:eastAsia="Times New Roman" w:cstheme="minorHAnsi"/>
                <w:color w:val="000000"/>
              </w:rPr>
            </w:pPr>
            <w:r w:rsidRPr="00DC146B">
              <w:rPr>
                <w:rFonts w:eastAsia="Times New Roman" w:cstheme="minorHAnsi"/>
                <w:color w:val="000000"/>
              </w:rPr>
              <w:t>412</w:t>
            </w:r>
          </w:p>
        </w:tc>
        <w:tc>
          <w:tcPr>
            <w:tcW w:w="1329"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12/18/2007</w:t>
            </w:r>
          </w:p>
        </w:tc>
        <w:tc>
          <w:tcPr>
            <w:tcW w:w="828"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10:22</w:t>
            </w:r>
          </w:p>
        </w:tc>
        <w:tc>
          <w:tcPr>
            <w:tcW w:w="1329"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1/11/2008</w:t>
            </w:r>
          </w:p>
        </w:tc>
        <w:tc>
          <w:tcPr>
            <w:tcW w:w="828"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2:00</w:t>
            </w:r>
          </w:p>
        </w:tc>
      </w:tr>
      <w:tr w:rsidR="00DC146B" w:rsidRPr="00DC146B" w:rsidTr="00DC146B">
        <w:trPr>
          <w:trHeight w:val="300"/>
          <w:jc w:val="center"/>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center"/>
              <w:rPr>
                <w:rFonts w:eastAsia="Times New Roman" w:cstheme="minorHAnsi"/>
                <w:color w:val="000000"/>
              </w:rPr>
            </w:pPr>
            <w:r w:rsidRPr="00DC146B">
              <w:rPr>
                <w:rFonts w:eastAsia="Times New Roman" w:cstheme="minorHAnsi"/>
                <w:color w:val="000000"/>
              </w:rPr>
              <w:t>413</w:t>
            </w:r>
          </w:p>
        </w:tc>
        <w:tc>
          <w:tcPr>
            <w:tcW w:w="1329"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2/6/2008</w:t>
            </w:r>
          </w:p>
        </w:tc>
        <w:tc>
          <w:tcPr>
            <w:tcW w:w="828"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9:47</w:t>
            </w:r>
          </w:p>
        </w:tc>
        <w:tc>
          <w:tcPr>
            <w:tcW w:w="1329"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3/1/2008</w:t>
            </w:r>
          </w:p>
        </w:tc>
        <w:tc>
          <w:tcPr>
            <w:tcW w:w="828"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9:00</w:t>
            </w:r>
          </w:p>
        </w:tc>
      </w:tr>
      <w:tr w:rsidR="00DC146B" w:rsidRPr="00DC146B" w:rsidTr="00DC146B">
        <w:trPr>
          <w:trHeight w:val="300"/>
          <w:jc w:val="center"/>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center"/>
              <w:rPr>
                <w:rFonts w:eastAsia="Times New Roman" w:cstheme="minorHAnsi"/>
                <w:color w:val="000000"/>
              </w:rPr>
            </w:pPr>
            <w:r w:rsidRPr="00DC146B">
              <w:rPr>
                <w:rFonts w:eastAsia="Times New Roman" w:cstheme="minorHAnsi"/>
                <w:color w:val="000000"/>
              </w:rPr>
              <w:t>414</w:t>
            </w:r>
          </w:p>
        </w:tc>
        <w:tc>
          <w:tcPr>
            <w:tcW w:w="1329"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3/26/2008</w:t>
            </w:r>
          </w:p>
        </w:tc>
        <w:tc>
          <w:tcPr>
            <w:tcW w:w="828"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12:10</w:t>
            </w:r>
          </w:p>
        </w:tc>
        <w:tc>
          <w:tcPr>
            <w:tcW w:w="1329"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4/19/2008</w:t>
            </w:r>
          </w:p>
        </w:tc>
        <w:tc>
          <w:tcPr>
            <w:tcW w:w="828"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14:14</w:t>
            </w:r>
          </w:p>
        </w:tc>
      </w:tr>
      <w:tr w:rsidR="00DC146B" w:rsidRPr="00DC146B" w:rsidTr="00DC146B">
        <w:trPr>
          <w:trHeight w:val="300"/>
          <w:jc w:val="center"/>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center"/>
              <w:rPr>
                <w:rFonts w:eastAsia="Times New Roman" w:cstheme="minorHAnsi"/>
                <w:color w:val="000000"/>
              </w:rPr>
            </w:pPr>
            <w:r w:rsidRPr="00DC146B">
              <w:rPr>
                <w:rFonts w:eastAsia="Times New Roman" w:cstheme="minorHAnsi"/>
                <w:color w:val="000000"/>
              </w:rPr>
              <w:t>415a</w:t>
            </w:r>
          </w:p>
        </w:tc>
        <w:tc>
          <w:tcPr>
            <w:tcW w:w="1329"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6/7/2008</w:t>
            </w:r>
          </w:p>
        </w:tc>
        <w:tc>
          <w:tcPr>
            <w:tcW w:w="828"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21:35</w:t>
            </w:r>
          </w:p>
        </w:tc>
        <w:tc>
          <w:tcPr>
            <w:tcW w:w="1329"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6/21/2008</w:t>
            </w:r>
          </w:p>
        </w:tc>
        <w:tc>
          <w:tcPr>
            <w:tcW w:w="828"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21:06</w:t>
            </w:r>
          </w:p>
        </w:tc>
      </w:tr>
      <w:tr w:rsidR="00DC146B" w:rsidRPr="00DC146B" w:rsidTr="00DC146B">
        <w:trPr>
          <w:trHeight w:val="300"/>
          <w:jc w:val="center"/>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center"/>
              <w:rPr>
                <w:rFonts w:eastAsia="Times New Roman" w:cstheme="minorHAnsi"/>
                <w:color w:val="000000"/>
              </w:rPr>
            </w:pPr>
            <w:r w:rsidRPr="00DC146B">
              <w:rPr>
                <w:rFonts w:eastAsia="Times New Roman" w:cstheme="minorHAnsi"/>
                <w:color w:val="000000"/>
              </w:rPr>
              <w:t>415b</w:t>
            </w:r>
          </w:p>
        </w:tc>
        <w:tc>
          <w:tcPr>
            <w:tcW w:w="1329"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6/26/2008</w:t>
            </w:r>
          </w:p>
        </w:tc>
        <w:tc>
          <w:tcPr>
            <w:tcW w:w="828"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8:18</w:t>
            </w:r>
          </w:p>
        </w:tc>
        <w:tc>
          <w:tcPr>
            <w:tcW w:w="1329"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6/30/2008</w:t>
            </w:r>
          </w:p>
        </w:tc>
        <w:tc>
          <w:tcPr>
            <w:tcW w:w="828"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5:25</w:t>
            </w:r>
          </w:p>
        </w:tc>
      </w:tr>
      <w:tr w:rsidR="00DC146B" w:rsidRPr="00DC146B" w:rsidTr="00DC146B">
        <w:trPr>
          <w:trHeight w:val="300"/>
          <w:jc w:val="center"/>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center"/>
              <w:rPr>
                <w:rFonts w:eastAsia="Times New Roman" w:cstheme="minorHAnsi"/>
                <w:color w:val="000000"/>
              </w:rPr>
            </w:pPr>
            <w:r w:rsidRPr="00DC146B">
              <w:rPr>
                <w:rFonts w:eastAsia="Times New Roman" w:cstheme="minorHAnsi"/>
                <w:color w:val="000000"/>
              </w:rPr>
              <w:t>416</w:t>
            </w:r>
          </w:p>
        </w:tc>
        <w:tc>
          <w:tcPr>
            <w:tcW w:w="1329"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7/16/2008</w:t>
            </w:r>
          </w:p>
        </w:tc>
        <w:tc>
          <w:tcPr>
            <w:tcW w:w="828"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8:02</w:t>
            </w:r>
          </w:p>
        </w:tc>
        <w:tc>
          <w:tcPr>
            <w:tcW w:w="1329"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8/6/2008</w:t>
            </w:r>
          </w:p>
        </w:tc>
        <w:tc>
          <w:tcPr>
            <w:tcW w:w="828"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10:46</w:t>
            </w:r>
          </w:p>
        </w:tc>
      </w:tr>
      <w:tr w:rsidR="00DC146B" w:rsidRPr="00DC146B" w:rsidTr="00DC146B">
        <w:trPr>
          <w:trHeight w:val="300"/>
          <w:jc w:val="center"/>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center"/>
              <w:rPr>
                <w:rFonts w:eastAsia="Times New Roman" w:cstheme="minorHAnsi"/>
                <w:color w:val="000000"/>
              </w:rPr>
            </w:pPr>
            <w:r w:rsidRPr="00DC146B">
              <w:rPr>
                <w:rFonts w:eastAsia="Times New Roman" w:cstheme="minorHAnsi"/>
                <w:color w:val="000000"/>
              </w:rPr>
              <w:t>417</w:t>
            </w:r>
          </w:p>
        </w:tc>
        <w:tc>
          <w:tcPr>
            <w:tcW w:w="1329"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9/24/2008</w:t>
            </w:r>
          </w:p>
        </w:tc>
        <w:tc>
          <w:tcPr>
            <w:tcW w:w="828"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7:46</w:t>
            </w:r>
          </w:p>
        </w:tc>
        <w:tc>
          <w:tcPr>
            <w:tcW w:w="1329"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10/18/2008</w:t>
            </w:r>
          </w:p>
        </w:tc>
        <w:tc>
          <w:tcPr>
            <w:tcW w:w="828"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6:50</w:t>
            </w:r>
          </w:p>
        </w:tc>
      </w:tr>
      <w:tr w:rsidR="00DC146B" w:rsidRPr="00DC146B" w:rsidTr="00DC146B">
        <w:trPr>
          <w:trHeight w:val="300"/>
          <w:jc w:val="center"/>
        </w:trPr>
        <w:tc>
          <w:tcPr>
            <w:tcW w:w="1017" w:type="dxa"/>
            <w:tcBorders>
              <w:top w:val="nil"/>
              <w:left w:val="single" w:sz="4" w:space="0" w:color="auto"/>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center"/>
              <w:rPr>
                <w:rFonts w:eastAsia="Times New Roman" w:cstheme="minorHAnsi"/>
                <w:color w:val="000000"/>
              </w:rPr>
            </w:pPr>
            <w:r w:rsidRPr="00DC146B">
              <w:rPr>
                <w:rFonts w:eastAsia="Times New Roman" w:cstheme="minorHAnsi"/>
                <w:color w:val="000000"/>
              </w:rPr>
              <w:t>418</w:t>
            </w:r>
          </w:p>
        </w:tc>
        <w:tc>
          <w:tcPr>
            <w:tcW w:w="1329"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11/12/2008</w:t>
            </w:r>
          </w:p>
        </w:tc>
        <w:tc>
          <w:tcPr>
            <w:tcW w:w="828"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8:01</w:t>
            </w:r>
          </w:p>
        </w:tc>
        <w:tc>
          <w:tcPr>
            <w:tcW w:w="1329"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12/5/2008</w:t>
            </w:r>
          </w:p>
        </w:tc>
        <w:tc>
          <w:tcPr>
            <w:tcW w:w="828" w:type="dxa"/>
            <w:tcBorders>
              <w:top w:val="nil"/>
              <w:left w:val="nil"/>
              <w:bottom w:val="single" w:sz="4" w:space="0" w:color="auto"/>
              <w:right w:val="single" w:sz="4" w:space="0" w:color="auto"/>
            </w:tcBorders>
            <w:shd w:val="clear" w:color="auto" w:fill="auto"/>
            <w:noWrap/>
            <w:vAlign w:val="bottom"/>
            <w:hideMark/>
          </w:tcPr>
          <w:p w:rsidR="00DC146B" w:rsidRPr="00DC146B" w:rsidRDefault="00DC146B" w:rsidP="00DC146B">
            <w:pPr>
              <w:spacing w:before="0" w:after="0" w:line="240" w:lineRule="auto"/>
              <w:ind w:firstLine="0"/>
              <w:jc w:val="right"/>
              <w:rPr>
                <w:rFonts w:eastAsia="Times New Roman" w:cstheme="minorHAnsi"/>
                <w:color w:val="000000"/>
              </w:rPr>
            </w:pPr>
            <w:r w:rsidRPr="00DC146B">
              <w:rPr>
                <w:rFonts w:eastAsia="Times New Roman" w:cstheme="minorHAnsi"/>
                <w:color w:val="000000"/>
              </w:rPr>
              <w:t>19:30</w:t>
            </w:r>
          </w:p>
        </w:tc>
      </w:tr>
    </w:tbl>
    <w:p w:rsidR="00DC146B" w:rsidRDefault="00DC146B" w:rsidP="006637AA"/>
    <w:p w:rsidR="00DC146B" w:rsidRDefault="00DC146B">
      <w:pPr>
        <w:spacing w:before="0" w:after="200" w:line="276" w:lineRule="auto"/>
        <w:ind w:firstLine="0"/>
        <w:jc w:val="left"/>
      </w:pPr>
    </w:p>
    <w:p w:rsidR="00535B14" w:rsidRDefault="00FC766F" w:rsidP="00FC766F">
      <w:pPr>
        <w:spacing w:before="0" w:after="200" w:line="276" w:lineRule="auto"/>
        <w:ind w:firstLine="0"/>
        <w:jc w:val="center"/>
      </w:pPr>
      <w:r w:rsidRPr="00FC766F">
        <w:rPr>
          <w:noProof/>
        </w:rPr>
        <w:drawing>
          <wp:inline distT="0" distB="0" distL="0" distR="0">
            <wp:extent cx="3276600" cy="3276600"/>
            <wp:effectExtent l="19050" t="0" r="0" b="0"/>
            <wp:docPr id="81" name="Picture 8" descr="http://neutrons.ornl.gov/images/hfir/experiment_map900.jpg"/>
            <wp:cNvGraphicFramePr/>
            <a:graphic xmlns:a="http://schemas.openxmlformats.org/drawingml/2006/main">
              <a:graphicData uri="http://schemas.openxmlformats.org/drawingml/2006/picture">
                <pic:pic xmlns:pic="http://schemas.openxmlformats.org/drawingml/2006/picture">
                  <pic:nvPicPr>
                    <pic:cNvPr id="4" name="Picture 3" descr="http://neutrons.ornl.gov/images/hfir/experiment_map900.jpg"/>
                    <pic:cNvPicPr>
                      <a:picLocks noChangeAspect="1"/>
                    </pic:cNvPicPr>
                  </pic:nvPicPr>
                  <pic:blipFill>
                    <a:blip r:embed="rId69" cstate="print"/>
                    <a:srcRect l="68056" t="3556" r="3277" b="58222"/>
                    <a:stretch>
                      <a:fillRect/>
                    </a:stretch>
                  </pic:blipFill>
                  <pic:spPr bwMode="auto">
                    <a:xfrm>
                      <a:off x="0" y="0"/>
                      <a:ext cx="3276600" cy="3276600"/>
                    </a:xfrm>
                    <a:prstGeom prst="rect">
                      <a:avLst/>
                    </a:prstGeom>
                    <a:noFill/>
                    <a:ln>
                      <a:noFill/>
                    </a:ln>
                  </pic:spPr>
                </pic:pic>
              </a:graphicData>
            </a:graphic>
          </wp:inline>
        </w:drawing>
      </w:r>
      <w:r w:rsidRPr="00FC766F">
        <w:rPr>
          <w:noProof/>
        </w:rPr>
        <w:drawing>
          <wp:inline distT="0" distB="0" distL="0" distR="0">
            <wp:extent cx="2133600" cy="1790690"/>
            <wp:effectExtent l="19050" t="0" r="0" b="0"/>
            <wp:docPr id="82" name="Picture 9" descr="http://neutrons.ornl.gov/images/hfir/experiment_map900.jpg"/>
            <wp:cNvGraphicFramePr/>
            <a:graphic xmlns:a="http://schemas.openxmlformats.org/drawingml/2006/main">
              <a:graphicData uri="http://schemas.openxmlformats.org/drawingml/2006/picture">
                <pic:pic xmlns:pic="http://schemas.openxmlformats.org/drawingml/2006/picture">
                  <pic:nvPicPr>
                    <pic:cNvPr id="5" name="Picture 4" descr="http://neutrons.ornl.gov/images/hfir/experiment_map900.jpg"/>
                    <pic:cNvPicPr>
                      <a:picLocks noChangeAspect="1"/>
                    </pic:cNvPicPr>
                  </pic:nvPicPr>
                  <pic:blipFill>
                    <a:blip r:embed="rId69" cstate="print"/>
                    <a:srcRect l="77056" t="46297" r="4278" b="32814"/>
                    <a:stretch>
                      <a:fillRect/>
                    </a:stretch>
                  </pic:blipFill>
                  <pic:spPr bwMode="auto">
                    <a:xfrm>
                      <a:off x="0" y="0"/>
                      <a:ext cx="2133600" cy="1790690"/>
                    </a:xfrm>
                    <a:prstGeom prst="rect">
                      <a:avLst/>
                    </a:prstGeom>
                    <a:noFill/>
                    <a:ln>
                      <a:noFill/>
                    </a:ln>
                  </pic:spPr>
                </pic:pic>
              </a:graphicData>
            </a:graphic>
          </wp:inline>
        </w:drawing>
      </w:r>
    </w:p>
    <w:p w:rsidR="00FC766F" w:rsidRPr="00FC766F" w:rsidRDefault="00BA2085" w:rsidP="00BA2085">
      <w:pPr>
        <w:pStyle w:val="Caption"/>
      </w:pPr>
      <w:bookmarkStart w:id="278" w:name="_Ref285537686"/>
      <w:bookmarkStart w:id="279" w:name="_Toc295818241"/>
      <w:proofErr w:type="gramStart"/>
      <w:r>
        <w:t xml:space="preserve">Figure </w:t>
      </w:r>
      <w:r w:rsidR="007511FA">
        <w:fldChar w:fldCharType="begin"/>
      </w:r>
      <w:r w:rsidR="00AE17F8">
        <w:instrText xml:space="preserve"> STYLEREF 1 \s </w:instrText>
      </w:r>
      <w:r w:rsidR="007511FA">
        <w:fldChar w:fldCharType="separate"/>
      </w:r>
      <w:r w:rsidR="00D5167B">
        <w:rPr>
          <w:noProof/>
        </w:rPr>
        <w:t>7</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2</w:t>
      </w:r>
      <w:r w:rsidR="007511FA">
        <w:fldChar w:fldCharType="end"/>
      </w:r>
      <w:bookmarkEnd w:id="278"/>
      <w:r w:rsidR="00FC766F">
        <w:t xml:space="preserve">.  </w:t>
      </w:r>
      <w:proofErr w:type="gramStart"/>
      <w:r w:rsidR="00FC766F">
        <w:t>Illustration of the flux trap</w:t>
      </w:r>
      <w:proofErr w:type="gramEnd"/>
      <w:r w:rsidR="00FC766F">
        <w:t xml:space="preserve"> target positions.</w:t>
      </w:r>
      <w:bookmarkEnd w:id="279"/>
    </w:p>
    <w:p w:rsidR="00DC146B" w:rsidRPr="000766EC" w:rsidRDefault="00BA2085" w:rsidP="00BA2085">
      <w:pPr>
        <w:pStyle w:val="Caption"/>
      </w:pPr>
      <w:bookmarkStart w:id="280" w:name="_Ref285537672"/>
      <w:bookmarkStart w:id="281" w:name="_Toc295818280"/>
      <w:proofErr w:type="gramStart"/>
      <w:r>
        <w:lastRenderedPageBreak/>
        <w:t xml:space="preserve">Table </w:t>
      </w:r>
      <w:r w:rsidR="007511FA">
        <w:fldChar w:fldCharType="begin"/>
      </w:r>
      <w:r w:rsidR="00AE17F8">
        <w:instrText xml:space="preserve"> STYLEREF 1 \s </w:instrText>
      </w:r>
      <w:r w:rsidR="007511FA">
        <w:fldChar w:fldCharType="separate"/>
      </w:r>
      <w:r w:rsidR="00D5167B">
        <w:rPr>
          <w:noProof/>
        </w:rPr>
        <w:t>7</w:t>
      </w:r>
      <w:r w:rsidR="007511FA">
        <w:fldChar w:fldCharType="end"/>
      </w:r>
      <w:r w:rsidR="00DE5151">
        <w:t>.</w:t>
      </w:r>
      <w:proofErr w:type="gramEnd"/>
      <w:r w:rsidR="007511FA">
        <w:fldChar w:fldCharType="begin"/>
      </w:r>
      <w:r w:rsidR="00C43F40">
        <w:instrText xml:space="preserve"> SEQ Table \* ARABIC \s 1 </w:instrText>
      </w:r>
      <w:r w:rsidR="007511FA">
        <w:fldChar w:fldCharType="separate"/>
      </w:r>
      <w:r w:rsidR="00D5167B">
        <w:rPr>
          <w:noProof/>
        </w:rPr>
        <w:t>2</w:t>
      </w:r>
      <w:r w:rsidR="007511FA">
        <w:fldChar w:fldCharType="end"/>
      </w:r>
      <w:bookmarkEnd w:id="280"/>
      <w:r w:rsidR="000766EC">
        <w:t xml:space="preserve">. </w:t>
      </w:r>
      <w:r w:rsidR="0039423D">
        <w:t xml:space="preserve"> </w:t>
      </w:r>
      <w:r w:rsidR="00FC069F">
        <w:t>Initial curium targets actinide loading (atoms/barn/cm).</w:t>
      </w:r>
      <w:bookmarkEnd w:id="281"/>
    </w:p>
    <w:tbl>
      <w:tblPr>
        <w:tblW w:w="8984" w:type="dxa"/>
        <w:jc w:val="center"/>
        <w:tblInd w:w="93" w:type="dxa"/>
        <w:tblLook w:val="04A0"/>
      </w:tblPr>
      <w:tblGrid>
        <w:gridCol w:w="1011"/>
        <w:gridCol w:w="1139"/>
        <w:gridCol w:w="1139"/>
        <w:gridCol w:w="1139"/>
        <w:gridCol w:w="1139"/>
        <w:gridCol w:w="1139"/>
        <w:gridCol w:w="1139"/>
        <w:gridCol w:w="1139"/>
      </w:tblGrid>
      <w:tr w:rsidR="000766EC" w:rsidRPr="000766EC" w:rsidTr="00FC069F">
        <w:trPr>
          <w:trHeight w:val="300"/>
          <w:jc w:val="center"/>
        </w:trPr>
        <w:tc>
          <w:tcPr>
            <w:tcW w:w="10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b/>
                <w:bCs/>
                <w:color w:val="000000"/>
              </w:rPr>
            </w:pPr>
            <w:r w:rsidRPr="000766EC">
              <w:rPr>
                <w:rFonts w:eastAsia="Times New Roman" w:cstheme="minorHAnsi"/>
                <w:b/>
                <w:bCs/>
                <w:color w:val="000000"/>
              </w:rPr>
              <w:t>Isotope</w:t>
            </w:r>
          </w:p>
        </w:tc>
        <w:tc>
          <w:tcPr>
            <w:tcW w:w="1139" w:type="dxa"/>
            <w:tcBorders>
              <w:top w:val="single" w:sz="4" w:space="0" w:color="auto"/>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b/>
                <w:bCs/>
                <w:color w:val="000000"/>
              </w:rPr>
            </w:pPr>
            <w:r w:rsidRPr="000766EC">
              <w:rPr>
                <w:rFonts w:eastAsia="Times New Roman" w:cstheme="minorHAnsi"/>
                <w:b/>
                <w:bCs/>
                <w:color w:val="000000"/>
              </w:rPr>
              <w:t>S27</w:t>
            </w:r>
          </w:p>
        </w:tc>
        <w:tc>
          <w:tcPr>
            <w:tcW w:w="1139" w:type="dxa"/>
            <w:tcBorders>
              <w:top w:val="single" w:sz="4" w:space="0" w:color="auto"/>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b/>
                <w:bCs/>
                <w:color w:val="000000"/>
              </w:rPr>
            </w:pPr>
            <w:r w:rsidRPr="000766EC">
              <w:rPr>
                <w:rFonts w:eastAsia="Times New Roman" w:cstheme="minorHAnsi"/>
                <w:b/>
                <w:bCs/>
                <w:color w:val="000000"/>
              </w:rPr>
              <w:t>S28</w:t>
            </w:r>
          </w:p>
        </w:tc>
        <w:tc>
          <w:tcPr>
            <w:tcW w:w="1139" w:type="dxa"/>
            <w:tcBorders>
              <w:top w:val="single" w:sz="4" w:space="0" w:color="auto"/>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b/>
                <w:bCs/>
                <w:color w:val="000000"/>
              </w:rPr>
            </w:pPr>
            <w:r w:rsidRPr="000766EC">
              <w:rPr>
                <w:rFonts w:eastAsia="Times New Roman" w:cstheme="minorHAnsi"/>
                <w:b/>
                <w:bCs/>
                <w:color w:val="000000"/>
              </w:rPr>
              <w:t>S30</w:t>
            </w:r>
          </w:p>
        </w:tc>
        <w:tc>
          <w:tcPr>
            <w:tcW w:w="1139" w:type="dxa"/>
            <w:tcBorders>
              <w:top w:val="single" w:sz="4" w:space="0" w:color="auto"/>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b/>
                <w:bCs/>
                <w:color w:val="000000"/>
              </w:rPr>
            </w:pPr>
            <w:r w:rsidRPr="000766EC">
              <w:rPr>
                <w:rFonts w:eastAsia="Times New Roman" w:cstheme="minorHAnsi"/>
                <w:b/>
                <w:bCs/>
                <w:color w:val="000000"/>
              </w:rPr>
              <w:t>S31</w:t>
            </w:r>
          </w:p>
        </w:tc>
        <w:tc>
          <w:tcPr>
            <w:tcW w:w="1139" w:type="dxa"/>
            <w:tcBorders>
              <w:top w:val="single" w:sz="4" w:space="0" w:color="auto"/>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b/>
                <w:bCs/>
                <w:color w:val="000000"/>
              </w:rPr>
            </w:pPr>
            <w:r w:rsidRPr="000766EC">
              <w:rPr>
                <w:rFonts w:eastAsia="Times New Roman" w:cstheme="minorHAnsi"/>
                <w:b/>
                <w:bCs/>
                <w:color w:val="000000"/>
              </w:rPr>
              <w:t>S32</w:t>
            </w:r>
          </w:p>
        </w:tc>
        <w:tc>
          <w:tcPr>
            <w:tcW w:w="1139" w:type="dxa"/>
            <w:tcBorders>
              <w:top w:val="single" w:sz="4" w:space="0" w:color="auto"/>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b/>
                <w:bCs/>
                <w:color w:val="000000"/>
              </w:rPr>
            </w:pPr>
            <w:r w:rsidRPr="000766EC">
              <w:rPr>
                <w:rFonts w:eastAsia="Times New Roman" w:cstheme="minorHAnsi"/>
                <w:b/>
                <w:bCs/>
                <w:color w:val="000000"/>
              </w:rPr>
              <w:t>S33</w:t>
            </w:r>
          </w:p>
        </w:tc>
        <w:tc>
          <w:tcPr>
            <w:tcW w:w="1139" w:type="dxa"/>
            <w:tcBorders>
              <w:top w:val="single" w:sz="4" w:space="0" w:color="auto"/>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b/>
                <w:bCs/>
                <w:color w:val="000000"/>
              </w:rPr>
            </w:pPr>
            <w:r w:rsidRPr="000766EC">
              <w:rPr>
                <w:rFonts w:eastAsia="Times New Roman" w:cstheme="minorHAnsi"/>
                <w:b/>
                <w:bCs/>
                <w:color w:val="000000"/>
              </w:rPr>
              <w:t>S34</w:t>
            </w:r>
          </w:p>
        </w:tc>
      </w:tr>
      <w:tr w:rsidR="000766EC" w:rsidRPr="000766EC" w:rsidTr="00FC069F">
        <w:trPr>
          <w:trHeight w:val="330"/>
          <w:jc w:val="center"/>
        </w:trPr>
        <w:tc>
          <w:tcPr>
            <w:tcW w:w="1011" w:type="dxa"/>
            <w:tcBorders>
              <w:top w:val="nil"/>
              <w:left w:val="single" w:sz="4" w:space="0" w:color="auto"/>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vertAlign w:val="superscript"/>
              </w:rPr>
              <w:t>238</w:t>
            </w:r>
            <w:r w:rsidRPr="000766EC">
              <w:rPr>
                <w:rFonts w:eastAsia="Times New Roman" w:cstheme="minorHAnsi"/>
                <w:color w:val="000000"/>
              </w:rPr>
              <w:t>Pu</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2.61E-08</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2.57E-08</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2.27E-08</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2.27E-08</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2.21E-08</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2.50E-08</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2.64E-08</w:t>
            </w:r>
          </w:p>
        </w:tc>
      </w:tr>
      <w:tr w:rsidR="000766EC" w:rsidRPr="000766EC" w:rsidTr="00FC069F">
        <w:trPr>
          <w:trHeight w:val="330"/>
          <w:jc w:val="center"/>
        </w:trPr>
        <w:tc>
          <w:tcPr>
            <w:tcW w:w="1011" w:type="dxa"/>
            <w:tcBorders>
              <w:top w:val="nil"/>
              <w:left w:val="single" w:sz="4" w:space="0" w:color="auto"/>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vertAlign w:val="superscript"/>
              </w:rPr>
              <w:t>239</w:t>
            </w:r>
            <w:r w:rsidRPr="000766EC">
              <w:rPr>
                <w:rFonts w:eastAsia="Times New Roman" w:cstheme="minorHAnsi"/>
                <w:color w:val="000000"/>
              </w:rPr>
              <w:t>Pu</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5.91E-09</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6.00E-09</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5.32E-09</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5.32E-09</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5.16E-09</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5.84E-09</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6.14E-09</w:t>
            </w:r>
          </w:p>
        </w:tc>
      </w:tr>
      <w:tr w:rsidR="000766EC" w:rsidRPr="000766EC" w:rsidTr="00FC069F">
        <w:trPr>
          <w:trHeight w:val="330"/>
          <w:jc w:val="center"/>
        </w:trPr>
        <w:tc>
          <w:tcPr>
            <w:tcW w:w="1011" w:type="dxa"/>
            <w:tcBorders>
              <w:top w:val="nil"/>
              <w:left w:val="single" w:sz="4" w:space="0" w:color="auto"/>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vertAlign w:val="superscript"/>
              </w:rPr>
              <w:t>240</w:t>
            </w:r>
            <w:r w:rsidRPr="000766EC">
              <w:rPr>
                <w:rFonts w:eastAsia="Times New Roman" w:cstheme="minorHAnsi"/>
                <w:color w:val="000000"/>
              </w:rPr>
              <w:t>Pu</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4.86E-06</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6.45E-06</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5.73E-06</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5.71E-06</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5.55E-06</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6.27E-06</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6.58E-06</w:t>
            </w:r>
          </w:p>
        </w:tc>
      </w:tr>
      <w:tr w:rsidR="000766EC" w:rsidRPr="000766EC" w:rsidTr="00FC069F">
        <w:trPr>
          <w:trHeight w:val="330"/>
          <w:jc w:val="center"/>
        </w:trPr>
        <w:tc>
          <w:tcPr>
            <w:tcW w:w="1011" w:type="dxa"/>
            <w:tcBorders>
              <w:top w:val="nil"/>
              <w:left w:val="single" w:sz="4" w:space="0" w:color="auto"/>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vertAlign w:val="superscript"/>
              </w:rPr>
              <w:t>241</w:t>
            </w:r>
            <w:r w:rsidRPr="000766EC">
              <w:rPr>
                <w:rFonts w:eastAsia="Times New Roman" w:cstheme="minorHAnsi"/>
                <w:color w:val="000000"/>
              </w:rPr>
              <w:t>Pu</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4.29E-09</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4.11E-09</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3.64E-09</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3.64E-09</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3.53E-09</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4.00E-09</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4.20E-09</w:t>
            </w:r>
          </w:p>
        </w:tc>
      </w:tr>
      <w:tr w:rsidR="000766EC" w:rsidRPr="000766EC" w:rsidTr="00FC069F">
        <w:trPr>
          <w:trHeight w:val="330"/>
          <w:jc w:val="center"/>
        </w:trPr>
        <w:tc>
          <w:tcPr>
            <w:tcW w:w="1011" w:type="dxa"/>
            <w:tcBorders>
              <w:top w:val="nil"/>
              <w:left w:val="single" w:sz="4" w:space="0" w:color="auto"/>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vertAlign w:val="superscript"/>
              </w:rPr>
              <w:t>242</w:t>
            </w:r>
            <w:r w:rsidRPr="000766EC">
              <w:rPr>
                <w:rFonts w:eastAsia="Times New Roman" w:cstheme="minorHAnsi"/>
                <w:color w:val="000000"/>
              </w:rPr>
              <w:t>Pu</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1.97E-07</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2.09E-07</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1.85E-07</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1.85E-07</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1.80E-07</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2.04E-07</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2.14E-07</w:t>
            </w:r>
          </w:p>
        </w:tc>
      </w:tr>
      <w:tr w:rsidR="000766EC" w:rsidRPr="000766EC" w:rsidTr="00FC069F">
        <w:trPr>
          <w:trHeight w:val="330"/>
          <w:jc w:val="center"/>
        </w:trPr>
        <w:tc>
          <w:tcPr>
            <w:tcW w:w="1011" w:type="dxa"/>
            <w:tcBorders>
              <w:top w:val="nil"/>
              <w:left w:val="single" w:sz="4" w:space="0" w:color="auto"/>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vertAlign w:val="superscript"/>
              </w:rPr>
              <w:t>244</w:t>
            </w:r>
            <w:r w:rsidRPr="000766EC">
              <w:rPr>
                <w:rFonts w:eastAsia="Times New Roman" w:cstheme="minorHAnsi"/>
                <w:color w:val="000000"/>
              </w:rPr>
              <w:t>Pu</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2.94E-10</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3.26E-10</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2.88E-10</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2.88E-10</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2.79E-10</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3.17E-10</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3.33E-10</w:t>
            </w:r>
          </w:p>
        </w:tc>
      </w:tr>
      <w:tr w:rsidR="000766EC" w:rsidRPr="000766EC" w:rsidTr="00FC069F">
        <w:trPr>
          <w:trHeight w:val="330"/>
          <w:jc w:val="center"/>
        </w:trPr>
        <w:tc>
          <w:tcPr>
            <w:tcW w:w="1011" w:type="dxa"/>
            <w:tcBorders>
              <w:top w:val="nil"/>
              <w:left w:val="single" w:sz="4" w:space="0" w:color="auto"/>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vertAlign w:val="superscript"/>
              </w:rPr>
              <w:t>241</w:t>
            </w:r>
            <w:r w:rsidRPr="000766EC">
              <w:rPr>
                <w:rFonts w:eastAsia="Times New Roman" w:cstheme="minorHAnsi"/>
                <w:color w:val="000000"/>
              </w:rPr>
              <w:t>Am</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3.77E-06</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3.73E-06</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3.30E-06</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3.30E-06</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3.21E-06</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3.62E-06</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3.80E-06</w:t>
            </w:r>
          </w:p>
        </w:tc>
      </w:tr>
      <w:tr w:rsidR="000766EC" w:rsidRPr="000766EC" w:rsidTr="00FC069F">
        <w:trPr>
          <w:trHeight w:val="330"/>
          <w:jc w:val="center"/>
        </w:trPr>
        <w:tc>
          <w:tcPr>
            <w:tcW w:w="1011" w:type="dxa"/>
            <w:tcBorders>
              <w:top w:val="nil"/>
              <w:left w:val="single" w:sz="4" w:space="0" w:color="auto"/>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vertAlign w:val="superscript"/>
              </w:rPr>
              <w:t>242</w:t>
            </w:r>
            <w:r w:rsidRPr="000766EC">
              <w:rPr>
                <w:rFonts w:eastAsia="Times New Roman" w:cstheme="minorHAnsi"/>
                <w:color w:val="000000"/>
              </w:rPr>
              <w:t>Am</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1.29E-08</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1.27E-08</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1.12E-08</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1.12E-08</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1.09E-08</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1.23E-08</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1.29E-08</w:t>
            </w:r>
          </w:p>
        </w:tc>
      </w:tr>
      <w:tr w:rsidR="000766EC" w:rsidRPr="000766EC" w:rsidTr="00FC069F">
        <w:trPr>
          <w:trHeight w:val="330"/>
          <w:jc w:val="center"/>
        </w:trPr>
        <w:tc>
          <w:tcPr>
            <w:tcW w:w="1011" w:type="dxa"/>
            <w:tcBorders>
              <w:top w:val="nil"/>
              <w:left w:val="single" w:sz="4" w:space="0" w:color="auto"/>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vertAlign w:val="superscript"/>
              </w:rPr>
              <w:t>243</w:t>
            </w:r>
            <w:r w:rsidRPr="000766EC">
              <w:rPr>
                <w:rFonts w:eastAsia="Times New Roman" w:cstheme="minorHAnsi"/>
                <w:color w:val="000000"/>
              </w:rPr>
              <w:t>Am</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1.24E-05</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1.23E-05</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1.09E-05</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1.09E-05</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1.06E-05</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1.19E-05</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1.25E-05</w:t>
            </w:r>
          </w:p>
        </w:tc>
      </w:tr>
      <w:tr w:rsidR="000766EC" w:rsidRPr="000766EC" w:rsidTr="00FC069F">
        <w:trPr>
          <w:trHeight w:val="330"/>
          <w:jc w:val="center"/>
        </w:trPr>
        <w:tc>
          <w:tcPr>
            <w:tcW w:w="1011" w:type="dxa"/>
            <w:tcBorders>
              <w:top w:val="nil"/>
              <w:left w:val="single" w:sz="4" w:space="0" w:color="auto"/>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vertAlign w:val="superscript"/>
              </w:rPr>
              <w:t>242</w:t>
            </w:r>
            <w:r w:rsidRPr="000766EC">
              <w:rPr>
                <w:rFonts w:eastAsia="Times New Roman" w:cstheme="minorHAnsi"/>
                <w:color w:val="000000"/>
              </w:rPr>
              <w:t>Cm</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1.22E-10</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2.12E-11</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1.88E-11</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1.87E-11</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1.82E-11</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2.06E-11</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2.16E-11</w:t>
            </w:r>
          </w:p>
        </w:tc>
      </w:tr>
      <w:tr w:rsidR="000766EC" w:rsidRPr="000766EC" w:rsidTr="00FC069F">
        <w:trPr>
          <w:trHeight w:val="330"/>
          <w:jc w:val="center"/>
        </w:trPr>
        <w:tc>
          <w:tcPr>
            <w:tcW w:w="1011" w:type="dxa"/>
            <w:tcBorders>
              <w:top w:val="nil"/>
              <w:left w:val="single" w:sz="4" w:space="0" w:color="auto"/>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vertAlign w:val="superscript"/>
              </w:rPr>
              <w:t>243</w:t>
            </w:r>
            <w:r w:rsidRPr="000766EC">
              <w:rPr>
                <w:rFonts w:eastAsia="Times New Roman" w:cstheme="minorHAnsi"/>
                <w:color w:val="000000"/>
              </w:rPr>
              <w:t>Cm</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1.28E-08</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1.23E-08</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1.09E-08</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1.09E-08</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1.06E-08</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1.19E-08</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1.25E-08</w:t>
            </w:r>
          </w:p>
        </w:tc>
      </w:tr>
      <w:tr w:rsidR="000766EC" w:rsidRPr="000766EC" w:rsidTr="00FC069F">
        <w:trPr>
          <w:trHeight w:val="330"/>
          <w:jc w:val="center"/>
        </w:trPr>
        <w:tc>
          <w:tcPr>
            <w:tcW w:w="1011" w:type="dxa"/>
            <w:tcBorders>
              <w:top w:val="nil"/>
              <w:left w:val="single" w:sz="4" w:space="0" w:color="auto"/>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vertAlign w:val="superscript"/>
              </w:rPr>
              <w:t>244</w:t>
            </w:r>
            <w:r w:rsidRPr="000766EC">
              <w:rPr>
                <w:rFonts w:eastAsia="Times New Roman" w:cstheme="minorHAnsi"/>
                <w:color w:val="000000"/>
              </w:rPr>
              <w:t>Cm</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3.98E-05</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3.77E-05</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3.35E-05</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3.33E-05</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3.24E-05</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3.66E-05</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3.86E-05</w:t>
            </w:r>
          </w:p>
        </w:tc>
      </w:tr>
      <w:tr w:rsidR="000766EC" w:rsidRPr="000766EC" w:rsidTr="00FC069F">
        <w:trPr>
          <w:trHeight w:val="330"/>
          <w:jc w:val="center"/>
        </w:trPr>
        <w:tc>
          <w:tcPr>
            <w:tcW w:w="1011" w:type="dxa"/>
            <w:tcBorders>
              <w:top w:val="nil"/>
              <w:left w:val="single" w:sz="4" w:space="0" w:color="auto"/>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vertAlign w:val="superscript"/>
              </w:rPr>
              <w:t>245</w:t>
            </w:r>
            <w:r w:rsidRPr="000766EC">
              <w:rPr>
                <w:rFonts w:eastAsia="Times New Roman" w:cstheme="minorHAnsi"/>
                <w:color w:val="000000"/>
              </w:rPr>
              <w:t>Cm</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1.03E-06</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1.02E-06</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9.01E-07</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8.99E-07</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8.75E-07</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9.90E-07</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1.04E-06</w:t>
            </w:r>
          </w:p>
        </w:tc>
      </w:tr>
      <w:tr w:rsidR="000766EC" w:rsidRPr="000766EC" w:rsidTr="00FC069F">
        <w:trPr>
          <w:trHeight w:val="330"/>
          <w:jc w:val="center"/>
        </w:trPr>
        <w:tc>
          <w:tcPr>
            <w:tcW w:w="1011" w:type="dxa"/>
            <w:tcBorders>
              <w:top w:val="nil"/>
              <w:left w:val="single" w:sz="4" w:space="0" w:color="auto"/>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vertAlign w:val="superscript"/>
              </w:rPr>
              <w:t>246</w:t>
            </w:r>
            <w:r w:rsidRPr="000766EC">
              <w:rPr>
                <w:rFonts w:eastAsia="Times New Roman" w:cstheme="minorHAnsi"/>
                <w:color w:val="000000"/>
              </w:rPr>
              <w:t>Cm</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8.53E-05</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8.43E-05</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7.46E-05</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7.46E-05</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7.26E-05</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8.21E-05</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8.60E-05</w:t>
            </w:r>
          </w:p>
        </w:tc>
      </w:tr>
      <w:tr w:rsidR="000766EC" w:rsidRPr="000766EC" w:rsidTr="00FC069F">
        <w:trPr>
          <w:trHeight w:val="330"/>
          <w:jc w:val="center"/>
        </w:trPr>
        <w:tc>
          <w:tcPr>
            <w:tcW w:w="1011" w:type="dxa"/>
            <w:tcBorders>
              <w:top w:val="nil"/>
              <w:left w:val="single" w:sz="4" w:space="0" w:color="auto"/>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vertAlign w:val="superscript"/>
              </w:rPr>
              <w:t>247</w:t>
            </w:r>
            <w:r w:rsidRPr="000766EC">
              <w:rPr>
                <w:rFonts w:eastAsia="Times New Roman" w:cstheme="minorHAnsi"/>
                <w:color w:val="000000"/>
              </w:rPr>
              <w:t>Cm</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2.46E-06</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2.43E-06</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2.16E-06</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2.15E-06</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2.09E-06</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2.37E-06</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2.48E-06</w:t>
            </w:r>
          </w:p>
        </w:tc>
      </w:tr>
      <w:tr w:rsidR="000766EC" w:rsidRPr="000766EC" w:rsidTr="00FC069F">
        <w:trPr>
          <w:trHeight w:val="330"/>
          <w:jc w:val="center"/>
        </w:trPr>
        <w:tc>
          <w:tcPr>
            <w:tcW w:w="1011" w:type="dxa"/>
            <w:tcBorders>
              <w:top w:val="nil"/>
              <w:left w:val="single" w:sz="4" w:space="0" w:color="auto"/>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vertAlign w:val="superscript"/>
              </w:rPr>
              <w:t>248</w:t>
            </w:r>
            <w:r w:rsidRPr="000766EC">
              <w:rPr>
                <w:rFonts w:eastAsia="Times New Roman" w:cstheme="minorHAnsi"/>
                <w:color w:val="000000"/>
              </w:rPr>
              <w:t>Cm</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1.79E-05</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1.77E-05</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1.57E-05</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1.57E-05</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1.53E-05</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1.72E-05</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1.81E-05</w:t>
            </w:r>
          </w:p>
        </w:tc>
      </w:tr>
      <w:tr w:rsidR="000766EC" w:rsidRPr="000766EC" w:rsidTr="00FC069F">
        <w:trPr>
          <w:trHeight w:val="330"/>
          <w:jc w:val="center"/>
        </w:trPr>
        <w:tc>
          <w:tcPr>
            <w:tcW w:w="1011" w:type="dxa"/>
            <w:tcBorders>
              <w:top w:val="nil"/>
              <w:left w:val="single" w:sz="4" w:space="0" w:color="auto"/>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vertAlign w:val="superscript"/>
              </w:rPr>
              <w:t>249</w:t>
            </w:r>
            <w:r w:rsidRPr="000766EC">
              <w:rPr>
                <w:rFonts w:eastAsia="Times New Roman" w:cstheme="minorHAnsi"/>
                <w:color w:val="000000"/>
              </w:rPr>
              <w:t>Bk</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8.88E-11</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2.61E-10</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2.33E-10</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2.30E-10</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2.24E-10</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2.54E-10</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2.67E-10</w:t>
            </w:r>
          </w:p>
        </w:tc>
      </w:tr>
      <w:tr w:rsidR="000766EC" w:rsidRPr="000766EC" w:rsidTr="00FC069F">
        <w:trPr>
          <w:trHeight w:val="330"/>
          <w:jc w:val="center"/>
        </w:trPr>
        <w:tc>
          <w:tcPr>
            <w:tcW w:w="1011" w:type="dxa"/>
            <w:tcBorders>
              <w:top w:val="nil"/>
              <w:left w:val="single" w:sz="4" w:space="0" w:color="auto"/>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vertAlign w:val="superscript"/>
              </w:rPr>
              <w:t>249</w:t>
            </w:r>
            <w:r w:rsidRPr="000766EC">
              <w:rPr>
                <w:rFonts w:eastAsia="Times New Roman" w:cstheme="minorHAnsi"/>
                <w:color w:val="000000"/>
              </w:rPr>
              <w:t>Cf</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3.09E-12</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3.04E-12</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2.70E-12</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2.70E-12</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2.63E-12</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2.96E-12</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3.11E-12</w:t>
            </w:r>
          </w:p>
        </w:tc>
      </w:tr>
      <w:tr w:rsidR="000766EC" w:rsidRPr="000766EC" w:rsidTr="00FC069F">
        <w:trPr>
          <w:trHeight w:val="330"/>
          <w:jc w:val="center"/>
        </w:trPr>
        <w:tc>
          <w:tcPr>
            <w:tcW w:w="1011" w:type="dxa"/>
            <w:tcBorders>
              <w:top w:val="nil"/>
              <w:left w:val="single" w:sz="4" w:space="0" w:color="auto"/>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vertAlign w:val="superscript"/>
              </w:rPr>
              <w:t>250</w:t>
            </w:r>
            <w:r w:rsidRPr="000766EC">
              <w:rPr>
                <w:rFonts w:eastAsia="Times New Roman" w:cstheme="minorHAnsi"/>
                <w:color w:val="000000"/>
              </w:rPr>
              <w:t>Cf</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6.97E-12</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6.47E-12</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5.74E-12</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5.74E-12</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5.56E-12</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6.30E-12</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6.62E-12</w:t>
            </w:r>
          </w:p>
        </w:tc>
      </w:tr>
      <w:tr w:rsidR="000766EC" w:rsidRPr="000766EC" w:rsidTr="00FC069F">
        <w:trPr>
          <w:trHeight w:val="330"/>
          <w:jc w:val="center"/>
        </w:trPr>
        <w:tc>
          <w:tcPr>
            <w:tcW w:w="1011" w:type="dxa"/>
            <w:tcBorders>
              <w:top w:val="nil"/>
              <w:left w:val="single" w:sz="4" w:space="0" w:color="auto"/>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vertAlign w:val="superscript"/>
              </w:rPr>
              <w:t>251</w:t>
            </w:r>
            <w:r w:rsidRPr="000766EC">
              <w:rPr>
                <w:rFonts w:eastAsia="Times New Roman" w:cstheme="minorHAnsi"/>
                <w:color w:val="000000"/>
              </w:rPr>
              <w:t>Cf</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2.36E-12</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2.33E-12</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2.07E-12</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2.06E-12</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2.01E-12</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2.26E-12</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2.37E-12</w:t>
            </w:r>
          </w:p>
        </w:tc>
      </w:tr>
      <w:tr w:rsidR="000766EC" w:rsidRPr="000766EC" w:rsidTr="00FC069F">
        <w:trPr>
          <w:trHeight w:val="330"/>
          <w:jc w:val="center"/>
        </w:trPr>
        <w:tc>
          <w:tcPr>
            <w:tcW w:w="1011" w:type="dxa"/>
            <w:tcBorders>
              <w:top w:val="nil"/>
              <w:left w:val="single" w:sz="4" w:space="0" w:color="auto"/>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vertAlign w:val="superscript"/>
              </w:rPr>
              <w:t>252</w:t>
            </w:r>
            <w:r w:rsidRPr="000766EC">
              <w:rPr>
                <w:rFonts w:eastAsia="Times New Roman" w:cstheme="minorHAnsi"/>
                <w:color w:val="000000"/>
              </w:rPr>
              <w:t>Cf</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4.08E-11</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3.01E-11</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2.66E-11</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2.66E-11</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2.60E-11</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2.92E-11</w:t>
            </w:r>
          </w:p>
        </w:tc>
        <w:tc>
          <w:tcPr>
            <w:tcW w:w="1139" w:type="dxa"/>
            <w:tcBorders>
              <w:top w:val="nil"/>
              <w:left w:val="nil"/>
              <w:bottom w:val="single" w:sz="4" w:space="0" w:color="auto"/>
              <w:right w:val="single" w:sz="4" w:space="0" w:color="auto"/>
            </w:tcBorders>
            <w:shd w:val="clear" w:color="auto" w:fill="auto"/>
            <w:noWrap/>
            <w:vAlign w:val="center"/>
            <w:hideMark/>
          </w:tcPr>
          <w:p w:rsidR="000766EC" w:rsidRPr="000766EC" w:rsidRDefault="000766EC" w:rsidP="00FC069F">
            <w:pPr>
              <w:spacing w:before="0" w:after="0" w:line="240" w:lineRule="auto"/>
              <w:ind w:firstLine="0"/>
              <w:jc w:val="center"/>
              <w:rPr>
                <w:rFonts w:eastAsia="Times New Roman" w:cstheme="minorHAnsi"/>
                <w:color w:val="000000"/>
              </w:rPr>
            </w:pPr>
            <w:r w:rsidRPr="000766EC">
              <w:rPr>
                <w:rFonts w:eastAsia="Times New Roman" w:cstheme="minorHAnsi"/>
                <w:color w:val="000000"/>
              </w:rPr>
              <w:t>3.07E-11</w:t>
            </w:r>
          </w:p>
        </w:tc>
      </w:tr>
    </w:tbl>
    <w:p w:rsidR="00FC069F" w:rsidRDefault="00FC069F">
      <w:pPr>
        <w:spacing w:before="0" w:after="200" w:line="276" w:lineRule="auto"/>
        <w:ind w:firstLine="0"/>
        <w:jc w:val="left"/>
      </w:pPr>
      <w:r>
        <w:br w:type="page"/>
      </w:r>
    </w:p>
    <w:p w:rsidR="00FC069F" w:rsidRDefault="00E906E0" w:rsidP="00AA149C">
      <w:pPr>
        <w:pStyle w:val="Heading2"/>
      </w:pPr>
      <w:bookmarkStart w:id="282" w:name="_Toc295818150"/>
      <w:r>
        <w:lastRenderedPageBreak/>
        <w:t>Computational Methodology</w:t>
      </w:r>
      <w:bookmarkEnd w:id="282"/>
    </w:p>
    <w:p w:rsidR="00E906E0" w:rsidRDefault="00E906E0" w:rsidP="00E906E0">
      <w:r>
        <w:t>Version 6 of the SCALE package and the 238 group ENDF/B-VII nuclear data library</w:t>
      </w:r>
      <w:r w:rsidR="006B5D42">
        <w:t xml:space="preserve"> </w:t>
      </w:r>
      <w:r w:rsidR="007511FA">
        <w:fldChar w:fldCharType="begin"/>
      </w:r>
      <w:r w:rsidR="006B5D42">
        <w:instrText xml:space="preserve"> REF _Ref285636676 \n \h </w:instrText>
      </w:r>
      <w:r w:rsidR="007511FA">
        <w:fldChar w:fldCharType="separate"/>
      </w:r>
      <w:r w:rsidR="00D5167B">
        <w:t>[55]</w:t>
      </w:r>
      <w:r w:rsidR="007511FA">
        <w:fldChar w:fldCharType="end"/>
      </w:r>
      <w:r>
        <w:t xml:space="preserve"> were utilized in this study.  The 3-D TRITON</w:t>
      </w:r>
      <w:r w:rsidR="006B5D42">
        <w:t xml:space="preserve"> </w:t>
      </w:r>
      <w:r w:rsidR="007511FA">
        <w:fldChar w:fldCharType="begin"/>
      </w:r>
      <w:r w:rsidR="006B5D42">
        <w:instrText xml:space="preserve"> REF _Ref285636727 \n \h </w:instrText>
      </w:r>
      <w:r w:rsidR="007511FA">
        <w:fldChar w:fldCharType="separate"/>
      </w:r>
      <w:r w:rsidR="00D5167B">
        <w:t>[60]</w:t>
      </w:r>
      <w:r w:rsidR="007511FA">
        <w:fldChar w:fldCharType="end"/>
      </w:r>
      <w:r w:rsidR="00C167D7">
        <w:t xml:space="preserve"> </w:t>
      </w:r>
      <w:r>
        <w:t xml:space="preserve">depletion sequence in SCALE, which couples the Monte Carlo transport code KENO </w:t>
      </w:r>
      <w:proofErr w:type="spellStart"/>
      <w:r>
        <w:t>V.a</w:t>
      </w:r>
      <w:proofErr w:type="spellEnd"/>
      <w:r>
        <w:t xml:space="preserve"> and the depletion and decay code ORIGEN-S, was </w:t>
      </w:r>
      <w:r w:rsidRPr="00956209">
        <w:t xml:space="preserve">employed for </w:t>
      </w:r>
      <w:r w:rsidR="00050B54">
        <w:t>burnup</w:t>
      </w:r>
      <w:r w:rsidRPr="00956209">
        <w:t xml:space="preserve"> simulations.  The flux trap target region in the SCALE/KENO model discussed in Chapter 6 was modified as needed to be applicable to this analysis.  The target rods, which are 50.8 cm in length</w:t>
      </w:r>
      <w:r>
        <w:t xml:space="preserve"> and 0.835 cm in radius, were modeled by homogenizing the Al-actinide-oxide pellets, Al-6061 pellet clad, Al-6061 outer shroud, Al target tube, and coolant (water) rather than modeling each separately.   The initial actinide loading of the seven target rods are listed in </w:t>
      </w:r>
      <w:r w:rsidR="007511FA">
        <w:rPr>
          <w:highlight w:val="yellow"/>
        </w:rPr>
        <w:fldChar w:fldCharType="begin"/>
      </w:r>
      <w:r w:rsidR="00BA2085">
        <w:instrText xml:space="preserve"> REF _Ref285537672 \h </w:instrText>
      </w:r>
      <w:r w:rsidR="007511FA">
        <w:rPr>
          <w:highlight w:val="yellow"/>
        </w:rPr>
      </w:r>
      <w:r w:rsidR="007511FA">
        <w:rPr>
          <w:highlight w:val="yellow"/>
        </w:rPr>
        <w:fldChar w:fldCharType="separate"/>
      </w:r>
      <w:r w:rsidR="00D5167B">
        <w:t xml:space="preserve">Table </w:t>
      </w:r>
      <w:r w:rsidR="00D5167B">
        <w:rPr>
          <w:noProof/>
        </w:rPr>
        <w:t>7</w:t>
      </w:r>
      <w:r w:rsidR="00D5167B">
        <w:t>.</w:t>
      </w:r>
      <w:r w:rsidR="00D5167B">
        <w:rPr>
          <w:noProof/>
        </w:rPr>
        <w:t>2</w:t>
      </w:r>
      <w:r w:rsidR="007511FA">
        <w:rPr>
          <w:highlight w:val="yellow"/>
        </w:rPr>
        <w:fldChar w:fldCharType="end"/>
      </w:r>
      <w:r>
        <w:t xml:space="preserve">.  Each of the target rod’s materials was simulated as individual depletion mixtures such that each homogenized target rod was depleted individually and by different fluxes.  An isometric view of the KENO model used for this analysis is illustrated in </w:t>
      </w:r>
      <w:r w:rsidR="007511FA">
        <w:rPr>
          <w:highlight w:val="green"/>
        </w:rPr>
        <w:fldChar w:fldCharType="begin"/>
      </w:r>
      <w:r w:rsidR="00BA2085">
        <w:instrText xml:space="preserve"> REF _Ref285537699 \h </w:instrText>
      </w:r>
      <w:r w:rsidR="007511FA">
        <w:rPr>
          <w:highlight w:val="green"/>
        </w:rPr>
      </w:r>
      <w:r w:rsidR="007511FA">
        <w:rPr>
          <w:highlight w:val="green"/>
        </w:rPr>
        <w:fldChar w:fldCharType="separate"/>
      </w:r>
      <w:r w:rsidR="00D5167B">
        <w:t xml:space="preserve">Figure </w:t>
      </w:r>
      <w:r w:rsidR="00D5167B">
        <w:rPr>
          <w:noProof/>
        </w:rPr>
        <w:t>7</w:t>
      </w:r>
      <w:r w:rsidR="00D5167B">
        <w:t>.</w:t>
      </w:r>
      <w:r w:rsidR="00D5167B">
        <w:rPr>
          <w:noProof/>
        </w:rPr>
        <w:t>3</w:t>
      </w:r>
      <w:r w:rsidR="007511FA">
        <w:rPr>
          <w:highlight w:val="green"/>
        </w:rPr>
        <w:fldChar w:fldCharType="end"/>
      </w:r>
      <w:r>
        <w:t>.</w:t>
      </w:r>
      <w:r w:rsidR="00C20CA9">
        <w:t xml:space="preserve">  The flux trap target region of the KENO model as developed specifically for this analysis is shown in </w:t>
      </w:r>
      <w:r w:rsidR="007511FA">
        <w:rPr>
          <w:highlight w:val="yellow"/>
        </w:rPr>
        <w:fldChar w:fldCharType="begin"/>
      </w:r>
      <w:r w:rsidR="00BA2085">
        <w:instrText xml:space="preserve"> REF _Ref285537699 \h </w:instrText>
      </w:r>
      <w:r w:rsidR="007511FA">
        <w:rPr>
          <w:highlight w:val="yellow"/>
        </w:rPr>
      </w:r>
      <w:r w:rsidR="007511FA">
        <w:rPr>
          <w:highlight w:val="yellow"/>
        </w:rPr>
        <w:fldChar w:fldCharType="separate"/>
      </w:r>
      <w:r w:rsidR="00D5167B">
        <w:t xml:space="preserve">Figure </w:t>
      </w:r>
      <w:r w:rsidR="00D5167B">
        <w:rPr>
          <w:noProof/>
        </w:rPr>
        <w:t>7</w:t>
      </w:r>
      <w:r w:rsidR="00D5167B">
        <w:t>.</w:t>
      </w:r>
      <w:r w:rsidR="00D5167B">
        <w:rPr>
          <w:noProof/>
        </w:rPr>
        <w:t>3</w:t>
      </w:r>
      <w:r w:rsidR="007511FA">
        <w:rPr>
          <w:highlight w:val="yellow"/>
        </w:rPr>
        <w:fldChar w:fldCharType="end"/>
      </w:r>
      <w:r w:rsidR="00C20CA9">
        <w:t>.</w:t>
      </w:r>
    </w:p>
    <w:p w:rsidR="00E906E0" w:rsidRDefault="00E906E0" w:rsidP="00E906E0">
      <w:r>
        <w:t xml:space="preserve">The thermal and non-thermal fluxes in the FTT region are almost identical for a clean and depleted core because the control elements are external to the annular reactor core.  Thus, the neutron flux level remains </w:t>
      </w:r>
      <w:r w:rsidR="00C167D7">
        <w:t>effectively</w:t>
      </w:r>
      <w:r>
        <w:t xml:space="preserve"> constant in the flux trap as a function of time during full power irradiation.  Fuel was therefore not depleted and control element withdrawal was not </w:t>
      </w:r>
      <w:r w:rsidRPr="008E0E82">
        <w:t>simulated</w:t>
      </w:r>
      <w:r>
        <w:t xml:space="preserve"> during the irradiation periods.  </w:t>
      </w:r>
      <w:r w:rsidR="0039423D">
        <w:t xml:space="preserve">The thermal and total flux fields as calculated in KENO are compared to those calculated in MCNP at BOC and EOC conditions in </w:t>
      </w:r>
      <w:r w:rsidR="007511FA">
        <w:rPr>
          <w:highlight w:val="yellow"/>
        </w:rPr>
        <w:fldChar w:fldCharType="begin"/>
      </w:r>
      <w:r w:rsidR="00BA2085">
        <w:instrText xml:space="preserve"> REF _Ref285537711 \h </w:instrText>
      </w:r>
      <w:r w:rsidR="007511FA">
        <w:rPr>
          <w:highlight w:val="yellow"/>
        </w:rPr>
      </w:r>
      <w:r w:rsidR="007511FA">
        <w:rPr>
          <w:highlight w:val="yellow"/>
        </w:rPr>
        <w:fldChar w:fldCharType="separate"/>
      </w:r>
      <w:r w:rsidR="00D5167B">
        <w:t xml:space="preserve">Figure </w:t>
      </w:r>
      <w:r w:rsidR="00D5167B">
        <w:rPr>
          <w:noProof/>
        </w:rPr>
        <w:t>7</w:t>
      </w:r>
      <w:r w:rsidR="00D5167B">
        <w:t>.</w:t>
      </w:r>
      <w:r w:rsidR="00D5167B">
        <w:rPr>
          <w:noProof/>
        </w:rPr>
        <w:t>4</w:t>
      </w:r>
      <w:r w:rsidR="007511FA">
        <w:rPr>
          <w:highlight w:val="yellow"/>
        </w:rPr>
        <w:fldChar w:fldCharType="end"/>
      </w:r>
      <w:r w:rsidR="0039423D">
        <w:t xml:space="preserve">.  The flux trap loading in the MCNP model has no transuranic targets loaded so the fluxes will differ slightly.  Curium targets absorb neutrons and thus it is expected that the flux in the flux trap and fuel regions be slightly lower for the KENO calculation.  </w:t>
      </w:r>
      <w:r>
        <w:t xml:space="preserve">The irradiation and decay history described in </w:t>
      </w:r>
      <w:r w:rsidR="007511FA">
        <w:rPr>
          <w:highlight w:val="yellow"/>
        </w:rPr>
        <w:fldChar w:fldCharType="begin"/>
      </w:r>
      <w:r w:rsidR="00BA2085">
        <w:instrText xml:space="preserve"> REF _Ref285537666 \h </w:instrText>
      </w:r>
      <w:r w:rsidR="007511FA">
        <w:rPr>
          <w:highlight w:val="yellow"/>
        </w:rPr>
      </w:r>
      <w:r w:rsidR="007511FA">
        <w:rPr>
          <w:highlight w:val="yellow"/>
        </w:rPr>
        <w:fldChar w:fldCharType="separate"/>
      </w:r>
      <w:r w:rsidR="00D5167B">
        <w:t xml:space="preserve">Table </w:t>
      </w:r>
      <w:r w:rsidR="00D5167B">
        <w:rPr>
          <w:noProof/>
        </w:rPr>
        <w:t>7</w:t>
      </w:r>
      <w:r w:rsidR="00D5167B">
        <w:t>.</w:t>
      </w:r>
      <w:r w:rsidR="00D5167B">
        <w:rPr>
          <w:noProof/>
        </w:rPr>
        <w:t>1</w:t>
      </w:r>
      <w:r w:rsidR="007511FA">
        <w:rPr>
          <w:highlight w:val="yellow"/>
        </w:rPr>
        <w:fldChar w:fldCharType="end"/>
      </w:r>
      <w:r w:rsidR="0039423D">
        <w:t xml:space="preserve"> was defined in the TRITON input. </w:t>
      </w:r>
      <w:r>
        <w:t>Each cycle was modeled to include irradiation and outage periods and reactivity was controlled (critical condition maintained) by inserting poison into the control element region.</w:t>
      </w:r>
    </w:p>
    <w:p w:rsidR="00B12830" w:rsidRDefault="00E906E0" w:rsidP="00E906E0">
      <w:r>
        <w:lastRenderedPageBreak/>
        <w:t xml:space="preserve">In the TRITON depletion simulation, the </w:t>
      </w:r>
      <w:proofErr w:type="spellStart"/>
      <w:r>
        <w:t>addnux</w:t>
      </w:r>
      <w:proofErr w:type="spellEnd"/>
      <w:r>
        <w:t xml:space="preserve">=3 option was utilized, which allows the cross sections for the ORIGEN-S calculation to be updated at each depletion step, based on the flux solution from the transport calculation for </w:t>
      </w:r>
      <w:r w:rsidR="001678E2">
        <w:t xml:space="preserve">all of the nuclides defined in the material composition plus 232 additional nuclides (less the nuclides that are defined in both the material composition and the </w:t>
      </w:r>
      <w:proofErr w:type="spellStart"/>
      <w:r w:rsidR="001678E2">
        <w:t>addnux</w:t>
      </w:r>
      <w:proofErr w:type="spellEnd"/>
      <w:r w:rsidR="001678E2">
        <w:t>=3 list)</w:t>
      </w:r>
      <w:r>
        <w:t xml:space="preserve">. </w:t>
      </w:r>
      <w:r w:rsidR="001678E2">
        <w:t xml:space="preserve"> The </w:t>
      </w:r>
      <w:proofErr w:type="spellStart"/>
      <w:r w:rsidR="001678E2">
        <w:t>addnux</w:t>
      </w:r>
      <w:proofErr w:type="spellEnd"/>
      <w:r w:rsidR="001678E2">
        <w:t xml:space="preserve"> parameter is useful when performing burnup calculations to include all the nuclides whose cross sections change with burnup in the ORIGEN updates.  The additional nuclides are added to the depletion mixtures in trace quantities (1x10</w:t>
      </w:r>
      <w:r w:rsidR="001678E2" w:rsidRPr="001678E2">
        <w:rPr>
          <w:vertAlign w:val="superscript"/>
        </w:rPr>
        <w:t>-20</w:t>
      </w:r>
      <w:r w:rsidR="001678E2">
        <w:t xml:space="preserve"> at/b/cm). </w:t>
      </w:r>
      <w:r w:rsidR="0039423D">
        <w:t xml:space="preserve"> </w:t>
      </w:r>
      <w:r>
        <w:t xml:space="preserve">The curium targets were specified to be depleted by flux </w:t>
      </w:r>
      <w:r w:rsidR="001678E2">
        <w:t>and a</w:t>
      </w:r>
      <w:r>
        <w:t xml:space="preserve"> total of 26 million histories per transport calculation were </w:t>
      </w:r>
      <w:r w:rsidR="001678E2">
        <w:t>simulated</w:t>
      </w:r>
      <w:r>
        <w:t>: 10,000 histories per generation for 2,600 generations with the</w:t>
      </w:r>
      <w:r w:rsidR="0039423D">
        <w:t xml:space="preserve"> first 100 generations skipped.</w:t>
      </w:r>
    </w:p>
    <w:p w:rsidR="00B12830" w:rsidRDefault="00B12830">
      <w:pPr>
        <w:spacing w:before="0" w:after="200" w:line="276" w:lineRule="auto"/>
        <w:ind w:firstLine="0"/>
        <w:jc w:val="left"/>
      </w:pPr>
    </w:p>
    <w:p w:rsidR="00CA2E5F" w:rsidRDefault="00CA2E5F">
      <w:pPr>
        <w:spacing w:before="0" w:after="200" w:line="276" w:lineRule="auto"/>
        <w:ind w:firstLine="0"/>
        <w:jc w:val="left"/>
      </w:pPr>
    </w:p>
    <w:p w:rsidR="00CA2E5F" w:rsidRDefault="00CA2E5F">
      <w:pPr>
        <w:spacing w:before="0" w:after="200" w:line="276" w:lineRule="auto"/>
        <w:ind w:firstLine="0"/>
        <w:jc w:val="left"/>
      </w:pPr>
    </w:p>
    <w:p w:rsidR="009D7B84" w:rsidRDefault="009D7B84" w:rsidP="00CA2E5F">
      <w:pPr>
        <w:spacing w:line="240" w:lineRule="auto"/>
        <w:ind w:firstLine="0"/>
        <w:jc w:val="center"/>
      </w:pPr>
      <w:r>
        <w:rPr>
          <w:noProof/>
        </w:rPr>
        <w:drawing>
          <wp:inline distT="0" distB="0" distL="0" distR="0">
            <wp:extent cx="3692639" cy="3840480"/>
            <wp:effectExtent l="19050" t="0" r="3061" b="0"/>
            <wp:docPr id="46" name="Picture 1" descr="C:\Users\dcz\Desktop\Cm_Targets\FluxTrapKEN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cz\Desktop\Cm_Targets\FluxTrapKENO.png"/>
                    <pic:cNvPicPr>
                      <a:picLocks noChangeAspect="1" noChangeArrowheads="1"/>
                    </pic:cNvPicPr>
                  </pic:nvPicPr>
                  <pic:blipFill>
                    <a:blip r:embed="rId70" cstate="print"/>
                    <a:srcRect/>
                    <a:stretch>
                      <a:fillRect/>
                    </a:stretch>
                  </pic:blipFill>
                  <pic:spPr bwMode="auto">
                    <a:xfrm>
                      <a:off x="0" y="0"/>
                      <a:ext cx="3692639" cy="3840480"/>
                    </a:xfrm>
                    <a:prstGeom prst="rect">
                      <a:avLst/>
                    </a:prstGeom>
                    <a:noFill/>
                    <a:ln w="9525">
                      <a:noFill/>
                      <a:miter lim="800000"/>
                      <a:headEnd/>
                      <a:tailEnd/>
                    </a:ln>
                  </pic:spPr>
                </pic:pic>
              </a:graphicData>
            </a:graphic>
          </wp:inline>
        </w:drawing>
      </w:r>
    </w:p>
    <w:p w:rsidR="0039423D" w:rsidRDefault="00BA2085" w:rsidP="00BA2085">
      <w:pPr>
        <w:pStyle w:val="Caption"/>
      </w:pPr>
      <w:bookmarkStart w:id="283" w:name="_Ref285537699"/>
      <w:bookmarkStart w:id="284" w:name="_Toc295818242"/>
      <w:proofErr w:type="gramStart"/>
      <w:r>
        <w:t xml:space="preserve">Figure </w:t>
      </w:r>
      <w:r w:rsidR="007511FA">
        <w:fldChar w:fldCharType="begin"/>
      </w:r>
      <w:r w:rsidR="00AE17F8">
        <w:instrText xml:space="preserve"> STYLEREF 1 \s </w:instrText>
      </w:r>
      <w:r w:rsidR="007511FA">
        <w:fldChar w:fldCharType="separate"/>
      </w:r>
      <w:r w:rsidR="00D5167B">
        <w:rPr>
          <w:noProof/>
        </w:rPr>
        <w:t>7</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3</w:t>
      </w:r>
      <w:r w:rsidR="007511FA">
        <w:fldChar w:fldCharType="end"/>
      </w:r>
      <w:bookmarkEnd w:id="283"/>
      <w:r w:rsidR="009D7B84">
        <w:t>.  Illustration of flux trap target region as modeled in KENO.</w:t>
      </w:r>
      <w:bookmarkEnd w:id="284"/>
    </w:p>
    <w:p w:rsidR="0039423D" w:rsidRDefault="0039423D" w:rsidP="00CA2E5F">
      <w:pPr>
        <w:spacing w:line="240" w:lineRule="auto"/>
        <w:ind w:firstLine="0"/>
      </w:pPr>
      <w:r w:rsidRPr="0039423D">
        <w:rPr>
          <w:noProof/>
        </w:rPr>
        <w:lastRenderedPageBreak/>
        <w:drawing>
          <wp:inline distT="0" distB="0" distL="0" distR="0">
            <wp:extent cx="5943600" cy="3841173"/>
            <wp:effectExtent l="19050" t="0" r="19050" b="6927"/>
            <wp:docPr id="85"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rsidR="00C94ACD" w:rsidRPr="00C94ACD" w:rsidRDefault="00BA2085" w:rsidP="00BA2085">
      <w:pPr>
        <w:pStyle w:val="Caption"/>
      </w:pPr>
      <w:bookmarkStart w:id="285" w:name="_Ref285537711"/>
      <w:bookmarkStart w:id="286" w:name="_Toc295818243"/>
      <w:proofErr w:type="gramStart"/>
      <w:r>
        <w:t xml:space="preserve">Figure </w:t>
      </w:r>
      <w:r w:rsidR="007511FA">
        <w:fldChar w:fldCharType="begin"/>
      </w:r>
      <w:r w:rsidR="00AE17F8">
        <w:instrText xml:space="preserve"> STYLEREF 1 \s </w:instrText>
      </w:r>
      <w:r w:rsidR="007511FA">
        <w:fldChar w:fldCharType="separate"/>
      </w:r>
      <w:r w:rsidR="00D5167B">
        <w:rPr>
          <w:noProof/>
        </w:rPr>
        <w:t>7</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4</w:t>
      </w:r>
      <w:r w:rsidR="007511FA">
        <w:fldChar w:fldCharType="end"/>
      </w:r>
      <w:bookmarkEnd w:id="285"/>
      <w:r w:rsidR="00C94ACD">
        <w:t>.  KENO and validated MCNP axially averaged flux comparison.</w:t>
      </w:r>
      <w:bookmarkEnd w:id="286"/>
    </w:p>
    <w:p w:rsidR="00C20CA9" w:rsidRDefault="00C20CA9">
      <w:pPr>
        <w:spacing w:before="0" w:after="200" w:line="276" w:lineRule="auto"/>
        <w:ind w:firstLine="0"/>
        <w:jc w:val="left"/>
      </w:pPr>
    </w:p>
    <w:p w:rsidR="00CA2E5F" w:rsidRDefault="00CA2E5F">
      <w:pPr>
        <w:spacing w:before="0" w:after="200" w:line="276" w:lineRule="auto"/>
        <w:ind w:firstLine="0"/>
        <w:jc w:val="left"/>
      </w:pPr>
    </w:p>
    <w:p w:rsidR="009D7B84" w:rsidRDefault="009D7B84" w:rsidP="00AA149C">
      <w:pPr>
        <w:pStyle w:val="Heading2"/>
      </w:pPr>
      <w:bookmarkStart w:id="287" w:name="_Toc295818151"/>
      <w:r>
        <w:t>Curium Target Results</w:t>
      </w:r>
      <w:bookmarkEnd w:id="287"/>
    </w:p>
    <w:p w:rsidR="009D7B84" w:rsidRPr="005449F3" w:rsidRDefault="009D7B84" w:rsidP="009D7B84">
      <w:pPr>
        <w:autoSpaceDE w:val="0"/>
        <w:autoSpaceDN w:val="0"/>
        <w:adjustRightInd w:val="0"/>
        <w:rPr>
          <w:vertAlign w:val="superscript"/>
        </w:rPr>
      </w:pPr>
      <w:r>
        <w:t xml:space="preserve">The twenty most abundant transuranic isotopes calculated following the shutdown of cycle 418 are listed in </w:t>
      </w:r>
      <w:r w:rsidR="007511FA">
        <w:rPr>
          <w:highlight w:val="yellow"/>
        </w:rPr>
        <w:fldChar w:fldCharType="begin"/>
      </w:r>
      <w:r w:rsidR="00BA2085">
        <w:instrText xml:space="preserve"> REF _Ref285537747 \h </w:instrText>
      </w:r>
      <w:r w:rsidR="007511FA">
        <w:rPr>
          <w:highlight w:val="yellow"/>
        </w:rPr>
      </w:r>
      <w:r w:rsidR="007511FA">
        <w:rPr>
          <w:highlight w:val="yellow"/>
        </w:rPr>
        <w:fldChar w:fldCharType="separate"/>
      </w:r>
      <w:r w:rsidR="00D5167B">
        <w:t xml:space="preserve">Table </w:t>
      </w:r>
      <w:r w:rsidR="00D5167B">
        <w:rPr>
          <w:noProof/>
        </w:rPr>
        <w:t>7</w:t>
      </w:r>
      <w:r w:rsidR="00D5167B">
        <w:t>.</w:t>
      </w:r>
      <w:r w:rsidR="00D5167B">
        <w:rPr>
          <w:noProof/>
        </w:rPr>
        <w:t>3</w:t>
      </w:r>
      <w:r w:rsidR="007511FA">
        <w:rPr>
          <w:highlight w:val="yellow"/>
        </w:rPr>
        <w:fldChar w:fldCharType="end"/>
      </w:r>
      <w:r>
        <w:t xml:space="preserve">.  The inventory listed is the sum of all seven target rods.  Following the shutdown of cycle 418, the targets were decayed for 106 days to the date corresponding to the day the dissolver solution measurements were performed.  After the 106 day decay, a total of 248.65 mg of </w:t>
      </w:r>
      <w:r w:rsidRPr="00070F81">
        <w:rPr>
          <w:vertAlign w:val="superscript"/>
        </w:rPr>
        <w:t>252</w:t>
      </w:r>
      <w:r>
        <w:t xml:space="preserve">Cf and 33.40 mg of </w:t>
      </w:r>
      <w:r>
        <w:rPr>
          <w:vertAlign w:val="superscript"/>
        </w:rPr>
        <w:t>249</w:t>
      </w:r>
      <w:r>
        <w:t xml:space="preserve">Bk were calculated for the seven target rods.  The corresponding values from the dissolver solution measurements were 250 and 31 mg of </w:t>
      </w:r>
      <w:r w:rsidRPr="00070F81">
        <w:rPr>
          <w:vertAlign w:val="superscript"/>
        </w:rPr>
        <w:t>252</w:t>
      </w:r>
      <w:r>
        <w:t xml:space="preserve">Cf and </w:t>
      </w:r>
      <w:r>
        <w:rPr>
          <w:vertAlign w:val="superscript"/>
        </w:rPr>
        <w:t>249</w:t>
      </w:r>
      <w:r>
        <w:t>Bk, respectively</w:t>
      </w:r>
      <w:r w:rsidR="005449F3">
        <w:t xml:space="preserve"> </w:t>
      </w:r>
      <w:r w:rsidR="007511FA">
        <w:fldChar w:fldCharType="begin"/>
      </w:r>
      <w:r w:rsidR="006B5D42">
        <w:instrText xml:space="preserve"> REF _Ref285638180 \n \h </w:instrText>
      </w:r>
      <w:r w:rsidR="007511FA">
        <w:fldChar w:fldCharType="separate"/>
      </w:r>
      <w:r w:rsidR="00D5167B">
        <w:t>[95]</w:t>
      </w:r>
      <w:r w:rsidR="007511FA">
        <w:fldChar w:fldCharType="end"/>
      </w:r>
      <w:r>
        <w:t xml:space="preserve">. </w:t>
      </w:r>
      <w:r w:rsidR="005449F3">
        <w:t xml:space="preserve"> </w:t>
      </w:r>
      <w:r>
        <w:t xml:space="preserve">The calculated-to-experimental (C/E) ratios for </w:t>
      </w:r>
      <w:r w:rsidRPr="00070F81">
        <w:rPr>
          <w:vertAlign w:val="superscript"/>
        </w:rPr>
        <w:t>252</w:t>
      </w:r>
      <w:r>
        <w:t xml:space="preserve">Cf and </w:t>
      </w:r>
      <w:r>
        <w:rPr>
          <w:vertAlign w:val="superscript"/>
        </w:rPr>
        <w:t>249</w:t>
      </w:r>
      <w:r>
        <w:t>Bk are 0.995 and 1.077, respectively</w:t>
      </w:r>
      <w:r w:rsidR="005449F3">
        <w:t xml:space="preserve">. </w:t>
      </w:r>
      <w:r>
        <w:t xml:space="preserve"> </w:t>
      </w:r>
      <w:r w:rsidR="005449F3">
        <w:t>Experimental u</w:t>
      </w:r>
      <w:r>
        <w:t xml:space="preserve">ncertainties and other </w:t>
      </w:r>
      <w:r w:rsidR="005449F3">
        <w:t xml:space="preserve">nuclide dissolver solution </w:t>
      </w:r>
      <w:r>
        <w:t xml:space="preserve">measurements </w:t>
      </w:r>
      <w:r w:rsidR="005449F3">
        <w:t xml:space="preserve">are desired for comparison purposes but were not provided.  The time-dependent </w:t>
      </w:r>
      <w:r w:rsidR="005449F3" w:rsidRPr="00070F81">
        <w:rPr>
          <w:vertAlign w:val="superscript"/>
        </w:rPr>
        <w:t>252</w:t>
      </w:r>
      <w:r w:rsidR="005449F3">
        <w:t xml:space="preserve">Cf and </w:t>
      </w:r>
      <w:r w:rsidR="005449F3">
        <w:rPr>
          <w:vertAlign w:val="superscript"/>
        </w:rPr>
        <w:t>249</w:t>
      </w:r>
      <w:r w:rsidR="005449F3">
        <w:t xml:space="preserve">Bk inventories are shown in </w:t>
      </w:r>
      <w:r w:rsidR="007511FA">
        <w:rPr>
          <w:highlight w:val="yellow"/>
        </w:rPr>
        <w:fldChar w:fldCharType="begin"/>
      </w:r>
      <w:r w:rsidR="00BA2085">
        <w:instrText xml:space="preserve"> REF _Ref285537764 \h </w:instrText>
      </w:r>
      <w:r w:rsidR="007511FA">
        <w:rPr>
          <w:highlight w:val="yellow"/>
        </w:rPr>
      </w:r>
      <w:r w:rsidR="007511FA">
        <w:rPr>
          <w:highlight w:val="yellow"/>
        </w:rPr>
        <w:fldChar w:fldCharType="separate"/>
      </w:r>
      <w:r w:rsidR="00D5167B">
        <w:t xml:space="preserve">Figure </w:t>
      </w:r>
      <w:r w:rsidR="00D5167B">
        <w:rPr>
          <w:noProof/>
        </w:rPr>
        <w:t>7</w:t>
      </w:r>
      <w:r w:rsidR="00D5167B">
        <w:t>.</w:t>
      </w:r>
      <w:r w:rsidR="00D5167B">
        <w:rPr>
          <w:noProof/>
        </w:rPr>
        <w:t>5</w:t>
      </w:r>
      <w:r w:rsidR="007511FA">
        <w:rPr>
          <w:highlight w:val="yellow"/>
        </w:rPr>
        <w:fldChar w:fldCharType="end"/>
      </w:r>
      <w:r w:rsidR="005449F3" w:rsidRPr="005449F3">
        <w:t>.</w:t>
      </w:r>
    </w:p>
    <w:p w:rsidR="009D7B84" w:rsidRPr="009D7B84" w:rsidRDefault="00BA2085" w:rsidP="00BA2085">
      <w:pPr>
        <w:pStyle w:val="Caption"/>
      </w:pPr>
      <w:bookmarkStart w:id="288" w:name="_Ref285537747"/>
      <w:bookmarkStart w:id="289" w:name="_Toc295818281"/>
      <w:proofErr w:type="gramStart"/>
      <w:r>
        <w:lastRenderedPageBreak/>
        <w:t xml:space="preserve">Table </w:t>
      </w:r>
      <w:r w:rsidR="007511FA">
        <w:fldChar w:fldCharType="begin"/>
      </w:r>
      <w:r w:rsidR="00AE17F8">
        <w:instrText xml:space="preserve"> STYLEREF 1 \s </w:instrText>
      </w:r>
      <w:r w:rsidR="007511FA">
        <w:fldChar w:fldCharType="separate"/>
      </w:r>
      <w:r w:rsidR="00D5167B">
        <w:rPr>
          <w:noProof/>
        </w:rPr>
        <w:t>7</w:t>
      </w:r>
      <w:r w:rsidR="007511FA">
        <w:fldChar w:fldCharType="end"/>
      </w:r>
      <w:r w:rsidR="00DE5151">
        <w:t>.</w:t>
      </w:r>
      <w:proofErr w:type="gramEnd"/>
      <w:r w:rsidR="007511FA">
        <w:fldChar w:fldCharType="begin"/>
      </w:r>
      <w:r w:rsidR="00C43F40">
        <w:instrText xml:space="preserve"> SEQ Table \* ARABIC \s 1 </w:instrText>
      </w:r>
      <w:r w:rsidR="007511FA">
        <w:fldChar w:fldCharType="separate"/>
      </w:r>
      <w:r w:rsidR="00D5167B">
        <w:rPr>
          <w:noProof/>
        </w:rPr>
        <w:t>3</w:t>
      </w:r>
      <w:r w:rsidR="007511FA">
        <w:fldChar w:fldCharType="end"/>
      </w:r>
      <w:bookmarkEnd w:id="288"/>
      <w:r w:rsidR="009D7B84" w:rsidRPr="009D7B84">
        <w:t xml:space="preserve">.  </w:t>
      </w:r>
      <w:proofErr w:type="gramStart"/>
      <w:r w:rsidR="009D7B84" w:rsidRPr="009D7B84">
        <w:t xml:space="preserve">Calculated </w:t>
      </w:r>
      <w:r w:rsidR="009D7B84">
        <w:t>e</w:t>
      </w:r>
      <w:r w:rsidR="009D7B84" w:rsidRPr="009D7B84">
        <w:t>nd-of-</w:t>
      </w:r>
      <w:r w:rsidR="009D7B84">
        <w:t>l</w:t>
      </w:r>
      <w:r w:rsidR="009D7B84" w:rsidRPr="009D7B84">
        <w:t xml:space="preserve">ife </w:t>
      </w:r>
      <w:r w:rsidR="009D7B84">
        <w:t>transuranic nuclide</w:t>
      </w:r>
      <w:r w:rsidR="009D7B84" w:rsidRPr="009D7B84">
        <w:t xml:space="preserve"> in </w:t>
      </w:r>
      <w:r w:rsidR="009D7B84">
        <w:t>c</w:t>
      </w:r>
      <w:r w:rsidR="009D7B84" w:rsidRPr="009D7B84">
        <w:t xml:space="preserve">urium </w:t>
      </w:r>
      <w:r w:rsidR="009D7B84">
        <w:t>t</w:t>
      </w:r>
      <w:r w:rsidR="009D7B84" w:rsidRPr="009D7B84">
        <w:t>argets.</w:t>
      </w:r>
      <w:bookmarkEnd w:id="289"/>
      <w:proofErr w:type="gramEnd"/>
    </w:p>
    <w:tbl>
      <w:tblPr>
        <w:tblStyle w:val="TableGrid"/>
        <w:tblW w:w="3880" w:type="dxa"/>
        <w:jc w:val="center"/>
        <w:tblLook w:val="04A0"/>
      </w:tblPr>
      <w:tblGrid>
        <w:gridCol w:w="901"/>
        <w:gridCol w:w="1101"/>
        <w:gridCol w:w="901"/>
        <w:gridCol w:w="1101"/>
      </w:tblGrid>
      <w:tr w:rsidR="009D7B84" w:rsidRPr="00BA3C8B" w:rsidTr="00B12830">
        <w:trPr>
          <w:trHeight w:val="245"/>
          <w:jc w:val="center"/>
        </w:trPr>
        <w:tc>
          <w:tcPr>
            <w:tcW w:w="839" w:type="dxa"/>
            <w:noWrap/>
            <w:vAlign w:val="center"/>
            <w:hideMark/>
          </w:tcPr>
          <w:p w:rsidR="009D7B84" w:rsidRPr="00BA3C8B" w:rsidRDefault="009D7B84" w:rsidP="00B12830">
            <w:pPr>
              <w:spacing w:before="0" w:after="0" w:line="276" w:lineRule="auto"/>
              <w:ind w:firstLine="0"/>
              <w:jc w:val="center"/>
              <w:rPr>
                <w:b/>
                <w:bCs/>
                <w:color w:val="000000"/>
              </w:rPr>
            </w:pPr>
            <w:r w:rsidRPr="00BA3C8B">
              <w:rPr>
                <w:b/>
                <w:bCs/>
                <w:color w:val="000000"/>
              </w:rPr>
              <w:t>Isotope</w:t>
            </w:r>
          </w:p>
        </w:tc>
        <w:tc>
          <w:tcPr>
            <w:tcW w:w="1101" w:type="dxa"/>
            <w:noWrap/>
            <w:vAlign w:val="center"/>
            <w:hideMark/>
          </w:tcPr>
          <w:p w:rsidR="009D7B84" w:rsidRPr="00BA3C8B" w:rsidRDefault="009D7B84" w:rsidP="00B12830">
            <w:pPr>
              <w:spacing w:before="0" w:after="0" w:line="276" w:lineRule="auto"/>
              <w:ind w:firstLine="0"/>
              <w:jc w:val="center"/>
              <w:rPr>
                <w:b/>
                <w:bCs/>
                <w:color w:val="000000"/>
              </w:rPr>
            </w:pPr>
            <w:r w:rsidRPr="00BA3C8B">
              <w:rPr>
                <w:b/>
                <w:bCs/>
                <w:color w:val="000000"/>
              </w:rPr>
              <w:t>Grams</w:t>
            </w:r>
          </w:p>
        </w:tc>
        <w:tc>
          <w:tcPr>
            <w:tcW w:w="839" w:type="dxa"/>
            <w:noWrap/>
            <w:vAlign w:val="center"/>
            <w:hideMark/>
          </w:tcPr>
          <w:p w:rsidR="009D7B84" w:rsidRPr="00BA3C8B" w:rsidRDefault="009D7B84" w:rsidP="00B12830">
            <w:pPr>
              <w:spacing w:before="0" w:after="0" w:line="276" w:lineRule="auto"/>
              <w:ind w:firstLine="0"/>
              <w:jc w:val="center"/>
              <w:rPr>
                <w:b/>
                <w:bCs/>
                <w:color w:val="000000"/>
              </w:rPr>
            </w:pPr>
            <w:r w:rsidRPr="00BA3C8B">
              <w:rPr>
                <w:b/>
                <w:bCs/>
                <w:color w:val="000000"/>
              </w:rPr>
              <w:t>Isotope</w:t>
            </w:r>
          </w:p>
        </w:tc>
        <w:tc>
          <w:tcPr>
            <w:tcW w:w="1101" w:type="dxa"/>
            <w:noWrap/>
            <w:vAlign w:val="center"/>
            <w:hideMark/>
          </w:tcPr>
          <w:p w:rsidR="009D7B84" w:rsidRPr="00BA3C8B" w:rsidRDefault="009D7B84" w:rsidP="00B12830">
            <w:pPr>
              <w:spacing w:before="0" w:after="0" w:line="276" w:lineRule="auto"/>
              <w:ind w:firstLine="0"/>
              <w:jc w:val="center"/>
              <w:rPr>
                <w:b/>
                <w:bCs/>
                <w:color w:val="000000"/>
              </w:rPr>
            </w:pPr>
            <w:r w:rsidRPr="00BA3C8B">
              <w:rPr>
                <w:b/>
                <w:bCs/>
                <w:color w:val="000000"/>
              </w:rPr>
              <w:t>Grams</w:t>
            </w:r>
          </w:p>
        </w:tc>
      </w:tr>
      <w:tr w:rsidR="009D7B84" w:rsidRPr="00BA3C8B" w:rsidTr="00B12830">
        <w:trPr>
          <w:trHeight w:val="245"/>
          <w:jc w:val="center"/>
        </w:trPr>
        <w:tc>
          <w:tcPr>
            <w:tcW w:w="839" w:type="dxa"/>
            <w:noWrap/>
            <w:vAlign w:val="center"/>
            <w:hideMark/>
          </w:tcPr>
          <w:p w:rsidR="009D7B84" w:rsidRPr="00BA3C8B" w:rsidRDefault="009D7B84" w:rsidP="00B12830">
            <w:pPr>
              <w:spacing w:before="0" w:after="0" w:line="276" w:lineRule="auto"/>
              <w:ind w:firstLine="0"/>
              <w:jc w:val="center"/>
              <w:rPr>
                <w:color w:val="000000"/>
              </w:rPr>
            </w:pPr>
            <w:r w:rsidRPr="002F31F5">
              <w:rPr>
                <w:color w:val="000000"/>
                <w:vertAlign w:val="superscript"/>
              </w:rPr>
              <w:t>238</w:t>
            </w:r>
            <w:r>
              <w:rPr>
                <w:color w:val="000000"/>
              </w:rPr>
              <w:t>Pu</w:t>
            </w:r>
          </w:p>
        </w:tc>
        <w:tc>
          <w:tcPr>
            <w:tcW w:w="1101" w:type="dxa"/>
            <w:noWrap/>
            <w:vAlign w:val="center"/>
            <w:hideMark/>
          </w:tcPr>
          <w:p w:rsidR="009D7B84" w:rsidRDefault="009D7B84" w:rsidP="00B12830">
            <w:pPr>
              <w:spacing w:before="0" w:after="0" w:line="276" w:lineRule="auto"/>
              <w:ind w:firstLine="0"/>
              <w:jc w:val="center"/>
              <w:rPr>
                <w:color w:val="000000"/>
              </w:rPr>
            </w:pPr>
            <w:r>
              <w:rPr>
                <w:color w:val="000000"/>
              </w:rPr>
              <w:t>0.00219</w:t>
            </w:r>
          </w:p>
        </w:tc>
        <w:tc>
          <w:tcPr>
            <w:tcW w:w="839" w:type="dxa"/>
            <w:noWrap/>
            <w:vAlign w:val="center"/>
            <w:hideMark/>
          </w:tcPr>
          <w:p w:rsidR="009D7B84" w:rsidRPr="00BA3C8B" w:rsidRDefault="009D7B84" w:rsidP="00B12830">
            <w:pPr>
              <w:spacing w:before="0" w:after="0" w:line="276" w:lineRule="auto"/>
              <w:ind w:firstLine="0"/>
              <w:jc w:val="center"/>
              <w:rPr>
                <w:color w:val="000000"/>
              </w:rPr>
            </w:pPr>
            <w:r w:rsidRPr="002F31F5">
              <w:rPr>
                <w:color w:val="000000"/>
                <w:vertAlign w:val="superscript"/>
              </w:rPr>
              <w:t>246</w:t>
            </w:r>
            <w:r>
              <w:rPr>
                <w:color w:val="000000"/>
              </w:rPr>
              <w:t>Cm</w:t>
            </w:r>
          </w:p>
        </w:tc>
        <w:tc>
          <w:tcPr>
            <w:tcW w:w="1101" w:type="dxa"/>
            <w:noWrap/>
            <w:vAlign w:val="center"/>
            <w:hideMark/>
          </w:tcPr>
          <w:p w:rsidR="009D7B84" w:rsidRDefault="009D7B84" w:rsidP="00B12830">
            <w:pPr>
              <w:spacing w:before="0" w:after="0" w:line="276" w:lineRule="auto"/>
              <w:ind w:firstLine="0"/>
              <w:jc w:val="center"/>
              <w:rPr>
                <w:color w:val="000000"/>
              </w:rPr>
            </w:pPr>
            <w:r>
              <w:rPr>
                <w:color w:val="000000"/>
              </w:rPr>
              <w:t>21.45000</w:t>
            </w:r>
          </w:p>
        </w:tc>
      </w:tr>
      <w:tr w:rsidR="009D7B84" w:rsidRPr="00BA3C8B" w:rsidTr="00B12830">
        <w:trPr>
          <w:trHeight w:val="245"/>
          <w:jc w:val="center"/>
        </w:trPr>
        <w:tc>
          <w:tcPr>
            <w:tcW w:w="839" w:type="dxa"/>
            <w:noWrap/>
            <w:vAlign w:val="center"/>
            <w:hideMark/>
          </w:tcPr>
          <w:p w:rsidR="009D7B84" w:rsidRPr="00BA3C8B" w:rsidRDefault="009D7B84" w:rsidP="00B12830">
            <w:pPr>
              <w:spacing w:before="0" w:after="0" w:line="276" w:lineRule="auto"/>
              <w:ind w:firstLine="0"/>
              <w:jc w:val="center"/>
              <w:rPr>
                <w:color w:val="000000"/>
              </w:rPr>
            </w:pPr>
            <w:r w:rsidRPr="002F31F5">
              <w:rPr>
                <w:color w:val="000000"/>
                <w:vertAlign w:val="superscript"/>
              </w:rPr>
              <w:t>239</w:t>
            </w:r>
            <w:r>
              <w:rPr>
                <w:color w:val="000000"/>
              </w:rPr>
              <w:t>Pu</w:t>
            </w:r>
          </w:p>
        </w:tc>
        <w:tc>
          <w:tcPr>
            <w:tcW w:w="1101" w:type="dxa"/>
            <w:noWrap/>
            <w:vAlign w:val="center"/>
            <w:hideMark/>
          </w:tcPr>
          <w:p w:rsidR="009D7B84" w:rsidRDefault="009D7B84" w:rsidP="00B12830">
            <w:pPr>
              <w:spacing w:before="0" w:after="0" w:line="276" w:lineRule="auto"/>
              <w:ind w:firstLine="0"/>
              <w:jc w:val="center"/>
              <w:rPr>
                <w:color w:val="000000"/>
              </w:rPr>
            </w:pPr>
            <w:r>
              <w:rPr>
                <w:color w:val="000000"/>
              </w:rPr>
              <w:t>0.00119</w:t>
            </w:r>
          </w:p>
        </w:tc>
        <w:tc>
          <w:tcPr>
            <w:tcW w:w="839" w:type="dxa"/>
            <w:noWrap/>
            <w:vAlign w:val="center"/>
            <w:hideMark/>
          </w:tcPr>
          <w:p w:rsidR="009D7B84" w:rsidRPr="00BA3C8B" w:rsidRDefault="009D7B84" w:rsidP="00B12830">
            <w:pPr>
              <w:spacing w:before="0" w:after="0" w:line="276" w:lineRule="auto"/>
              <w:ind w:firstLine="0"/>
              <w:jc w:val="center"/>
              <w:rPr>
                <w:color w:val="000000"/>
              </w:rPr>
            </w:pPr>
            <w:r w:rsidRPr="002F31F5">
              <w:rPr>
                <w:color w:val="000000"/>
                <w:vertAlign w:val="superscript"/>
              </w:rPr>
              <w:t>247</w:t>
            </w:r>
            <w:r>
              <w:rPr>
                <w:color w:val="000000"/>
              </w:rPr>
              <w:t>Cm</w:t>
            </w:r>
          </w:p>
        </w:tc>
        <w:tc>
          <w:tcPr>
            <w:tcW w:w="1101" w:type="dxa"/>
            <w:noWrap/>
            <w:vAlign w:val="center"/>
            <w:hideMark/>
          </w:tcPr>
          <w:p w:rsidR="009D7B84" w:rsidRDefault="009D7B84" w:rsidP="00B12830">
            <w:pPr>
              <w:spacing w:before="0" w:after="0" w:line="276" w:lineRule="auto"/>
              <w:ind w:firstLine="0"/>
              <w:jc w:val="center"/>
              <w:rPr>
                <w:color w:val="000000"/>
              </w:rPr>
            </w:pPr>
            <w:r>
              <w:rPr>
                <w:color w:val="000000"/>
              </w:rPr>
              <w:t>0.52730</w:t>
            </w:r>
          </w:p>
        </w:tc>
      </w:tr>
      <w:tr w:rsidR="009D7B84" w:rsidRPr="00BA3C8B" w:rsidTr="00B12830">
        <w:trPr>
          <w:trHeight w:val="245"/>
          <w:jc w:val="center"/>
        </w:trPr>
        <w:tc>
          <w:tcPr>
            <w:tcW w:w="839" w:type="dxa"/>
            <w:noWrap/>
            <w:vAlign w:val="center"/>
            <w:hideMark/>
          </w:tcPr>
          <w:p w:rsidR="009D7B84" w:rsidRPr="00BA3C8B" w:rsidRDefault="009D7B84" w:rsidP="00B12830">
            <w:pPr>
              <w:spacing w:before="0" w:after="0" w:line="276" w:lineRule="auto"/>
              <w:ind w:firstLine="0"/>
              <w:jc w:val="center"/>
              <w:rPr>
                <w:color w:val="000000"/>
              </w:rPr>
            </w:pPr>
            <w:r w:rsidRPr="002F31F5">
              <w:rPr>
                <w:color w:val="000000"/>
                <w:vertAlign w:val="superscript"/>
              </w:rPr>
              <w:t>240</w:t>
            </w:r>
            <w:r>
              <w:rPr>
                <w:color w:val="000000"/>
              </w:rPr>
              <w:t>Pu</w:t>
            </w:r>
          </w:p>
        </w:tc>
        <w:tc>
          <w:tcPr>
            <w:tcW w:w="1101" w:type="dxa"/>
            <w:noWrap/>
            <w:vAlign w:val="center"/>
            <w:hideMark/>
          </w:tcPr>
          <w:p w:rsidR="009D7B84" w:rsidRDefault="009D7B84" w:rsidP="00B12830">
            <w:pPr>
              <w:spacing w:before="0" w:after="0" w:line="276" w:lineRule="auto"/>
              <w:ind w:firstLine="0"/>
              <w:jc w:val="center"/>
              <w:rPr>
                <w:color w:val="000000"/>
              </w:rPr>
            </w:pPr>
            <w:r>
              <w:rPr>
                <w:color w:val="000000"/>
              </w:rPr>
              <w:t>0.00751</w:t>
            </w:r>
          </w:p>
        </w:tc>
        <w:tc>
          <w:tcPr>
            <w:tcW w:w="839" w:type="dxa"/>
            <w:noWrap/>
            <w:vAlign w:val="center"/>
            <w:hideMark/>
          </w:tcPr>
          <w:p w:rsidR="009D7B84" w:rsidRPr="00BA3C8B" w:rsidRDefault="009D7B84" w:rsidP="00B12830">
            <w:pPr>
              <w:spacing w:before="0" w:after="0" w:line="276" w:lineRule="auto"/>
              <w:ind w:firstLine="0"/>
              <w:jc w:val="center"/>
              <w:rPr>
                <w:color w:val="000000"/>
              </w:rPr>
            </w:pPr>
            <w:r w:rsidRPr="002F31F5">
              <w:rPr>
                <w:color w:val="000000"/>
                <w:vertAlign w:val="superscript"/>
              </w:rPr>
              <w:t>248</w:t>
            </w:r>
            <w:r>
              <w:rPr>
                <w:color w:val="000000"/>
              </w:rPr>
              <w:t>Cm</w:t>
            </w:r>
          </w:p>
        </w:tc>
        <w:tc>
          <w:tcPr>
            <w:tcW w:w="1101" w:type="dxa"/>
            <w:noWrap/>
            <w:vAlign w:val="center"/>
            <w:hideMark/>
          </w:tcPr>
          <w:p w:rsidR="009D7B84" w:rsidRDefault="009D7B84" w:rsidP="00B12830">
            <w:pPr>
              <w:spacing w:before="0" w:after="0" w:line="276" w:lineRule="auto"/>
              <w:ind w:firstLine="0"/>
              <w:jc w:val="center"/>
              <w:rPr>
                <w:color w:val="000000"/>
              </w:rPr>
            </w:pPr>
            <w:r>
              <w:rPr>
                <w:color w:val="000000"/>
              </w:rPr>
              <w:t>4.83900</w:t>
            </w:r>
          </w:p>
        </w:tc>
      </w:tr>
      <w:tr w:rsidR="009D7B84" w:rsidRPr="00BA3C8B" w:rsidTr="00B12830">
        <w:trPr>
          <w:trHeight w:val="245"/>
          <w:jc w:val="center"/>
        </w:trPr>
        <w:tc>
          <w:tcPr>
            <w:tcW w:w="839" w:type="dxa"/>
            <w:noWrap/>
            <w:vAlign w:val="center"/>
            <w:hideMark/>
          </w:tcPr>
          <w:p w:rsidR="009D7B84" w:rsidRPr="00BA3C8B" w:rsidRDefault="009D7B84" w:rsidP="00B12830">
            <w:pPr>
              <w:spacing w:before="0" w:after="0" w:line="276" w:lineRule="auto"/>
              <w:ind w:firstLine="0"/>
              <w:jc w:val="center"/>
              <w:rPr>
                <w:color w:val="000000"/>
              </w:rPr>
            </w:pPr>
            <w:r w:rsidRPr="002F31F5">
              <w:rPr>
                <w:color w:val="000000"/>
                <w:vertAlign w:val="superscript"/>
              </w:rPr>
              <w:t>241</w:t>
            </w:r>
            <w:r>
              <w:rPr>
                <w:color w:val="000000"/>
              </w:rPr>
              <w:t>Pu</w:t>
            </w:r>
          </w:p>
        </w:tc>
        <w:tc>
          <w:tcPr>
            <w:tcW w:w="1101" w:type="dxa"/>
            <w:noWrap/>
            <w:vAlign w:val="center"/>
            <w:hideMark/>
          </w:tcPr>
          <w:p w:rsidR="009D7B84" w:rsidRDefault="009D7B84" w:rsidP="00B12830">
            <w:pPr>
              <w:spacing w:before="0" w:after="0" w:line="276" w:lineRule="auto"/>
              <w:ind w:firstLine="0"/>
              <w:jc w:val="center"/>
              <w:rPr>
                <w:color w:val="000000"/>
              </w:rPr>
            </w:pPr>
            <w:r>
              <w:rPr>
                <w:color w:val="000000"/>
              </w:rPr>
              <w:t>0.00417</w:t>
            </w:r>
          </w:p>
        </w:tc>
        <w:tc>
          <w:tcPr>
            <w:tcW w:w="839" w:type="dxa"/>
            <w:noWrap/>
            <w:vAlign w:val="center"/>
            <w:hideMark/>
          </w:tcPr>
          <w:p w:rsidR="009D7B84" w:rsidRPr="00BA3C8B" w:rsidRDefault="009D7B84" w:rsidP="00B12830">
            <w:pPr>
              <w:spacing w:before="0" w:after="0" w:line="276" w:lineRule="auto"/>
              <w:ind w:firstLine="0"/>
              <w:jc w:val="center"/>
              <w:rPr>
                <w:color w:val="000000"/>
              </w:rPr>
            </w:pPr>
            <w:r w:rsidRPr="002F31F5">
              <w:rPr>
                <w:color w:val="000000"/>
                <w:vertAlign w:val="superscript"/>
              </w:rPr>
              <w:t>249</w:t>
            </w:r>
            <w:r>
              <w:rPr>
                <w:color w:val="000000"/>
              </w:rPr>
              <w:t>Bk</w:t>
            </w:r>
          </w:p>
        </w:tc>
        <w:tc>
          <w:tcPr>
            <w:tcW w:w="1101" w:type="dxa"/>
            <w:noWrap/>
            <w:vAlign w:val="center"/>
            <w:hideMark/>
          </w:tcPr>
          <w:p w:rsidR="009D7B84" w:rsidRDefault="009D7B84" w:rsidP="00B12830">
            <w:pPr>
              <w:spacing w:before="0" w:after="0" w:line="276" w:lineRule="auto"/>
              <w:ind w:firstLine="0"/>
              <w:jc w:val="center"/>
              <w:rPr>
                <w:color w:val="000000"/>
              </w:rPr>
            </w:pPr>
            <w:r>
              <w:rPr>
                <w:color w:val="000000"/>
              </w:rPr>
              <w:t>0.03923</w:t>
            </w:r>
          </w:p>
        </w:tc>
      </w:tr>
      <w:tr w:rsidR="009D7B84" w:rsidRPr="00BA3C8B" w:rsidTr="00B12830">
        <w:trPr>
          <w:trHeight w:val="245"/>
          <w:jc w:val="center"/>
        </w:trPr>
        <w:tc>
          <w:tcPr>
            <w:tcW w:w="839" w:type="dxa"/>
            <w:noWrap/>
            <w:vAlign w:val="center"/>
            <w:hideMark/>
          </w:tcPr>
          <w:p w:rsidR="009D7B84" w:rsidRPr="00BA3C8B" w:rsidRDefault="009D7B84" w:rsidP="00B12830">
            <w:pPr>
              <w:spacing w:before="0" w:after="0" w:line="276" w:lineRule="auto"/>
              <w:ind w:firstLine="0"/>
              <w:jc w:val="center"/>
              <w:rPr>
                <w:color w:val="000000"/>
              </w:rPr>
            </w:pPr>
            <w:r w:rsidRPr="002F31F5">
              <w:rPr>
                <w:color w:val="000000"/>
                <w:vertAlign w:val="superscript"/>
              </w:rPr>
              <w:t>242</w:t>
            </w:r>
            <w:r>
              <w:rPr>
                <w:color w:val="000000"/>
              </w:rPr>
              <w:t>Pu</w:t>
            </w:r>
          </w:p>
        </w:tc>
        <w:tc>
          <w:tcPr>
            <w:tcW w:w="1101" w:type="dxa"/>
            <w:noWrap/>
            <w:vAlign w:val="center"/>
            <w:hideMark/>
          </w:tcPr>
          <w:p w:rsidR="009D7B84" w:rsidRDefault="009D7B84" w:rsidP="00B12830">
            <w:pPr>
              <w:spacing w:before="0" w:after="0" w:line="276" w:lineRule="auto"/>
              <w:ind w:firstLine="0"/>
              <w:jc w:val="center"/>
              <w:rPr>
                <w:color w:val="000000"/>
              </w:rPr>
            </w:pPr>
            <w:r>
              <w:rPr>
                <w:color w:val="000000"/>
              </w:rPr>
              <w:t>0.10760</w:t>
            </w:r>
          </w:p>
        </w:tc>
        <w:tc>
          <w:tcPr>
            <w:tcW w:w="839" w:type="dxa"/>
            <w:noWrap/>
            <w:vAlign w:val="center"/>
            <w:hideMark/>
          </w:tcPr>
          <w:p w:rsidR="009D7B84" w:rsidRPr="00BA3C8B" w:rsidRDefault="009D7B84" w:rsidP="00B12830">
            <w:pPr>
              <w:spacing w:before="0" w:after="0" w:line="276" w:lineRule="auto"/>
              <w:ind w:firstLine="0"/>
              <w:jc w:val="center"/>
              <w:rPr>
                <w:color w:val="000000"/>
              </w:rPr>
            </w:pPr>
            <w:r w:rsidRPr="002F31F5">
              <w:rPr>
                <w:color w:val="000000"/>
                <w:vertAlign w:val="superscript"/>
              </w:rPr>
              <w:t>250</w:t>
            </w:r>
            <w:r>
              <w:rPr>
                <w:color w:val="000000"/>
              </w:rPr>
              <w:t>Bk</w:t>
            </w:r>
          </w:p>
        </w:tc>
        <w:tc>
          <w:tcPr>
            <w:tcW w:w="1101" w:type="dxa"/>
            <w:noWrap/>
            <w:vAlign w:val="center"/>
            <w:hideMark/>
          </w:tcPr>
          <w:p w:rsidR="009D7B84" w:rsidRDefault="009D7B84" w:rsidP="00B12830">
            <w:pPr>
              <w:spacing w:before="0" w:after="0" w:line="276" w:lineRule="auto"/>
              <w:ind w:firstLine="0"/>
              <w:jc w:val="center"/>
              <w:rPr>
                <w:color w:val="000000"/>
              </w:rPr>
            </w:pPr>
            <w:r>
              <w:rPr>
                <w:color w:val="000000"/>
              </w:rPr>
              <w:t>0.00151</w:t>
            </w:r>
          </w:p>
        </w:tc>
      </w:tr>
      <w:tr w:rsidR="009D7B84" w:rsidRPr="00BA3C8B" w:rsidTr="00B12830">
        <w:trPr>
          <w:trHeight w:val="245"/>
          <w:jc w:val="center"/>
        </w:trPr>
        <w:tc>
          <w:tcPr>
            <w:tcW w:w="839" w:type="dxa"/>
            <w:noWrap/>
            <w:vAlign w:val="center"/>
            <w:hideMark/>
          </w:tcPr>
          <w:p w:rsidR="009D7B84" w:rsidRPr="00BA3C8B" w:rsidRDefault="009D7B84" w:rsidP="00B12830">
            <w:pPr>
              <w:spacing w:before="0" w:after="0" w:line="276" w:lineRule="auto"/>
              <w:ind w:firstLine="0"/>
              <w:jc w:val="center"/>
              <w:rPr>
                <w:color w:val="000000"/>
              </w:rPr>
            </w:pPr>
            <w:r w:rsidRPr="002F31F5">
              <w:rPr>
                <w:color w:val="000000"/>
                <w:vertAlign w:val="superscript"/>
              </w:rPr>
              <w:t>244</w:t>
            </w:r>
            <w:r>
              <w:rPr>
                <w:color w:val="000000"/>
              </w:rPr>
              <w:t>Pu</w:t>
            </w:r>
          </w:p>
        </w:tc>
        <w:tc>
          <w:tcPr>
            <w:tcW w:w="1101" w:type="dxa"/>
            <w:noWrap/>
            <w:vAlign w:val="center"/>
            <w:hideMark/>
          </w:tcPr>
          <w:p w:rsidR="009D7B84" w:rsidRDefault="009D7B84" w:rsidP="00B12830">
            <w:pPr>
              <w:spacing w:before="0" w:after="0" w:line="276" w:lineRule="auto"/>
              <w:ind w:firstLine="0"/>
              <w:jc w:val="center"/>
              <w:rPr>
                <w:color w:val="000000"/>
              </w:rPr>
            </w:pPr>
            <w:r>
              <w:rPr>
                <w:color w:val="000000"/>
              </w:rPr>
              <w:t>0.00242</w:t>
            </w:r>
          </w:p>
        </w:tc>
        <w:tc>
          <w:tcPr>
            <w:tcW w:w="839" w:type="dxa"/>
            <w:noWrap/>
            <w:vAlign w:val="center"/>
            <w:hideMark/>
          </w:tcPr>
          <w:p w:rsidR="009D7B84" w:rsidRPr="00BA3C8B" w:rsidRDefault="009D7B84" w:rsidP="00B12830">
            <w:pPr>
              <w:spacing w:before="0" w:after="0" w:line="276" w:lineRule="auto"/>
              <w:ind w:firstLine="0"/>
              <w:jc w:val="center"/>
              <w:rPr>
                <w:color w:val="000000"/>
              </w:rPr>
            </w:pPr>
            <w:r w:rsidRPr="002F31F5">
              <w:rPr>
                <w:color w:val="000000"/>
                <w:vertAlign w:val="superscript"/>
              </w:rPr>
              <w:t>250</w:t>
            </w:r>
            <w:r>
              <w:rPr>
                <w:color w:val="000000"/>
              </w:rPr>
              <w:t>Cf</w:t>
            </w:r>
          </w:p>
        </w:tc>
        <w:tc>
          <w:tcPr>
            <w:tcW w:w="1101" w:type="dxa"/>
            <w:noWrap/>
            <w:vAlign w:val="center"/>
            <w:hideMark/>
          </w:tcPr>
          <w:p w:rsidR="009D7B84" w:rsidRDefault="009D7B84" w:rsidP="00B12830">
            <w:pPr>
              <w:spacing w:before="0" w:after="0" w:line="276" w:lineRule="auto"/>
              <w:ind w:firstLine="0"/>
              <w:jc w:val="center"/>
              <w:rPr>
                <w:color w:val="000000"/>
              </w:rPr>
            </w:pPr>
            <w:r>
              <w:rPr>
                <w:color w:val="000000"/>
              </w:rPr>
              <w:t>0.02579</w:t>
            </w:r>
          </w:p>
        </w:tc>
      </w:tr>
      <w:tr w:rsidR="009D7B84" w:rsidRPr="00BA3C8B" w:rsidTr="00B12830">
        <w:trPr>
          <w:trHeight w:val="245"/>
          <w:jc w:val="center"/>
        </w:trPr>
        <w:tc>
          <w:tcPr>
            <w:tcW w:w="839" w:type="dxa"/>
            <w:noWrap/>
            <w:vAlign w:val="center"/>
            <w:hideMark/>
          </w:tcPr>
          <w:p w:rsidR="009D7B84" w:rsidRPr="00BA3C8B" w:rsidRDefault="009D7B84" w:rsidP="00B12830">
            <w:pPr>
              <w:spacing w:before="0" w:after="0" w:line="276" w:lineRule="auto"/>
              <w:ind w:firstLine="0"/>
              <w:jc w:val="center"/>
              <w:rPr>
                <w:color w:val="000000"/>
              </w:rPr>
            </w:pPr>
            <w:r w:rsidRPr="002F31F5">
              <w:rPr>
                <w:color w:val="000000"/>
                <w:vertAlign w:val="superscript"/>
              </w:rPr>
              <w:t>243</w:t>
            </w:r>
            <w:r>
              <w:rPr>
                <w:color w:val="000000"/>
              </w:rPr>
              <w:t>Am</w:t>
            </w:r>
          </w:p>
        </w:tc>
        <w:tc>
          <w:tcPr>
            <w:tcW w:w="1101" w:type="dxa"/>
            <w:noWrap/>
            <w:vAlign w:val="center"/>
            <w:hideMark/>
          </w:tcPr>
          <w:p w:rsidR="009D7B84" w:rsidRDefault="009D7B84" w:rsidP="00B12830">
            <w:pPr>
              <w:spacing w:before="0" w:after="0" w:line="276" w:lineRule="auto"/>
              <w:ind w:firstLine="0"/>
              <w:jc w:val="center"/>
              <w:rPr>
                <w:color w:val="000000"/>
              </w:rPr>
            </w:pPr>
            <w:r>
              <w:rPr>
                <w:color w:val="000000"/>
              </w:rPr>
              <w:t>0.08786</w:t>
            </w:r>
          </w:p>
        </w:tc>
        <w:tc>
          <w:tcPr>
            <w:tcW w:w="839" w:type="dxa"/>
            <w:noWrap/>
            <w:vAlign w:val="center"/>
            <w:hideMark/>
          </w:tcPr>
          <w:p w:rsidR="009D7B84" w:rsidRPr="00BA3C8B" w:rsidRDefault="009D7B84" w:rsidP="00B12830">
            <w:pPr>
              <w:spacing w:before="0" w:after="0" w:line="276" w:lineRule="auto"/>
              <w:ind w:firstLine="0"/>
              <w:jc w:val="center"/>
              <w:rPr>
                <w:color w:val="000000"/>
              </w:rPr>
            </w:pPr>
            <w:r w:rsidRPr="002F31F5">
              <w:rPr>
                <w:color w:val="000000"/>
                <w:vertAlign w:val="superscript"/>
              </w:rPr>
              <w:t>251</w:t>
            </w:r>
            <w:r>
              <w:rPr>
                <w:color w:val="000000"/>
              </w:rPr>
              <w:t>Cf</w:t>
            </w:r>
          </w:p>
        </w:tc>
        <w:tc>
          <w:tcPr>
            <w:tcW w:w="1101" w:type="dxa"/>
            <w:noWrap/>
            <w:vAlign w:val="center"/>
            <w:hideMark/>
          </w:tcPr>
          <w:p w:rsidR="009D7B84" w:rsidRDefault="009D7B84" w:rsidP="00B12830">
            <w:pPr>
              <w:spacing w:before="0" w:after="0" w:line="276" w:lineRule="auto"/>
              <w:ind w:firstLine="0"/>
              <w:jc w:val="center"/>
              <w:rPr>
                <w:color w:val="000000"/>
              </w:rPr>
            </w:pPr>
            <w:r>
              <w:rPr>
                <w:color w:val="000000"/>
              </w:rPr>
              <w:t>0.00684</w:t>
            </w:r>
          </w:p>
        </w:tc>
      </w:tr>
      <w:tr w:rsidR="009D7B84" w:rsidRPr="00BA3C8B" w:rsidTr="00B12830">
        <w:trPr>
          <w:trHeight w:val="245"/>
          <w:jc w:val="center"/>
        </w:trPr>
        <w:tc>
          <w:tcPr>
            <w:tcW w:w="839" w:type="dxa"/>
            <w:noWrap/>
            <w:vAlign w:val="center"/>
            <w:hideMark/>
          </w:tcPr>
          <w:p w:rsidR="009D7B84" w:rsidRPr="00BA3C8B" w:rsidRDefault="009D7B84" w:rsidP="00B12830">
            <w:pPr>
              <w:spacing w:before="0" w:after="0" w:line="276" w:lineRule="auto"/>
              <w:ind w:firstLine="0"/>
              <w:jc w:val="center"/>
              <w:rPr>
                <w:color w:val="000000"/>
              </w:rPr>
            </w:pPr>
            <w:r w:rsidRPr="002F31F5">
              <w:rPr>
                <w:color w:val="000000"/>
                <w:vertAlign w:val="superscript"/>
              </w:rPr>
              <w:t>242</w:t>
            </w:r>
            <w:r>
              <w:rPr>
                <w:color w:val="000000"/>
              </w:rPr>
              <w:t>Cm</w:t>
            </w:r>
          </w:p>
        </w:tc>
        <w:tc>
          <w:tcPr>
            <w:tcW w:w="1101" w:type="dxa"/>
            <w:noWrap/>
            <w:vAlign w:val="center"/>
            <w:hideMark/>
          </w:tcPr>
          <w:p w:rsidR="009D7B84" w:rsidRDefault="009D7B84" w:rsidP="00B12830">
            <w:pPr>
              <w:spacing w:before="0" w:after="0" w:line="276" w:lineRule="auto"/>
              <w:ind w:firstLine="0"/>
              <w:jc w:val="center"/>
              <w:rPr>
                <w:color w:val="000000"/>
              </w:rPr>
            </w:pPr>
            <w:r>
              <w:rPr>
                <w:color w:val="000000"/>
              </w:rPr>
              <w:t>0.02145</w:t>
            </w:r>
          </w:p>
        </w:tc>
        <w:tc>
          <w:tcPr>
            <w:tcW w:w="839" w:type="dxa"/>
            <w:noWrap/>
            <w:vAlign w:val="center"/>
            <w:hideMark/>
          </w:tcPr>
          <w:p w:rsidR="009D7B84" w:rsidRPr="00BA3C8B" w:rsidRDefault="009D7B84" w:rsidP="00B12830">
            <w:pPr>
              <w:spacing w:before="0" w:after="0" w:line="276" w:lineRule="auto"/>
              <w:ind w:firstLine="0"/>
              <w:jc w:val="center"/>
              <w:rPr>
                <w:color w:val="000000"/>
              </w:rPr>
            </w:pPr>
            <w:r w:rsidRPr="002F31F5">
              <w:rPr>
                <w:color w:val="000000"/>
                <w:vertAlign w:val="superscript"/>
              </w:rPr>
              <w:t>252</w:t>
            </w:r>
            <w:r>
              <w:rPr>
                <w:color w:val="000000"/>
              </w:rPr>
              <w:t>Cf</w:t>
            </w:r>
          </w:p>
        </w:tc>
        <w:tc>
          <w:tcPr>
            <w:tcW w:w="1101" w:type="dxa"/>
            <w:noWrap/>
            <w:vAlign w:val="center"/>
            <w:hideMark/>
          </w:tcPr>
          <w:p w:rsidR="009D7B84" w:rsidRDefault="009D7B84" w:rsidP="00B12830">
            <w:pPr>
              <w:spacing w:before="0" w:after="0" w:line="276" w:lineRule="auto"/>
              <w:ind w:firstLine="0"/>
              <w:jc w:val="center"/>
              <w:rPr>
                <w:color w:val="000000"/>
              </w:rPr>
            </w:pPr>
            <w:r>
              <w:rPr>
                <w:color w:val="000000"/>
              </w:rPr>
              <w:t>0.26770</w:t>
            </w:r>
          </w:p>
        </w:tc>
      </w:tr>
      <w:tr w:rsidR="009D7B84" w:rsidRPr="00BA3C8B" w:rsidTr="00B12830">
        <w:trPr>
          <w:trHeight w:val="245"/>
          <w:jc w:val="center"/>
        </w:trPr>
        <w:tc>
          <w:tcPr>
            <w:tcW w:w="839" w:type="dxa"/>
            <w:noWrap/>
            <w:vAlign w:val="center"/>
            <w:hideMark/>
          </w:tcPr>
          <w:p w:rsidR="009D7B84" w:rsidRPr="00BA3C8B" w:rsidRDefault="009D7B84" w:rsidP="00B12830">
            <w:pPr>
              <w:spacing w:before="0" w:after="0" w:line="276" w:lineRule="auto"/>
              <w:ind w:firstLine="0"/>
              <w:jc w:val="center"/>
              <w:rPr>
                <w:color w:val="000000"/>
              </w:rPr>
            </w:pPr>
            <w:r w:rsidRPr="002F31F5">
              <w:rPr>
                <w:color w:val="000000"/>
                <w:vertAlign w:val="superscript"/>
              </w:rPr>
              <w:t>244</w:t>
            </w:r>
            <w:r>
              <w:rPr>
                <w:color w:val="000000"/>
              </w:rPr>
              <w:t>Cm</w:t>
            </w:r>
          </w:p>
        </w:tc>
        <w:tc>
          <w:tcPr>
            <w:tcW w:w="1101" w:type="dxa"/>
            <w:noWrap/>
            <w:vAlign w:val="center"/>
            <w:hideMark/>
          </w:tcPr>
          <w:p w:rsidR="009D7B84" w:rsidRDefault="009D7B84" w:rsidP="00B12830">
            <w:pPr>
              <w:spacing w:before="0" w:after="0" w:line="276" w:lineRule="auto"/>
              <w:ind w:firstLine="0"/>
              <w:jc w:val="center"/>
              <w:rPr>
                <w:color w:val="000000"/>
              </w:rPr>
            </w:pPr>
            <w:r>
              <w:rPr>
                <w:color w:val="000000"/>
              </w:rPr>
              <w:t>4.26500</w:t>
            </w:r>
          </w:p>
        </w:tc>
        <w:tc>
          <w:tcPr>
            <w:tcW w:w="839" w:type="dxa"/>
            <w:noWrap/>
            <w:vAlign w:val="center"/>
            <w:hideMark/>
          </w:tcPr>
          <w:p w:rsidR="009D7B84" w:rsidRPr="00BA3C8B" w:rsidRDefault="009D7B84" w:rsidP="00B12830">
            <w:pPr>
              <w:spacing w:before="0" w:after="0" w:line="276" w:lineRule="auto"/>
              <w:ind w:firstLine="0"/>
              <w:jc w:val="center"/>
              <w:rPr>
                <w:color w:val="000000"/>
              </w:rPr>
            </w:pPr>
            <w:r w:rsidRPr="002F31F5">
              <w:rPr>
                <w:color w:val="000000"/>
                <w:vertAlign w:val="superscript"/>
              </w:rPr>
              <w:t>253</w:t>
            </w:r>
            <w:r>
              <w:rPr>
                <w:color w:val="000000"/>
              </w:rPr>
              <w:t>Cf</w:t>
            </w:r>
          </w:p>
        </w:tc>
        <w:tc>
          <w:tcPr>
            <w:tcW w:w="1101" w:type="dxa"/>
            <w:noWrap/>
            <w:vAlign w:val="center"/>
            <w:hideMark/>
          </w:tcPr>
          <w:p w:rsidR="009D7B84" w:rsidRDefault="009D7B84" w:rsidP="00B12830">
            <w:pPr>
              <w:spacing w:before="0" w:after="0" w:line="276" w:lineRule="auto"/>
              <w:ind w:firstLine="0"/>
              <w:jc w:val="center"/>
              <w:rPr>
                <w:color w:val="000000"/>
              </w:rPr>
            </w:pPr>
            <w:r>
              <w:rPr>
                <w:color w:val="000000"/>
              </w:rPr>
              <w:t>0.00281</w:t>
            </w:r>
          </w:p>
        </w:tc>
      </w:tr>
      <w:tr w:rsidR="009D7B84" w:rsidRPr="00BA3C8B" w:rsidTr="00B12830">
        <w:trPr>
          <w:trHeight w:val="245"/>
          <w:jc w:val="center"/>
        </w:trPr>
        <w:tc>
          <w:tcPr>
            <w:tcW w:w="839" w:type="dxa"/>
            <w:noWrap/>
            <w:vAlign w:val="center"/>
            <w:hideMark/>
          </w:tcPr>
          <w:p w:rsidR="009D7B84" w:rsidRPr="00BA3C8B" w:rsidRDefault="009D7B84" w:rsidP="00B12830">
            <w:pPr>
              <w:spacing w:before="0" w:after="0" w:line="276" w:lineRule="auto"/>
              <w:ind w:firstLine="0"/>
              <w:jc w:val="center"/>
              <w:rPr>
                <w:color w:val="000000"/>
              </w:rPr>
            </w:pPr>
            <w:r w:rsidRPr="002F31F5">
              <w:rPr>
                <w:color w:val="000000"/>
                <w:vertAlign w:val="superscript"/>
              </w:rPr>
              <w:t>245</w:t>
            </w:r>
            <w:r>
              <w:rPr>
                <w:color w:val="000000"/>
              </w:rPr>
              <w:t>Cm</w:t>
            </w:r>
          </w:p>
        </w:tc>
        <w:tc>
          <w:tcPr>
            <w:tcW w:w="1101" w:type="dxa"/>
            <w:noWrap/>
            <w:vAlign w:val="center"/>
            <w:hideMark/>
          </w:tcPr>
          <w:p w:rsidR="009D7B84" w:rsidRDefault="009D7B84" w:rsidP="00B12830">
            <w:pPr>
              <w:spacing w:before="0" w:after="0" w:line="276" w:lineRule="auto"/>
              <w:ind w:firstLine="0"/>
              <w:jc w:val="center"/>
              <w:rPr>
                <w:color w:val="000000"/>
              </w:rPr>
            </w:pPr>
            <w:r>
              <w:rPr>
                <w:color w:val="000000"/>
              </w:rPr>
              <w:t>0.07038</w:t>
            </w:r>
          </w:p>
        </w:tc>
        <w:tc>
          <w:tcPr>
            <w:tcW w:w="839" w:type="dxa"/>
            <w:noWrap/>
            <w:vAlign w:val="center"/>
            <w:hideMark/>
          </w:tcPr>
          <w:p w:rsidR="009D7B84" w:rsidRPr="00BA3C8B" w:rsidRDefault="009D7B84" w:rsidP="00B12830">
            <w:pPr>
              <w:spacing w:before="0" w:after="0" w:line="276" w:lineRule="auto"/>
              <w:ind w:firstLine="0"/>
              <w:jc w:val="center"/>
              <w:rPr>
                <w:color w:val="000000"/>
              </w:rPr>
            </w:pPr>
            <w:r w:rsidRPr="002F31F5">
              <w:rPr>
                <w:color w:val="000000"/>
                <w:vertAlign w:val="superscript"/>
              </w:rPr>
              <w:t>254</w:t>
            </w:r>
            <w:r>
              <w:rPr>
                <w:color w:val="000000"/>
              </w:rPr>
              <w:t>Cf</w:t>
            </w:r>
          </w:p>
        </w:tc>
        <w:tc>
          <w:tcPr>
            <w:tcW w:w="1101" w:type="dxa"/>
            <w:noWrap/>
            <w:vAlign w:val="center"/>
            <w:hideMark/>
          </w:tcPr>
          <w:p w:rsidR="009D7B84" w:rsidRDefault="009D7B84" w:rsidP="00B12830">
            <w:pPr>
              <w:spacing w:before="0" w:after="0" w:line="276" w:lineRule="auto"/>
              <w:ind w:firstLine="0"/>
              <w:jc w:val="center"/>
              <w:rPr>
                <w:color w:val="000000"/>
              </w:rPr>
            </w:pPr>
            <w:r>
              <w:rPr>
                <w:color w:val="000000"/>
              </w:rPr>
              <w:t>0.00575</w:t>
            </w:r>
          </w:p>
        </w:tc>
      </w:tr>
    </w:tbl>
    <w:p w:rsidR="009D7B84" w:rsidRDefault="009D7B84">
      <w:pPr>
        <w:spacing w:before="0" w:after="200" w:line="276" w:lineRule="auto"/>
        <w:ind w:firstLine="0"/>
        <w:jc w:val="left"/>
      </w:pPr>
    </w:p>
    <w:p w:rsidR="00CA2E5F" w:rsidRDefault="00CA2E5F">
      <w:pPr>
        <w:spacing w:before="0" w:after="200" w:line="276" w:lineRule="auto"/>
        <w:ind w:firstLine="0"/>
        <w:jc w:val="left"/>
      </w:pPr>
    </w:p>
    <w:p w:rsidR="00CA2E5F" w:rsidRDefault="00CA2E5F">
      <w:pPr>
        <w:spacing w:before="0" w:after="200" w:line="276" w:lineRule="auto"/>
        <w:ind w:firstLine="0"/>
        <w:jc w:val="left"/>
      </w:pPr>
    </w:p>
    <w:p w:rsidR="00CA2E5F" w:rsidRDefault="00CA2E5F">
      <w:pPr>
        <w:spacing w:before="0" w:after="200" w:line="276" w:lineRule="auto"/>
        <w:ind w:firstLine="0"/>
        <w:jc w:val="left"/>
      </w:pPr>
    </w:p>
    <w:p w:rsidR="005449F3" w:rsidRDefault="007511FA" w:rsidP="00CA2E5F">
      <w:pPr>
        <w:spacing w:before="0" w:after="200" w:line="240" w:lineRule="auto"/>
        <w:ind w:firstLine="0"/>
        <w:jc w:val="left"/>
      </w:pPr>
      <w:r>
        <w:rPr>
          <w:noProof/>
          <w:lang w:eastAsia="zh-TW"/>
        </w:rPr>
        <w:pict>
          <v:shape id="_x0000_s1059" type="#_x0000_t202" style="position:absolute;margin-left:334.4pt;margin-top:162.45pt;width:64.1pt;height:29.1pt;z-index:251675648;mso-width-relative:margin;mso-height-relative:margin">
            <v:textbox style="mso-next-textbox:#_x0000_s1059">
              <w:txbxContent>
                <w:p w:rsidR="00F236B9" w:rsidRPr="005449F3" w:rsidRDefault="00F236B9" w:rsidP="005449F3">
                  <w:pPr>
                    <w:ind w:firstLine="0"/>
                    <w:rPr>
                      <w:b/>
                    </w:rPr>
                  </w:pPr>
                  <w:r w:rsidRPr="005449F3">
                    <w:rPr>
                      <w:b/>
                    </w:rPr>
                    <w:t>3/21/2009</w:t>
                  </w:r>
                </w:p>
              </w:txbxContent>
            </v:textbox>
          </v:shape>
        </w:pict>
      </w:r>
      <w:r>
        <w:rPr>
          <w:noProof/>
        </w:rPr>
        <w:pict>
          <v:shape id="_x0000_s1058" type="#_x0000_t32" style="position:absolute;margin-left:366.1pt;margin-top:10.85pt;width:.65pt;height:281.9pt;flip:x y;z-index:251673600" o:connectortype="straight" strokeweight="2.5pt">
            <v:stroke dashstyle="1 1"/>
          </v:shape>
        </w:pict>
      </w:r>
      <w:r w:rsidR="005449F3" w:rsidRPr="005449F3">
        <w:rPr>
          <w:noProof/>
        </w:rPr>
        <w:drawing>
          <wp:inline distT="0" distB="0" distL="0" distR="0">
            <wp:extent cx="5948334" cy="4023360"/>
            <wp:effectExtent l="19050" t="0" r="14316" b="0"/>
            <wp:docPr id="80"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rsidR="005449F3" w:rsidRDefault="00BA2085" w:rsidP="00CA2E5F">
      <w:pPr>
        <w:pStyle w:val="Caption"/>
      </w:pPr>
      <w:bookmarkStart w:id="290" w:name="_Ref285537764"/>
      <w:bookmarkStart w:id="291" w:name="_Toc295818244"/>
      <w:proofErr w:type="gramStart"/>
      <w:r>
        <w:t xml:space="preserve">Figure </w:t>
      </w:r>
      <w:r w:rsidR="007511FA">
        <w:fldChar w:fldCharType="begin"/>
      </w:r>
      <w:r w:rsidR="00AE17F8">
        <w:instrText xml:space="preserve"> STYLEREF 1 \s </w:instrText>
      </w:r>
      <w:r w:rsidR="007511FA">
        <w:fldChar w:fldCharType="separate"/>
      </w:r>
      <w:r w:rsidR="00D5167B">
        <w:rPr>
          <w:noProof/>
        </w:rPr>
        <w:t>7</w:t>
      </w:r>
      <w:r w:rsidR="007511FA">
        <w:fldChar w:fldCharType="end"/>
      </w:r>
      <w:r w:rsidR="000C5E2C">
        <w:t>.</w:t>
      </w:r>
      <w:proofErr w:type="gramEnd"/>
      <w:r w:rsidR="007511FA">
        <w:fldChar w:fldCharType="begin"/>
      </w:r>
      <w:r w:rsidR="00C43F40">
        <w:instrText xml:space="preserve"> SEQ Figure \* ARABIC \s 1 </w:instrText>
      </w:r>
      <w:r w:rsidR="007511FA">
        <w:fldChar w:fldCharType="separate"/>
      </w:r>
      <w:r w:rsidR="00D5167B">
        <w:rPr>
          <w:noProof/>
        </w:rPr>
        <w:t>5</w:t>
      </w:r>
      <w:r w:rsidR="007511FA">
        <w:fldChar w:fldCharType="end"/>
      </w:r>
      <w:bookmarkEnd w:id="290"/>
      <w:r w:rsidR="005449F3">
        <w:t xml:space="preserve">.  </w:t>
      </w:r>
      <w:proofErr w:type="gramStart"/>
      <w:r w:rsidR="005449F3">
        <w:t xml:space="preserve">Calculated time-dependent </w:t>
      </w:r>
      <w:r w:rsidR="005449F3" w:rsidRPr="005449F3">
        <w:rPr>
          <w:vertAlign w:val="superscript"/>
        </w:rPr>
        <w:t>252</w:t>
      </w:r>
      <w:r w:rsidR="005449F3" w:rsidRPr="005449F3">
        <w:t xml:space="preserve">Cf and </w:t>
      </w:r>
      <w:r w:rsidR="005449F3" w:rsidRPr="005449F3">
        <w:rPr>
          <w:vertAlign w:val="superscript"/>
        </w:rPr>
        <w:t>249</w:t>
      </w:r>
      <w:r w:rsidR="005449F3" w:rsidRPr="005449F3">
        <w:t>Bk</w:t>
      </w:r>
      <w:r w:rsidR="005449F3">
        <w:t xml:space="preserve"> inventories.</w:t>
      </w:r>
      <w:bookmarkEnd w:id="291"/>
      <w:proofErr w:type="gramEnd"/>
      <w:r w:rsidR="005449F3">
        <w:br w:type="page"/>
      </w:r>
    </w:p>
    <w:p w:rsidR="00136D07" w:rsidRDefault="00136D07" w:rsidP="00AA149C">
      <w:pPr>
        <w:pStyle w:val="Heading2"/>
      </w:pPr>
      <w:bookmarkStart w:id="292" w:name="_Toc295818152"/>
      <w:r>
        <w:lastRenderedPageBreak/>
        <w:t>Curium Target Summary</w:t>
      </w:r>
      <w:bookmarkEnd w:id="292"/>
    </w:p>
    <w:p w:rsidR="00136D07" w:rsidRDefault="00136D07" w:rsidP="00136D07">
      <w:r>
        <w:t xml:space="preserve">Post-irradiation curium target rod nuclide inventories were calculated for seven targets that were removed from the flux trap in December of 2008.  Dissolver solution measurements for </w:t>
      </w:r>
      <w:r w:rsidRPr="00070F81">
        <w:rPr>
          <w:vertAlign w:val="superscript"/>
        </w:rPr>
        <w:t>252</w:t>
      </w:r>
      <w:r>
        <w:t xml:space="preserve">Cf and </w:t>
      </w:r>
      <w:r>
        <w:rPr>
          <w:vertAlign w:val="superscript"/>
        </w:rPr>
        <w:t>249</w:t>
      </w:r>
      <w:r>
        <w:t xml:space="preserve">Bk were compared to the calculations and C/E ratios of 0.995 and 1.077 were calculated, respectively.  The differences between the calculated and measured post-irradiation curium target rod </w:t>
      </w:r>
      <w:r w:rsidRPr="00070F81">
        <w:rPr>
          <w:vertAlign w:val="superscript"/>
        </w:rPr>
        <w:t>252</w:t>
      </w:r>
      <w:r>
        <w:t xml:space="preserve">Cf and </w:t>
      </w:r>
      <w:r>
        <w:rPr>
          <w:vertAlign w:val="superscript"/>
        </w:rPr>
        <w:t>249</w:t>
      </w:r>
      <w:r>
        <w:t>Bk inventory are small and thus, the SCALE code/model with the 238 group ENDF/B-VII data library has proven to be able to accurately calculate the burnup dependent inventories for these nuclides within the target rods.  The studies provide validation that the SCALE/TRITON module and ENDF/B-VII cross section data can accurately calculate the homogenized cross sections and neutron fluxes in curium targets located in the flux trap region of HFIR.</w:t>
      </w:r>
    </w:p>
    <w:p w:rsidR="001469FB" w:rsidRDefault="001469FB" w:rsidP="00136D07"/>
    <w:p w:rsidR="00136D07" w:rsidRDefault="00136D07">
      <w:pPr>
        <w:spacing w:before="0" w:after="200" w:line="276" w:lineRule="auto"/>
        <w:ind w:firstLine="0"/>
        <w:jc w:val="left"/>
      </w:pPr>
      <w:r>
        <w:br w:type="page"/>
      </w:r>
    </w:p>
    <w:p w:rsidR="00535B14" w:rsidRDefault="00535B14" w:rsidP="00AA149C">
      <w:pPr>
        <w:pStyle w:val="Heading1"/>
      </w:pPr>
      <w:bookmarkStart w:id="293" w:name="_Toc295818153"/>
      <w:r>
        <w:lastRenderedPageBreak/>
        <w:t>Hydraulic Tube Rabbit Ejections</w:t>
      </w:r>
      <w:r w:rsidR="00050B54">
        <w:t xml:space="preserve"> and Point-</w:t>
      </w:r>
      <w:r w:rsidR="00EB5655">
        <w:t>Kinetics</w:t>
      </w:r>
      <w:bookmarkEnd w:id="293"/>
    </w:p>
    <w:p w:rsidR="00823ACF" w:rsidRDefault="00823ACF" w:rsidP="00823ACF">
      <w:r>
        <w:t xml:space="preserve">The DOE-NE Fuel Cycle R&amp;D Program has requested HFIR assistance in irradiating nuclear fuel samples to study the </w:t>
      </w:r>
      <w:proofErr w:type="spellStart"/>
      <w:r>
        <w:t>microstructural</w:t>
      </w:r>
      <w:proofErr w:type="spellEnd"/>
      <w:r>
        <w:t xml:space="preserve"> evolutionary changes due to irradiation of fuel materials, fuel-clad chemical interactions, and etc</w:t>
      </w:r>
      <w:r w:rsidR="006B5D42">
        <w:t xml:space="preserve">. </w:t>
      </w:r>
      <w:r w:rsidR="007511FA">
        <w:fldChar w:fldCharType="begin"/>
      </w:r>
      <w:r w:rsidR="006B5D42">
        <w:instrText xml:space="preserve"> REF _Ref285638283 \n \h </w:instrText>
      </w:r>
      <w:r w:rsidR="007511FA">
        <w:fldChar w:fldCharType="separate"/>
      </w:r>
      <w:r w:rsidR="00D5167B">
        <w:t>[98]</w:t>
      </w:r>
      <w:r w:rsidR="007511FA">
        <w:fldChar w:fldCharType="end"/>
      </w:r>
      <w:r>
        <w:t>.  “Black” rabbits containing thermal neutron absorbing shields (</w:t>
      </w:r>
      <w:proofErr w:type="spellStart"/>
      <w:r>
        <w:t>Gd</w:t>
      </w:r>
      <w:proofErr w:type="spellEnd"/>
      <w:r>
        <w:t>, GdO</w:t>
      </w:r>
      <w:r>
        <w:rPr>
          <w:vertAlign w:val="subscript"/>
        </w:rPr>
        <w:t>2</w:t>
      </w:r>
      <w:r>
        <w:t>, and Eu</w:t>
      </w:r>
      <w:r>
        <w:rPr>
          <w:vertAlign w:val="subscript"/>
        </w:rPr>
        <w:t>2</w:t>
      </w:r>
      <w:r>
        <w:t>O</w:t>
      </w:r>
      <w:r>
        <w:rPr>
          <w:vertAlign w:val="subscript"/>
        </w:rPr>
        <w:t>3</w:t>
      </w:r>
      <w:r>
        <w:t>) and transmission electron microscopy (TEM) discs have been designed for irradi</w:t>
      </w:r>
      <w:r w:rsidR="00355EDD">
        <w:t>ation in the HFIR hydraulic tube</w:t>
      </w:r>
      <w:r w:rsidR="00C67546">
        <w:t>.</w:t>
      </w:r>
      <w:r w:rsidR="00C167D7">
        <w:t xml:space="preserve"> </w:t>
      </w:r>
      <w:r w:rsidR="00C67546">
        <w:t xml:space="preserve"> </w:t>
      </w:r>
      <w:r>
        <w:t>The insertion or ejection of these “black” rabbits will lead to negative or positive reactivity insertions, respectively, which have the potential of initiating power transients, engaging the safety system, and causing unplanned shutdowns.</w:t>
      </w:r>
    </w:p>
    <w:p w:rsidR="00506AA8" w:rsidRDefault="00506AA8" w:rsidP="00823ACF"/>
    <w:p w:rsidR="00506AA8" w:rsidRPr="00986DC2" w:rsidRDefault="00506AA8" w:rsidP="00AA149C">
      <w:pPr>
        <w:pStyle w:val="Heading2"/>
      </w:pPr>
      <w:bookmarkStart w:id="294" w:name="_Toc295818154"/>
      <w:r>
        <w:t>Rabbit Ejection Information</w:t>
      </w:r>
      <w:bookmarkEnd w:id="294"/>
    </w:p>
    <w:p w:rsidR="00823ACF" w:rsidRDefault="00823ACF" w:rsidP="00823ACF">
      <w:r>
        <w:t xml:space="preserve">In order to meet safety and technical requirements, rabbit ejection tests and calculations are being performed and planned.  Cadmium shielded </w:t>
      </w:r>
      <w:r w:rsidRPr="005B71EA">
        <w:t xml:space="preserve">rabbits (ρ ≈ 8¢) have </w:t>
      </w:r>
      <w:r>
        <w:t xml:space="preserve">been </w:t>
      </w:r>
      <w:r w:rsidRPr="005B71EA">
        <w:t xml:space="preserve">ejected </w:t>
      </w:r>
      <w:r>
        <w:t xml:space="preserve">at the beginning-of-cycle (BOC) </w:t>
      </w:r>
      <w:r w:rsidRPr="005B71EA">
        <w:t>from various HT axial positions at low power (P ≈ 12 MW</w:t>
      </w:r>
      <w:r w:rsidRPr="005B71EA">
        <w:rPr>
          <w:vertAlign w:val="subscript"/>
        </w:rPr>
        <w:t>th</w:t>
      </w:r>
      <w:r w:rsidRPr="005B71EA">
        <w:t>)</w:t>
      </w:r>
      <w:r>
        <w:t xml:space="preserve"> a</w:t>
      </w:r>
      <w:r w:rsidR="00C67546">
        <w:t xml:space="preserve">nd gadolinium shielded rabbits worth </w:t>
      </w:r>
      <w:r>
        <w:t>10</w:t>
      </w:r>
      <w:r w:rsidRPr="005B71EA">
        <w:t>¢</w:t>
      </w:r>
      <w:r>
        <w:t xml:space="preserve"> </w:t>
      </w:r>
      <w:r w:rsidR="00C67546">
        <w:t>to</w:t>
      </w:r>
      <w:r w:rsidRPr="005B71EA">
        <w:t xml:space="preserve"> </w:t>
      </w:r>
      <w:r>
        <w:t>16</w:t>
      </w:r>
      <w:r w:rsidRPr="005B71EA">
        <w:t>¢</w:t>
      </w:r>
      <w:r w:rsidR="00C67546">
        <w:t xml:space="preserve"> as predicted in</w:t>
      </w:r>
      <w:r w:rsidR="006B5D42">
        <w:t xml:space="preserve"> </w:t>
      </w:r>
      <w:r w:rsidR="007511FA">
        <w:fldChar w:fldCharType="begin"/>
      </w:r>
      <w:r w:rsidR="006B5D42">
        <w:instrText xml:space="preserve"> REF _Ref285638292 \n \h </w:instrText>
      </w:r>
      <w:r w:rsidR="007511FA">
        <w:fldChar w:fldCharType="separate"/>
      </w:r>
      <w:r w:rsidR="00D5167B">
        <w:t>[99]</w:t>
      </w:r>
      <w:r w:rsidR="007511FA">
        <w:fldChar w:fldCharType="end"/>
      </w:r>
      <w:r w:rsidR="00C67546">
        <w:t xml:space="preserve"> </w:t>
      </w:r>
      <w:r w:rsidR="00355EDD">
        <w:t xml:space="preserve"> have been fabricated for </w:t>
      </w:r>
      <w:r>
        <w:t>future ejection tests.  During these tests the reset flux, rate network output voltage, and control rod position are being monitored and recorded via a high speed multichannel data recorder.</w:t>
      </w:r>
    </w:p>
    <w:p w:rsidR="00823ACF" w:rsidRDefault="00823ACF" w:rsidP="00823ACF">
      <w:r>
        <w:t xml:space="preserve">Similar experiments involving the ejection of cadmium shielded rabbits of lesser worth </w:t>
      </w:r>
      <w:r w:rsidRPr="005B71EA">
        <w:t xml:space="preserve">(ρ </w:t>
      </w:r>
      <w:r>
        <w:t>≤</w:t>
      </w:r>
      <w:r w:rsidRPr="005B71EA">
        <w:t xml:space="preserve"> </w:t>
      </w:r>
      <w:r>
        <w:t>6</w:t>
      </w:r>
      <w:r w:rsidRPr="005B71EA">
        <w:t xml:space="preserve">¢) </w:t>
      </w:r>
      <w:r>
        <w:t>at low power and BOC conditions were performed over 40 years ago in 1967</w:t>
      </w:r>
      <w:r w:rsidR="006B5D42">
        <w:t xml:space="preserve"> </w:t>
      </w:r>
      <w:r w:rsidR="007511FA">
        <w:fldChar w:fldCharType="begin"/>
      </w:r>
      <w:r w:rsidR="006B5D42">
        <w:instrText xml:space="preserve"> REF _Ref285638299 \n \h </w:instrText>
      </w:r>
      <w:r w:rsidR="007511FA">
        <w:fldChar w:fldCharType="separate"/>
      </w:r>
      <w:r w:rsidR="00D5167B">
        <w:t>[100]</w:t>
      </w:r>
      <w:r w:rsidR="007511FA">
        <w:fldChar w:fldCharType="end"/>
      </w:r>
      <w:r>
        <w:t>.  Although the results are insightful, no attempt was made to check the reproducibility of the results and the data cannot be reliably extrapolated to predict the response to rabbits of higher worth at full power and at BOC or end-of-cycle (EOC) conditions.  Thus, new experiments are being conducted at a range of power levels at both BOC and EOC in order to obtain more precise and reproducible results, which are being and will be used to develop and validate new kinetics methodologies and to define worth and axial position limits on the rabbits being ejected.</w:t>
      </w:r>
    </w:p>
    <w:p w:rsidR="00823ACF" w:rsidRDefault="00823ACF" w:rsidP="00823ACF">
      <w:r>
        <w:lastRenderedPageBreak/>
        <w:t>Currently, point-kinetics are being implemented in PARET</w:t>
      </w:r>
      <w:r w:rsidR="006B5D42">
        <w:t xml:space="preserve"> </w:t>
      </w:r>
      <w:r w:rsidR="007511FA">
        <w:fldChar w:fldCharType="begin"/>
      </w:r>
      <w:r w:rsidR="006B5D42">
        <w:instrText xml:space="preserve"> REF _Ref285636759 \n \h </w:instrText>
      </w:r>
      <w:r w:rsidR="007511FA">
        <w:fldChar w:fldCharType="separate"/>
      </w:r>
      <w:r w:rsidR="00D5167B">
        <w:t>[63]</w:t>
      </w:r>
      <w:r w:rsidR="007511FA">
        <w:fldChar w:fldCharType="end"/>
      </w:r>
      <w:r>
        <w:t xml:space="preserve"> and COMSOL</w:t>
      </w:r>
      <w:r w:rsidR="006B5D42">
        <w:t xml:space="preserve"> </w:t>
      </w:r>
      <w:r w:rsidR="007511FA">
        <w:fldChar w:fldCharType="begin"/>
      </w:r>
      <w:r w:rsidR="006B5D42">
        <w:instrText xml:space="preserve"> REF _Ref285636781 \n \h </w:instrText>
      </w:r>
      <w:r w:rsidR="007511FA">
        <w:fldChar w:fldCharType="separate"/>
      </w:r>
      <w:r w:rsidR="00D5167B">
        <w:t>[64]</w:t>
      </w:r>
      <w:r w:rsidR="007511FA">
        <w:fldChar w:fldCharType="end"/>
      </w:r>
      <w:r>
        <w:t xml:space="preserve"> to predict HFIR’s response to the reactivity-induced transients caused by ejecting “black” rabbits.  Under the point-kinetics assumption, the properties of the reactor are rapidly changed uniformly throughout the entire system when reactivity is introduced by ejecting a “black” rabbit.  However, in actuality, these transients are induced by spatially-dependent reactivity insertions because the rabbit is ejected from the core axial midplane and moves upward and away from the core.  Consequently, a time- and spatially-dependent reactor kinetics model is being developed to study the spatial effects caused by reactivity-induced transients.</w:t>
      </w:r>
    </w:p>
    <w:p w:rsidR="00506AA8" w:rsidRDefault="00506AA8" w:rsidP="00823ACF"/>
    <w:p w:rsidR="00506AA8" w:rsidRDefault="00506AA8" w:rsidP="00AA149C">
      <w:pPr>
        <w:pStyle w:val="Heading2"/>
      </w:pPr>
      <w:bookmarkStart w:id="295" w:name="_Toc295818155"/>
      <w:r>
        <w:t>Development of ODEs</w:t>
      </w:r>
      <w:bookmarkEnd w:id="295"/>
    </w:p>
    <w:p w:rsidR="00506AA8" w:rsidRDefault="00506AA8" w:rsidP="00506AA8">
      <w:r>
        <w:t xml:space="preserve">Time-dependent </w:t>
      </w:r>
      <w:r w:rsidR="00050B54">
        <w:t>point-kin</w:t>
      </w:r>
      <w:r>
        <w:t>etics and six delayed neutron precursor groups were used to study the transient that occurred when the cadmium rabbit was ejected from the hydraulic tube position number 5</w:t>
      </w:r>
      <w:r w:rsidR="00355EDD">
        <w:t xml:space="preserve"> (axial centerline of core)</w:t>
      </w:r>
      <w:r>
        <w:t>.  The kinetics equations are defined in</w:t>
      </w:r>
      <w:r w:rsidR="000C5E2C">
        <w:t xml:space="preserve"> </w:t>
      </w:r>
      <w:r w:rsidR="007511FA">
        <w:fldChar w:fldCharType="begin"/>
      </w:r>
      <w:r w:rsidR="000C5E2C">
        <w:instrText xml:space="preserve"> REF _Ref285538438 \h </w:instrText>
      </w:r>
      <w:r w:rsidR="007511FA">
        <w:fldChar w:fldCharType="separate"/>
      </w:r>
      <w:r w:rsidR="00D5167B">
        <w:t xml:space="preserve">Equation </w:t>
      </w:r>
      <w:r w:rsidR="00D5167B">
        <w:rPr>
          <w:noProof/>
        </w:rPr>
        <w:t>8</w:t>
      </w:r>
      <w:r w:rsidR="00D5167B">
        <w:t>.</w:t>
      </w:r>
      <w:r w:rsidR="00D5167B">
        <w:rPr>
          <w:noProof/>
        </w:rPr>
        <w:t>1</w:t>
      </w:r>
      <w:r w:rsidR="007511FA">
        <w:fldChar w:fldCharType="end"/>
      </w:r>
      <w:r w:rsidR="000C5E2C">
        <w:t xml:space="preserve"> and </w:t>
      </w:r>
      <w:r w:rsidR="007511FA">
        <w:fldChar w:fldCharType="begin"/>
      </w:r>
      <w:r w:rsidR="000C5E2C">
        <w:instrText xml:space="preserve"> REF _Ref285538443 \h </w:instrText>
      </w:r>
      <w:r w:rsidR="007511FA">
        <w:fldChar w:fldCharType="separate"/>
      </w:r>
      <w:r w:rsidR="00D5167B">
        <w:t xml:space="preserve">Equation </w:t>
      </w:r>
      <w:r w:rsidR="00D5167B">
        <w:rPr>
          <w:noProof/>
        </w:rPr>
        <w:t>8</w:t>
      </w:r>
      <w:r w:rsidR="00D5167B">
        <w:t>.</w:t>
      </w:r>
      <w:r w:rsidR="00D5167B">
        <w:rPr>
          <w:noProof/>
        </w:rPr>
        <w:t>2</w:t>
      </w:r>
      <w:r w:rsidR="007511FA">
        <w:fldChar w:fldCharType="end"/>
      </w:r>
      <w:r>
        <w:t>.</w:t>
      </w:r>
    </w:p>
    <w:p w:rsidR="00355EDD" w:rsidRDefault="00355EDD" w:rsidP="00506AA8"/>
    <w:p w:rsidR="00506AA8" w:rsidRDefault="007511FA" w:rsidP="000C5E2C">
      <w:pPr>
        <w:spacing w:line="240" w:lineRule="auto"/>
        <w:ind w:firstLine="0"/>
        <w:rPr>
          <w:rFonts w:eastAsiaTheme="minorEastAsia"/>
        </w:rPr>
      </w:pPr>
      <m:oMathPara>
        <m:oMath>
          <m:f>
            <m:fPr>
              <m:ctrlPr>
                <w:rPr>
                  <w:rFonts w:ascii="Cambria Math" w:hAnsi="Cambria Math"/>
                  <w:i/>
                </w:rPr>
              </m:ctrlPr>
            </m:fPr>
            <m:num>
              <m:r>
                <w:rPr>
                  <w:rFonts w:ascii="Cambria Math" w:hAnsi="Cambria Math"/>
                </w:rPr>
                <m:t>dP(t)</m:t>
              </m:r>
            </m:num>
            <m:den>
              <m:r>
                <w:rPr>
                  <w:rFonts w:ascii="Cambria Math" w:hAnsi="Cambria Math"/>
                </w:rPr>
                <m:t>dt</m:t>
              </m:r>
            </m:den>
          </m:f>
          <m:r>
            <w:rPr>
              <w:rFonts w:ascii="Cambria Math" w:hAnsi="Cambria Math"/>
            </w:rPr>
            <m:t>=</m:t>
          </m:r>
          <m:r>
            <w:rPr>
              <w:rFonts w:ascii="Cambria Math" w:eastAsiaTheme="minorEastAsia" w:hAnsi="Cambria Math"/>
            </w:rPr>
            <m:t>P</m:t>
          </m:r>
          <m:d>
            <m:dPr>
              <m:ctrlPr>
                <w:rPr>
                  <w:rFonts w:ascii="Cambria Math" w:eastAsiaTheme="minorEastAsia" w:hAnsi="Cambria Math"/>
                  <w:i/>
                </w:rPr>
              </m:ctrlPr>
            </m:dPr>
            <m:e>
              <m:r>
                <w:rPr>
                  <w:rFonts w:ascii="Cambria Math" w:eastAsiaTheme="minorEastAsia" w:hAnsi="Cambria Math"/>
                </w:rPr>
                <m:t>t</m:t>
              </m:r>
            </m:e>
          </m:d>
          <m:d>
            <m:dPr>
              <m:begChr m:val="["/>
              <m:endChr m:val="]"/>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ρ</m:t>
                  </m:r>
                  <m:d>
                    <m:dPr>
                      <m:ctrlPr>
                        <w:rPr>
                          <w:rFonts w:ascii="Cambria Math" w:eastAsiaTheme="minorEastAsia" w:hAnsi="Cambria Math"/>
                          <w:i/>
                        </w:rPr>
                      </m:ctrlPr>
                    </m:dPr>
                    <m:e>
                      <m:r>
                        <w:rPr>
                          <w:rFonts w:ascii="Cambria Math" w:eastAsiaTheme="minorEastAsia" w:hAnsi="Cambria Math"/>
                        </w:rPr>
                        <m:t>t</m:t>
                      </m:r>
                    </m:e>
                  </m:d>
                  <m:r>
                    <w:rPr>
                      <w:rFonts w:ascii="Cambria Math" w:eastAsiaTheme="minorEastAsia" w:hAnsi="Cambria Math"/>
                    </w:rPr>
                    <m:t>-β</m:t>
                  </m:r>
                </m:num>
                <m:den>
                  <m:r>
                    <m:rPr>
                      <m:sty m:val="p"/>
                    </m:rPr>
                    <w:rPr>
                      <w:rFonts w:ascii="Cambria Math" w:eastAsiaTheme="minorEastAsia" w:hAnsi="Cambria Math"/>
                    </w:rPr>
                    <m:t>Λ</m:t>
                  </m:r>
                </m:den>
              </m:f>
            </m:e>
          </m:d>
          <m:r>
            <w:rPr>
              <w:rFonts w:ascii="Cambria Math" w:eastAsiaTheme="minorEastAsia" w:hAnsi="Cambria Math"/>
            </w:rPr>
            <m:t>+</m:t>
          </m:r>
          <m:nary>
            <m:naryPr>
              <m:chr m:val="∑"/>
              <m:limLoc m:val="subSup"/>
              <m:ctrlPr>
                <w:rPr>
                  <w:rFonts w:ascii="Cambria Math" w:eastAsiaTheme="minorEastAsia" w:hAnsi="Cambria Math"/>
                  <w:i/>
                </w:rPr>
              </m:ctrlPr>
            </m:naryPr>
            <m:sub>
              <m:r>
                <w:rPr>
                  <w:rFonts w:ascii="Cambria Math" w:eastAsiaTheme="minorEastAsia" w:hAnsi="Cambria Math"/>
                </w:rPr>
                <m:t>i=1</m:t>
              </m:r>
            </m:sub>
            <m:sup>
              <m:r>
                <w:rPr>
                  <w:rFonts w:ascii="Cambria Math" w:eastAsiaTheme="minorEastAsia" w:hAnsi="Cambria Math"/>
                </w:rPr>
                <m:t>6</m:t>
              </m:r>
            </m:sup>
            <m:e>
              <m:sSub>
                <m:sSubPr>
                  <m:ctrlPr>
                    <w:rPr>
                      <w:rFonts w:ascii="Cambria Math" w:eastAsiaTheme="minorEastAsia" w:hAnsi="Cambria Math"/>
                      <w:i/>
                    </w:rPr>
                  </m:ctrlPr>
                </m:sSubPr>
                <m:e>
                  <m:r>
                    <w:rPr>
                      <w:rFonts w:ascii="Cambria Math" w:eastAsiaTheme="minorEastAsia" w:hAnsi="Cambria Math"/>
                    </w:rPr>
                    <m:t>λ</m:t>
                  </m:r>
                </m:e>
                <m:sub>
                  <m:r>
                    <w:rPr>
                      <w:rFonts w:ascii="Cambria Math" w:eastAsiaTheme="minorEastAsia" w:hAnsi="Cambria Math"/>
                    </w:rPr>
                    <m:t>i</m:t>
                  </m:r>
                </m:sub>
              </m:sSub>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i</m:t>
                  </m:r>
                </m:sub>
              </m:sSub>
              <m:d>
                <m:dPr>
                  <m:ctrlPr>
                    <w:rPr>
                      <w:rFonts w:ascii="Cambria Math" w:eastAsiaTheme="minorEastAsia" w:hAnsi="Cambria Math"/>
                      <w:i/>
                    </w:rPr>
                  </m:ctrlPr>
                </m:dPr>
                <m:e>
                  <m:r>
                    <w:rPr>
                      <w:rFonts w:ascii="Cambria Math" w:eastAsiaTheme="minorEastAsia" w:hAnsi="Cambria Math"/>
                    </w:rPr>
                    <m:t>t</m:t>
                  </m:r>
                </m:e>
              </m:d>
            </m:e>
          </m:nary>
        </m:oMath>
      </m:oMathPara>
    </w:p>
    <w:p w:rsidR="000C5E2C" w:rsidRDefault="000C5E2C" w:rsidP="000C5E2C">
      <w:pPr>
        <w:pStyle w:val="Caption"/>
      </w:pPr>
      <w:bookmarkStart w:id="296" w:name="_Ref285538438"/>
      <w:proofErr w:type="gramStart"/>
      <w:r>
        <w:t xml:space="preserve">Equation </w:t>
      </w:r>
      <w:r w:rsidR="007511FA">
        <w:fldChar w:fldCharType="begin"/>
      </w:r>
      <w:r w:rsidR="00AE17F8">
        <w:instrText xml:space="preserve"> STYLEREF 1 \s </w:instrText>
      </w:r>
      <w:r w:rsidR="007511FA">
        <w:fldChar w:fldCharType="separate"/>
      </w:r>
      <w:r w:rsidR="00D5167B">
        <w:rPr>
          <w:noProof/>
        </w:rPr>
        <w:t>8</w:t>
      </w:r>
      <w:r w:rsidR="007511FA">
        <w:fldChar w:fldCharType="end"/>
      </w:r>
      <w:r w:rsidR="00220B7D">
        <w:t>.</w:t>
      </w:r>
      <w:proofErr w:type="gramEnd"/>
      <w:r w:rsidR="007511FA">
        <w:fldChar w:fldCharType="begin"/>
      </w:r>
      <w:r w:rsidR="00220B7D">
        <w:instrText xml:space="preserve"> SEQ Equation \* ARABIC \s 1 </w:instrText>
      </w:r>
      <w:r w:rsidR="007511FA">
        <w:fldChar w:fldCharType="separate"/>
      </w:r>
      <w:r w:rsidR="00D5167B">
        <w:rPr>
          <w:noProof/>
        </w:rPr>
        <w:t>1</w:t>
      </w:r>
      <w:r w:rsidR="007511FA">
        <w:fldChar w:fldCharType="end"/>
      </w:r>
      <w:bookmarkEnd w:id="296"/>
    </w:p>
    <w:p w:rsidR="000C5E2C" w:rsidRPr="000C5E2C" w:rsidRDefault="000C5E2C" w:rsidP="000C5E2C"/>
    <w:p w:rsidR="00506AA8" w:rsidRDefault="007511FA" w:rsidP="000C5E2C">
      <w:pPr>
        <w:spacing w:line="240" w:lineRule="auto"/>
        <w:ind w:firstLine="0"/>
        <w:rPr>
          <w:rFonts w:eastAsiaTheme="minorEastAsia"/>
        </w:rPr>
      </w:pPr>
      <m:oMathPara>
        <m:oMath>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(t)</m:t>
              </m:r>
            </m:num>
            <m:den>
              <m:r>
                <w:rPr>
                  <w:rFonts w:ascii="Cambria Math" w:hAnsi="Cambria Math"/>
                </w:rPr>
                <m:t>dt</m:t>
              </m:r>
            </m:den>
          </m:f>
          <m:r>
            <w:rPr>
              <w:rFonts w:ascii="Cambria Math" w:hAnsi="Cambria Math"/>
            </w:rPr>
            <m:t>=</m:t>
          </m:r>
          <m:r>
            <w:rPr>
              <w:rFonts w:ascii="Cambria Math" w:eastAsiaTheme="minorEastAsia" w:hAnsi="Cambria Math"/>
            </w:rPr>
            <m:t>P</m:t>
          </m:r>
          <m:d>
            <m:dPr>
              <m:ctrlPr>
                <w:rPr>
                  <w:rFonts w:ascii="Cambria Math" w:eastAsiaTheme="minorEastAsia" w:hAnsi="Cambria Math"/>
                  <w:i/>
                </w:rPr>
              </m:ctrlPr>
            </m:dPr>
            <m:e>
              <m:r>
                <w:rPr>
                  <w:rFonts w:ascii="Cambria Math" w:eastAsiaTheme="minorEastAsia" w:hAnsi="Cambria Math"/>
                </w:rPr>
                <m:t>t</m:t>
              </m:r>
            </m:e>
          </m:d>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β</m:t>
                      </m:r>
                    </m:e>
                    <m:sub>
                      <m:r>
                        <w:rPr>
                          <w:rFonts w:ascii="Cambria Math" w:hAnsi="Cambria Math"/>
                        </w:rPr>
                        <m:t>i</m:t>
                      </m:r>
                    </m:sub>
                  </m:sSub>
                </m:num>
                <m:den>
                  <m:r>
                    <m:rPr>
                      <m:sty m:val="p"/>
                    </m:rPr>
                    <w:rPr>
                      <w:rFonts w:ascii="Cambria Math" w:hAnsi="Cambria Math"/>
                    </w:rPr>
                    <m:t>Λ</m:t>
                  </m:r>
                </m:den>
              </m:f>
            </m:e>
          </m:d>
          <m:r>
            <w:rPr>
              <w:rFonts w:ascii="Cambria Math" w:hAnsi="Cambria Math"/>
            </w:rPr>
            <m:t>+</m:t>
          </m:r>
          <m:sSub>
            <m:sSubPr>
              <m:ctrlPr>
                <w:rPr>
                  <w:rFonts w:ascii="Cambria Math" w:eastAsiaTheme="minorEastAsia" w:hAnsi="Cambria Math"/>
                  <w:i/>
                </w:rPr>
              </m:ctrlPr>
            </m:sSubPr>
            <m:e>
              <m:r>
                <w:rPr>
                  <w:rFonts w:ascii="Cambria Math" w:eastAsiaTheme="minorEastAsia" w:hAnsi="Cambria Math"/>
                </w:rPr>
                <m:t>λ</m:t>
              </m:r>
            </m:e>
            <m:sub>
              <m:r>
                <w:rPr>
                  <w:rFonts w:ascii="Cambria Math" w:eastAsiaTheme="minorEastAsia" w:hAnsi="Cambria Math"/>
                </w:rPr>
                <m:t>i</m:t>
              </m:r>
            </m:sub>
          </m:sSub>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i</m:t>
              </m:r>
            </m:sub>
          </m:sSub>
          <m:d>
            <m:dPr>
              <m:ctrlPr>
                <w:rPr>
                  <w:rFonts w:ascii="Cambria Math" w:eastAsiaTheme="minorEastAsia" w:hAnsi="Cambria Math"/>
                  <w:i/>
                </w:rPr>
              </m:ctrlPr>
            </m:dPr>
            <m:e>
              <m:r>
                <w:rPr>
                  <w:rFonts w:ascii="Cambria Math" w:eastAsiaTheme="minorEastAsia" w:hAnsi="Cambria Math"/>
                </w:rPr>
                <m:t>t</m:t>
              </m:r>
            </m:e>
          </m:d>
        </m:oMath>
      </m:oMathPara>
    </w:p>
    <w:p w:rsidR="000C5E2C" w:rsidRDefault="000C5E2C" w:rsidP="000C5E2C">
      <w:pPr>
        <w:pStyle w:val="Caption"/>
        <w:rPr>
          <w:rFonts w:eastAsiaTheme="minorEastAsia"/>
        </w:rPr>
      </w:pPr>
      <w:bookmarkStart w:id="297" w:name="_Ref285538443"/>
      <w:proofErr w:type="gramStart"/>
      <w:r>
        <w:t xml:space="preserve">Equation </w:t>
      </w:r>
      <w:r w:rsidR="007511FA">
        <w:fldChar w:fldCharType="begin"/>
      </w:r>
      <w:r w:rsidR="00AE17F8">
        <w:instrText xml:space="preserve"> STYLEREF 1 \s </w:instrText>
      </w:r>
      <w:r w:rsidR="007511FA">
        <w:fldChar w:fldCharType="separate"/>
      </w:r>
      <w:r w:rsidR="00D5167B">
        <w:rPr>
          <w:noProof/>
        </w:rPr>
        <w:t>8</w:t>
      </w:r>
      <w:r w:rsidR="007511FA">
        <w:fldChar w:fldCharType="end"/>
      </w:r>
      <w:r w:rsidR="00220B7D">
        <w:t>.</w:t>
      </w:r>
      <w:proofErr w:type="gramEnd"/>
      <w:r w:rsidR="007511FA">
        <w:fldChar w:fldCharType="begin"/>
      </w:r>
      <w:r w:rsidR="00220B7D">
        <w:instrText xml:space="preserve"> SEQ Equation \* ARABIC \s 1 </w:instrText>
      </w:r>
      <w:r w:rsidR="007511FA">
        <w:fldChar w:fldCharType="separate"/>
      </w:r>
      <w:r w:rsidR="00D5167B">
        <w:rPr>
          <w:noProof/>
        </w:rPr>
        <w:t>2</w:t>
      </w:r>
      <w:r w:rsidR="007511FA">
        <w:fldChar w:fldCharType="end"/>
      </w:r>
      <w:bookmarkEnd w:id="297"/>
    </w:p>
    <w:p w:rsidR="00355EDD" w:rsidRDefault="00355EDD" w:rsidP="00506AA8">
      <w:pPr>
        <w:ind w:firstLine="0"/>
        <w:rPr>
          <w:rFonts w:eastAsiaTheme="minorEastAsia"/>
        </w:rPr>
      </w:pPr>
    </w:p>
    <w:p w:rsidR="00506AA8" w:rsidRDefault="005E73E4" w:rsidP="005E73E4">
      <w:pPr>
        <w:tabs>
          <w:tab w:val="left" w:pos="1440"/>
        </w:tabs>
        <w:ind w:left="1440" w:hanging="1440"/>
        <w:rPr>
          <w:rFonts w:eastAsiaTheme="minorEastAsia"/>
        </w:rPr>
      </w:pPr>
      <w:r>
        <w:rPr>
          <w:rFonts w:eastAsiaTheme="minorEastAsia"/>
        </w:rPr>
        <w:t>Where:</w:t>
      </w:r>
      <w:r>
        <w:rPr>
          <w:rFonts w:eastAsiaTheme="minorEastAsia"/>
        </w:rPr>
        <w:tab/>
      </w:r>
      <w:r w:rsidR="00506AA8">
        <w:rPr>
          <w:rFonts w:eastAsiaTheme="minorEastAsia"/>
        </w:rPr>
        <w:t>P = power</w:t>
      </w:r>
    </w:p>
    <w:p w:rsidR="00506AA8" w:rsidRDefault="005E73E4" w:rsidP="005E73E4">
      <w:pPr>
        <w:tabs>
          <w:tab w:val="left" w:pos="1440"/>
        </w:tabs>
        <w:ind w:left="1440" w:hanging="1440"/>
        <w:rPr>
          <w:rFonts w:eastAsiaTheme="minorEastAsia"/>
        </w:rPr>
      </w:pPr>
      <w:r>
        <w:rPr>
          <w:rFonts w:eastAsiaTheme="minorEastAsia"/>
        </w:rPr>
        <w:tab/>
      </w:r>
      <w:r w:rsidR="00506AA8">
        <w:rPr>
          <w:rFonts w:eastAsiaTheme="minorEastAsia" w:cstheme="minorHAnsi"/>
        </w:rPr>
        <w:t>ρ</w:t>
      </w:r>
      <w:r w:rsidR="00506AA8">
        <w:rPr>
          <w:rFonts w:eastAsiaTheme="minorEastAsia"/>
        </w:rPr>
        <w:t xml:space="preserve"> = reactivity = </w:t>
      </w:r>
      <m:oMath>
        <m:f>
          <m:fPr>
            <m:ctrlPr>
              <w:rPr>
                <w:rFonts w:ascii="Cambria Math" w:eastAsiaTheme="minorEastAsia" w:hAnsi="Cambria Math"/>
                <w:i/>
              </w:rPr>
            </m:ctrlPr>
          </m:fPr>
          <m:num>
            <m:r>
              <w:rPr>
                <w:rFonts w:ascii="Cambria Math" w:eastAsiaTheme="minorEastAsia" w:hAnsi="Cambria Math"/>
              </w:rPr>
              <m:t>k</m:t>
            </m:r>
            <m:d>
              <m:dPr>
                <m:ctrlPr>
                  <w:rPr>
                    <w:rFonts w:ascii="Cambria Math" w:eastAsiaTheme="minorEastAsia" w:hAnsi="Cambria Math"/>
                    <w:i/>
                  </w:rPr>
                </m:ctrlPr>
              </m:dPr>
              <m:e>
                <m:r>
                  <w:rPr>
                    <w:rFonts w:ascii="Cambria Math" w:eastAsiaTheme="minorEastAsia" w:hAnsi="Cambria Math"/>
                  </w:rPr>
                  <m:t>t</m:t>
                </m:r>
              </m:e>
            </m:d>
            <m:r>
              <w:rPr>
                <w:rFonts w:ascii="Cambria Math" w:eastAsiaTheme="minorEastAsia" w:hAnsi="Cambria Math"/>
              </w:rPr>
              <m:t>-1</m:t>
            </m:r>
          </m:num>
          <m:den>
            <m:r>
              <w:rPr>
                <w:rFonts w:ascii="Cambria Math" w:eastAsiaTheme="minorEastAsia" w:hAnsi="Cambria Math"/>
              </w:rPr>
              <m:t>k</m:t>
            </m:r>
            <m:d>
              <m:dPr>
                <m:ctrlPr>
                  <w:rPr>
                    <w:rFonts w:ascii="Cambria Math" w:eastAsiaTheme="minorEastAsia" w:hAnsi="Cambria Math"/>
                    <w:i/>
                  </w:rPr>
                </m:ctrlPr>
              </m:dPr>
              <m:e>
                <m:r>
                  <w:rPr>
                    <w:rFonts w:ascii="Cambria Math" w:eastAsiaTheme="minorEastAsia" w:hAnsi="Cambria Math"/>
                  </w:rPr>
                  <m:t>t</m:t>
                </m:r>
              </m:e>
            </m:d>
          </m:den>
        </m:f>
      </m:oMath>
    </w:p>
    <w:p w:rsidR="00506AA8" w:rsidRDefault="005E73E4" w:rsidP="005E73E4">
      <w:pPr>
        <w:tabs>
          <w:tab w:val="left" w:pos="1440"/>
        </w:tabs>
        <w:ind w:left="1440" w:hanging="1440"/>
        <w:rPr>
          <w:rFonts w:eastAsiaTheme="minorEastAsia"/>
        </w:rPr>
      </w:pPr>
      <w:r>
        <w:rPr>
          <w:rFonts w:eastAsiaTheme="minorEastAsia"/>
        </w:rPr>
        <w:lastRenderedPageBreak/>
        <w:tab/>
      </w:r>
      <w:r w:rsidR="00506AA8">
        <w:rPr>
          <w:rFonts w:eastAsiaTheme="minorEastAsia" w:cstheme="minorHAnsi"/>
        </w:rPr>
        <w:t>β</w:t>
      </w:r>
      <w:r w:rsidR="00506AA8">
        <w:rPr>
          <w:rFonts w:eastAsiaTheme="minorEastAsia"/>
        </w:rPr>
        <w:t xml:space="preserve"> = effective delayed neutron fraction</w:t>
      </w:r>
    </w:p>
    <w:p w:rsidR="00506AA8" w:rsidRDefault="005E73E4" w:rsidP="005E73E4">
      <w:pPr>
        <w:tabs>
          <w:tab w:val="left" w:pos="1440"/>
        </w:tabs>
        <w:ind w:left="1440" w:hanging="1440"/>
        <w:rPr>
          <w:rFonts w:eastAsiaTheme="minorEastAsia"/>
        </w:rPr>
      </w:pPr>
      <w:r>
        <w:rPr>
          <w:rFonts w:eastAsiaTheme="minorEastAsia" w:cstheme="minorHAnsi"/>
        </w:rPr>
        <w:tab/>
      </w:r>
      <w:proofErr w:type="spellStart"/>
      <w:proofErr w:type="gramStart"/>
      <w:r w:rsidR="00506AA8">
        <w:rPr>
          <w:rFonts w:eastAsiaTheme="minorEastAsia" w:cstheme="minorHAnsi"/>
        </w:rPr>
        <w:t>β</w:t>
      </w:r>
      <w:r w:rsidR="00506AA8">
        <w:rPr>
          <w:rFonts w:eastAsiaTheme="minorEastAsia" w:cstheme="minorHAnsi"/>
          <w:vertAlign w:val="subscript"/>
        </w:rPr>
        <w:t>i</w:t>
      </w:r>
      <w:proofErr w:type="spellEnd"/>
      <w:proofErr w:type="gramEnd"/>
      <w:r w:rsidR="00506AA8">
        <w:rPr>
          <w:rFonts w:eastAsiaTheme="minorEastAsia"/>
        </w:rPr>
        <w:t xml:space="preserve"> = delayed neutron fraction for group </w:t>
      </w:r>
      <w:proofErr w:type="spellStart"/>
      <w:r w:rsidR="00506AA8">
        <w:rPr>
          <w:rFonts w:eastAsiaTheme="minorEastAsia"/>
        </w:rPr>
        <w:t>i</w:t>
      </w:r>
      <w:proofErr w:type="spellEnd"/>
    </w:p>
    <w:p w:rsidR="00506AA8" w:rsidRDefault="005E73E4" w:rsidP="005E73E4">
      <w:pPr>
        <w:tabs>
          <w:tab w:val="left" w:pos="1440"/>
        </w:tabs>
        <w:ind w:left="1440" w:hanging="1440"/>
        <w:rPr>
          <w:rFonts w:eastAsiaTheme="minorEastAsia"/>
        </w:rPr>
      </w:pPr>
      <w:r>
        <w:rPr>
          <w:rFonts w:eastAsiaTheme="minorEastAsia" w:cstheme="minorHAnsi"/>
        </w:rPr>
        <w:tab/>
      </w:r>
      <w:r w:rsidR="00506AA8">
        <w:rPr>
          <w:rFonts w:eastAsiaTheme="minorEastAsia" w:cstheme="minorHAnsi"/>
        </w:rPr>
        <w:t>Λ</w:t>
      </w:r>
      <w:r w:rsidR="00506AA8">
        <w:rPr>
          <w:rFonts w:eastAsiaTheme="minorEastAsia"/>
        </w:rPr>
        <w:t xml:space="preserve"> = mean generation time between birth of a fission neutron and the subsequent absorption leading to another fission</w:t>
      </w:r>
    </w:p>
    <w:p w:rsidR="00506AA8" w:rsidRDefault="00506AA8" w:rsidP="00506AA8">
      <w:pPr>
        <w:ind w:firstLine="0"/>
        <w:rPr>
          <w:rFonts w:eastAsiaTheme="minorEastAsia"/>
        </w:rPr>
      </w:pPr>
      <w:r>
        <w:rPr>
          <w:rFonts w:eastAsiaTheme="minorEastAsia"/>
        </w:rPr>
        <w:tab/>
      </w:r>
      <w:r>
        <w:rPr>
          <w:rFonts w:eastAsiaTheme="minorEastAsia"/>
        </w:rPr>
        <w:tab/>
      </w:r>
      <w:proofErr w:type="spellStart"/>
      <w:proofErr w:type="gramStart"/>
      <w:r>
        <w:rPr>
          <w:rFonts w:eastAsiaTheme="minorEastAsia" w:cstheme="minorHAnsi"/>
        </w:rPr>
        <w:t>λ</w:t>
      </w:r>
      <w:r>
        <w:rPr>
          <w:rFonts w:eastAsiaTheme="minorEastAsia"/>
          <w:vertAlign w:val="subscript"/>
        </w:rPr>
        <w:t>i</w:t>
      </w:r>
      <w:proofErr w:type="spellEnd"/>
      <w:proofErr w:type="gramEnd"/>
      <w:r>
        <w:rPr>
          <w:rFonts w:eastAsiaTheme="minorEastAsia"/>
        </w:rPr>
        <w:t xml:space="preserve"> = decay constant for group </w:t>
      </w:r>
      <w:proofErr w:type="spellStart"/>
      <w:r>
        <w:rPr>
          <w:rFonts w:eastAsiaTheme="minorEastAsia"/>
        </w:rPr>
        <w:t>i</w:t>
      </w:r>
      <w:proofErr w:type="spellEnd"/>
    </w:p>
    <w:p w:rsidR="00506AA8" w:rsidRDefault="00506AA8" w:rsidP="00506AA8">
      <w:pPr>
        <w:ind w:firstLine="0"/>
        <w:rPr>
          <w:rFonts w:eastAsiaTheme="minorEastAsia"/>
        </w:rPr>
      </w:pPr>
      <w:r>
        <w:rPr>
          <w:rFonts w:eastAsiaTheme="minorEastAsia"/>
        </w:rPr>
        <w:tab/>
      </w:r>
      <w:r>
        <w:rPr>
          <w:rFonts w:eastAsiaTheme="minorEastAsia"/>
        </w:rPr>
        <w:tab/>
      </w:r>
      <w:proofErr w:type="spellStart"/>
      <w:r>
        <w:rPr>
          <w:rFonts w:eastAsiaTheme="minorEastAsia"/>
        </w:rPr>
        <w:t>C</w:t>
      </w:r>
      <w:r>
        <w:rPr>
          <w:rFonts w:eastAsiaTheme="minorEastAsia"/>
          <w:vertAlign w:val="subscript"/>
        </w:rPr>
        <w:t>i</w:t>
      </w:r>
      <w:proofErr w:type="spellEnd"/>
      <w:r>
        <w:rPr>
          <w:rFonts w:eastAsiaTheme="minorEastAsia"/>
        </w:rPr>
        <w:t xml:space="preserve"> = concentration of group </w:t>
      </w:r>
      <w:proofErr w:type="spellStart"/>
      <w:r>
        <w:rPr>
          <w:rFonts w:eastAsiaTheme="minorEastAsia"/>
        </w:rPr>
        <w:t>i</w:t>
      </w:r>
      <w:proofErr w:type="spellEnd"/>
    </w:p>
    <w:p w:rsidR="00355EDD" w:rsidRPr="00AD20C6" w:rsidRDefault="00355EDD" w:rsidP="00506AA8">
      <w:pPr>
        <w:ind w:firstLine="0"/>
        <w:rPr>
          <w:rFonts w:eastAsiaTheme="minorEastAsia"/>
        </w:rPr>
      </w:pPr>
    </w:p>
    <w:p w:rsidR="00506AA8" w:rsidRDefault="00506AA8" w:rsidP="00355EDD">
      <w:pPr>
        <w:rPr>
          <w:rFonts w:eastAsiaTheme="minorEastAsia"/>
        </w:rPr>
      </w:pPr>
      <w:r>
        <w:rPr>
          <w:rFonts w:eastAsiaTheme="minorEastAsia"/>
        </w:rPr>
        <w:t>Reactivity feedback from temperature changes in different regions of the reactor (fuel, moderator, target rod, target region metal, target region water, annulus water, control element metal, and control element water) were taken into account using the generic equations,</w:t>
      </w:r>
      <w:r w:rsidR="000C5E2C">
        <w:rPr>
          <w:rFonts w:eastAsiaTheme="minorEastAsia"/>
        </w:rPr>
        <w:t xml:space="preserve"> </w:t>
      </w:r>
      <w:r w:rsidR="007511FA">
        <w:rPr>
          <w:rFonts w:eastAsiaTheme="minorEastAsia"/>
        </w:rPr>
        <w:fldChar w:fldCharType="begin"/>
      </w:r>
      <w:r w:rsidR="000C5E2C">
        <w:rPr>
          <w:rFonts w:eastAsiaTheme="minorEastAsia"/>
        </w:rPr>
        <w:instrText xml:space="preserve"> REF _Ref285538471 \h </w:instrText>
      </w:r>
      <w:r w:rsidR="007511FA">
        <w:rPr>
          <w:rFonts w:eastAsiaTheme="minorEastAsia"/>
        </w:rPr>
      </w:r>
      <w:r w:rsidR="007511FA">
        <w:rPr>
          <w:rFonts w:eastAsiaTheme="minorEastAsia"/>
        </w:rPr>
        <w:fldChar w:fldCharType="separate"/>
      </w:r>
      <w:r w:rsidR="00D5167B">
        <w:t xml:space="preserve">Equation </w:t>
      </w:r>
      <w:r w:rsidR="00D5167B">
        <w:rPr>
          <w:noProof/>
        </w:rPr>
        <w:t>8</w:t>
      </w:r>
      <w:r w:rsidR="00D5167B">
        <w:t>.</w:t>
      </w:r>
      <w:r w:rsidR="00D5167B">
        <w:rPr>
          <w:noProof/>
        </w:rPr>
        <w:t>3</w:t>
      </w:r>
      <w:r w:rsidR="007511FA">
        <w:rPr>
          <w:rFonts w:eastAsiaTheme="minorEastAsia"/>
        </w:rPr>
        <w:fldChar w:fldCharType="end"/>
      </w:r>
      <w:r w:rsidR="000C5E2C">
        <w:rPr>
          <w:rFonts w:eastAsiaTheme="minorEastAsia"/>
        </w:rPr>
        <w:t xml:space="preserve"> and </w:t>
      </w:r>
      <w:r w:rsidR="007511FA">
        <w:rPr>
          <w:rFonts w:eastAsiaTheme="minorEastAsia"/>
        </w:rPr>
        <w:fldChar w:fldCharType="begin"/>
      </w:r>
      <w:r w:rsidR="000C5E2C">
        <w:rPr>
          <w:rFonts w:eastAsiaTheme="minorEastAsia"/>
        </w:rPr>
        <w:instrText xml:space="preserve"> REF _Ref285538479 \h </w:instrText>
      </w:r>
      <w:r w:rsidR="007511FA">
        <w:rPr>
          <w:rFonts w:eastAsiaTheme="minorEastAsia"/>
        </w:rPr>
      </w:r>
      <w:r w:rsidR="007511FA">
        <w:rPr>
          <w:rFonts w:eastAsiaTheme="minorEastAsia"/>
        </w:rPr>
        <w:fldChar w:fldCharType="separate"/>
      </w:r>
      <w:r w:rsidR="00D5167B">
        <w:t xml:space="preserve">Equation </w:t>
      </w:r>
      <w:r w:rsidR="00D5167B">
        <w:rPr>
          <w:noProof/>
        </w:rPr>
        <w:t>8</w:t>
      </w:r>
      <w:r w:rsidR="00D5167B">
        <w:t>.</w:t>
      </w:r>
      <w:r w:rsidR="00D5167B">
        <w:rPr>
          <w:noProof/>
        </w:rPr>
        <w:t>4</w:t>
      </w:r>
      <w:r w:rsidR="007511FA">
        <w:rPr>
          <w:rFonts w:eastAsiaTheme="minorEastAsia"/>
        </w:rPr>
        <w:fldChar w:fldCharType="end"/>
      </w:r>
      <w:r>
        <w:rPr>
          <w:rFonts w:eastAsiaTheme="minorEastAsia"/>
        </w:rPr>
        <w:t>.</w:t>
      </w:r>
      <w:r w:rsidR="00355EDD">
        <w:rPr>
          <w:rFonts w:eastAsiaTheme="minorEastAsia"/>
        </w:rPr>
        <w:t xml:space="preserve">  Reactivity feedback from fuel region voiding and target region voiding were considered by using the appropriate void reactivity coefficients and thermal expansion coefficients</w:t>
      </w:r>
      <w:r w:rsidR="000C5E2C">
        <w:rPr>
          <w:rFonts w:eastAsiaTheme="minorEastAsia"/>
        </w:rPr>
        <w:t xml:space="preserve"> from</w:t>
      </w:r>
      <w:r w:rsidR="006B5D42">
        <w:rPr>
          <w:rFonts w:eastAsiaTheme="minorEastAsia"/>
        </w:rPr>
        <w:t xml:space="preserve"> </w:t>
      </w:r>
      <w:r w:rsidR="007511FA">
        <w:rPr>
          <w:rFonts w:eastAsiaTheme="minorEastAsia"/>
        </w:rPr>
        <w:fldChar w:fldCharType="begin"/>
      </w:r>
      <w:r w:rsidR="006B5D42">
        <w:rPr>
          <w:rFonts w:eastAsiaTheme="minorEastAsia"/>
        </w:rPr>
        <w:instrText xml:space="preserve"> REF _Ref285636331 \n \h </w:instrText>
      </w:r>
      <w:r w:rsidR="007511FA">
        <w:rPr>
          <w:rFonts w:eastAsiaTheme="minorEastAsia"/>
        </w:rPr>
      </w:r>
      <w:r w:rsidR="007511FA">
        <w:rPr>
          <w:rFonts w:eastAsiaTheme="minorEastAsia"/>
        </w:rPr>
        <w:fldChar w:fldCharType="separate"/>
      </w:r>
      <w:r w:rsidR="00D5167B">
        <w:rPr>
          <w:rFonts w:eastAsiaTheme="minorEastAsia"/>
        </w:rPr>
        <w:t>[27]</w:t>
      </w:r>
      <w:r w:rsidR="007511FA">
        <w:rPr>
          <w:rFonts w:eastAsiaTheme="minorEastAsia"/>
        </w:rPr>
        <w:fldChar w:fldCharType="end"/>
      </w:r>
      <w:r w:rsidR="006B5D42">
        <w:rPr>
          <w:rFonts w:eastAsiaTheme="minorEastAsia"/>
        </w:rPr>
        <w:t xml:space="preserve"> and </w:t>
      </w:r>
      <w:r w:rsidR="007511FA">
        <w:rPr>
          <w:rFonts w:eastAsiaTheme="minorEastAsia"/>
        </w:rPr>
        <w:fldChar w:fldCharType="begin"/>
      </w:r>
      <w:r w:rsidR="006B5D42">
        <w:rPr>
          <w:rFonts w:eastAsiaTheme="minorEastAsia"/>
        </w:rPr>
        <w:instrText xml:space="preserve"> REF _Ref285636356 \n \h </w:instrText>
      </w:r>
      <w:r w:rsidR="007511FA">
        <w:rPr>
          <w:rFonts w:eastAsiaTheme="minorEastAsia"/>
        </w:rPr>
      </w:r>
      <w:r w:rsidR="007511FA">
        <w:rPr>
          <w:rFonts w:eastAsiaTheme="minorEastAsia"/>
        </w:rPr>
        <w:fldChar w:fldCharType="separate"/>
      </w:r>
      <w:r w:rsidR="00D5167B">
        <w:rPr>
          <w:rFonts w:eastAsiaTheme="minorEastAsia"/>
        </w:rPr>
        <w:t>[28]</w:t>
      </w:r>
      <w:r w:rsidR="007511FA">
        <w:rPr>
          <w:rFonts w:eastAsiaTheme="minorEastAsia"/>
        </w:rPr>
        <w:fldChar w:fldCharType="end"/>
      </w:r>
      <w:r w:rsidR="00355EDD">
        <w:rPr>
          <w:rFonts w:eastAsiaTheme="minorEastAsia"/>
        </w:rPr>
        <w:t>.</w:t>
      </w:r>
    </w:p>
    <w:p w:rsidR="00355EDD" w:rsidRDefault="00355EDD" w:rsidP="00506AA8">
      <w:pPr>
        <w:rPr>
          <w:rFonts w:eastAsiaTheme="minorEastAsia"/>
        </w:rPr>
      </w:pPr>
    </w:p>
    <w:p w:rsidR="00506AA8" w:rsidRDefault="007511FA" w:rsidP="000C5E2C">
      <w:pPr>
        <w:spacing w:line="240" w:lineRule="auto"/>
        <w:ind w:firstLine="0"/>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α</m:t>
              </m:r>
            </m:e>
            <m:sub>
              <m:r>
                <w:rPr>
                  <w:rFonts w:ascii="Cambria Math" w:eastAsiaTheme="minorEastAsia" w:hAnsi="Cambria Math"/>
                </w:rPr>
                <m:t>T=</m:t>
              </m:r>
              <m:f>
                <m:fPr>
                  <m:type m:val="skw"/>
                  <m:ctrlPr>
                    <w:rPr>
                      <w:rFonts w:ascii="Cambria Math" w:eastAsiaTheme="minorEastAsia" w:hAnsi="Cambria Math"/>
                      <w:i/>
                    </w:rPr>
                  </m:ctrlPr>
                </m:fPr>
                <m:num>
                  <m:r>
                    <w:rPr>
                      <w:rFonts w:ascii="Cambria Math" w:eastAsiaTheme="minorEastAsia" w:hAnsi="Cambria Math"/>
                    </w:rPr>
                    <m:t>dρ</m:t>
                  </m:r>
                </m:num>
                <m:den>
                  <m:r>
                    <w:rPr>
                      <w:rFonts w:ascii="Cambria Math" w:eastAsiaTheme="minorEastAsia" w:hAnsi="Cambria Math"/>
                    </w:rPr>
                    <m:t>dT</m:t>
                  </m:r>
                </m:den>
              </m:f>
            </m:sub>
          </m:sSub>
        </m:oMath>
      </m:oMathPara>
    </w:p>
    <w:p w:rsidR="000C5E2C" w:rsidRDefault="000C5E2C" w:rsidP="000C5E2C">
      <w:pPr>
        <w:pStyle w:val="Caption"/>
      </w:pPr>
      <w:bookmarkStart w:id="298" w:name="_Ref285538471"/>
      <w:proofErr w:type="gramStart"/>
      <w:r>
        <w:t xml:space="preserve">Equation </w:t>
      </w:r>
      <w:r w:rsidR="007511FA">
        <w:fldChar w:fldCharType="begin"/>
      </w:r>
      <w:r w:rsidR="00AE17F8">
        <w:instrText xml:space="preserve"> STYLEREF 1 \s </w:instrText>
      </w:r>
      <w:r w:rsidR="007511FA">
        <w:fldChar w:fldCharType="separate"/>
      </w:r>
      <w:r w:rsidR="00D5167B">
        <w:rPr>
          <w:noProof/>
        </w:rPr>
        <w:t>8</w:t>
      </w:r>
      <w:r w:rsidR="007511FA">
        <w:fldChar w:fldCharType="end"/>
      </w:r>
      <w:r w:rsidR="00220B7D">
        <w:t>.</w:t>
      </w:r>
      <w:proofErr w:type="gramEnd"/>
      <w:r w:rsidR="007511FA">
        <w:fldChar w:fldCharType="begin"/>
      </w:r>
      <w:r w:rsidR="00220B7D">
        <w:instrText xml:space="preserve"> SEQ Equation \* ARABIC \s 1 </w:instrText>
      </w:r>
      <w:r w:rsidR="007511FA">
        <w:fldChar w:fldCharType="separate"/>
      </w:r>
      <w:r w:rsidR="00D5167B">
        <w:rPr>
          <w:noProof/>
        </w:rPr>
        <w:t>3</w:t>
      </w:r>
      <w:r w:rsidR="007511FA">
        <w:fldChar w:fldCharType="end"/>
      </w:r>
      <w:bookmarkEnd w:id="298"/>
    </w:p>
    <w:p w:rsidR="000C5E2C" w:rsidRPr="000C5E2C" w:rsidRDefault="000C5E2C" w:rsidP="000C5E2C"/>
    <w:p w:rsidR="00506AA8" w:rsidRDefault="007511FA" w:rsidP="000C5E2C">
      <w:pPr>
        <w:spacing w:line="240" w:lineRule="auto"/>
        <w:ind w:firstLine="0"/>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ρ</m:t>
              </m:r>
            </m:e>
            <m:sub>
              <m:r>
                <w:rPr>
                  <w:rFonts w:ascii="Cambria Math" w:eastAsiaTheme="minorEastAsia" w:hAnsi="Cambria Math"/>
                </w:rPr>
                <m:t>T,x</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α</m:t>
              </m:r>
            </m:e>
            <m:sub>
              <m:r>
                <w:rPr>
                  <w:rFonts w:ascii="Cambria Math" w:eastAsiaTheme="minorEastAsia" w:hAnsi="Cambria Math"/>
                </w:rPr>
                <m:t xml:space="preserve">T,x </m:t>
              </m:r>
            </m:sub>
          </m:sSub>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x</m:t>
                  </m:r>
                </m:sub>
              </m:sSub>
              <m:d>
                <m:dPr>
                  <m:ctrlPr>
                    <w:rPr>
                      <w:rFonts w:ascii="Cambria Math" w:eastAsiaTheme="minorEastAsia" w:hAnsi="Cambria Math"/>
                      <w:i/>
                    </w:rPr>
                  </m:ctrlPr>
                </m:dPr>
                <m:e>
                  <m:r>
                    <w:rPr>
                      <w:rFonts w:ascii="Cambria Math" w:eastAsiaTheme="minorEastAsia" w:hAnsi="Cambria Math"/>
                    </w:rPr>
                    <m:t>t</m:t>
                  </m:r>
                </m:e>
              </m:d>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x</m:t>
                  </m:r>
                </m:sub>
              </m:sSub>
              <m:d>
                <m:dPr>
                  <m:ctrlPr>
                    <w:rPr>
                      <w:rFonts w:ascii="Cambria Math" w:eastAsiaTheme="minorEastAsia" w:hAnsi="Cambria Math"/>
                      <w:i/>
                    </w:rPr>
                  </m:ctrlPr>
                </m:dPr>
                <m:e>
                  <m:r>
                    <w:rPr>
                      <w:rFonts w:ascii="Cambria Math" w:eastAsiaTheme="minorEastAsia" w:hAnsi="Cambria Math"/>
                    </w:rPr>
                    <m:t>0</m:t>
                  </m:r>
                </m:e>
              </m:d>
            </m:e>
          </m:d>
        </m:oMath>
      </m:oMathPara>
    </w:p>
    <w:p w:rsidR="000C5E2C" w:rsidRDefault="000C5E2C" w:rsidP="000C5E2C">
      <w:pPr>
        <w:pStyle w:val="Caption"/>
        <w:rPr>
          <w:rFonts w:eastAsiaTheme="minorEastAsia"/>
        </w:rPr>
      </w:pPr>
      <w:bookmarkStart w:id="299" w:name="_Ref285538479"/>
      <w:proofErr w:type="gramStart"/>
      <w:r>
        <w:t xml:space="preserve">Equation </w:t>
      </w:r>
      <w:r w:rsidR="007511FA">
        <w:fldChar w:fldCharType="begin"/>
      </w:r>
      <w:r w:rsidR="00AE17F8">
        <w:instrText xml:space="preserve"> STYLEREF 1 \s </w:instrText>
      </w:r>
      <w:r w:rsidR="007511FA">
        <w:fldChar w:fldCharType="separate"/>
      </w:r>
      <w:r w:rsidR="00D5167B">
        <w:rPr>
          <w:noProof/>
        </w:rPr>
        <w:t>8</w:t>
      </w:r>
      <w:r w:rsidR="007511FA">
        <w:fldChar w:fldCharType="end"/>
      </w:r>
      <w:r w:rsidR="00220B7D">
        <w:t>.</w:t>
      </w:r>
      <w:proofErr w:type="gramEnd"/>
      <w:r w:rsidR="007511FA">
        <w:fldChar w:fldCharType="begin"/>
      </w:r>
      <w:r w:rsidR="00220B7D">
        <w:instrText xml:space="preserve"> SEQ Equation \* ARABIC \s 1 </w:instrText>
      </w:r>
      <w:r w:rsidR="007511FA">
        <w:fldChar w:fldCharType="separate"/>
      </w:r>
      <w:r w:rsidR="00D5167B">
        <w:rPr>
          <w:noProof/>
        </w:rPr>
        <w:t>4</w:t>
      </w:r>
      <w:r w:rsidR="007511FA">
        <w:fldChar w:fldCharType="end"/>
      </w:r>
      <w:bookmarkEnd w:id="299"/>
    </w:p>
    <w:p w:rsidR="00355EDD" w:rsidRDefault="00355EDD" w:rsidP="00506AA8">
      <w:pPr>
        <w:ind w:firstLine="0"/>
        <w:rPr>
          <w:rFonts w:eastAsiaTheme="minorEastAsia"/>
        </w:rPr>
      </w:pPr>
    </w:p>
    <w:p w:rsidR="00506AA8" w:rsidRDefault="00506AA8" w:rsidP="00506AA8">
      <w:pPr>
        <w:ind w:firstLine="0"/>
        <w:rPr>
          <w:rFonts w:eastAsiaTheme="minorEastAsia"/>
        </w:rPr>
      </w:pPr>
      <w:r>
        <w:rPr>
          <w:rFonts w:eastAsiaTheme="minorEastAsia"/>
        </w:rPr>
        <w:t>Where:</w:t>
      </w:r>
      <w:r>
        <w:rPr>
          <w:rFonts w:eastAsiaTheme="minorEastAsia"/>
        </w:rPr>
        <w:tab/>
      </w:r>
      <w:r>
        <w:rPr>
          <w:rFonts w:eastAsiaTheme="minorEastAsia"/>
        </w:rPr>
        <w:tab/>
      </w:r>
      <w:proofErr w:type="spellStart"/>
      <w:r>
        <w:rPr>
          <w:rFonts w:eastAsiaTheme="minorEastAsia" w:cstheme="minorHAnsi"/>
        </w:rPr>
        <w:t>α</w:t>
      </w:r>
      <w:r>
        <w:rPr>
          <w:rFonts w:eastAsiaTheme="minorEastAsia"/>
          <w:vertAlign w:val="subscript"/>
        </w:rPr>
        <w:t>T</w:t>
      </w:r>
      <w:proofErr w:type="spellEnd"/>
      <w:r>
        <w:rPr>
          <w:rFonts w:eastAsiaTheme="minorEastAsia"/>
        </w:rPr>
        <w:t xml:space="preserve"> = temperature coefficient of reactivity</w:t>
      </w:r>
    </w:p>
    <w:p w:rsidR="00506AA8" w:rsidRDefault="00506AA8" w:rsidP="00506AA8">
      <w:pPr>
        <w:ind w:firstLine="0"/>
        <w:rPr>
          <w:rFonts w:eastAsiaTheme="minorEastAsia"/>
        </w:rPr>
      </w:pPr>
      <w:r>
        <w:rPr>
          <w:rFonts w:eastAsiaTheme="minorEastAsia"/>
        </w:rPr>
        <w:tab/>
      </w:r>
      <w:r>
        <w:rPr>
          <w:rFonts w:eastAsiaTheme="minorEastAsia"/>
        </w:rPr>
        <w:tab/>
        <w:t>T = temperature of material x</w:t>
      </w:r>
    </w:p>
    <w:p w:rsidR="00355EDD" w:rsidRDefault="00355EDD" w:rsidP="00506AA8">
      <w:pPr>
        <w:ind w:firstLine="0"/>
        <w:rPr>
          <w:rFonts w:eastAsiaTheme="minorEastAsia"/>
        </w:rPr>
      </w:pPr>
    </w:p>
    <w:p w:rsidR="00506AA8" w:rsidRDefault="00506AA8" w:rsidP="00506AA8">
      <w:r>
        <w:lastRenderedPageBreak/>
        <w:t xml:space="preserve">It has been assumed that the positive reactivity generated from the removal of the </w:t>
      </w:r>
      <w:proofErr w:type="spellStart"/>
      <w:r>
        <w:t>Cd</w:t>
      </w:r>
      <w:proofErr w:type="spellEnd"/>
      <w:r>
        <w:t xml:space="preserve"> rabbit is linear over the ejection time and that the negative reactivity generated from the insertion of the CE is also linear.  These assumptions are used for preliminary calculations.  The reactivity worth of the rabbit is greater at the horizontal midplane and the control element insertion is not perfectly linear.</w:t>
      </w:r>
    </w:p>
    <w:p w:rsidR="00506AA8" w:rsidRDefault="00506AA8" w:rsidP="00506AA8">
      <w:r>
        <w:t xml:space="preserve">The rate trip circuit can be modeled as a simple RC circuit as shown in </w:t>
      </w:r>
      <w:r w:rsidR="007511FA">
        <w:rPr>
          <w:highlight w:val="yellow"/>
        </w:rPr>
        <w:fldChar w:fldCharType="begin"/>
      </w:r>
      <w:r w:rsidR="000C5E2C">
        <w:instrText xml:space="preserve"> REF _Ref285538538 \h </w:instrText>
      </w:r>
      <w:r w:rsidR="007511FA">
        <w:rPr>
          <w:highlight w:val="yellow"/>
        </w:rPr>
      </w:r>
      <w:r w:rsidR="007511FA">
        <w:rPr>
          <w:highlight w:val="yellow"/>
        </w:rPr>
        <w:fldChar w:fldCharType="separate"/>
      </w:r>
      <w:r w:rsidR="00D5167B">
        <w:t xml:space="preserve">Figure </w:t>
      </w:r>
      <w:r w:rsidR="00D5167B">
        <w:rPr>
          <w:noProof/>
        </w:rPr>
        <w:t>8</w:t>
      </w:r>
      <w:r w:rsidR="00D5167B">
        <w:t>.</w:t>
      </w:r>
      <w:r w:rsidR="00D5167B">
        <w:rPr>
          <w:noProof/>
        </w:rPr>
        <w:t>1</w:t>
      </w:r>
      <w:r w:rsidR="007511FA">
        <w:rPr>
          <w:highlight w:val="yellow"/>
        </w:rPr>
        <w:fldChar w:fldCharType="end"/>
      </w:r>
      <w:r w:rsidR="00F111CB">
        <w:t xml:space="preserve"> and the rate trip circuit equations were derived by Dr. R. Hobbs, ORNL.  </w:t>
      </w:r>
      <w:r>
        <w:t xml:space="preserve">The reset flux voltage, </w:t>
      </w:r>
      <w:proofErr w:type="gramStart"/>
      <w:r>
        <w:t>V(</w:t>
      </w:r>
      <w:proofErr w:type="gramEnd"/>
      <w:r>
        <w:t xml:space="preserve">t), which is proportional to the reactor power level is the input to the circuit.  The voltage drop across the resistor, </w:t>
      </w:r>
      <w:proofErr w:type="gramStart"/>
      <w:r>
        <w:t>VR(</w:t>
      </w:r>
      <w:proofErr w:type="gramEnd"/>
      <w:r>
        <w:t xml:space="preserve">t), is fed to an operational amplifier with a gain factor of A.  Thus the output voltage to the rate trip comparator, </w:t>
      </w:r>
      <w:proofErr w:type="spellStart"/>
      <w:proofErr w:type="gramStart"/>
      <w:r>
        <w:t>Vrate</w:t>
      </w:r>
      <w:proofErr w:type="spellEnd"/>
      <w:r>
        <w:t>(</w:t>
      </w:r>
      <w:proofErr w:type="gramEnd"/>
      <w:r>
        <w:t>t), is equal A*VR(t) [</w:t>
      </w:r>
      <w:r w:rsidR="007511FA">
        <w:rPr>
          <w:highlight w:val="yellow"/>
        </w:rPr>
        <w:fldChar w:fldCharType="begin"/>
      </w:r>
      <w:r w:rsidR="000C5E2C">
        <w:instrText xml:space="preserve"> REF _Ref285538558 \h </w:instrText>
      </w:r>
      <w:r w:rsidR="007511FA">
        <w:rPr>
          <w:highlight w:val="yellow"/>
        </w:rPr>
      </w:r>
      <w:r w:rsidR="007511FA">
        <w:rPr>
          <w:highlight w:val="yellow"/>
        </w:rPr>
        <w:fldChar w:fldCharType="separate"/>
      </w:r>
      <w:r w:rsidR="00D5167B">
        <w:t xml:space="preserve">Equation </w:t>
      </w:r>
      <w:r w:rsidR="00D5167B">
        <w:rPr>
          <w:noProof/>
        </w:rPr>
        <w:t>8</w:t>
      </w:r>
      <w:r w:rsidR="00D5167B">
        <w:t>.</w:t>
      </w:r>
      <w:r w:rsidR="00D5167B">
        <w:rPr>
          <w:noProof/>
        </w:rPr>
        <w:t>5</w:t>
      </w:r>
      <w:r w:rsidR="007511FA">
        <w:rPr>
          <w:highlight w:val="yellow"/>
        </w:rPr>
        <w:fldChar w:fldCharType="end"/>
      </w:r>
      <w:r>
        <w:t xml:space="preserve">].  The time constant of the system, RC, is equal to 0.25 seconds and the amplifier gain, A, is equal to 10.  At 85 MW, the reset flux voltage is 6.67 volts.  The LSSS rate trip circuit voltage according to </w:t>
      </w:r>
      <w:r w:rsidR="007511FA">
        <w:rPr>
          <w:highlight w:val="yellow"/>
        </w:rPr>
        <w:fldChar w:fldCharType="begin"/>
      </w:r>
      <w:r w:rsidR="000C5E2C">
        <w:instrText xml:space="preserve"> REF _Ref285538564 \h </w:instrText>
      </w:r>
      <w:r w:rsidR="007511FA">
        <w:rPr>
          <w:highlight w:val="yellow"/>
        </w:rPr>
      </w:r>
      <w:r w:rsidR="007511FA">
        <w:rPr>
          <w:highlight w:val="yellow"/>
        </w:rPr>
        <w:fldChar w:fldCharType="separate"/>
      </w:r>
      <w:r w:rsidR="00D5167B">
        <w:t xml:space="preserve">Equation </w:t>
      </w:r>
      <w:r w:rsidR="00D5167B">
        <w:rPr>
          <w:noProof/>
        </w:rPr>
        <w:t>8</w:t>
      </w:r>
      <w:r w:rsidR="00D5167B">
        <w:t>.</w:t>
      </w:r>
      <w:r w:rsidR="00D5167B">
        <w:rPr>
          <w:noProof/>
        </w:rPr>
        <w:t>6</w:t>
      </w:r>
      <w:r w:rsidR="007511FA">
        <w:rPr>
          <w:highlight w:val="yellow"/>
        </w:rPr>
        <w:fldChar w:fldCharType="end"/>
      </w:r>
      <w:r>
        <w:t xml:space="preserve"> is 3.9235 volts and the actual rate trip </w:t>
      </w:r>
      <w:proofErr w:type="spellStart"/>
      <w:r>
        <w:t>setpoint</w:t>
      </w:r>
      <w:proofErr w:type="spellEnd"/>
      <w:r>
        <w:t xml:space="preserve"> must be set to a lower value than this to account for instrument uncertainties.  The actual rate trip </w:t>
      </w:r>
      <w:proofErr w:type="spellStart"/>
      <w:r>
        <w:t>setpoint</w:t>
      </w:r>
      <w:proofErr w:type="spellEnd"/>
      <w:r>
        <w:t xml:space="preserve"> that will </w:t>
      </w:r>
      <w:proofErr w:type="gramStart"/>
      <w:r>
        <w:t>scram</w:t>
      </w:r>
      <w:proofErr w:type="gramEnd"/>
      <w:r>
        <w:t xml:space="preserve"> the reactor is set to a value between 3.11 and 3.16 volts.</w:t>
      </w:r>
    </w:p>
    <w:p w:rsidR="00355EDD" w:rsidRDefault="00355EDD" w:rsidP="00506AA8"/>
    <w:p w:rsidR="000C5E2C" w:rsidRDefault="000C5E2C" w:rsidP="00506AA8"/>
    <w:p w:rsidR="000C5E2C" w:rsidRDefault="000C5E2C" w:rsidP="00506AA8"/>
    <w:p w:rsidR="000C5E2C" w:rsidRDefault="000C5E2C" w:rsidP="00506AA8"/>
    <w:p w:rsidR="00506AA8" w:rsidRDefault="00506AA8" w:rsidP="00506AA8">
      <w:pPr>
        <w:ind w:firstLine="0"/>
        <w:jc w:val="center"/>
      </w:pPr>
      <w:r w:rsidRPr="00F301D2">
        <w:rPr>
          <w:noProof/>
        </w:rPr>
        <w:drawing>
          <wp:inline distT="0" distB="0" distL="0" distR="0">
            <wp:extent cx="5486400" cy="1759789"/>
            <wp:effectExtent l="19050" t="0" r="0" b="0"/>
            <wp:docPr id="86" name="Picture 1" descr="RateCircuit.wmf"/>
            <wp:cNvGraphicFramePr/>
            <a:graphic xmlns:a="http://schemas.openxmlformats.org/drawingml/2006/main">
              <a:graphicData uri="http://schemas.openxmlformats.org/drawingml/2006/picture">
                <pic:pic xmlns:pic="http://schemas.openxmlformats.org/drawingml/2006/picture">
                  <pic:nvPicPr>
                    <pic:cNvPr id="3" name="Picture 2" descr="RateCircuit.wmf"/>
                    <pic:cNvPicPr>
                      <a:picLocks noChangeAspect="1"/>
                    </pic:cNvPicPr>
                  </pic:nvPicPr>
                  <pic:blipFill>
                    <a:blip r:embed="rId73" cstate="print"/>
                    <a:srcRect b="10628"/>
                    <a:stretch>
                      <a:fillRect/>
                    </a:stretch>
                  </pic:blipFill>
                  <pic:spPr>
                    <a:xfrm>
                      <a:off x="0" y="0"/>
                      <a:ext cx="5486400" cy="1759789"/>
                    </a:xfrm>
                    <a:prstGeom prst="rect">
                      <a:avLst/>
                    </a:prstGeom>
                  </pic:spPr>
                </pic:pic>
              </a:graphicData>
            </a:graphic>
          </wp:inline>
        </w:drawing>
      </w:r>
    </w:p>
    <w:p w:rsidR="000C5E2C" w:rsidRDefault="000C5E2C" w:rsidP="000C5E2C">
      <w:pPr>
        <w:pStyle w:val="Caption"/>
      </w:pPr>
      <w:bookmarkStart w:id="300" w:name="_Ref285538538"/>
      <w:bookmarkStart w:id="301" w:name="_Toc295818245"/>
      <w:proofErr w:type="gramStart"/>
      <w:r>
        <w:t xml:space="preserve">Figure </w:t>
      </w:r>
      <w:r w:rsidR="007511FA">
        <w:fldChar w:fldCharType="begin"/>
      </w:r>
      <w:r w:rsidR="00AE17F8">
        <w:instrText xml:space="preserve"> STYLEREF 1 \s </w:instrText>
      </w:r>
      <w:r w:rsidR="007511FA">
        <w:fldChar w:fldCharType="separate"/>
      </w:r>
      <w:r w:rsidR="00D5167B">
        <w:rPr>
          <w:noProof/>
        </w:rPr>
        <w:t>8</w:t>
      </w:r>
      <w:r w:rsidR="007511FA">
        <w:fldChar w:fldCharType="end"/>
      </w:r>
      <w:r>
        <w:t>.</w:t>
      </w:r>
      <w:proofErr w:type="gramEnd"/>
      <w:r w:rsidR="007511FA">
        <w:fldChar w:fldCharType="begin"/>
      </w:r>
      <w:r w:rsidR="00C43F40">
        <w:instrText xml:space="preserve"> SEQ Figure \* ARABIC \s 1 </w:instrText>
      </w:r>
      <w:r w:rsidR="007511FA">
        <w:fldChar w:fldCharType="separate"/>
      </w:r>
      <w:r w:rsidR="00D5167B">
        <w:rPr>
          <w:noProof/>
        </w:rPr>
        <w:t>1</w:t>
      </w:r>
      <w:r w:rsidR="007511FA">
        <w:fldChar w:fldCharType="end"/>
      </w:r>
      <w:bookmarkEnd w:id="300"/>
      <w:r w:rsidR="00506AA8" w:rsidRPr="005133E5">
        <w:t xml:space="preserve">.  </w:t>
      </w:r>
      <w:proofErr w:type="gramStart"/>
      <w:r w:rsidR="00506AA8" w:rsidRPr="005133E5">
        <w:t>Rate circuit model</w:t>
      </w:r>
      <w:r>
        <w:t>.</w:t>
      </w:r>
      <w:bookmarkEnd w:id="301"/>
      <w:proofErr w:type="gramEnd"/>
      <w:r>
        <w:br w:type="page"/>
      </w:r>
    </w:p>
    <w:p w:rsidR="00506AA8" w:rsidRDefault="00506AA8" w:rsidP="000C5E2C">
      <w:pPr>
        <w:spacing w:line="240" w:lineRule="auto"/>
        <w:ind w:firstLine="0"/>
        <w:rPr>
          <w:rFonts w:eastAsiaTheme="minorEastAsia"/>
        </w:rPr>
      </w:pPr>
      <m:oMathPara>
        <m:oMath>
          <m:r>
            <w:rPr>
              <w:rFonts w:ascii="Cambria Math" w:hAnsi="Cambria Math"/>
            </w:rPr>
            <w:lastRenderedPageBreak/>
            <m:t>Vrate</m:t>
          </m:r>
          <m:d>
            <m:dPr>
              <m:ctrlPr>
                <w:rPr>
                  <w:rFonts w:ascii="Cambria Math" w:hAnsi="Cambria Math"/>
                  <w:i/>
                </w:rPr>
              </m:ctrlPr>
            </m:dPr>
            <m:e>
              <m:r>
                <w:rPr>
                  <w:rFonts w:ascii="Cambria Math" w:hAnsi="Cambria Math"/>
                </w:rPr>
                <m:t>t</m:t>
              </m:r>
            </m:e>
          </m:d>
          <m:r>
            <w:rPr>
              <w:rFonts w:ascii="Cambria Math" w:hAnsi="Cambria Math"/>
            </w:rPr>
            <m:t>= A×VR(t)</m:t>
          </m:r>
        </m:oMath>
      </m:oMathPara>
    </w:p>
    <w:p w:rsidR="000C5E2C" w:rsidRDefault="000C5E2C" w:rsidP="000C5E2C">
      <w:pPr>
        <w:pStyle w:val="Caption"/>
      </w:pPr>
      <w:bookmarkStart w:id="302" w:name="_Ref285538558"/>
      <w:proofErr w:type="gramStart"/>
      <w:r>
        <w:t xml:space="preserve">Equation </w:t>
      </w:r>
      <w:r w:rsidR="007511FA">
        <w:fldChar w:fldCharType="begin"/>
      </w:r>
      <w:r w:rsidR="00AE17F8">
        <w:instrText xml:space="preserve"> STYLEREF 1 \s </w:instrText>
      </w:r>
      <w:r w:rsidR="007511FA">
        <w:fldChar w:fldCharType="separate"/>
      </w:r>
      <w:r w:rsidR="00D5167B">
        <w:rPr>
          <w:noProof/>
        </w:rPr>
        <w:t>8</w:t>
      </w:r>
      <w:r w:rsidR="007511FA">
        <w:fldChar w:fldCharType="end"/>
      </w:r>
      <w:r w:rsidR="00220B7D">
        <w:t>.</w:t>
      </w:r>
      <w:proofErr w:type="gramEnd"/>
      <w:r w:rsidR="007511FA">
        <w:fldChar w:fldCharType="begin"/>
      </w:r>
      <w:r w:rsidR="00220B7D">
        <w:instrText xml:space="preserve"> SEQ Equation \* ARABIC \s 1 </w:instrText>
      </w:r>
      <w:r w:rsidR="007511FA">
        <w:fldChar w:fldCharType="separate"/>
      </w:r>
      <w:r w:rsidR="00D5167B">
        <w:rPr>
          <w:noProof/>
        </w:rPr>
        <w:t>5</w:t>
      </w:r>
      <w:r w:rsidR="007511FA">
        <w:fldChar w:fldCharType="end"/>
      </w:r>
      <w:bookmarkEnd w:id="302"/>
    </w:p>
    <w:p w:rsidR="000C5E2C" w:rsidRPr="000C5E2C" w:rsidRDefault="000C5E2C" w:rsidP="000C5E2C"/>
    <w:p w:rsidR="00506AA8" w:rsidRDefault="00506AA8" w:rsidP="000C5E2C">
      <w:pPr>
        <w:spacing w:line="240" w:lineRule="auto"/>
        <w:ind w:firstLine="0"/>
        <w:rPr>
          <w:rFonts w:eastAsiaTheme="minorEastAsia"/>
        </w:rPr>
      </w:pPr>
      <m:oMathPara>
        <m:oMath>
          <m:r>
            <w:rPr>
              <w:rFonts w:ascii="Cambria Math" w:hAnsi="Cambria Math"/>
            </w:rPr>
            <m:t xml:space="preserve">LSSS rate trip voltage= </m:t>
          </m:r>
          <m:d>
            <m:dPr>
              <m:ctrlPr>
                <w:rPr>
                  <w:rFonts w:ascii="Cambria Math" w:hAnsi="Cambria Math"/>
                  <w:i/>
                </w:rPr>
              </m:ctrlPr>
            </m:dPr>
            <m:e>
              <m:r>
                <w:rPr>
                  <w:rFonts w:ascii="Cambria Math" w:hAnsi="Cambria Math"/>
                </w:rPr>
                <m:t xml:space="preserve">20 </m:t>
              </m:r>
              <m:f>
                <m:fPr>
                  <m:type m:val="skw"/>
                  <m:ctrlPr>
                    <w:rPr>
                      <w:rFonts w:ascii="Cambria Math" w:hAnsi="Cambria Math"/>
                      <w:i/>
                    </w:rPr>
                  </m:ctrlPr>
                </m:fPr>
                <m:num>
                  <m:r>
                    <w:rPr>
                      <w:rFonts w:ascii="Cambria Math" w:hAnsi="Cambria Math"/>
                    </w:rPr>
                    <m:t>MW</m:t>
                  </m:r>
                </m:num>
                <m:den>
                  <m:r>
                    <w:rPr>
                      <w:rFonts w:ascii="Cambria Math" w:hAnsi="Cambria Math"/>
                    </w:rPr>
                    <m:t>sec</m:t>
                  </m:r>
                </m:den>
              </m:f>
            </m:e>
          </m:d>
          <m:r>
            <w:rPr>
              <w:rFonts w:ascii="Cambria Math" w:hAnsi="Cambria Math"/>
            </w:rPr>
            <m:t>×</m:t>
          </m:r>
          <m:d>
            <m:dPr>
              <m:ctrlPr>
                <w:rPr>
                  <w:rFonts w:ascii="Cambria Math" w:hAnsi="Cambria Math"/>
                  <w:i/>
                </w:rPr>
              </m:ctrlPr>
            </m:dPr>
            <m:e>
              <m:f>
                <m:fPr>
                  <m:type m:val="skw"/>
                  <m:ctrlPr>
                    <w:rPr>
                      <w:rFonts w:ascii="Cambria Math" w:hAnsi="Cambria Math"/>
                      <w:i/>
                    </w:rPr>
                  </m:ctrlPr>
                </m:fPr>
                <m:num>
                  <m:r>
                    <w:rPr>
                      <w:rFonts w:ascii="Cambria Math" w:hAnsi="Cambria Math"/>
                    </w:rPr>
                    <m:t>6.67 V</m:t>
                  </m:r>
                </m:num>
                <m:den>
                  <m:r>
                    <w:rPr>
                      <w:rFonts w:ascii="Cambria Math" w:hAnsi="Cambria Math"/>
                    </w:rPr>
                    <m:t>85 MW</m:t>
                  </m:r>
                </m:den>
              </m:f>
            </m:e>
          </m:d>
          <m:r>
            <w:rPr>
              <w:rFonts w:ascii="Cambria Math" w:hAnsi="Cambria Math"/>
            </w:rPr>
            <m:t>×RC×A</m:t>
          </m:r>
        </m:oMath>
      </m:oMathPara>
    </w:p>
    <w:p w:rsidR="000C5E2C" w:rsidRDefault="000C5E2C" w:rsidP="000C5E2C">
      <w:pPr>
        <w:pStyle w:val="Caption"/>
        <w:rPr>
          <w:rFonts w:eastAsiaTheme="minorEastAsia"/>
        </w:rPr>
      </w:pPr>
      <w:bookmarkStart w:id="303" w:name="_Ref285538564"/>
      <w:proofErr w:type="gramStart"/>
      <w:r>
        <w:t xml:space="preserve">Equation </w:t>
      </w:r>
      <w:r w:rsidR="007511FA">
        <w:fldChar w:fldCharType="begin"/>
      </w:r>
      <w:r w:rsidR="00AE17F8">
        <w:instrText xml:space="preserve"> STYLEREF 1 \s </w:instrText>
      </w:r>
      <w:r w:rsidR="007511FA">
        <w:fldChar w:fldCharType="separate"/>
      </w:r>
      <w:r w:rsidR="00D5167B">
        <w:rPr>
          <w:noProof/>
        </w:rPr>
        <w:t>8</w:t>
      </w:r>
      <w:r w:rsidR="007511FA">
        <w:fldChar w:fldCharType="end"/>
      </w:r>
      <w:r w:rsidR="00220B7D">
        <w:t>.</w:t>
      </w:r>
      <w:proofErr w:type="gramEnd"/>
      <w:r w:rsidR="007511FA">
        <w:fldChar w:fldCharType="begin"/>
      </w:r>
      <w:r w:rsidR="00220B7D">
        <w:instrText xml:space="preserve"> SEQ Equation \* ARABIC \s 1 </w:instrText>
      </w:r>
      <w:r w:rsidR="007511FA">
        <w:fldChar w:fldCharType="separate"/>
      </w:r>
      <w:r w:rsidR="00D5167B">
        <w:rPr>
          <w:noProof/>
        </w:rPr>
        <w:t>6</w:t>
      </w:r>
      <w:r w:rsidR="007511FA">
        <w:fldChar w:fldCharType="end"/>
      </w:r>
      <w:bookmarkEnd w:id="303"/>
    </w:p>
    <w:p w:rsidR="00355EDD" w:rsidRDefault="00355EDD" w:rsidP="00506AA8">
      <w:pPr>
        <w:ind w:firstLine="0"/>
        <w:rPr>
          <w:rFonts w:eastAsiaTheme="minorEastAsia"/>
        </w:rPr>
      </w:pPr>
    </w:p>
    <w:p w:rsidR="00506AA8" w:rsidRDefault="00506AA8" w:rsidP="00506AA8">
      <w:pPr>
        <w:ind w:firstLine="0"/>
        <w:rPr>
          <w:rFonts w:eastAsiaTheme="minorEastAsia"/>
        </w:rPr>
      </w:pPr>
      <w:r>
        <w:rPr>
          <w:rFonts w:eastAsiaTheme="minorEastAsia"/>
        </w:rPr>
        <w:t>Where the value 6.67V/85 MW = 0.07847 V/MW is defined as k.</w:t>
      </w:r>
      <w:r w:rsidR="00355EDD">
        <w:rPr>
          <w:rFonts w:eastAsiaTheme="minorEastAsia"/>
        </w:rPr>
        <w:t xml:space="preserve">  </w:t>
      </w:r>
      <w:r>
        <w:rPr>
          <w:rFonts w:eastAsiaTheme="minorEastAsia"/>
        </w:rPr>
        <w:t xml:space="preserve">The voltage drop across the resistor, </w:t>
      </w:r>
      <w:proofErr w:type="gramStart"/>
      <w:r>
        <w:rPr>
          <w:rFonts w:eastAsiaTheme="minorEastAsia"/>
        </w:rPr>
        <w:t>VR(</w:t>
      </w:r>
      <w:proofErr w:type="gramEnd"/>
      <w:r>
        <w:rPr>
          <w:rFonts w:eastAsiaTheme="minorEastAsia"/>
        </w:rPr>
        <w:t xml:space="preserve">t), is given by </w:t>
      </w:r>
      <w:r w:rsidR="007511FA">
        <w:rPr>
          <w:rFonts w:eastAsiaTheme="minorEastAsia"/>
          <w:highlight w:val="yellow"/>
        </w:rPr>
        <w:fldChar w:fldCharType="begin"/>
      </w:r>
      <w:r w:rsidR="000C5E2C">
        <w:rPr>
          <w:rFonts w:eastAsiaTheme="minorEastAsia"/>
        </w:rPr>
        <w:instrText xml:space="preserve"> REF _Ref285538586 \h </w:instrText>
      </w:r>
      <w:r w:rsidR="007511FA">
        <w:rPr>
          <w:rFonts w:eastAsiaTheme="minorEastAsia"/>
          <w:highlight w:val="yellow"/>
        </w:rPr>
      </w:r>
      <w:r w:rsidR="007511FA">
        <w:rPr>
          <w:rFonts w:eastAsiaTheme="minorEastAsia"/>
          <w:highlight w:val="yellow"/>
        </w:rPr>
        <w:fldChar w:fldCharType="separate"/>
      </w:r>
      <w:r w:rsidR="00D5167B">
        <w:t xml:space="preserve">Equation </w:t>
      </w:r>
      <w:r w:rsidR="00D5167B">
        <w:rPr>
          <w:noProof/>
        </w:rPr>
        <w:t>8</w:t>
      </w:r>
      <w:r w:rsidR="00D5167B">
        <w:t>.</w:t>
      </w:r>
      <w:r w:rsidR="00D5167B">
        <w:rPr>
          <w:noProof/>
        </w:rPr>
        <w:t>7</w:t>
      </w:r>
      <w:r w:rsidR="007511FA">
        <w:rPr>
          <w:rFonts w:eastAsiaTheme="minorEastAsia"/>
          <w:highlight w:val="yellow"/>
        </w:rPr>
        <w:fldChar w:fldCharType="end"/>
      </w:r>
      <w:r>
        <w:rPr>
          <w:rFonts w:eastAsiaTheme="minorEastAsia"/>
        </w:rPr>
        <w:t>.</w:t>
      </w:r>
    </w:p>
    <w:p w:rsidR="00355EDD" w:rsidRDefault="00355EDD" w:rsidP="00506AA8">
      <w:pPr>
        <w:ind w:firstLine="0"/>
        <w:rPr>
          <w:rFonts w:eastAsiaTheme="minorEastAsia"/>
        </w:rPr>
      </w:pPr>
    </w:p>
    <w:p w:rsidR="00506AA8" w:rsidRDefault="00506AA8" w:rsidP="000C5E2C">
      <w:pPr>
        <w:spacing w:line="240" w:lineRule="auto"/>
        <w:ind w:firstLine="0"/>
        <w:rPr>
          <w:rFonts w:eastAsiaTheme="minorEastAsia"/>
        </w:rPr>
      </w:pPr>
      <m:oMathPara>
        <m:oMath>
          <m:r>
            <w:rPr>
              <w:rFonts w:ascii="Cambria Math" w:hAnsi="Cambria Math"/>
            </w:rPr>
            <m:t>VR</m:t>
          </m:r>
          <m:d>
            <m:dPr>
              <m:ctrlPr>
                <w:rPr>
                  <w:rFonts w:ascii="Cambria Math" w:hAnsi="Cambria Math"/>
                  <w:i/>
                </w:rPr>
              </m:ctrlPr>
            </m:dPr>
            <m:e>
              <m:r>
                <w:rPr>
                  <w:rFonts w:ascii="Cambria Math" w:hAnsi="Cambria Math"/>
                </w:rPr>
                <m:t>t</m:t>
              </m:r>
            </m:e>
          </m:d>
          <m:r>
            <w:rPr>
              <w:rFonts w:ascii="Cambria Math" w:hAnsi="Cambria Math"/>
            </w:rPr>
            <m:t xml:space="preserve">= </m:t>
          </m:r>
          <m:sSup>
            <m:sSupPr>
              <m:ctrlPr>
                <w:rPr>
                  <w:rFonts w:ascii="Cambria Math" w:hAnsi="Cambria Math"/>
                  <w:i/>
                </w:rPr>
              </m:ctrlPr>
            </m:sSupPr>
            <m:e>
              <m:r>
                <w:rPr>
                  <w:rFonts w:ascii="Cambria Math" w:hAnsi="Cambria Math"/>
                </w:rPr>
                <m:t>e</m:t>
              </m:r>
            </m:e>
            <m:sup>
              <m:d>
                <m:dPr>
                  <m:ctrlPr>
                    <w:rPr>
                      <w:rFonts w:ascii="Cambria Math" w:hAnsi="Cambria Math"/>
                      <w:i/>
                    </w:rPr>
                  </m:ctrlPr>
                </m:dPr>
                <m:e>
                  <m:r>
                    <w:rPr>
                      <w:rFonts w:ascii="Cambria Math" w:hAnsi="Cambria Math"/>
                    </w:rPr>
                    <m:t>-</m:t>
                  </m:r>
                  <m:f>
                    <m:fPr>
                      <m:type m:val="skw"/>
                      <m:ctrlPr>
                        <w:rPr>
                          <w:rFonts w:ascii="Cambria Math" w:hAnsi="Cambria Math"/>
                          <w:i/>
                        </w:rPr>
                      </m:ctrlPr>
                    </m:fPr>
                    <m:num>
                      <m:r>
                        <w:rPr>
                          <w:rFonts w:ascii="Cambria Math" w:hAnsi="Cambria Math"/>
                        </w:rPr>
                        <m:t>t</m:t>
                      </m:r>
                    </m:num>
                    <m:den>
                      <m:r>
                        <w:rPr>
                          <w:rFonts w:ascii="Cambria Math" w:hAnsi="Cambria Math"/>
                        </w:rPr>
                        <m:t>RC</m:t>
                      </m:r>
                    </m:den>
                  </m:f>
                </m:e>
              </m:d>
            </m:sup>
          </m:sSup>
          <m:r>
            <w:rPr>
              <w:rFonts w:ascii="Cambria Math" w:hAnsi="Cambria Math"/>
            </w:rPr>
            <m:t>×</m:t>
          </m:r>
          <m:nary>
            <m:naryPr>
              <m:limLoc m:val="undOvr"/>
              <m:subHide m:val="on"/>
              <m:supHide m:val="on"/>
              <m:ctrlPr>
                <w:rPr>
                  <w:rFonts w:ascii="Cambria Math" w:hAnsi="Cambria Math"/>
                  <w:i/>
                </w:rPr>
              </m:ctrlPr>
            </m:naryPr>
            <m:sub/>
            <m:sup/>
            <m:e>
              <m:sSup>
                <m:sSupPr>
                  <m:ctrlPr>
                    <w:rPr>
                      <w:rFonts w:ascii="Cambria Math" w:hAnsi="Cambria Math"/>
                      <w:i/>
                    </w:rPr>
                  </m:ctrlPr>
                </m:sSupPr>
                <m:e>
                  <m:r>
                    <w:rPr>
                      <w:rFonts w:ascii="Cambria Math" w:hAnsi="Cambria Math"/>
                    </w:rPr>
                    <m:t>e</m:t>
                  </m:r>
                </m:e>
                <m:sup>
                  <m:d>
                    <m:dPr>
                      <m:ctrlPr>
                        <w:rPr>
                          <w:rFonts w:ascii="Cambria Math" w:hAnsi="Cambria Math"/>
                          <w:i/>
                        </w:rPr>
                      </m:ctrlPr>
                    </m:dPr>
                    <m:e>
                      <m:f>
                        <m:fPr>
                          <m:type m:val="skw"/>
                          <m:ctrlPr>
                            <w:rPr>
                              <w:rFonts w:ascii="Cambria Math" w:hAnsi="Cambria Math"/>
                              <w:i/>
                            </w:rPr>
                          </m:ctrlPr>
                        </m:fPr>
                        <m:num>
                          <m:r>
                            <w:rPr>
                              <w:rFonts w:ascii="Cambria Math" w:hAnsi="Cambria Math"/>
                            </w:rPr>
                            <m:t>t</m:t>
                          </m:r>
                        </m:num>
                        <m:den>
                          <m:r>
                            <w:rPr>
                              <w:rFonts w:ascii="Cambria Math" w:hAnsi="Cambria Math"/>
                            </w:rPr>
                            <m:t>RC</m:t>
                          </m:r>
                        </m:den>
                      </m:f>
                    </m:e>
                  </m:d>
                </m:sup>
              </m:sSup>
              <m:d>
                <m:dPr>
                  <m:ctrlPr>
                    <w:rPr>
                      <w:rFonts w:ascii="Cambria Math" w:hAnsi="Cambria Math"/>
                      <w:i/>
                    </w:rPr>
                  </m:ctrlPr>
                </m:dPr>
                <m:e>
                  <m:f>
                    <m:fPr>
                      <m:ctrlPr>
                        <w:rPr>
                          <w:rFonts w:ascii="Cambria Math" w:hAnsi="Cambria Math"/>
                          <w:i/>
                        </w:rPr>
                      </m:ctrlPr>
                    </m:fPr>
                    <m:num>
                      <m:r>
                        <w:rPr>
                          <w:rFonts w:ascii="Cambria Math" w:hAnsi="Cambria Math"/>
                        </w:rPr>
                        <m:t>dV</m:t>
                      </m:r>
                    </m:num>
                    <m:den>
                      <m:r>
                        <w:rPr>
                          <w:rFonts w:ascii="Cambria Math" w:hAnsi="Cambria Math"/>
                        </w:rPr>
                        <m:t>dt</m:t>
                      </m:r>
                    </m:den>
                  </m:f>
                </m:e>
              </m:d>
              <m:r>
                <w:rPr>
                  <w:rFonts w:ascii="Cambria Math" w:hAnsi="Cambria Math"/>
                </w:rPr>
                <m:t>dt</m:t>
              </m:r>
            </m:e>
          </m:nary>
        </m:oMath>
      </m:oMathPara>
    </w:p>
    <w:p w:rsidR="000C5E2C" w:rsidRPr="000C5E2C" w:rsidRDefault="000C5E2C" w:rsidP="000C5E2C">
      <w:pPr>
        <w:pStyle w:val="Caption"/>
      </w:pPr>
      <w:bookmarkStart w:id="304" w:name="_Ref285538586"/>
      <w:proofErr w:type="gramStart"/>
      <w:r>
        <w:t xml:space="preserve">Equation </w:t>
      </w:r>
      <w:r w:rsidR="007511FA">
        <w:fldChar w:fldCharType="begin"/>
      </w:r>
      <w:r w:rsidR="00AE17F8">
        <w:instrText xml:space="preserve"> STYLEREF 1 \s </w:instrText>
      </w:r>
      <w:r w:rsidR="007511FA">
        <w:fldChar w:fldCharType="separate"/>
      </w:r>
      <w:r w:rsidR="00D5167B">
        <w:rPr>
          <w:noProof/>
        </w:rPr>
        <w:t>8</w:t>
      </w:r>
      <w:r w:rsidR="007511FA">
        <w:fldChar w:fldCharType="end"/>
      </w:r>
      <w:r w:rsidR="00220B7D">
        <w:t>.</w:t>
      </w:r>
      <w:proofErr w:type="gramEnd"/>
      <w:r w:rsidR="007511FA">
        <w:fldChar w:fldCharType="begin"/>
      </w:r>
      <w:r w:rsidR="00220B7D">
        <w:instrText xml:space="preserve"> SEQ Equation \* ARABIC \s 1 </w:instrText>
      </w:r>
      <w:r w:rsidR="007511FA">
        <w:fldChar w:fldCharType="separate"/>
      </w:r>
      <w:r w:rsidR="00D5167B">
        <w:rPr>
          <w:noProof/>
        </w:rPr>
        <w:t>7</w:t>
      </w:r>
      <w:r w:rsidR="007511FA">
        <w:fldChar w:fldCharType="end"/>
      </w:r>
      <w:bookmarkEnd w:id="304"/>
    </w:p>
    <w:p w:rsidR="00506AA8" w:rsidRDefault="00506AA8" w:rsidP="00506AA8">
      <w:pPr>
        <w:ind w:firstLine="0"/>
        <w:rPr>
          <w:rFonts w:eastAsiaTheme="minorEastAsia"/>
        </w:rPr>
      </w:pPr>
      <w:r>
        <w:rPr>
          <w:rFonts w:eastAsiaTheme="minorEastAsia"/>
        </w:rPr>
        <w:t>And</w:t>
      </w:r>
      <w:r w:rsidR="00F55AB3">
        <w:rPr>
          <w:rFonts w:eastAsiaTheme="minorEastAsia"/>
        </w:rPr>
        <w:t>,</w:t>
      </w:r>
    </w:p>
    <w:p w:rsidR="00506AA8" w:rsidRDefault="007511FA" w:rsidP="000C5E2C">
      <w:pPr>
        <w:spacing w:line="240" w:lineRule="auto"/>
        <w:ind w:firstLine="0"/>
        <w:rPr>
          <w:rFonts w:eastAsiaTheme="minorEastAsia"/>
        </w:rPr>
      </w:pPr>
      <m:oMathPara>
        <m:oMath>
          <m:d>
            <m:dPr>
              <m:ctrlPr>
                <w:rPr>
                  <w:rFonts w:ascii="Cambria Math" w:hAnsi="Cambria Math"/>
                  <w:i/>
                </w:rPr>
              </m:ctrlPr>
            </m:dPr>
            <m:e>
              <m:f>
                <m:fPr>
                  <m:ctrlPr>
                    <w:rPr>
                      <w:rFonts w:ascii="Cambria Math" w:hAnsi="Cambria Math"/>
                      <w:i/>
                    </w:rPr>
                  </m:ctrlPr>
                </m:fPr>
                <m:num>
                  <m:r>
                    <w:rPr>
                      <w:rFonts w:ascii="Cambria Math" w:hAnsi="Cambria Math"/>
                    </w:rPr>
                    <m:t>dV</m:t>
                  </m:r>
                </m:num>
                <m:den>
                  <m:r>
                    <w:rPr>
                      <w:rFonts w:ascii="Cambria Math" w:hAnsi="Cambria Math"/>
                    </w:rPr>
                    <m:t>dt</m:t>
                  </m:r>
                </m:den>
              </m:f>
            </m:e>
          </m:d>
          <m:r>
            <w:rPr>
              <w:rFonts w:ascii="Cambria Math" w:hAnsi="Cambria Math"/>
            </w:rPr>
            <m:t>=k×</m:t>
          </m:r>
          <m:d>
            <m:dPr>
              <m:ctrlPr>
                <w:rPr>
                  <w:rFonts w:ascii="Cambria Math" w:hAnsi="Cambria Math"/>
                  <w:i/>
                </w:rPr>
              </m:ctrlPr>
            </m:dPr>
            <m:e>
              <m:f>
                <m:fPr>
                  <m:ctrlPr>
                    <w:rPr>
                      <w:rFonts w:ascii="Cambria Math" w:hAnsi="Cambria Math"/>
                      <w:i/>
                    </w:rPr>
                  </m:ctrlPr>
                </m:fPr>
                <m:num>
                  <m:r>
                    <w:rPr>
                      <w:rFonts w:ascii="Cambria Math" w:hAnsi="Cambria Math"/>
                    </w:rPr>
                    <m:t>dP</m:t>
                  </m:r>
                </m:num>
                <m:den>
                  <m:r>
                    <w:rPr>
                      <w:rFonts w:ascii="Cambria Math" w:hAnsi="Cambria Math"/>
                    </w:rPr>
                    <m:t>dt</m:t>
                  </m:r>
                </m:den>
              </m:f>
            </m:e>
          </m:d>
        </m:oMath>
      </m:oMathPara>
    </w:p>
    <w:p w:rsidR="000C5E2C" w:rsidRDefault="000C5E2C" w:rsidP="000C5E2C">
      <w:pPr>
        <w:pStyle w:val="Caption"/>
        <w:rPr>
          <w:rFonts w:eastAsiaTheme="minorEastAsia"/>
        </w:rPr>
      </w:pPr>
      <w:proofErr w:type="gramStart"/>
      <w:r>
        <w:t xml:space="preserve">Equation </w:t>
      </w:r>
      <w:r w:rsidR="007511FA">
        <w:fldChar w:fldCharType="begin"/>
      </w:r>
      <w:r w:rsidR="00AE17F8">
        <w:instrText xml:space="preserve"> STYLEREF 1 \s </w:instrText>
      </w:r>
      <w:r w:rsidR="007511FA">
        <w:fldChar w:fldCharType="separate"/>
      </w:r>
      <w:r w:rsidR="00D5167B">
        <w:rPr>
          <w:noProof/>
        </w:rPr>
        <w:t>8</w:t>
      </w:r>
      <w:r w:rsidR="007511FA">
        <w:fldChar w:fldCharType="end"/>
      </w:r>
      <w:r w:rsidR="00220B7D">
        <w:t>.</w:t>
      </w:r>
      <w:proofErr w:type="gramEnd"/>
      <w:r w:rsidR="007511FA">
        <w:fldChar w:fldCharType="begin"/>
      </w:r>
      <w:r w:rsidR="00220B7D">
        <w:instrText xml:space="preserve"> SEQ Equation \* ARABIC \s 1 </w:instrText>
      </w:r>
      <w:r w:rsidR="007511FA">
        <w:fldChar w:fldCharType="separate"/>
      </w:r>
      <w:r w:rsidR="00D5167B">
        <w:rPr>
          <w:noProof/>
        </w:rPr>
        <w:t>8</w:t>
      </w:r>
      <w:r w:rsidR="007511FA">
        <w:fldChar w:fldCharType="end"/>
      </w:r>
    </w:p>
    <w:p w:rsidR="00F55AB3" w:rsidRDefault="00F55AB3" w:rsidP="00506AA8">
      <w:pPr>
        <w:ind w:firstLine="0"/>
        <w:rPr>
          <w:rFonts w:eastAsiaTheme="minorEastAsia"/>
        </w:rPr>
      </w:pPr>
    </w:p>
    <w:p w:rsidR="00506AA8" w:rsidRDefault="00506AA8" w:rsidP="00AA149C">
      <w:pPr>
        <w:ind w:firstLine="0"/>
        <w:outlineLvl w:val="0"/>
        <w:rPr>
          <w:rFonts w:eastAsiaTheme="minorEastAsia"/>
        </w:rPr>
      </w:pPr>
      <w:bookmarkStart w:id="305" w:name="_Toc286239120"/>
      <w:bookmarkStart w:id="306" w:name="_Toc286847253"/>
      <w:bookmarkStart w:id="307" w:name="_Toc287004305"/>
      <w:bookmarkStart w:id="308" w:name="_Toc290892286"/>
      <w:bookmarkStart w:id="309" w:name="_Toc295818156"/>
      <w:r>
        <w:rPr>
          <w:rFonts w:eastAsiaTheme="minorEastAsia"/>
        </w:rPr>
        <w:t xml:space="preserve">Therefore, the rate trip output voltage to the trip comparator, </w:t>
      </w:r>
      <w:proofErr w:type="spellStart"/>
      <w:proofErr w:type="gramStart"/>
      <w:r>
        <w:rPr>
          <w:rFonts w:eastAsiaTheme="minorEastAsia"/>
        </w:rPr>
        <w:t>Vrate</w:t>
      </w:r>
      <w:proofErr w:type="spellEnd"/>
      <w:r>
        <w:rPr>
          <w:rFonts w:eastAsiaTheme="minorEastAsia"/>
        </w:rPr>
        <w:t>(</w:t>
      </w:r>
      <w:proofErr w:type="gramEnd"/>
      <w:r>
        <w:rPr>
          <w:rFonts w:eastAsiaTheme="minorEastAsia"/>
        </w:rPr>
        <w:t xml:space="preserve">t), is given by </w:t>
      </w:r>
      <w:r w:rsidR="007511FA">
        <w:rPr>
          <w:rFonts w:eastAsiaTheme="minorEastAsia"/>
          <w:highlight w:val="yellow"/>
        </w:rPr>
        <w:fldChar w:fldCharType="begin"/>
      </w:r>
      <w:r w:rsidR="000C5E2C">
        <w:rPr>
          <w:rFonts w:eastAsiaTheme="minorEastAsia"/>
        </w:rPr>
        <w:instrText xml:space="preserve"> REF _Ref285538602 \h </w:instrText>
      </w:r>
      <w:r w:rsidR="007511FA">
        <w:rPr>
          <w:rFonts w:eastAsiaTheme="minorEastAsia"/>
          <w:highlight w:val="yellow"/>
        </w:rPr>
      </w:r>
      <w:r w:rsidR="007511FA">
        <w:rPr>
          <w:rFonts w:eastAsiaTheme="minorEastAsia"/>
          <w:highlight w:val="yellow"/>
        </w:rPr>
        <w:fldChar w:fldCharType="separate"/>
      </w:r>
      <w:r w:rsidR="00D5167B">
        <w:t xml:space="preserve">Equation </w:t>
      </w:r>
      <w:r w:rsidR="00D5167B">
        <w:rPr>
          <w:noProof/>
        </w:rPr>
        <w:t>8</w:t>
      </w:r>
      <w:r w:rsidR="00D5167B">
        <w:t>.</w:t>
      </w:r>
      <w:r w:rsidR="00D5167B">
        <w:rPr>
          <w:noProof/>
        </w:rPr>
        <w:t>9</w:t>
      </w:r>
      <w:r w:rsidR="007511FA">
        <w:rPr>
          <w:rFonts w:eastAsiaTheme="minorEastAsia"/>
          <w:highlight w:val="yellow"/>
        </w:rPr>
        <w:fldChar w:fldCharType="end"/>
      </w:r>
      <w:r>
        <w:rPr>
          <w:rFonts w:eastAsiaTheme="minorEastAsia"/>
        </w:rPr>
        <w:t>.</w:t>
      </w:r>
      <w:bookmarkEnd w:id="305"/>
      <w:bookmarkEnd w:id="306"/>
      <w:bookmarkEnd w:id="307"/>
      <w:bookmarkEnd w:id="308"/>
      <w:bookmarkEnd w:id="309"/>
    </w:p>
    <w:p w:rsidR="00F55AB3" w:rsidRDefault="00F55AB3" w:rsidP="00506AA8">
      <w:pPr>
        <w:ind w:firstLine="0"/>
        <w:rPr>
          <w:rFonts w:eastAsiaTheme="minorEastAsia"/>
        </w:rPr>
      </w:pPr>
    </w:p>
    <w:p w:rsidR="00506AA8" w:rsidRDefault="00506AA8" w:rsidP="000C5E2C">
      <w:pPr>
        <w:spacing w:line="240" w:lineRule="auto"/>
        <w:ind w:firstLine="0"/>
        <w:rPr>
          <w:rFonts w:eastAsiaTheme="minorEastAsia"/>
        </w:rPr>
      </w:pPr>
      <m:oMathPara>
        <m:oMath>
          <m:r>
            <w:rPr>
              <w:rFonts w:ascii="Cambria Math" w:hAnsi="Cambria Math"/>
            </w:rPr>
            <m:t>Vra</m:t>
          </m:r>
          <m:r>
            <w:rPr>
              <w:rFonts w:ascii="Cambria Math" w:hAnsi="Cambria Math"/>
            </w:rPr>
            <m:t>te</m:t>
          </m:r>
          <m:d>
            <m:dPr>
              <m:ctrlPr>
                <w:rPr>
                  <w:rFonts w:ascii="Cambria Math" w:hAnsi="Cambria Math"/>
                  <w:i/>
                </w:rPr>
              </m:ctrlPr>
            </m:dPr>
            <m:e>
              <m:r>
                <w:rPr>
                  <w:rFonts w:ascii="Cambria Math" w:hAnsi="Cambria Math"/>
                </w:rPr>
                <m:t>t</m:t>
              </m:r>
            </m:e>
          </m:d>
          <m:r>
            <w:rPr>
              <w:rFonts w:ascii="Cambria Math" w:hAnsi="Cambria Math"/>
            </w:rPr>
            <m:t>= k×A×</m:t>
          </m:r>
          <m:sSup>
            <m:sSupPr>
              <m:ctrlPr>
                <w:rPr>
                  <w:rFonts w:ascii="Cambria Math" w:hAnsi="Cambria Math"/>
                  <w:i/>
                </w:rPr>
              </m:ctrlPr>
            </m:sSupPr>
            <m:e>
              <m:r>
                <w:rPr>
                  <w:rFonts w:ascii="Cambria Math" w:hAnsi="Cambria Math"/>
                </w:rPr>
                <m:t>e</m:t>
              </m:r>
            </m:e>
            <m:sup>
              <m:d>
                <m:dPr>
                  <m:ctrlPr>
                    <w:rPr>
                      <w:rFonts w:ascii="Cambria Math" w:hAnsi="Cambria Math"/>
                      <w:i/>
                    </w:rPr>
                  </m:ctrlPr>
                </m:dPr>
                <m:e>
                  <m:r>
                    <w:rPr>
                      <w:rFonts w:ascii="Cambria Math" w:hAnsi="Cambria Math"/>
                    </w:rPr>
                    <m:t>-</m:t>
                  </m:r>
                  <m:f>
                    <m:fPr>
                      <m:type m:val="skw"/>
                      <m:ctrlPr>
                        <w:rPr>
                          <w:rFonts w:ascii="Cambria Math" w:hAnsi="Cambria Math"/>
                          <w:i/>
                        </w:rPr>
                      </m:ctrlPr>
                    </m:fPr>
                    <m:num>
                      <m:r>
                        <w:rPr>
                          <w:rFonts w:ascii="Cambria Math" w:hAnsi="Cambria Math"/>
                        </w:rPr>
                        <m:t>t</m:t>
                      </m:r>
                    </m:num>
                    <m:den>
                      <m:r>
                        <w:rPr>
                          <w:rFonts w:ascii="Cambria Math" w:hAnsi="Cambria Math"/>
                        </w:rPr>
                        <m:t>RC</m:t>
                      </m:r>
                    </m:den>
                  </m:f>
                </m:e>
              </m:d>
            </m:sup>
          </m:sSup>
          <m:r>
            <w:rPr>
              <w:rFonts w:ascii="Cambria Math" w:hAnsi="Cambria Math"/>
            </w:rPr>
            <m:t>×</m:t>
          </m:r>
          <m:nary>
            <m:naryPr>
              <m:limLoc m:val="undOvr"/>
              <m:subHide m:val="on"/>
              <m:supHide m:val="on"/>
              <m:ctrlPr>
                <w:rPr>
                  <w:rFonts w:ascii="Cambria Math" w:hAnsi="Cambria Math"/>
                  <w:i/>
                </w:rPr>
              </m:ctrlPr>
            </m:naryPr>
            <m:sub/>
            <m:sup/>
            <m:e>
              <m:sSup>
                <m:sSupPr>
                  <m:ctrlPr>
                    <w:rPr>
                      <w:rFonts w:ascii="Cambria Math" w:hAnsi="Cambria Math"/>
                      <w:i/>
                    </w:rPr>
                  </m:ctrlPr>
                </m:sSupPr>
                <m:e>
                  <m:r>
                    <w:rPr>
                      <w:rFonts w:ascii="Cambria Math" w:hAnsi="Cambria Math"/>
                    </w:rPr>
                    <m:t>e</m:t>
                  </m:r>
                </m:e>
                <m:sup>
                  <m:d>
                    <m:dPr>
                      <m:ctrlPr>
                        <w:rPr>
                          <w:rFonts w:ascii="Cambria Math" w:hAnsi="Cambria Math"/>
                          <w:i/>
                        </w:rPr>
                      </m:ctrlPr>
                    </m:dPr>
                    <m:e>
                      <m:f>
                        <m:fPr>
                          <m:type m:val="skw"/>
                          <m:ctrlPr>
                            <w:rPr>
                              <w:rFonts w:ascii="Cambria Math" w:hAnsi="Cambria Math"/>
                              <w:i/>
                            </w:rPr>
                          </m:ctrlPr>
                        </m:fPr>
                        <m:num>
                          <m:r>
                            <w:rPr>
                              <w:rFonts w:ascii="Cambria Math" w:hAnsi="Cambria Math"/>
                            </w:rPr>
                            <m:t>t</m:t>
                          </m:r>
                        </m:num>
                        <m:den>
                          <m:r>
                            <w:rPr>
                              <w:rFonts w:ascii="Cambria Math" w:hAnsi="Cambria Math"/>
                            </w:rPr>
                            <m:t>RC</m:t>
                          </m:r>
                        </m:den>
                      </m:f>
                    </m:e>
                  </m:d>
                </m:sup>
              </m:sSup>
              <m:d>
                <m:dPr>
                  <m:ctrlPr>
                    <w:rPr>
                      <w:rFonts w:ascii="Cambria Math" w:hAnsi="Cambria Math"/>
                      <w:i/>
                    </w:rPr>
                  </m:ctrlPr>
                </m:dPr>
                <m:e>
                  <m:f>
                    <m:fPr>
                      <m:ctrlPr>
                        <w:rPr>
                          <w:rFonts w:ascii="Cambria Math" w:hAnsi="Cambria Math"/>
                          <w:i/>
                        </w:rPr>
                      </m:ctrlPr>
                    </m:fPr>
                    <m:num>
                      <m:r>
                        <w:rPr>
                          <w:rFonts w:ascii="Cambria Math" w:hAnsi="Cambria Math"/>
                        </w:rPr>
                        <m:t>dP</m:t>
                      </m:r>
                    </m:num>
                    <m:den>
                      <m:r>
                        <w:rPr>
                          <w:rFonts w:ascii="Cambria Math" w:hAnsi="Cambria Math"/>
                        </w:rPr>
                        <m:t>dt</m:t>
                      </m:r>
                    </m:den>
                  </m:f>
                </m:e>
              </m:d>
              <m:r>
                <w:rPr>
                  <w:rFonts w:ascii="Cambria Math" w:hAnsi="Cambria Math"/>
                </w:rPr>
                <m:t>dt</m:t>
              </m:r>
            </m:e>
          </m:nary>
        </m:oMath>
      </m:oMathPara>
    </w:p>
    <w:p w:rsidR="000C5E2C" w:rsidRDefault="000C5E2C" w:rsidP="000C5E2C">
      <w:pPr>
        <w:pStyle w:val="Caption"/>
      </w:pPr>
      <w:bookmarkStart w:id="310" w:name="_Ref285538602"/>
      <w:proofErr w:type="gramStart"/>
      <w:r>
        <w:t xml:space="preserve">Equation </w:t>
      </w:r>
      <w:r w:rsidR="007511FA">
        <w:fldChar w:fldCharType="begin"/>
      </w:r>
      <w:r w:rsidR="00AE17F8">
        <w:instrText xml:space="preserve"> STYLEREF 1 \s </w:instrText>
      </w:r>
      <w:r w:rsidR="007511FA">
        <w:fldChar w:fldCharType="separate"/>
      </w:r>
      <w:r w:rsidR="00D5167B">
        <w:rPr>
          <w:noProof/>
        </w:rPr>
        <w:t>8</w:t>
      </w:r>
      <w:r w:rsidR="007511FA">
        <w:fldChar w:fldCharType="end"/>
      </w:r>
      <w:r w:rsidR="00220B7D">
        <w:t>.</w:t>
      </w:r>
      <w:proofErr w:type="gramEnd"/>
      <w:r w:rsidR="007511FA">
        <w:fldChar w:fldCharType="begin"/>
      </w:r>
      <w:r w:rsidR="00220B7D">
        <w:instrText xml:space="preserve"> SEQ Equation \* ARABIC \s 1 </w:instrText>
      </w:r>
      <w:r w:rsidR="007511FA">
        <w:fldChar w:fldCharType="separate"/>
      </w:r>
      <w:r w:rsidR="00D5167B">
        <w:rPr>
          <w:noProof/>
        </w:rPr>
        <w:t>9</w:t>
      </w:r>
      <w:r w:rsidR="007511FA">
        <w:fldChar w:fldCharType="end"/>
      </w:r>
      <w:bookmarkEnd w:id="310"/>
    </w:p>
    <w:p w:rsidR="00F55AB3" w:rsidRDefault="00F55AB3" w:rsidP="000C5E2C">
      <w:pPr>
        <w:pStyle w:val="Caption"/>
        <w:rPr>
          <w:rFonts w:eastAsiaTheme="minorEastAsia"/>
        </w:rPr>
      </w:pPr>
    </w:p>
    <w:p w:rsidR="00506AA8" w:rsidRDefault="00506AA8" w:rsidP="00777C99">
      <w:pPr>
        <w:ind w:firstLine="0"/>
        <w:rPr>
          <w:rFonts w:eastAsiaTheme="minorEastAsia"/>
        </w:rPr>
      </w:pPr>
      <w:r>
        <w:rPr>
          <w:rFonts w:eastAsiaTheme="minorEastAsia"/>
        </w:rPr>
        <w:t xml:space="preserve">For an exponential power increase, the reactor power level is governed by </w:t>
      </w:r>
      <w:r w:rsidR="007511FA">
        <w:rPr>
          <w:rFonts w:eastAsiaTheme="minorEastAsia"/>
          <w:highlight w:val="yellow"/>
        </w:rPr>
        <w:fldChar w:fldCharType="begin"/>
      </w:r>
      <w:r w:rsidR="000C5E2C">
        <w:rPr>
          <w:rFonts w:eastAsiaTheme="minorEastAsia"/>
        </w:rPr>
        <w:instrText xml:space="preserve"> REF _Ref285538608 \h </w:instrText>
      </w:r>
      <w:r w:rsidR="007511FA">
        <w:rPr>
          <w:rFonts w:eastAsiaTheme="minorEastAsia"/>
          <w:highlight w:val="yellow"/>
        </w:rPr>
      </w:r>
      <w:r w:rsidR="007511FA">
        <w:rPr>
          <w:rFonts w:eastAsiaTheme="minorEastAsia"/>
          <w:highlight w:val="yellow"/>
        </w:rPr>
        <w:fldChar w:fldCharType="separate"/>
      </w:r>
      <w:r w:rsidR="00D5167B">
        <w:t xml:space="preserve">Equation </w:t>
      </w:r>
      <w:r w:rsidR="00D5167B">
        <w:rPr>
          <w:noProof/>
        </w:rPr>
        <w:t>8</w:t>
      </w:r>
      <w:r w:rsidR="00D5167B">
        <w:t>.</w:t>
      </w:r>
      <w:r w:rsidR="00D5167B">
        <w:rPr>
          <w:noProof/>
        </w:rPr>
        <w:t>10</w:t>
      </w:r>
      <w:r w:rsidR="007511FA">
        <w:rPr>
          <w:rFonts w:eastAsiaTheme="minorEastAsia"/>
          <w:highlight w:val="yellow"/>
        </w:rPr>
        <w:fldChar w:fldCharType="end"/>
      </w:r>
      <w:r>
        <w:rPr>
          <w:rFonts w:eastAsiaTheme="minorEastAsia"/>
        </w:rPr>
        <w:t>.</w:t>
      </w:r>
    </w:p>
    <w:p w:rsidR="00F55AB3" w:rsidRDefault="00F55AB3" w:rsidP="00506AA8">
      <w:pPr>
        <w:ind w:firstLine="0"/>
        <w:rPr>
          <w:rFonts w:eastAsiaTheme="minorEastAsia"/>
        </w:rPr>
      </w:pPr>
    </w:p>
    <w:p w:rsidR="00506AA8" w:rsidRDefault="00506AA8" w:rsidP="000C5E2C">
      <w:pPr>
        <w:spacing w:line="240" w:lineRule="auto"/>
        <w:ind w:firstLine="0"/>
        <w:rPr>
          <w:rFonts w:eastAsiaTheme="minorEastAsia"/>
        </w:rPr>
      </w:pPr>
      <m:oMathPara>
        <m:oMath>
          <m:r>
            <w:rPr>
              <w:rFonts w:ascii="Cambria Math" w:eastAsiaTheme="minorEastAsia" w:hAnsi="Cambria Math"/>
            </w:rPr>
            <w:lastRenderedPageBreak/>
            <m:t>P</m:t>
          </m:r>
          <m:d>
            <m:dPr>
              <m:ctrlPr>
                <w:rPr>
                  <w:rFonts w:ascii="Cambria Math" w:eastAsiaTheme="minorEastAsia" w:hAnsi="Cambria Math"/>
                  <w:i/>
                </w:rPr>
              </m:ctrlPr>
            </m:dPr>
            <m:e>
              <m:r>
                <w:rPr>
                  <w:rFonts w:ascii="Cambria Math" w:eastAsiaTheme="minorEastAsia" w:hAnsi="Cambria Math"/>
                </w:rPr>
                <m:t>t</m:t>
              </m:r>
            </m:e>
          </m:d>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o</m:t>
              </m:r>
            </m:sub>
          </m:sSub>
          <m:r>
            <w:rPr>
              <w:rFonts w:ascii="Cambria Math" w:eastAsiaTheme="minorEastAsia" w:hAnsi="Cambria Math"/>
            </w:rPr>
            <m:t>×</m:t>
          </m:r>
          <m:sSup>
            <m:sSupPr>
              <m:ctrlPr>
                <w:rPr>
                  <w:rFonts w:ascii="Cambria Math" w:eastAsiaTheme="minorEastAsia" w:hAnsi="Cambria Math"/>
                  <w:i/>
                </w:rPr>
              </m:ctrlPr>
            </m:sSupPr>
            <m:e>
              <m:r>
                <w:rPr>
                  <w:rFonts w:ascii="Cambria Math" w:hAnsi="Cambria Math"/>
                </w:rPr>
                <m:t>e</m:t>
              </m:r>
            </m:e>
            <m:sup>
              <m:d>
                <m:dPr>
                  <m:ctrlPr>
                    <w:rPr>
                      <w:rFonts w:ascii="Cambria Math" w:hAnsi="Cambria Math"/>
                      <w:i/>
                    </w:rPr>
                  </m:ctrlPr>
                </m:dPr>
                <m:e>
                  <m:f>
                    <m:fPr>
                      <m:type m:val="skw"/>
                      <m:ctrlPr>
                        <w:rPr>
                          <w:rFonts w:ascii="Cambria Math" w:hAnsi="Cambria Math"/>
                          <w:i/>
                        </w:rPr>
                      </m:ctrlPr>
                    </m:fPr>
                    <m:num>
                      <m:r>
                        <w:rPr>
                          <w:rFonts w:ascii="Cambria Math" w:hAnsi="Cambria Math"/>
                        </w:rPr>
                        <m:t>t</m:t>
                      </m:r>
                    </m:num>
                    <m:den>
                      <m:r>
                        <w:rPr>
                          <w:rFonts w:ascii="Cambria Math" w:hAnsi="Cambria Math"/>
                        </w:rPr>
                        <m:t>τ</m:t>
                      </m:r>
                    </m:den>
                  </m:f>
                </m:e>
              </m:d>
            </m:sup>
          </m:sSup>
        </m:oMath>
      </m:oMathPara>
    </w:p>
    <w:p w:rsidR="000C5E2C" w:rsidRDefault="000C5E2C" w:rsidP="000C5E2C">
      <w:pPr>
        <w:pStyle w:val="Caption"/>
        <w:rPr>
          <w:rFonts w:eastAsiaTheme="minorEastAsia"/>
        </w:rPr>
      </w:pPr>
      <w:bookmarkStart w:id="311" w:name="_Ref285538608"/>
      <w:proofErr w:type="gramStart"/>
      <w:r>
        <w:t xml:space="preserve">Equation </w:t>
      </w:r>
      <w:r w:rsidR="007511FA">
        <w:fldChar w:fldCharType="begin"/>
      </w:r>
      <w:r w:rsidR="00AE17F8">
        <w:instrText xml:space="preserve"> STYLEREF 1 \s </w:instrText>
      </w:r>
      <w:r w:rsidR="007511FA">
        <w:fldChar w:fldCharType="separate"/>
      </w:r>
      <w:r w:rsidR="00D5167B">
        <w:rPr>
          <w:noProof/>
        </w:rPr>
        <w:t>8</w:t>
      </w:r>
      <w:r w:rsidR="007511FA">
        <w:fldChar w:fldCharType="end"/>
      </w:r>
      <w:r w:rsidR="00220B7D">
        <w:t>.</w:t>
      </w:r>
      <w:proofErr w:type="gramEnd"/>
      <w:r w:rsidR="007511FA">
        <w:fldChar w:fldCharType="begin"/>
      </w:r>
      <w:r w:rsidR="00220B7D">
        <w:instrText xml:space="preserve"> SEQ Equation \* ARABIC \s 1 </w:instrText>
      </w:r>
      <w:r w:rsidR="007511FA">
        <w:fldChar w:fldCharType="separate"/>
      </w:r>
      <w:r w:rsidR="00D5167B">
        <w:rPr>
          <w:noProof/>
        </w:rPr>
        <w:t>10</w:t>
      </w:r>
      <w:r w:rsidR="007511FA">
        <w:fldChar w:fldCharType="end"/>
      </w:r>
      <w:bookmarkEnd w:id="311"/>
    </w:p>
    <w:p w:rsidR="00F55AB3" w:rsidRDefault="00F55AB3" w:rsidP="00506AA8">
      <w:pPr>
        <w:ind w:firstLine="0"/>
        <w:rPr>
          <w:rFonts w:eastAsiaTheme="minorEastAsia"/>
        </w:rPr>
      </w:pPr>
    </w:p>
    <w:p w:rsidR="00506AA8" w:rsidRDefault="00506AA8" w:rsidP="00506AA8">
      <w:pPr>
        <w:ind w:firstLine="0"/>
        <w:rPr>
          <w:rFonts w:eastAsiaTheme="minorEastAsia" w:cstheme="minorHAnsi"/>
        </w:rPr>
      </w:pPr>
      <w:r>
        <w:rPr>
          <w:rFonts w:eastAsiaTheme="minorEastAsia"/>
        </w:rPr>
        <w:t xml:space="preserve">In </w:t>
      </w:r>
      <w:r w:rsidR="005E73E4">
        <w:rPr>
          <w:rFonts w:eastAsiaTheme="minorEastAsia"/>
        </w:rPr>
        <w:t>Equation</w:t>
      </w:r>
      <w:r>
        <w:rPr>
          <w:rFonts w:eastAsiaTheme="minorEastAsia"/>
        </w:rPr>
        <w:t xml:space="preserve"> 10, </w:t>
      </w:r>
      <w:r>
        <w:rPr>
          <w:rFonts w:eastAsiaTheme="minorEastAsia" w:cstheme="minorHAnsi"/>
        </w:rPr>
        <w:t xml:space="preserve">τ is the reactor period, which is defined as the time required for the reactor power to change by a factor of e.  Rearranging </w:t>
      </w:r>
      <w:r w:rsidR="007511FA">
        <w:rPr>
          <w:rFonts w:eastAsiaTheme="minorEastAsia" w:cstheme="minorHAnsi"/>
          <w:highlight w:val="yellow"/>
        </w:rPr>
        <w:fldChar w:fldCharType="begin"/>
      </w:r>
      <w:r w:rsidR="000C5E2C">
        <w:rPr>
          <w:rFonts w:eastAsiaTheme="minorEastAsia" w:cstheme="minorHAnsi"/>
        </w:rPr>
        <w:instrText xml:space="preserve"> REF _Ref285538608 \h </w:instrText>
      </w:r>
      <w:r w:rsidR="007511FA">
        <w:rPr>
          <w:rFonts w:eastAsiaTheme="minorEastAsia" w:cstheme="minorHAnsi"/>
          <w:highlight w:val="yellow"/>
        </w:rPr>
      </w:r>
      <w:r w:rsidR="007511FA">
        <w:rPr>
          <w:rFonts w:eastAsiaTheme="minorEastAsia" w:cstheme="minorHAnsi"/>
          <w:highlight w:val="yellow"/>
        </w:rPr>
        <w:fldChar w:fldCharType="separate"/>
      </w:r>
      <w:r w:rsidR="00D5167B">
        <w:t xml:space="preserve">Equation </w:t>
      </w:r>
      <w:r w:rsidR="00D5167B">
        <w:rPr>
          <w:noProof/>
        </w:rPr>
        <w:t>8</w:t>
      </w:r>
      <w:r w:rsidR="00D5167B">
        <w:t>.</w:t>
      </w:r>
      <w:r w:rsidR="00D5167B">
        <w:rPr>
          <w:noProof/>
        </w:rPr>
        <w:t>10</w:t>
      </w:r>
      <w:r w:rsidR="007511FA">
        <w:rPr>
          <w:rFonts w:eastAsiaTheme="minorEastAsia" w:cstheme="minorHAnsi"/>
          <w:highlight w:val="yellow"/>
        </w:rPr>
        <w:fldChar w:fldCharType="end"/>
      </w:r>
      <w:r w:rsidR="000C5E2C">
        <w:rPr>
          <w:rFonts w:eastAsiaTheme="minorEastAsia" w:cstheme="minorHAnsi"/>
        </w:rPr>
        <w:t xml:space="preserve"> </w:t>
      </w:r>
      <w:r>
        <w:rPr>
          <w:rFonts w:eastAsiaTheme="minorEastAsia" w:cstheme="minorHAnsi"/>
        </w:rPr>
        <w:t xml:space="preserve">and solving for the reactor period yields </w:t>
      </w:r>
      <w:r w:rsidR="007511FA">
        <w:rPr>
          <w:rFonts w:eastAsiaTheme="minorEastAsia" w:cstheme="minorHAnsi"/>
          <w:highlight w:val="yellow"/>
        </w:rPr>
        <w:fldChar w:fldCharType="begin"/>
      </w:r>
      <w:r w:rsidR="000C5E2C">
        <w:rPr>
          <w:rFonts w:eastAsiaTheme="minorEastAsia" w:cstheme="minorHAnsi"/>
        </w:rPr>
        <w:instrText xml:space="preserve"> REF _Ref285538623 \h </w:instrText>
      </w:r>
      <w:r w:rsidR="007511FA">
        <w:rPr>
          <w:rFonts w:eastAsiaTheme="minorEastAsia" w:cstheme="minorHAnsi"/>
          <w:highlight w:val="yellow"/>
        </w:rPr>
      </w:r>
      <w:r w:rsidR="007511FA">
        <w:rPr>
          <w:rFonts w:eastAsiaTheme="minorEastAsia" w:cstheme="minorHAnsi"/>
          <w:highlight w:val="yellow"/>
        </w:rPr>
        <w:fldChar w:fldCharType="separate"/>
      </w:r>
      <w:r w:rsidR="00D5167B">
        <w:t xml:space="preserve">Equation </w:t>
      </w:r>
      <w:r w:rsidR="00D5167B">
        <w:rPr>
          <w:noProof/>
        </w:rPr>
        <w:t>8</w:t>
      </w:r>
      <w:r w:rsidR="00D5167B">
        <w:t>.</w:t>
      </w:r>
      <w:r w:rsidR="00D5167B">
        <w:rPr>
          <w:noProof/>
        </w:rPr>
        <w:t>11</w:t>
      </w:r>
      <w:r w:rsidR="007511FA">
        <w:rPr>
          <w:rFonts w:eastAsiaTheme="minorEastAsia" w:cstheme="minorHAnsi"/>
          <w:highlight w:val="yellow"/>
        </w:rPr>
        <w:fldChar w:fldCharType="end"/>
      </w:r>
      <w:r>
        <w:rPr>
          <w:rFonts w:eastAsiaTheme="minorEastAsia" w:cstheme="minorHAnsi"/>
        </w:rPr>
        <w:t>.</w:t>
      </w:r>
    </w:p>
    <w:p w:rsidR="00F55AB3" w:rsidRDefault="00F55AB3" w:rsidP="00506AA8">
      <w:pPr>
        <w:ind w:firstLine="0"/>
        <w:rPr>
          <w:rFonts w:eastAsiaTheme="minorEastAsia" w:cstheme="minorHAnsi"/>
        </w:rPr>
      </w:pPr>
    </w:p>
    <w:p w:rsidR="00506AA8" w:rsidRDefault="00506AA8" w:rsidP="000C5E2C">
      <w:pPr>
        <w:spacing w:line="240" w:lineRule="auto"/>
        <w:ind w:firstLine="0"/>
        <w:jc w:val="center"/>
        <w:rPr>
          <w:rFonts w:eastAsiaTheme="minorEastAsia"/>
        </w:rPr>
      </w:pPr>
      <m:oMathPara>
        <m:oMath>
          <m:r>
            <w:rPr>
              <w:rFonts w:ascii="Cambria Math" w:eastAsiaTheme="minorEastAsia" w:hAnsi="Cambria Math"/>
            </w:rPr>
            <m:t>τ=</m:t>
          </m:r>
          <m:f>
            <m:fPr>
              <m:ctrlPr>
                <w:rPr>
                  <w:rFonts w:ascii="Cambria Math" w:eastAsiaTheme="minorEastAsia" w:hAnsi="Cambria Math"/>
                  <w:i/>
                </w:rPr>
              </m:ctrlPr>
            </m:fPr>
            <m:num>
              <m:r>
                <w:rPr>
                  <w:rFonts w:ascii="Cambria Math" w:eastAsiaTheme="minorEastAsia" w:hAnsi="Cambria Math"/>
                </w:rPr>
                <m:t>t</m:t>
              </m:r>
            </m:num>
            <m:den>
              <m:r>
                <w:rPr>
                  <w:rFonts w:ascii="Cambria Math" w:eastAsiaTheme="minorEastAsia" w:hAnsi="Cambria Math"/>
                </w:rPr>
                <m:t>ln</m:t>
              </m:r>
              <m:d>
                <m:dPr>
                  <m:ctrlPr>
                    <w:rPr>
                      <w:rFonts w:ascii="Cambria Math" w:eastAsiaTheme="minorEastAsia" w:hAnsi="Cambria Math"/>
                      <w:i/>
                    </w:rPr>
                  </m:ctrlPr>
                </m:dPr>
                <m:e>
                  <m:f>
                    <m:fPr>
                      <m:type m:val="skw"/>
                      <m:ctrlPr>
                        <w:rPr>
                          <w:rFonts w:ascii="Cambria Math" w:eastAsiaTheme="minorEastAsia" w:hAnsi="Cambria Math"/>
                          <w:i/>
                        </w:rPr>
                      </m:ctrlPr>
                    </m:fPr>
                    <m:num>
                      <m:r>
                        <w:rPr>
                          <w:rFonts w:ascii="Cambria Math" w:eastAsiaTheme="minorEastAsia" w:hAnsi="Cambria Math"/>
                        </w:rPr>
                        <m:t>P</m:t>
                      </m:r>
                      <m:d>
                        <m:dPr>
                          <m:ctrlPr>
                            <w:rPr>
                              <w:rFonts w:ascii="Cambria Math" w:eastAsiaTheme="minorEastAsia" w:hAnsi="Cambria Math"/>
                              <w:i/>
                            </w:rPr>
                          </m:ctrlPr>
                        </m:dPr>
                        <m:e>
                          <m:r>
                            <w:rPr>
                              <w:rFonts w:ascii="Cambria Math" w:eastAsiaTheme="minorEastAsia" w:hAnsi="Cambria Math"/>
                            </w:rPr>
                            <m:t>t</m:t>
                          </m:r>
                        </m:e>
                      </m:d>
                    </m:num>
                    <m:den>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o</m:t>
                          </m:r>
                        </m:sub>
                      </m:sSub>
                    </m:den>
                  </m:f>
                </m:e>
              </m:d>
            </m:den>
          </m:f>
        </m:oMath>
      </m:oMathPara>
    </w:p>
    <w:p w:rsidR="000C5E2C" w:rsidRDefault="000C5E2C" w:rsidP="000C5E2C">
      <w:pPr>
        <w:pStyle w:val="Caption"/>
        <w:rPr>
          <w:rFonts w:eastAsiaTheme="minorEastAsia"/>
        </w:rPr>
      </w:pPr>
      <w:bookmarkStart w:id="312" w:name="_Ref285538623"/>
      <w:proofErr w:type="gramStart"/>
      <w:r>
        <w:t xml:space="preserve">Equation </w:t>
      </w:r>
      <w:r w:rsidR="007511FA">
        <w:fldChar w:fldCharType="begin"/>
      </w:r>
      <w:r w:rsidR="00AE17F8">
        <w:instrText xml:space="preserve"> STYLEREF 1 \s </w:instrText>
      </w:r>
      <w:r w:rsidR="007511FA">
        <w:fldChar w:fldCharType="separate"/>
      </w:r>
      <w:r w:rsidR="00D5167B">
        <w:rPr>
          <w:noProof/>
        </w:rPr>
        <w:t>8</w:t>
      </w:r>
      <w:r w:rsidR="007511FA">
        <w:fldChar w:fldCharType="end"/>
      </w:r>
      <w:r w:rsidR="00220B7D">
        <w:t>.</w:t>
      </w:r>
      <w:proofErr w:type="gramEnd"/>
      <w:r w:rsidR="007511FA">
        <w:fldChar w:fldCharType="begin"/>
      </w:r>
      <w:r w:rsidR="00220B7D">
        <w:instrText xml:space="preserve"> SEQ Equation \* ARABIC \s 1 </w:instrText>
      </w:r>
      <w:r w:rsidR="007511FA">
        <w:fldChar w:fldCharType="separate"/>
      </w:r>
      <w:r w:rsidR="00D5167B">
        <w:rPr>
          <w:noProof/>
        </w:rPr>
        <w:t>11</w:t>
      </w:r>
      <w:r w:rsidR="007511FA">
        <w:fldChar w:fldCharType="end"/>
      </w:r>
      <w:bookmarkEnd w:id="312"/>
    </w:p>
    <w:p w:rsidR="00F55AB3" w:rsidRDefault="00F55AB3" w:rsidP="00506AA8">
      <w:pPr>
        <w:ind w:firstLine="0"/>
        <w:rPr>
          <w:rFonts w:eastAsiaTheme="minorEastAsia"/>
        </w:rPr>
      </w:pPr>
    </w:p>
    <w:p w:rsidR="00506AA8" w:rsidRDefault="00506AA8" w:rsidP="00506AA8">
      <w:pPr>
        <w:ind w:firstLine="0"/>
        <w:rPr>
          <w:rFonts w:eastAsiaTheme="minorEastAsia"/>
        </w:rPr>
      </w:pPr>
      <w:r>
        <w:rPr>
          <w:rFonts w:eastAsiaTheme="minorEastAsia"/>
        </w:rPr>
        <w:t xml:space="preserve">Differentiating the </w:t>
      </w:r>
      <w:r w:rsidR="00F55AB3">
        <w:rPr>
          <w:rFonts w:eastAsiaTheme="minorEastAsia"/>
        </w:rPr>
        <w:t>left-hand side (</w:t>
      </w:r>
      <w:r>
        <w:rPr>
          <w:rFonts w:eastAsiaTheme="minorEastAsia"/>
        </w:rPr>
        <w:t>LHS</w:t>
      </w:r>
      <w:r w:rsidR="00F55AB3">
        <w:rPr>
          <w:rFonts w:eastAsiaTheme="minorEastAsia"/>
        </w:rPr>
        <w:t>)</w:t>
      </w:r>
      <w:r>
        <w:rPr>
          <w:rFonts w:eastAsiaTheme="minorEastAsia"/>
        </w:rPr>
        <w:t xml:space="preserve"> and</w:t>
      </w:r>
      <w:r w:rsidR="00F55AB3">
        <w:rPr>
          <w:rFonts w:eastAsiaTheme="minorEastAsia"/>
        </w:rPr>
        <w:t xml:space="preserve"> the right-hand side</w:t>
      </w:r>
      <w:r>
        <w:rPr>
          <w:rFonts w:eastAsiaTheme="minorEastAsia"/>
        </w:rPr>
        <w:t xml:space="preserve"> </w:t>
      </w:r>
      <w:r w:rsidR="00F55AB3">
        <w:rPr>
          <w:rFonts w:eastAsiaTheme="minorEastAsia"/>
        </w:rPr>
        <w:t>(</w:t>
      </w:r>
      <w:r>
        <w:rPr>
          <w:rFonts w:eastAsiaTheme="minorEastAsia"/>
        </w:rPr>
        <w:t>RHS</w:t>
      </w:r>
      <w:r w:rsidR="00F55AB3">
        <w:rPr>
          <w:rFonts w:eastAsiaTheme="minorEastAsia"/>
        </w:rPr>
        <w:t>)</w:t>
      </w:r>
      <w:r>
        <w:rPr>
          <w:rFonts w:eastAsiaTheme="minorEastAsia"/>
        </w:rPr>
        <w:t xml:space="preserve"> of </w:t>
      </w:r>
      <w:r w:rsidR="007511FA">
        <w:rPr>
          <w:rFonts w:eastAsiaTheme="minorEastAsia"/>
          <w:highlight w:val="yellow"/>
        </w:rPr>
        <w:fldChar w:fldCharType="begin"/>
      </w:r>
      <w:r w:rsidR="000C5E2C">
        <w:rPr>
          <w:rFonts w:eastAsiaTheme="minorEastAsia"/>
        </w:rPr>
        <w:instrText xml:space="preserve"> REF _Ref285538608 \h </w:instrText>
      </w:r>
      <w:r w:rsidR="007511FA">
        <w:rPr>
          <w:rFonts w:eastAsiaTheme="minorEastAsia"/>
          <w:highlight w:val="yellow"/>
        </w:rPr>
      </w:r>
      <w:r w:rsidR="007511FA">
        <w:rPr>
          <w:rFonts w:eastAsiaTheme="minorEastAsia"/>
          <w:highlight w:val="yellow"/>
        </w:rPr>
        <w:fldChar w:fldCharType="separate"/>
      </w:r>
      <w:r w:rsidR="00D5167B">
        <w:t xml:space="preserve">Equation </w:t>
      </w:r>
      <w:r w:rsidR="00D5167B">
        <w:rPr>
          <w:noProof/>
        </w:rPr>
        <w:t>8</w:t>
      </w:r>
      <w:r w:rsidR="00D5167B">
        <w:t>.</w:t>
      </w:r>
      <w:r w:rsidR="00D5167B">
        <w:rPr>
          <w:noProof/>
        </w:rPr>
        <w:t>10</w:t>
      </w:r>
      <w:r w:rsidR="007511FA">
        <w:rPr>
          <w:rFonts w:eastAsiaTheme="minorEastAsia"/>
          <w:highlight w:val="yellow"/>
        </w:rPr>
        <w:fldChar w:fldCharType="end"/>
      </w:r>
      <w:r w:rsidR="000C5E2C">
        <w:rPr>
          <w:rFonts w:eastAsiaTheme="minorEastAsia"/>
        </w:rPr>
        <w:t xml:space="preserve"> </w:t>
      </w:r>
      <w:r>
        <w:rPr>
          <w:rFonts w:eastAsiaTheme="minorEastAsia"/>
        </w:rPr>
        <w:t xml:space="preserve">with respect to time yields </w:t>
      </w:r>
      <w:r w:rsidR="007511FA">
        <w:rPr>
          <w:rFonts w:eastAsiaTheme="minorEastAsia"/>
          <w:highlight w:val="yellow"/>
        </w:rPr>
        <w:fldChar w:fldCharType="begin"/>
      </w:r>
      <w:r w:rsidR="000C5E2C">
        <w:rPr>
          <w:rFonts w:eastAsiaTheme="minorEastAsia"/>
        </w:rPr>
        <w:instrText xml:space="preserve"> REF _Ref285538657 \h </w:instrText>
      </w:r>
      <w:r w:rsidR="007511FA">
        <w:rPr>
          <w:rFonts w:eastAsiaTheme="minorEastAsia"/>
          <w:highlight w:val="yellow"/>
        </w:rPr>
      </w:r>
      <w:r w:rsidR="007511FA">
        <w:rPr>
          <w:rFonts w:eastAsiaTheme="minorEastAsia"/>
          <w:highlight w:val="yellow"/>
        </w:rPr>
        <w:fldChar w:fldCharType="separate"/>
      </w:r>
      <w:r w:rsidR="00D5167B">
        <w:t xml:space="preserve">Equation </w:t>
      </w:r>
      <w:r w:rsidR="00D5167B">
        <w:rPr>
          <w:noProof/>
        </w:rPr>
        <w:t>8</w:t>
      </w:r>
      <w:r w:rsidR="00D5167B">
        <w:t>.</w:t>
      </w:r>
      <w:r w:rsidR="00D5167B">
        <w:rPr>
          <w:noProof/>
        </w:rPr>
        <w:t>12</w:t>
      </w:r>
      <w:r w:rsidR="007511FA">
        <w:rPr>
          <w:rFonts w:eastAsiaTheme="minorEastAsia"/>
          <w:highlight w:val="yellow"/>
        </w:rPr>
        <w:fldChar w:fldCharType="end"/>
      </w:r>
      <w:r w:rsidRPr="000C5E2C">
        <w:rPr>
          <w:rFonts w:eastAsiaTheme="minorEastAsia"/>
        </w:rPr>
        <w:t>.</w:t>
      </w:r>
    </w:p>
    <w:p w:rsidR="00F55AB3" w:rsidRDefault="00F55AB3" w:rsidP="00506AA8">
      <w:pPr>
        <w:ind w:firstLine="0"/>
        <w:rPr>
          <w:rFonts w:eastAsiaTheme="minorEastAsia"/>
        </w:rPr>
      </w:pPr>
    </w:p>
    <w:p w:rsidR="00506AA8" w:rsidRDefault="007511FA" w:rsidP="000C5E2C">
      <w:pPr>
        <w:spacing w:line="240" w:lineRule="auto"/>
        <w:ind w:firstLine="0"/>
        <w:rPr>
          <w:rFonts w:eastAsiaTheme="minorEastAsia"/>
        </w:rPr>
      </w:pPr>
      <m:oMathPara>
        <m:oMath>
          <m:f>
            <m:fPr>
              <m:ctrlPr>
                <w:rPr>
                  <w:rFonts w:ascii="Cambria Math" w:eastAsiaTheme="minorEastAsia" w:hAnsi="Cambria Math"/>
                  <w:i/>
                </w:rPr>
              </m:ctrlPr>
            </m:fPr>
            <m:num>
              <m:r>
                <w:rPr>
                  <w:rFonts w:ascii="Cambria Math" w:eastAsiaTheme="minorEastAsia" w:hAnsi="Cambria Math"/>
                </w:rPr>
                <m:t>dP</m:t>
              </m:r>
              <m:d>
                <m:dPr>
                  <m:ctrlPr>
                    <w:rPr>
                      <w:rFonts w:ascii="Cambria Math" w:eastAsiaTheme="minorEastAsia" w:hAnsi="Cambria Math"/>
                      <w:i/>
                    </w:rPr>
                  </m:ctrlPr>
                </m:dPr>
                <m:e>
                  <m:r>
                    <w:rPr>
                      <w:rFonts w:ascii="Cambria Math" w:eastAsiaTheme="minorEastAsia" w:hAnsi="Cambria Math"/>
                    </w:rPr>
                    <m:t>t</m:t>
                  </m:r>
                </m:e>
              </m:d>
            </m:num>
            <m:den>
              <m:r>
                <w:rPr>
                  <w:rFonts w:ascii="Cambria Math" w:eastAsiaTheme="minorEastAsia" w:hAnsi="Cambria Math"/>
                </w:rPr>
                <m:t>dt</m:t>
              </m:r>
            </m:den>
          </m:f>
          <m:r>
            <w:rPr>
              <w:rFonts w:ascii="Cambria Math" w:eastAsiaTheme="minorEastAsia" w:hAnsi="Cambria Math"/>
            </w:rPr>
            <m:t>=</m:t>
          </m:r>
          <m:d>
            <m:dPr>
              <m:ctrlPr>
                <w:rPr>
                  <w:rFonts w:ascii="Cambria Math" w:eastAsiaTheme="minorEastAsia" w:hAnsi="Cambria Math"/>
                  <w:i/>
                </w:rPr>
              </m:ctrlPr>
            </m:dPr>
            <m:e>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o</m:t>
                      </m:r>
                    </m:sub>
                  </m:sSub>
                </m:num>
                <m:den>
                  <m:r>
                    <w:rPr>
                      <w:rFonts w:ascii="Cambria Math" w:eastAsiaTheme="minorEastAsia" w:hAnsi="Cambria Math"/>
                    </w:rPr>
                    <m:t>τ</m:t>
                  </m:r>
                </m:den>
              </m:f>
            </m:e>
          </m:d>
          <m:sSup>
            <m:sSupPr>
              <m:ctrlPr>
                <w:rPr>
                  <w:rFonts w:ascii="Cambria Math" w:eastAsiaTheme="minorEastAsia" w:hAnsi="Cambria Math"/>
                  <w:i/>
                </w:rPr>
              </m:ctrlPr>
            </m:sSupPr>
            <m:e>
              <m:r>
                <w:rPr>
                  <w:rFonts w:ascii="Cambria Math" w:hAnsi="Cambria Math"/>
                </w:rPr>
                <m:t>e</m:t>
              </m:r>
            </m:e>
            <m:sup>
              <m:d>
                <m:dPr>
                  <m:ctrlPr>
                    <w:rPr>
                      <w:rFonts w:ascii="Cambria Math" w:hAnsi="Cambria Math"/>
                      <w:i/>
                    </w:rPr>
                  </m:ctrlPr>
                </m:dPr>
                <m:e>
                  <m:f>
                    <m:fPr>
                      <m:type m:val="skw"/>
                      <m:ctrlPr>
                        <w:rPr>
                          <w:rFonts w:ascii="Cambria Math" w:hAnsi="Cambria Math"/>
                          <w:i/>
                        </w:rPr>
                      </m:ctrlPr>
                    </m:fPr>
                    <m:num>
                      <m:r>
                        <w:rPr>
                          <w:rFonts w:ascii="Cambria Math" w:hAnsi="Cambria Math"/>
                        </w:rPr>
                        <m:t>t</m:t>
                      </m:r>
                    </m:num>
                    <m:den>
                      <m:r>
                        <w:rPr>
                          <w:rFonts w:ascii="Cambria Math" w:hAnsi="Cambria Math"/>
                        </w:rPr>
                        <m:t>τ</m:t>
                      </m:r>
                    </m:den>
                  </m:f>
                </m:e>
              </m:d>
            </m:sup>
          </m:sSup>
        </m:oMath>
      </m:oMathPara>
    </w:p>
    <w:p w:rsidR="000C5E2C" w:rsidRDefault="000C5E2C" w:rsidP="000C5E2C">
      <w:pPr>
        <w:pStyle w:val="Caption"/>
        <w:rPr>
          <w:rFonts w:eastAsiaTheme="minorEastAsia"/>
        </w:rPr>
      </w:pPr>
      <w:bookmarkStart w:id="313" w:name="_Ref285538657"/>
      <w:proofErr w:type="gramStart"/>
      <w:r>
        <w:t xml:space="preserve">Equation </w:t>
      </w:r>
      <w:r w:rsidR="007511FA">
        <w:fldChar w:fldCharType="begin"/>
      </w:r>
      <w:r w:rsidR="00AE17F8">
        <w:instrText xml:space="preserve"> STYLEREF 1 \s </w:instrText>
      </w:r>
      <w:r w:rsidR="007511FA">
        <w:fldChar w:fldCharType="separate"/>
      </w:r>
      <w:r w:rsidR="00D5167B">
        <w:rPr>
          <w:noProof/>
        </w:rPr>
        <w:t>8</w:t>
      </w:r>
      <w:r w:rsidR="007511FA">
        <w:fldChar w:fldCharType="end"/>
      </w:r>
      <w:r w:rsidR="00220B7D">
        <w:t>.</w:t>
      </w:r>
      <w:proofErr w:type="gramEnd"/>
      <w:r w:rsidR="007511FA">
        <w:fldChar w:fldCharType="begin"/>
      </w:r>
      <w:r w:rsidR="00220B7D">
        <w:instrText xml:space="preserve"> SEQ Equation \* ARABIC \s 1 </w:instrText>
      </w:r>
      <w:r w:rsidR="007511FA">
        <w:fldChar w:fldCharType="separate"/>
      </w:r>
      <w:r w:rsidR="00D5167B">
        <w:rPr>
          <w:noProof/>
        </w:rPr>
        <w:t>12</w:t>
      </w:r>
      <w:r w:rsidR="007511FA">
        <w:fldChar w:fldCharType="end"/>
      </w:r>
      <w:bookmarkEnd w:id="313"/>
    </w:p>
    <w:p w:rsidR="00F55AB3" w:rsidRDefault="00F55AB3" w:rsidP="00506AA8">
      <w:pPr>
        <w:ind w:firstLine="0"/>
        <w:rPr>
          <w:rFonts w:eastAsiaTheme="minorEastAsia"/>
        </w:rPr>
      </w:pPr>
    </w:p>
    <w:p w:rsidR="00506AA8" w:rsidRDefault="00506AA8" w:rsidP="00506AA8">
      <w:pPr>
        <w:ind w:firstLine="0"/>
        <w:rPr>
          <w:rFonts w:eastAsiaTheme="minorEastAsia"/>
        </w:rPr>
      </w:pPr>
      <w:r>
        <w:rPr>
          <w:rFonts w:eastAsiaTheme="minorEastAsia"/>
        </w:rPr>
        <w:t xml:space="preserve">By inserting </w:t>
      </w:r>
      <w:r w:rsidR="007511FA">
        <w:rPr>
          <w:rFonts w:eastAsiaTheme="minorEastAsia"/>
          <w:highlight w:val="yellow"/>
        </w:rPr>
        <w:fldChar w:fldCharType="begin"/>
      </w:r>
      <w:r w:rsidR="000C5E2C">
        <w:rPr>
          <w:rFonts w:eastAsiaTheme="minorEastAsia"/>
        </w:rPr>
        <w:instrText xml:space="preserve"> REF _Ref285538657 \h </w:instrText>
      </w:r>
      <w:r w:rsidR="007511FA">
        <w:rPr>
          <w:rFonts w:eastAsiaTheme="minorEastAsia"/>
          <w:highlight w:val="yellow"/>
        </w:rPr>
      </w:r>
      <w:r w:rsidR="007511FA">
        <w:rPr>
          <w:rFonts w:eastAsiaTheme="minorEastAsia"/>
          <w:highlight w:val="yellow"/>
        </w:rPr>
        <w:fldChar w:fldCharType="separate"/>
      </w:r>
      <w:r w:rsidR="00D5167B">
        <w:t xml:space="preserve">Equation </w:t>
      </w:r>
      <w:r w:rsidR="00D5167B">
        <w:rPr>
          <w:noProof/>
        </w:rPr>
        <w:t>8</w:t>
      </w:r>
      <w:r w:rsidR="00D5167B">
        <w:t>.</w:t>
      </w:r>
      <w:r w:rsidR="00D5167B">
        <w:rPr>
          <w:noProof/>
        </w:rPr>
        <w:t>12</w:t>
      </w:r>
      <w:r w:rsidR="007511FA">
        <w:rPr>
          <w:rFonts w:eastAsiaTheme="minorEastAsia"/>
          <w:highlight w:val="yellow"/>
        </w:rPr>
        <w:fldChar w:fldCharType="end"/>
      </w:r>
      <w:r w:rsidR="000C5E2C">
        <w:rPr>
          <w:rFonts w:eastAsiaTheme="minorEastAsia"/>
        </w:rPr>
        <w:t xml:space="preserve"> </w:t>
      </w:r>
      <w:r>
        <w:rPr>
          <w:rFonts w:eastAsiaTheme="minorEastAsia"/>
        </w:rPr>
        <w:t xml:space="preserve">into </w:t>
      </w:r>
      <w:r w:rsidR="007511FA">
        <w:rPr>
          <w:rFonts w:eastAsiaTheme="minorEastAsia"/>
          <w:highlight w:val="yellow"/>
        </w:rPr>
        <w:fldChar w:fldCharType="begin"/>
      </w:r>
      <w:r w:rsidR="000C5E2C">
        <w:rPr>
          <w:rFonts w:eastAsiaTheme="minorEastAsia"/>
        </w:rPr>
        <w:instrText xml:space="preserve"> REF _Ref285538602 \h </w:instrText>
      </w:r>
      <w:r w:rsidR="007511FA">
        <w:rPr>
          <w:rFonts w:eastAsiaTheme="minorEastAsia"/>
          <w:highlight w:val="yellow"/>
        </w:rPr>
      </w:r>
      <w:r w:rsidR="007511FA">
        <w:rPr>
          <w:rFonts w:eastAsiaTheme="minorEastAsia"/>
          <w:highlight w:val="yellow"/>
        </w:rPr>
        <w:fldChar w:fldCharType="separate"/>
      </w:r>
      <w:r w:rsidR="00D5167B">
        <w:t xml:space="preserve">Equation </w:t>
      </w:r>
      <w:r w:rsidR="00D5167B">
        <w:rPr>
          <w:noProof/>
        </w:rPr>
        <w:t>8</w:t>
      </w:r>
      <w:r w:rsidR="00D5167B">
        <w:t>.</w:t>
      </w:r>
      <w:r w:rsidR="00D5167B">
        <w:rPr>
          <w:noProof/>
        </w:rPr>
        <w:t>9</w:t>
      </w:r>
      <w:r w:rsidR="007511FA">
        <w:rPr>
          <w:rFonts w:eastAsiaTheme="minorEastAsia"/>
          <w:highlight w:val="yellow"/>
        </w:rPr>
        <w:fldChar w:fldCharType="end"/>
      </w:r>
      <w:r>
        <w:rPr>
          <w:rFonts w:eastAsiaTheme="minorEastAsia"/>
        </w:rPr>
        <w:t xml:space="preserve"> and solving for the rate trip output voltage to the trip comparator yields </w:t>
      </w:r>
      <w:r w:rsidR="007511FA">
        <w:rPr>
          <w:rFonts w:eastAsiaTheme="minorEastAsia"/>
          <w:highlight w:val="yellow"/>
        </w:rPr>
        <w:fldChar w:fldCharType="begin"/>
      </w:r>
      <w:r w:rsidR="000C5E2C">
        <w:rPr>
          <w:rFonts w:eastAsiaTheme="minorEastAsia"/>
        </w:rPr>
        <w:instrText xml:space="preserve"> REF _Ref285538684 \h </w:instrText>
      </w:r>
      <w:r w:rsidR="007511FA">
        <w:rPr>
          <w:rFonts w:eastAsiaTheme="minorEastAsia"/>
          <w:highlight w:val="yellow"/>
        </w:rPr>
      </w:r>
      <w:r w:rsidR="007511FA">
        <w:rPr>
          <w:rFonts w:eastAsiaTheme="minorEastAsia"/>
          <w:highlight w:val="yellow"/>
        </w:rPr>
        <w:fldChar w:fldCharType="separate"/>
      </w:r>
      <w:r w:rsidR="00D5167B">
        <w:t xml:space="preserve">Equation </w:t>
      </w:r>
      <w:r w:rsidR="00D5167B">
        <w:rPr>
          <w:noProof/>
        </w:rPr>
        <w:t>8</w:t>
      </w:r>
      <w:r w:rsidR="00D5167B">
        <w:t>.</w:t>
      </w:r>
      <w:r w:rsidR="00D5167B">
        <w:rPr>
          <w:noProof/>
        </w:rPr>
        <w:t>13</w:t>
      </w:r>
      <w:r w:rsidR="007511FA">
        <w:rPr>
          <w:rFonts w:eastAsiaTheme="minorEastAsia"/>
          <w:highlight w:val="yellow"/>
        </w:rPr>
        <w:fldChar w:fldCharType="end"/>
      </w:r>
      <w:r>
        <w:rPr>
          <w:rFonts w:eastAsiaTheme="minorEastAsia"/>
        </w:rPr>
        <w:t>.</w:t>
      </w:r>
    </w:p>
    <w:p w:rsidR="00F55AB3" w:rsidRDefault="00F55AB3" w:rsidP="00506AA8">
      <w:pPr>
        <w:ind w:firstLine="0"/>
        <w:rPr>
          <w:rFonts w:eastAsiaTheme="minorEastAsia"/>
        </w:rPr>
      </w:pPr>
    </w:p>
    <w:p w:rsidR="00506AA8" w:rsidRDefault="00506AA8" w:rsidP="000C5E2C">
      <w:pPr>
        <w:spacing w:line="240" w:lineRule="auto"/>
        <w:ind w:firstLine="0"/>
        <w:rPr>
          <w:rFonts w:eastAsiaTheme="minorEastAsia"/>
        </w:rPr>
      </w:pPr>
      <m:oMathPara>
        <m:oMath>
          <m:r>
            <w:rPr>
              <w:rFonts w:ascii="Cambria Math" w:hAnsi="Cambria Math"/>
            </w:rPr>
            <m:t>Vrate</m:t>
          </m:r>
          <m:d>
            <m:dPr>
              <m:ctrlPr>
                <w:rPr>
                  <w:rFonts w:ascii="Cambria Math" w:hAnsi="Cambria Math"/>
                  <w:i/>
                </w:rPr>
              </m:ctrlPr>
            </m:dPr>
            <m:e>
              <m:r>
                <w:rPr>
                  <w:rFonts w:ascii="Cambria Math" w:hAnsi="Cambria Math"/>
                </w:rPr>
                <m:t>t</m:t>
              </m:r>
            </m:e>
          </m:d>
          <m:r>
            <w:rPr>
              <w:rFonts w:ascii="Cambria Math" w:hAnsi="Cambria Math"/>
            </w:rPr>
            <m:t xml:space="preserve">= </m:t>
          </m:r>
          <m:d>
            <m:dPr>
              <m:ctrlPr>
                <w:rPr>
                  <w:rFonts w:ascii="Cambria Math" w:hAnsi="Cambria Math"/>
                  <w:i/>
                </w:rPr>
              </m:ctrlPr>
            </m:dPr>
            <m:e>
              <m:f>
                <m:fPr>
                  <m:ctrlPr>
                    <w:rPr>
                      <w:rFonts w:ascii="Cambria Math" w:hAnsi="Cambria Math"/>
                      <w:i/>
                    </w:rPr>
                  </m:ctrlPr>
                </m:fPr>
                <m:num>
                  <m:r>
                    <w:rPr>
                      <w:rFonts w:ascii="Cambria Math" w:hAnsi="Cambria Math"/>
                    </w:rPr>
                    <m:t>k×A×</m:t>
                  </m:r>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o</m:t>
                      </m:r>
                    </m:sub>
                  </m:sSub>
                </m:num>
                <m:den>
                  <m:r>
                    <w:rPr>
                      <w:rFonts w:ascii="Cambria Math" w:hAnsi="Cambria Math"/>
                    </w:rPr>
                    <m:t>1+</m:t>
                  </m:r>
                  <m:f>
                    <m:fPr>
                      <m:type m:val="skw"/>
                      <m:ctrlPr>
                        <w:rPr>
                          <w:rFonts w:ascii="Cambria Math" w:hAnsi="Cambria Math"/>
                          <w:i/>
                        </w:rPr>
                      </m:ctrlPr>
                    </m:fPr>
                    <m:num>
                      <m:r>
                        <w:rPr>
                          <w:rFonts w:ascii="Cambria Math" w:hAnsi="Cambria Math"/>
                        </w:rPr>
                        <m:t>τ</m:t>
                      </m:r>
                    </m:num>
                    <m:den>
                      <m:r>
                        <w:rPr>
                          <w:rFonts w:ascii="Cambria Math" w:hAnsi="Cambria Math"/>
                        </w:rPr>
                        <m:t>RC</m:t>
                      </m:r>
                    </m:den>
                  </m:f>
                </m:den>
              </m:f>
            </m:e>
          </m:d>
          <m:r>
            <w:rPr>
              <w:rFonts w:ascii="Cambria Math" w:eastAsiaTheme="minorEastAsia" w:hAnsi="Cambria Math"/>
            </w:rPr>
            <m:t>×</m:t>
          </m:r>
          <m:d>
            <m:dPr>
              <m:begChr m:val="["/>
              <m:endChr m:val="]"/>
              <m:ctrlPr>
                <w:rPr>
                  <w:rFonts w:ascii="Cambria Math" w:hAnsi="Cambria Math"/>
                  <w:i/>
                </w:rPr>
              </m:ctrlPr>
            </m:dPr>
            <m:e>
              <m:sSup>
                <m:sSupPr>
                  <m:ctrlPr>
                    <w:rPr>
                      <w:rFonts w:ascii="Cambria Math" w:hAnsi="Cambria Math"/>
                      <w:i/>
                    </w:rPr>
                  </m:ctrlPr>
                </m:sSupPr>
                <m:e>
                  <m:r>
                    <w:rPr>
                      <w:rFonts w:ascii="Cambria Math" w:hAnsi="Cambria Math"/>
                    </w:rPr>
                    <m:t>e</m:t>
                  </m:r>
                </m:e>
                <m:sup>
                  <m:d>
                    <m:dPr>
                      <m:ctrlPr>
                        <w:rPr>
                          <w:rFonts w:ascii="Cambria Math" w:hAnsi="Cambria Math"/>
                          <w:i/>
                        </w:rPr>
                      </m:ctrlPr>
                    </m:dPr>
                    <m:e>
                      <m:f>
                        <m:fPr>
                          <m:type m:val="skw"/>
                          <m:ctrlPr>
                            <w:rPr>
                              <w:rFonts w:ascii="Cambria Math" w:hAnsi="Cambria Math"/>
                              <w:i/>
                            </w:rPr>
                          </m:ctrlPr>
                        </m:fPr>
                        <m:num>
                          <m:r>
                            <w:rPr>
                              <w:rFonts w:ascii="Cambria Math" w:hAnsi="Cambria Math"/>
                            </w:rPr>
                            <m:t>t</m:t>
                          </m:r>
                        </m:num>
                        <m:den>
                          <m:r>
                            <w:rPr>
                              <w:rFonts w:ascii="Cambria Math" w:hAnsi="Cambria Math"/>
                            </w:rPr>
                            <m:t>τ</m:t>
                          </m:r>
                        </m:den>
                      </m:f>
                    </m:e>
                  </m:d>
                </m:sup>
              </m:sSup>
              <m:r>
                <w:rPr>
                  <w:rFonts w:ascii="Cambria Math" w:hAnsi="Cambria Math"/>
                </w:rPr>
                <m:t>-</m:t>
              </m:r>
              <m:sSup>
                <m:sSupPr>
                  <m:ctrlPr>
                    <w:rPr>
                      <w:rFonts w:ascii="Cambria Math" w:hAnsi="Cambria Math"/>
                      <w:i/>
                    </w:rPr>
                  </m:ctrlPr>
                </m:sSupPr>
                <m:e>
                  <m:r>
                    <w:rPr>
                      <w:rFonts w:ascii="Cambria Math" w:hAnsi="Cambria Math"/>
                    </w:rPr>
                    <m:t>e</m:t>
                  </m:r>
                </m:e>
                <m:sup>
                  <m:d>
                    <m:dPr>
                      <m:ctrlPr>
                        <w:rPr>
                          <w:rFonts w:ascii="Cambria Math" w:hAnsi="Cambria Math"/>
                          <w:i/>
                        </w:rPr>
                      </m:ctrlPr>
                    </m:dPr>
                    <m:e>
                      <m:f>
                        <m:fPr>
                          <m:type m:val="skw"/>
                          <m:ctrlPr>
                            <w:rPr>
                              <w:rFonts w:ascii="Cambria Math" w:hAnsi="Cambria Math"/>
                              <w:i/>
                            </w:rPr>
                          </m:ctrlPr>
                        </m:fPr>
                        <m:num>
                          <m:r>
                            <w:rPr>
                              <w:rFonts w:ascii="Cambria Math" w:hAnsi="Cambria Math"/>
                            </w:rPr>
                            <m:t>-t</m:t>
                          </m:r>
                        </m:num>
                        <m:den>
                          <m:r>
                            <w:rPr>
                              <w:rFonts w:ascii="Cambria Math" w:hAnsi="Cambria Math"/>
                            </w:rPr>
                            <m:t>RC</m:t>
                          </m:r>
                        </m:den>
                      </m:f>
                    </m:e>
                  </m:d>
                </m:sup>
              </m:sSup>
            </m:e>
          </m:d>
        </m:oMath>
      </m:oMathPara>
    </w:p>
    <w:p w:rsidR="000C5E2C" w:rsidRPr="00F111CB" w:rsidRDefault="000C5E2C" w:rsidP="00F111CB">
      <w:pPr>
        <w:pStyle w:val="Caption"/>
        <w:rPr>
          <w:rFonts w:eastAsiaTheme="minorEastAsia"/>
        </w:rPr>
      </w:pPr>
      <w:bookmarkStart w:id="314" w:name="_Ref285538684"/>
      <w:proofErr w:type="gramStart"/>
      <w:r>
        <w:t xml:space="preserve">Equation </w:t>
      </w:r>
      <w:r w:rsidR="007511FA">
        <w:fldChar w:fldCharType="begin"/>
      </w:r>
      <w:r w:rsidR="00AE17F8">
        <w:instrText xml:space="preserve"> STYLEREF 1 \s </w:instrText>
      </w:r>
      <w:r w:rsidR="007511FA">
        <w:fldChar w:fldCharType="separate"/>
      </w:r>
      <w:r w:rsidR="00D5167B">
        <w:rPr>
          <w:noProof/>
        </w:rPr>
        <w:t>8</w:t>
      </w:r>
      <w:r w:rsidR="007511FA">
        <w:fldChar w:fldCharType="end"/>
      </w:r>
      <w:r w:rsidR="00220B7D">
        <w:t>.</w:t>
      </w:r>
      <w:proofErr w:type="gramEnd"/>
      <w:r w:rsidR="007511FA">
        <w:fldChar w:fldCharType="begin"/>
      </w:r>
      <w:r w:rsidR="00220B7D">
        <w:instrText xml:space="preserve"> SEQ Equation \* ARABIC \s 1 </w:instrText>
      </w:r>
      <w:r w:rsidR="007511FA">
        <w:fldChar w:fldCharType="separate"/>
      </w:r>
      <w:r w:rsidR="00D5167B">
        <w:rPr>
          <w:noProof/>
        </w:rPr>
        <w:t>13</w:t>
      </w:r>
      <w:r w:rsidR="007511FA">
        <w:fldChar w:fldCharType="end"/>
      </w:r>
      <w:bookmarkEnd w:id="314"/>
      <w:r>
        <w:br w:type="page"/>
      </w:r>
    </w:p>
    <w:p w:rsidR="00535B14" w:rsidRDefault="00506AA8" w:rsidP="00AA149C">
      <w:pPr>
        <w:pStyle w:val="Heading2"/>
      </w:pPr>
      <w:bookmarkStart w:id="315" w:name="_Toc295818157"/>
      <w:r>
        <w:lastRenderedPageBreak/>
        <w:t>Point</w:t>
      </w:r>
      <w:r w:rsidR="00050B54">
        <w:t>-</w:t>
      </w:r>
      <w:r>
        <w:t>Kinetics Methodology</w:t>
      </w:r>
      <w:bookmarkEnd w:id="315"/>
    </w:p>
    <w:p w:rsidR="00506AA8" w:rsidRDefault="00506AA8" w:rsidP="00506AA8">
      <w:r>
        <w:t>The PARET code couples neutronic (point-kinetics), hydrodynamic (1-D), and heat transfer (1-D) equations to study non-destructive accidents caused by transients in research reactors with plate- or pin-type fuel elements.  The PARET input developed in</w:t>
      </w:r>
      <w:r w:rsidR="006B5D42">
        <w:t xml:space="preserve"> </w:t>
      </w:r>
      <w:r w:rsidR="007511FA">
        <w:fldChar w:fldCharType="begin"/>
      </w:r>
      <w:r w:rsidR="006B5D42">
        <w:instrText xml:space="preserve"> REF _Ref285636356 \n \h </w:instrText>
      </w:r>
      <w:r w:rsidR="007511FA">
        <w:fldChar w:fldCharType="separate"/>
      </w:r>
      <w:r w:rsidR="00D5167B">
        <w:t>[28]</w:t>
      </w:r>
      <w:r w:rsidR="007511FA">
        <w:fldChar w:fldCharType="end"/>
      </w:r>
      <w:r>
        <w:t xml:space="preserve"> was modified as needed for modeling the rabbit ejection transient.  In order to represent an accurate power distribution, the plates were </w:t>
      </w:r>
      <w:proofErr w:type="spellStart"/>
      <w:r>
        <w:t>discretized</w:t>
      </w:r>
      <w:proofErr w:type="spellEnd"/>
      <w:r>
        <w:t xml:space="preserve"> into 19 axial regions and by dividing the IFE and OFE into 8 and 9 radial regions, respectively.  The main inputs include the external reactivity insertion, the thermal properties for the clad and fuel, the neutronic parameters (6 delayed precursor groups), the operational parameters, and the control system response data.</w:t>
      </w:r>
    </w:p>
    <w:p w:rsidR="00506AA8" w:rsidRDefault="00506AA8" w:rsidP="00506AA8">
      <w:r>
        <w:t xml:space="preserve">The ejection transient has also been modeled with an input developed in the COMSOL v3.5 built-in ODE solver.  COMSOL is a finite-element-based </w:t>
      </w:r>
      <w:proofErr w:type="spellStart"/>
      <w:r>
        <w:t>multiphysics</w:t>
      </w:r>
      <w:proofErr w:type="spellEnd"/>
      <w:r>
        <w:t xml:space="preserve"> software package used to solve physics-based systems of differential equations.  Fifteen ODEs were derived and coded into COMSOL including the point-kinetics equations, the rate trip output voltage equation, and various equations needed to employ temperature and voiding reactivity feedback effects.</w:t>
      </w:r>
    </w:p>
    <w:p w:rsidR="000C5E2C" w:rsidRDefault="000C5E2C" w:rsidP="00506AA8"/>
    <w:p w:rsidR="00535B14" w:rsidRDefault="00050B54" w:rsidP="00AA149C">
      <w:pPr>
        <w:pStyle w:val="Heading2"/>
      </w:pPr>
      <w:bookmarkStart w:id="316" w:name="_Toc295818158"/>
      <w:r>
        <w:t>Point-</w:t>
      </w:r>
      <w:r w:rsidR="00506AA8">
        <w:t>Kinetics Results</w:t>
      </w:r>
      <w:bookmarkEnd w:id="316"/>
    </w:p>
    <w:p w:rsidR="00506AA8" w:rsidRDefault="00506AA8" w:rsidP="00EF70FA">
      <w:r>
        <w:t>Measurement data from a cadmium rabbit ejection was obtained and the PARET and COMSOL point-kinetics models were used to calculate the time-dependent reactor power during the ejection.  The rabbit worth was determined to be about 8 cents and the ejection occurred at BOC conditions and at a power of 12 MW</w:t>
      </w:r>
      <w:r>
        <w:rPr>
          <w:vertAlign w:val="subscript"/>
        </w:rPr>
        <w:t>th</w:t>
      </w:r>
      <w:r>
        <w:t xml:space="preserve">.  The rate network (volts) and change in reactor power [1 + </w:t>
      </w:r>
      <w:r>
        <w:rPr>
          <w:rFonts w:ascii="Calibri" w:hAnsi="Calibri"/>
        </w:rPr>
        <w:t>Δ</w:t>
      </w:r>
      <w:r>
        <w:t>P (MW</w:t>
      </w:r>
      <w:r>
        <w:rPr>
          <w:vertAlign w:val="subscript"/>
        </w:rPr>
        <w:t>th</w:t>
      </w:r>
      <w:r>
        <w:t xml:space="preserve">)] are shown for the measured results and the COMSOL and PARET calculations in </w:t>
      </w:r>
      <w:r w:rsidR="007511FA">
        <w:rPr>
          <w:highlight w:val="yellow"/>
        </w:rPr>
        <w:fldChar w:fldCharType="begin"/>
      </w:r>
      <w:r w:rsidR="000C5E2C">
        <w:instrText xml:space="preserve"> REF _Ref285538799 \h </w:instrText>
      </w:r>
      <w:r w:rsidR="007511FA">
        <w:rPr>
          <w:highlight w:val="yellow"/>
        </w:rPr>
      </w:r>
      <w:r w:rsidR="007511FA">
        <w:rPr>
          <w:highlight w:val="yellow"/>
        </w:rPr>
        <w:fldChar w:fldCharType="separate"/>
      </w:r>
      <w:r w:rsidR="00D5167B">
        <w:t xml:space="preserve">Figure </w:t>
      </w:r>
      <w:r w:rsidR="00D5167B">
        <w:rPr>
          <w:noProof/>
        </w:rPr>
        <w:t>8</w:t>
      </w:r>
      <w:r w:rsidR="00D5167B">
        <w:t>.</w:t>
      </w:r>
      <w:r w:rsidR="00D5167B">
        <w:rPr>
          <w:noProof/>
        </w:rPr>
        <w:t>2</w:t>
      </w:r>
      <w:r w:rsidR="007511FA">
        <w:rPr>
          <w:highlight w:val="yellow"/>
        </w:rPr>
        <w:fldChar w:fldCharType="end"/>
      </w:r>
      <w:r>
        <w:t>.</w:t>
      </w:r>
      <w:r>
        <w:br w:type="page"/>
      </w:r>
    </w:p>
    <w:p w:rsidR="00506AA8" w:rsidRDefault="00506AA8" w:rsidP="00CA2E5F">
      <w:pPr>
        <w:spacing w:line="240" w:lineRule="auto"/>
        <w:ind w:firstLine="0"/>
        <w:jc w:val="center"/>
      </w:pPr>
      <w:r>
        <w:rPr>
          <w:noProof/>
        </w:rPr>
        <w:lastRenderedPageBreak/>
        <w:drawing>
          <wp:inline distT="0" distB="0" distL="0" distR="0">
            <wp:extent cx="4144690" cy="3657600"/>
            <wp:effectExtent l="0" t="0" r="0" b="0"/>
            <wp:docPr id="79" name="Picture 1" descr="C:\Users\dcz\Desktop\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cz\Desktop\Picture1.png"/>
                    <pic:cNvPicPr>
                      <a:picLocks noChangeAspect="1" noChangeArrowheads="1"/>
                    </pic:cNvPicPr>
                  </pic:nvPicPr>
                  <pic:blipFill>
                    <a:blip r:embed="rId74" cstate="print"/>
                    <a:srcRect l="976" t="1304" r="2764" b="1117"/>
                    <a:stretch>
                      <a:fillRect/>
                    </a:stretch>
                  </pic:blipFill>
                  <pic:spPr bwMode="auto">
                    <a:xfrm>
                      <a:off x="0" y="0"/>
                      <a:ext cx="4144690" cy="3657600"/>
                    </a:xfrm>
                    <a:prstGeom prst="rect">
                      <a:avLst/>
                    </a:prstGeom>
                    <a:noFill/>
                    <a:ln w="9525">
                      <a:noFill/>
                      <a:miter lim="800000"/>
                      <a:headEnd/>
                      <a:tailEnd/>
                    </a:ln>
                  </pic:spPr>
                </pic:pic>
              </a:graphicData>
            </a:graphic>
          </wp:inline>
        </w:drawing>
      </w:r>
    </w:p>
    <w:p w:rsidR="00506AA8" w:rsidRPr="005E73E4" w:rsidRDefault="000C5E2C" w:rsidP="000C5E2C">
      <w:pPr>
        <w:pStyle w:val="Caption"/>
      </w:pPr>
      <w:bookmarkStart w:id="317" w:name="_Ref285538799"/>
      <w:bookmarkStart w:id="318" w:name="_Toc295818246"/>
      <w:proofErr w:type="gramStart"/>
      <w:r>
        <w:t xml:space="preserve">Figure </w:t>
      </w:r>
      <w:r w:rsidR="007511FA">
        <w:fldChar w:fldCharType="begin"/>
      </w:r>
      <w:r w:rsidR="00AE17F8">
        <w:instrText xml:space="preserve"> STYLEREF 1 \s </w:instrText>
      </w:r>
      <w:r w:rsidR="007511FA">
        <w:fldChar w:fldCharType="separate"/>
      </w:r>
      <w:r w:rsidR="00D5167B">
        <w:rPr>
          <w:noProof/>
        </w:rPr>
        <w:t>8</w:t>
      </w:r>
      <w:r w:rsidR="007511FA">
        <w:fldChar w:fldCharType="end"/>
      </w:r>
      <w:r>
        <w:t>.</w:t>
      </w:r>
      <w:proofErr w:type="gramEnd"/>
      <w:r w:rsidR="007511FA">
        <w:fldChar w:fldCharType="begin"/>
      </w:r>
      <w:r w:rsidR="00C43F40">
        <w:instrText xml:space="preserve"> SEQ Figure \* ARABIC \s 1 </w:instrText>
      </w:r>
      <w:r w:rsidR="007511FA">
        <w:fldChar w:fldCharType="separate"/>
      </w:r>
      <w:r w:rsidR="00D5167B">
        <w:rPr>
          <w:noProof/>
        </w:rPr>
        <w:t>2</w:t>
      </w:r>
      <w:r w:rsidR="007511FA">
        <w:fldChar w:fldCharType="end"/>
      </w:r>
      <w:bookmarkEnd w:id="317"/>
      <w:r w:rsidR="00506AA8" w:rsidRPr="005E73E4">
        <w:t xml:space="preserve">.  </w:t>
      </w:r>
      <w:proofErr w:type="gramStart"/>
      <w:r w:rsidR="00506AA8" w:rsidRPr="005E73E4">
        <w:t>Rate Network (V) and Reactor Power [1 + ∆P (MW</w:t>
      </w:r>
      <w:r w:rsidR="00506AA8" w:rsidRPr="005E73E4">
        <w:rPr>
          <w:vertAlign w:val="subscript"/>
        </w:rPr>
        <w:t>th</w:t>
      </w:r>
      <w:r w:rsidR="00506AA8" w:rsidRPr="005E73E4">
        <w:t>)] Response.</w:t>
      </w:r>
      <w:bookmarkEnd w:id="318"/>
      <w:proofErr w:type="gramEnd"/>
    </w:p>
    <w:p w:rsidR="00CA2E5F" w:rsidRDefault="00CA2E5F" w:rsidP="00CA2E5F">
      <w:pPr>
        <w:rPr>
          <w:rFonts w:ascii="Times New Roman" w:hAnsi="Times New Roman"/>
          <w:b/>
          <w:bCs/>
          <w:sz w:val="20"/>
          <w:szCs w:val="18"/>
        </w:rPr>
      </w:pPr>
    </w:p>
    <w:p w:rsidR="00CA2E5F" w:rsidRPr="00CA2E5F" w:rsidRDefault="00CA2E5F" w:rsidP="00CA2E5F"/>
    <w:p w:rsidR="00506AA8" w:rsidRDefault="00506AA8" w:rsidP="00AA149C">
      <w:pPr>
        <w:pStyle w:val="Heading2"/>
      </w:pPr>
      <w:bookmarkStart w:id="319" w:name="_Toc295818159"/>
      <w:r>
        <w:t>Poin</w:t>
      </w:r>
      <w:r w:rsidR="00050B54">
        <w:t>t-</w:t>
      </w:r>
      <w:r>
        <w:t>Kinetics Summary</w:t>
      </w:r>
      <w:bookmarkEnd w:id="319"/>
    </w:p>
    <w:p w:rsidR="00506AA8" w:rsidRDefault="00506AA8" w:rsidP="00506AA8">
      <w:r>
        <w:t xml:space="preserve">Rabbit ejection tests of various </w:t>
      </w:r>
      <w:proofErr w:type="spellStart"/>
      <w:r>
        <w:t>worths</w:t>
      </w:r>
      <w:proofErr w:type="spellEnd"/>
      <w:r>
        <w:t xml:space="preserve"> are being performed in order to define the operating space for irradiating nuclear fuel samples in HFIR’s HT.  These samples will be used to study the temperature- and irradiation-dependent </w:t>
      </w:r>
      <w:proofErr w:type="spellStart"/>
      <w:r>
        <w:t>microstructural</w:t>
      </w:r>
      <w:proofErr w:type="spellEnd"/>
      <w:r>
        <w:t xml:space="preserve"> evolution of certain fuel types.  The samples will be shielded by thermal neutron absorbing materials and thus when ejected will insert positive reactivity into the system.  Point-kinetics studies have been used to aid in these experiments and to develop a transient power response prediction methodology.  Due to the limitations and assumptions associated with point-kinetics, a time- and spatially-dependent kinetics model is being developed to study the spatial effects of transients such as HT rabbit ejections and control cylinder ejections.</w:t>
      </w:r>
    </w:p>
    <w:p w:rsidR="00535B14" w:rsidRDefault="00506AA8" w:rsidP="00506AA8">
      <w:r>
        <w:lastRenderedPageBreak/>
        <w:t xml:space="preserve">A 2-D, two-group, neutron diffusion theory model of HFIR was developed via COMSOL as a first step approach in creating a spatially-dependent reactor kinetics model.  This model is currently being updated by creating a more detailed geometry and by expanding from two neutron energy groups to three in order to incorporate an epithermal group.  Once this model is complete, a </w:t>
      </w:r>
      <w:proofErr w:type="spellStart"/>
      <w:r>
        <w:t>multiphysics</w:t>
      </w:r>
      <w:proofErr w:type="spellEnd"/>
      <w:r>
        <w:t xml:space="preserve"> model will be developed by adding fluid flow and heat transfer physics.  A time-dependent solver will then be setup and spatially-dependent reactivity-induced transients will be studied and compared to previous methodologies employing point-kinetics.</w:t>
      </w:r>
    </w:p>
    <w:p w:rsidR="00535B14" w:rsidRDefault="00535B14" w:rsidP="00535B14"/>
    <w:p w:rsidR="00535B14" w:rsidRDefault="00535B14">
      <w:pPr>
        <w:spacing w:before="0" w:after="200" w:line="276" w:lineRule="auto"/>
      </w:pPr>
      <w:r>
        <w:br w:type="page"/>
      </w:r>
    </w:p>
    <w:p w:rsidR="00535B14" w:rsidRDefault="00535B14" w:rsidP="00AA149C">
      <w:pPr>
        <w:pStyle w:val="Heading1"/>
      </w:pPr>
      <w:bookmarkStart w:id="320" w:name="_Toc295818160"/>
      <w:r>
        <w:lastRenderedPageBreak/>
        <w:t>Two-Dimensional BOC Static Flux Distributions</w:t>
      </w:r>
      <w:bookmarkEnd w:id="320"/>
    </w:p>
    <w:p w:rsidR="0061389A" w:rsidRDefault="0061389A" w:rsidP="0095569A">
      <w:r>
        <w:t>Neutron diffusion theory is one of the simplest and most widely used methods to determine the neutron distribution within a reactor and can be used to characterize as many neutron energy groups as the user desires</w:t>
      </w:r>
      <w:r w:rsidR="006B5D42">
        <w:t xml:space="preserve"> </w:t>
      </w:r>
      <w:r w:rsidR="007511FA">
        <w:fldChar w:fldCharType="begin"/>
      </w:r>
      <w:r w:rsidR="006B5D42">
        <w:instrText xml:space="preserve"> REF _Ref285638388 \n \h </w:instrText>
      </w:r>
      <w:r w:rsidR="007511FA">
        <w:fldChar w:fldCharType="separate"/>
      </w:r>
      <w:r w:rsidR="00D5167B">
        <w:t>[101]</w:t>
      </w:r>
      <w:r w:rsidR="007511FA">
        <w:fldChar w:fldCharType="end"/>
      </w:r>
      <w:r>
        <w:t>.  The two-group, spatially-dependent neutron diffusion equations were implemented in COMSOL Multiphysics v3.5a</w:t>
      </w:r>
      <w:r w:rsidR="006B5D42">
        <w:t xml:space="preserve"> </w:t>
      </w:r>
      <w:r w:rsidR="007511FA">
        <w:fldChar w:fldCharType="begin"/>
      </w:r>
      <w:r w:rsidR="006B5D42">
        <w:instrText xml:space="preserve"> REF _Ref285636781 \n \h </w:instrText>
      </w:r>
      <w:r w:rsidR="007511FA">
        <w:fldChar w:fldCharType="separate"/>
      </w:r>
      <w:r w:rsidR="00D5167B">
        <w:t>[64]</w:t>
      </w:r>
      <w:r w:rsidR="007511FA">
        <w:fldChar w:fldCharType="end"/>
      </w:r>
      <w:r>
        <w:t xml:space="preserve"> to simulate neutron transport in a two-dimensional model of the High Flux Isotope Reactor (HFIR) in order to determine the thermal and fast neutron distributions within the reactor at steady-state beginning-of-cycle (BOC) conditions.  This task was the first step to accomplishing a time-dependent neutronics solution in COMSOL using a two-dimensional and then a three-dimensional model of HFIR.  The purpose of the model development is to study the spatial dependence of transient-induced behavior in the reactor core.  A COMSOL-based thermal hydraulic and structural analysis model of the HFIR is under development in an independent but parallel project</w:t>
      </w:r>
      <w:r w:rsidR="006B5D42">
        <w:t xml:space="preserve"> </w:t>
      </w:r>
      <w:r w:rsidR="007511FA">
        <w:fldChar w:fldCharType="begin"/>
      </w:r>
      <w:r w:rsidR="006B5D42">
        <w:instrText xml:space="preserve"> REF _Ref285638415 \n \h </w:instrText>
      </w:r>
      <w:r w:rsidR="007511FA">
        <w:fldChar w:fldCharType="separate"/>
      </w:r>
      <w:r w:rsidR="00D5167B">
        <w:t>[102]</w:t>
      </w:r>
      <w:r w:rsidR="007511FA">
        <w:fldChar w:fldCharType="end"/>
      </w:r>
      <w:r w:rsidR="006B5D42">
        <w:t>.</w:t>
      </w:r>
      <w:r>
        <w:t xml:space="preserve">  That model is expected to eventually be merged with the current work to form a comprehensive </w:t>
      </w:r>
      <w:proofErr w:type="spellStart"/>
      <w:r>
        <w:t>multiphysics</w:t>
      </w:r>
      <w:proofErr w:type="spellEnd"/>
      <w:r>
        <w:t xml:space="preserve"> solution for transient-induced behavior.</w:t>
      </w:r>
    </w:p>
    <w:p w:rsidR="0061389A" w:rsidRDefault="0061389A" w:rsidP="00B12830">
      <w:r>
        <w:t>The cross sections needed to solve the diffusion equations were calculated by means of NEWT</w:t>
      </w:r>
      <w:r w:rsidR="006B5D42">
        <w:t xml:space="preserve"> </w:t>
      </w:r>
      <w:r w:rsidR="007511FA">
        <w:fldChar w:fldCharType="begin"/>
      </w:r>
      <w:r w:rsidR="006B5D42">
        <w:instrText xml:space="preserve"> REF _Ref285636736 \n \h </w:instrText>
      </w:r>
      <w:r w:rsidR="007511FA">
        <w:fldChar w:fldCharType="separate"/>
      </w:r>
      <w:r w:rsidR="00D5167B">
        <w:t>[61]</w:t>
      </w:r>
      <w:r w:rsidR="007511FA">
        <w:fldChar w:fldCharType="end"/>
      </w:r>
      <w:r>
        <w:t>, a two-dimensional neutron transport code in the SCALE 6 package</w:t>
      </w:r>
      <w:r w:rsidR="006B5D42">
        <w:t xml:space="preserve"> </w:t>
      </w:r>
      <w:r w:rsidR="007511FA">
        <w:fldChar w:fldCharType="begin"/>
      </w:r>
      <w:r w:rsidR="006B5D42">
        <w:instrText xml:space="preserve"> REF _Ref285636676 \n \h </w:instrText>
      </w:r>
      <w:r w:rsidR="007511FA">
        <w:fldChar w:fldCharType="separate"/>
      </w:r>
      <w:r w:rsidR="00D5167B">
        <w:t>[55]</w:t>
      </w:r>
      <w:r w:rsidR="007511FA">
        <w:fldChar w:fldCharType="end"/>
      </w:r>
      <w:r>
        <w:t>.  The same geometry used in NEWT was created in COMSOL and the cross sections calculated by NEWT were inserted into COMSOL.  The diffusion equations and associated boundary conditions were coded into COMSOL by means of the partial differential equation (PDE) coefficient application mode and the flux profiles in the HFIR core were solved via eigenvalue analysis and a d</w:t>
      </w:r>
      <w:r w:rsidRPr="0053018A">
        <w:t>irect (PARDISO) linear system solver</w:t>
      </w:r>
      <w:r>
        <w:t>.  A COMSOL-provided adaptive mesh refinement algorithm was used to solve the diffusion equations using a sequence of refined meshes by increasing the number of elements in areas where the previous calculation (same PDE problem, but different mesh) yielded the largest numerical errors.  Similar diffusion analyses have been performed for a molten salt breeder reactor (MSBR) core channel</w:t>
      </w:r>
      <w:r w:rsidR="006B5D42">
        <w:t xml:space="preserve"> </w:t>
      </w:r>
      <w:r w:rsidR="007511FA">
        <w:fldChar w:fldCharType="begin"/>
      </w:r>
      <w:r w:rsidR="006B5D42">
        <w:instrText xml:space="preserve"> REF _Ref285636509 \n \h </w:instrText>
      </w:r>
      <w:r w:rsidR="007511FA">
        <w:fldChar w:fldCharType="separate"/>
      </w:r>
      <w:r w:rsidR="00D5167B">
        <w:t>[45]</w:t>
      </w:r>
      <w:r w:rsidR="007511FA">
        <w:fldChar w:fldCharType="end"/>
      </w:r>
      <w:r>
        <w:t xml:space="preserve"> and a CANDU lattice</w:t>
      </w:r>
      <w:r w:rsidR="006B5D42">
        <w:t xml:space="preserve"> </w:t>
      </w:r>
      <w:r w:rsidR="007511FA">
        <w:fldChar w:fldCharType="begin"/>
      </w:r>
      <w:r w:rsidR="006B5D42">
        <w:instrText xml:space="preserve"> REF _Ref285636503 \n \h </w:instrText>
      </w:r>
      <w:r w:rsidR="007511FA">
        <w:fldChar w:fldCharType="separate"/>
      </w:r>
      <w:r w:rsidR="00D5167B">
        <w:t>[44]</w:t>
      </w:r>
      <w:r w:rsidR="007511FA">
        <w:fldChar w:fldCharType="end"/>
      </w:r>
      <w:r>
        <w:t>.</w:t>
      </w:r>
    </w:p>
    <w:p w:rsidR="00A704D4" w:rsidRDefault="00A704D4" w:rsidP="00AA149C">
      <w:pPr>
        <w:pStyle w:val="Heading2"/>
      </w:pPr>
      <w:bookmarkStart w:id="321" w:name="_Toc295818161"/>
      <w:r>
        <w:lastRenderedPageBreak/>
        <w:t>NEWT Model Development</w:t>
      </w:r>
      <w:bookmarkEnd w:id="321"/>
    </w:p>
    <w:p w:rsidR="0061389A" w:rsidRDefault="0061389A" w:rsidP="0095569A">
      <w:r>
        <w:t>A two-dimensional NEWT model of HFIR was developed by modifying an existing NEWT model of HFIR that was created for low enriched uranium (LEU) conversion studies</w:t>
      </w:r>
      <w:r w:rsidR="006B5D42">
        <w:t xml:space="preserve"> </w:t>
      </w:r>
      <w:r w:rsidR="007511FA">
        <w:fldChar w:fldCharType="begin"/>
      </w:r>
      <w:r w:rsidR="006B5D42">
        <w:instrText xml:space="preserve"> REF _Ref285636307 \n \h </w:instrText>
      </w:r>
      <w:r w:rsidR="007511FA">
        <w:fldChar w:fldCharType="separate"/>
      </w:r>
      <w:r w:rsidR="00D5167B">
        <w:t>[25]</w:t>
      </w:r>
      <w:r w:rsidR="007511FA">
        <w:fldChar w:fldCharType="end"/>
      </w:r>
      <w:r>
        <w:t xml:space="preserve">.  The major modifications to the LEU model included changing the fuel to HEU, modeling the CEs in the control region, and by modeling the bottom half of HFIR rather than using symmetry across the core horizontal midplane (y = 0).  The geometry utilized in the LEU model is a two-dimensional quarter configuration of HFIR such that symmetry was utilized at the core horizontal midplane and the core vertical centerline (x = 0; </w:t>
      </w:r>
      <w:proofErr w:type="spellStart"/>
      <w:proofErr w:type="gramStart"/>
      <w:r>
        <w:t>cartesian</w:t>
      </w:r>
      <w:proofErr w:type="spellEnd"/>
      <w:proofErr w:type="gramEnd"/>
      <w:r>
        <w:t xml:space="preserve"> geometry).  The HEU model developed for these studies utilized the same radial and axial boundaries and atomic densities as used in benchmarked three-dimensional HEU TRITON</w:t>
      </w:r>
      <w:r w:rsidR="006B5D42">
        <w:t xml:space="preserve">, </w:t>
      </w:r>
      <w:r w:rsidR="007511FA">
        <w:fldChar w:fldCharType="begin"/>
      </w:r>
      <w:r w:rsidR="006B5D42">
        <w:instrText xml:space="preserve"> REF _Ref285636033 \n \h </w:instrText>
      </w:r>
      <w:r w:rsidR="007511FA">
        <w:fldChar w:fldCharType="separate"/>
      </w:r>
      <w:r w:rsidR="00D5167B">
        <w:t>[8]</w:t>
      </w:r>
      <w:r w:rsidR="007511FA">
        <w:fldChar w:fldCharType="end"/>
      </w:r>
      <w:r w:rsidR="006B5D42">
        <w:t xml:space="preserve"> - </w:t>
      </w:r>
      <w:r w:rsidR="007511FA">
        <w:fldChar w:fldCharType="begin"/>
      </w:r>
      <w:r w:rsidR="006B5D42">
        <w:instrText xml:space="preserve"> REF _Ref285636077 \n \h </w:instrText>
      </w:r>
      <w:r w:rsidR="007511FA">
        <w:fldChar w:fldCharType="separate"/>
      </w:r>
      <w:r w:rsidR="00D5167B">
        <w:t>[12]</w:t>
      </w:r>
      <w:r w:rsidR="007511FA">
        <w:fldChar w:fldCharType="end"/>
      </w:r>
      <w:r w:rsidR="006B5D42">
        <w:t xml:space="preserve">, and MCNP </w:t>
      </w:r>
      <w:r w:rsidR="007511FA">
        <w:fldChar w:fldCharType="begin"/>
      </w:r>
      <w:r w:rsidR="006B5D42">
        <w:instrText xml:space="preserve"> REF _Ref285636274 \n \h </w:instrText>
      </w:r>
      <w:r w:rsidR="007511FA">
        <w:fldChar w:fldCharType="separate"/>
      </w:r>
      <w:r w:rsidR="00D5167B">
        <w:t>[23]</w:t>
      </w:r>
      <w:r w:rsidR="007511FA">
        <w:fldChar w:fldCharType="end"/>
      </w:r>
      <w:r>
        <w:t xml:space="preserve"> models.  The HEU input models a half configuration of HFIR such that symmetry was only utilized across the core centerline (x = 0; </w:t>
      </w:r>
      <w:proofErr w:type="spellStart"/>
      <w:proofErr w:type="gramStart"/>
      <w:r>
        <w:t>cartesian</w:t>
      </w:r>
      <w:proofErr w:type="spellEnd"/>
      <w:proofErr w:type="gramEnd"/>
      <w:r>
        <w:t xml:space="preserve"> geometry).</w:t>
      </w:r>
    </w:p>
    <w:p w:rsidR="0061389A" w:rsidRDefault="0061389A" w:rsidP="0095569A">
      <w:r>
        <w:t>The flux trap is modeled as multiple homogenized regions in order to incorporate aluminum cladding, targets, and structure; water coolant; and curium target rods.  The IFE and OFE are modeled as 8 and 9 radial regions, respectively, in order to incorporate the non-uniform distribution of HEU along the arc of the involute fuel plates.  The non-fueled upper and lower regions of the FEs are modeled by homogenizing the water channels and the aluminum plates while the plate that separates the FEs is a mixture of aluminum and water coolant.</w:t>
      </w:r>
    </w:p>
    <w:p w:rsidR="0061389A" w:rsidRDefault="0061389A" w:rsidP="0095569A">
      <w:r>
        <w:t xml:space="preserve">The white, grey, and black regions of the CEs are modeled by homogenizing them with the clad and water gap regions.  The CEs are inserted such that the faces of the gray regions are positioned at the core horizontal midplane as shown in </w:t>
      </w:r>
      <w:r w:rsidR="007511FA">
        <w:rPr>
          <w:highlight w:val="yellow"/>
        </w:rPr>
        <w:fldChar w:fldCharType="begin"/>
      </w:r>
      <w:r w:rsidR="000C5E2C">
        <w:instrText xml:space="preserve"> REF _Ref285540203 \h </w:instrText>
      </w:r>
      <w:r w:rsidR="007511FA">
        <w:rPr>
          <w:highlight w:val="yellow"/>
        </w:rPr>
      </w:r>
      <w:r w:rsidR="007511FA">
        <w:rPr>
          <w:highlight w:val="yellow"/>
        </w:rPr>
        <w:fldChar w:fldCharType="separate"/>
      </w:r>
      <w:r w:rsidR="00D5167B">
        <w:t xml:space="preserve">Figure </w:t>
      </w:r>
      <w:r w:rsidR="00D5167B">
        <w:rPr>
          <w:noProof/>
        </w:rPr>
        <w:t>9</w:t>
      </w:r>
      <w:r w:rsidR="00D5167B">
        <w:t>.</w:t>
      </w:r>
      <w:r w:rsidR="00D5167B">
        <w:rPr>
          <w:noProof/>
        </w:rPr>
        <w:t>1</w:t>
      </w:r>
      <w:r w:rsidR="007511FA">
        <w:rPr>
          <w:highlight w:val="yellow"/>
        </w:rPr>
        <w:fldChar w:fldCharType="end"/>
      </w:r>
      <w:r w:rsidRPr="00CC3BE2">
        <w:t>.</w:t>
      </w:r>
      <w:r>
        <w:t xml:space="preserve">  The white regions of the CEs are positioned above and below the ICE and OCE grey regions, respectively, and the black regions of the CEs are positioned below and above the ICE and OCE grey regions, respectively.  The beryllium reflector is modeled as two separate regions, a removable beryllium reflector (RB) and a permanent beryllium reflector (PB), each composed of beryllium, water, and aluminum.  The radial and axial boundaries of the regions defined in the NEWT geometry are defined in </w:t>
      </w:r>
      <w:r w:rsidR="007511FA">
        <w:rPr>
          <w:highlight w:val="yellow"/>
        </w:rPr>
        <w:fldChar w:fldCharType="begin"/>
      </w:r>
      <w:r w:rsidR="000C5E2C">
        <w:instrText xml:space="preserve"> REF _Ref285540190 \h </w:instrText>
      </w:r>
      <w:r w:rsidR="007511FA">
        <w:rPr>
          <w:highlight w:val="yellow"/>
        </w:rPr>
      </w:r>
      <w:r w:rsidR="007511FA">
        <w:rPr>
          <w:highlight w:val="yellow"/>
        </w:rPr>
        <w:fldChar w:fldCharType="separate"/>
      </w:r>
      <w:r w:rsidR="00D5167B">
        <w:t xml:space="preserve">Table </w:t>
      </w:r>
      <w:r w:rsidR="00D5167B">
        <w:rPr>
          <w:noProof/>
        </w:rPr>
        <w:t>9</w:t>
      </w:r>
      <w:r w:rsidR="00D5167B">
        <w:t>.</w:t>
      </w:r>
      <w:r w:rsidR="00D5167B">
        <w:rPr>
          <w:noProof/>
        </w:rPr>
        <w:t>1</w:t>
      </w:r>
      <w:r w:rsidR="007511FA">
        <w:rPr>
          <w:highlight w:val="yellow"/>
        </w:rPr>
        <w:fldChar w:fldCharType="end"/>
      </w:r>
      <w:r>
        <w:t xml:space="preserve"> with brief material descriptions of each region.</w:t>
      </w:r>
    </w:p>
    <w:p w:rsidR="0061389A" w:rsidRDefault="0061389A" w:rsidP="0095569A">
      <w:r>
        <w:lastRenderedPageBreak/>
        <w:t xml:space="preserve">The 238-group ENDF/B-VII neutron cross section library and NEWT were used to generate the two-group macroscopic cross sections needed for the COMSOL input.  The 238-group cross sections and fluxes were collapsed into two-group form: fast flux (group 1) consisting of neutrons with energies between 3 </w:t>
      </w:r>
      <w:proofErr w:type="spellStart"/>
      <w:r>
        <w:t>eV</w:t>
      </w:r>
      <w:proofErr w:type="spellEnd"/>
      <w:r>
        <w:t xml:space="preserve"> and 20 </w:t>
      </w:r>
      <w:proofErr w:type="spellStart"/>
      <w:r>
        <w:t>MeV</w:t>
      </w:r>
      <w:proofErr w:type="spellEnd"/>
      <w:r>
        <w:t xml:space="preserve"> and thermal flux (group 2) consisting of neutrons with energies between 10</w:t>
      </w:r>
      <w:r w:rsidRPr="0009332C">
        <w:rPr>
          <w:vertAlign w:val="superscript"/>
        </w:rPr>
        <w:t>-5</w:t>
      </w:r>
      <w:r>
        <w:t xml:space="preserve"> </w:t>
      </w:r>
      <w:proofErr w:type="spellStart"/>
      <w:r>
        <w:t>eV</w:t>
      </w:r>
      <w:proofErr w:type="spellEnd"/>
      <w:r>
        <w:t xml:space="preserve"> and 3 </w:t>
      </w:r>
      <w:proofErr w:type="spellStart"/>
      <w:r>
        <w:t>eV</w:t>
      </w:r>
      <w:proofErr w:type="spellEnd"/>
      <w:r>
        <w:t xml:space="preserve">.  A cutoff energy of 3 </w:t>
      </w:r>
      <w:proofErr w:type="spellStart"/>
      <w:r>
        <w:t>eV</w:t>
      </w:r>
      <w:proofErr w:type="spellEnd"/>
      <w:r>
        <w:t xml:space="preserve"> was chosen such that </w:t>
      </w:r>
      <w:proofErr w:type="spellStart"/>
      <w:r>
        <w:t>upscattering</w:t>
      </w:r>
      <w:proofErr w:type="spellEnd"/>
      <w:r>
        <w:t xml:space="preserve"> (scattering from the thermal energy group to the fast energy group) could be neglected.  The two-group macroscopic cross sections required to solve the diffusion theory equations include the transport cross section (</w:t>
      </w:r>
      <w:proofErr w:type="spellStart"/>
      <w:r w:rsidRPr="004C114F">
        <w:rPr>
          <w:rFonts w:ascii="Times New Roman" w:eastAsia="Times New Roman" w:hAnsi="Times New Roman" w:cs="Times New Roman"/>
          <w:bCs/>
          <w:color w:val="000000"/>
        </w:rPr>
        <w:t>Σ</w:t>
      </w:r>
      <w:r w:rsidRPr="004C114F">
        <w:rPr>
          <w:rFonts w:ascii="Times New Roman" w:eastAsia="Times New Roman" w:hAnsi="Times New Roman" w:cs="Times New Roman"/>
          <w:bCs/>
          <w:color w:val="000000"/>
          <w:vertAlign w:val="subscript"/>
        </w:rPr>
        <w:t>tr</w:t>
      </w:r>
      <w:proofErr w:type="spellEnd"/>
      <w:r>
        <w:t>), the absorption cross section (</w:t>
      </w:r>
      <w:proofErr w:type="spellStart"/>
      <w:r w:rsidRPr="004C114F">
        <w:rPr>
          <w:rFonts w:ascii="Times New Roman" w:eastAsia="Times New Roman" w:hAnsi="Times New Roman" w:cs="Times New Roman"/>
          <w:bCs/>
          <w:color w:val="000000"/>
        </w:rPr>
        <w:t>Σ</w:t>
      </w:r>
      <w:r w:rsidRPr="004C114F">
        <w:rPr>
          <w:rFonts w:ascii="Times New Roman" w:eastAsia="Times New Roman" w:hAnsi="Times New Roman" w:cs="Times New Roman"/>
          <w:bCs/>
          <w:color w:val="000000"/>
          <w:vertAlign w:val="subscript"/>
        </w:rPr>
        <w:t>a</w:t>
      </w:r>
      <w:proofErr w:type="spellEnd"/>
      <w:r>
        <w:t>), the average number of neutrons emitted per fission event times the fission cross section (</w:t>
      </w:r>
      <w:proofErr w:type="spellStart"/>
      <w:r w:rsidRPr="004C114F">
        <w:rPr>
          <w:rFonts w:ascii="Times New Roman" w:eastAsia="Times New Roman" w:hAnsi="Times New Roman" w:cs="Times New Roman"/>
          <w:bCs/>
          <w:color w:val="000000"/>
        </w:rPr>
        <w:t>vΣ</w:t>
      </w:r>
      <w:r w:rsidRPr="004C114F">
        <w:rPr>
          <w:rFonts w:ascii="Times New Roman" w:eastAsia="Times New Roman" w:hAnsi="Times New Roman" w:cs="Times New Roman"/>
          <w:bCs/>
          <w:color w:val="000000"/>
          <w:vertAlign w:val="subscript"/>
        </w:rPr>
        <w:t>f</w:t>
      </w:r>
      <w:proofErr w:type="spellEnd"/>
      <w:r>
        <w:t xml:space="preserve">), and the downscatter (fast </w:t>
      </w:r>
      <w:r>
        <w:rPr>
          <w:rFonts w:cstheme="minorHAnsi"/>
        </w:rPr>
        <w:t>→</w:t>
      </w:r>
      <w:r>
        <w:t xml:space="preserve"> thermal) cross section (</w:t>
      </w:r>
      <w:r w:rsidRPr="004C114F">
        <w:rPr>
          <w:rFonts w:ascii="Times New Roman" w:eastAsia="Times New Roman" w:hAnsi="Times New Roman" w:cs="Times New Roman"/>
          <w:bCs/>
          <w:color w:val="000000"/>
        </w:rPr>
        <w:t>Σ</w:t>
      </w:r>
      <w:r w:rsidRPr="004C114F">
        <w:rPr>
          <w:rFonts w:ascii="Times New Roman" w:eastAsia="Times New Roman" w:hAnsi="Times New Roman" w:cs="Times New Roman"/>
          <w:bCs/>
          <w:color w:val="000000"/>
          <w:vertAlign w:val="subscript"/>
        </w:rPr>
        <w:t>s</w:t>
      </w:r>
      <w:r w:rsidRPr="004C114F">
        <w:rPr>
          <w:rFonts w:ascii="Times New Roman" w:eastAsia="Times New Roman" w:hAnsi="Times New Roman" w:cs="Times New Roman"/>
          <w:bCs/>
          <w:color w:val="000000"/>
          <w:vertAlign w:val="superscript"/>
        </w:rPr>
        <w:t>1-&gt;2</w:t>
      </w:r>
      <w:r>
        <w:t>).</w:t>
      </w:r>
    </w:p>
    <w:p w:rsidR="00B12830" w:rsidRDefault="0061389A" w:rsidP="00B12830">
      <w:r>
        <w:t>Each mixture’s two-group macroscopic cross sections were printed in the output through the utilization of the homogenization block in NEWT.  After the collapsed energy structure defined in the previous paragraph was developed, the homogenized cross sections were created by combining the flux weighted collapsed cross sections with the number densities and added such that reaction rates in the homogenized materials were conserved</w:t>
      </w:r>
      <w:r w:rsidR="006B5D42">
        <w:t xml:space="preserve"> </w:t>
      </w:r>
      <w:r w:rsidR="007511FA">
        <w:fldChar w:fldCharType="begin"/>
      </w:r>
      <w:r w:rsidR="006B5D42">
        <w:instrText xml:space="preserve"> REF _Ref285636736 \n \h </w:instrText>
      </w:r>
      <w:r w:rsidR="007511FA">
        <w:fldChar w:fldCharType="separate"/>
      </w:r>
      <w:r w:rsidR="00D5167B">
        <w:t>[61]</w:t>
      </w:r>
      <w:r w:rsidR="007511FA">
        <w:fldChar w:fldCharType="end"/>
      </w:r>
      <w:r>
        <w:t>.</w:t>
      </w:r>
    </w:p>
    <w:p w:rsidR="00B12830" w:rsidRDefault="00B12830">
      <w:pPr>
        <w:spacing w:before="0" w:after="200" w:line="276" w:lineRule="auto"/>
        <w:ind w:firstLine="0"/>
        <w:jc w:val="left"/>
      </w:pPr>
    </w:p>
    <w:p w:rsidR="0061389A" w:rsidRDefault="0061389A" w:rsidP="00CA2E5F">
      <w:pPr>
        <w:spacing w:line="240" w:lineRule="auto"/>
        <w:ind w:firstLine="0"/>
        <w:jc w:val="center"/>
      </w:pPr>
      <w:r>
        <w:rPr>
          <w:noProof/>
        </w:rPr>
        <w:drawing>
          <wp:inline distT="0" distB="0" distL="0" distR="0">
            <wp:extent cx="3167905" cy="2926080"/>
            <wp:effectExtent l="0" t="0" r="0" b="0"/>
            <wp:docPr id="22" name="Picture 1" descr="C:\Users\dcz\Desktop\final2D2G\HFIRmocku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cz\Desktop\final2D2G\HFIRmockup.png"/>
                    <pic:cNvPicPr>
                      <a:picLocks noChangeAspect="1" noChangeArrowheads="1"/>
                    </pic:cNvPicPr>
                  </pic:nvPicPr>
                  <pic:blipFill>
                    <a:blip r:embed="rId75" cstate="print"/>
                    <a:srcRect l="2208" t="2389"/>
                    <a:stretch>
                      <a:fillRect/>
                    </a:stretch>
                  </pic:blipFill>
                  <pic:spPr bwMode="auto">
                    <a:xfrm>
                      <a:off x="0" y="0"/>
                      <a:ext cx="3167905" cy="2926080"/>
                    </a:xfrm>
                    <a:prstGeom prst="rect">
                      <a:avLst/>
                    </a:prstGeom>
                    <a:noFill/>
                    <a:ln w="9525">
                      <a:noFill/>
                      <a:miter lim="800000"/>
                      <a:headEnd/>
                      <a:tailEnd/>
                    </a:ln>
                  </pic:spPr>
                </pic:pic>
              </a:graphicData>
            </a:graphic>
          </wp:inline>
        </w:drawing>
      </w:r>
    </w:p>
    <w:p w:rsidR="0061389A" w:rsidRPr="00CA2E5F" w:rsidRDefault="000C5E2C" w:rsidP="00CA2E5F">
      <w:pPr>
        <w:pStyle w:val="Caption"/>
        <w:spacing w:after="0"/>
      </w:pPr>
      <w:bookmarkStart w:id="322" w:name="_Ref285540203"/>
      <w:bookmarkStart w:id="323" w:name="_Toc295818247"/>
      <w:proofErr w:type="gramStart"/>
      <w:r>
        <w:t xml:space="preserve">Figure </w:t>
      </w:r>
      <w:r w:rsidR="007511FA">
        <w:fldChar w:fldCharType="begin"/>
      </w:r>
      <w:r w:rsidR="00AE17F8">
        <w:instrText xml:space="preserve"> STYLEREF 1 \s </w:instrText>
      </w:r>
      <w:r w:rsidR="007511FA">
        <w:fldChar w:fldCharType="separate"/>
      </w:r>
      <w:r w:rsidR="00D5167B">
        <w:rPr>
          <w:noProof/>
        </w:rPr>
        <w:t>9</w:t>
      </w:r>
      <w:r w:rsidR="007511FA">
        <w:fldChar w:fldCharType="end"/>
      </w:r>
      <w:r>
        <w:t>.</w:t>
      </w:r>
      <w:proofErr w:type="gramEnd"/>
      <w:r w:rsidR="007511FA">
        <w:fldChar w:fldCharType="begin"/>
      </w:r>
      <w:r w:rsidR="00C43F40">
        <w:instrText xml:space="preserve"> SEQ Figure \* ARABIC \s 1 </w:instrText>
      </w:r>
      <w:r w:rsidR="007511FA">
        <w:fldChar w:fldCharType="separate"/>
      </w:r>
      <w:r w:rsidR="00D5167B">
        <w:rPr>
          <w:noProof/>
        </w:rPr>
        <w:t>1</w:t>
      </w:r>
      <w:r w:rsidR="007511FA">
        <w:fldChar w:fldCharType="end"/>
      </w:r>
      <w:bookmarkEnd w:id="322"/>
      <w:r w:rsidR="0061389A" w:rsidRPr="000C5E2C">
        <w:t xml:space="preserve">.  </w:t>
      </w:r>
      <w:proofErr w:type="gramStart"/>
      <w:r w:rsidR="0061389A" w:rsidRPr="000C5E2C">
        <w:t>Schematic representation of NEWT and COMSOL models.</w:t>
      </w:r>
      <w:bookmarkEnd w:id="323"/>
      <w:proofErr w:type="gramEnd"/>
      <w:r w:rsidR="0061389A" w:rsidRPr="00B12830">
        <w:rPr>
          <w:sz w:val="22"/>
          <w:szCs w:val="22"/>
        </w:rPr>
        <w:br w:type="page"/>
      </w:r>
    </w:p>
    <w:p w:rsidR="0061389A" w:rsidRDefault="000C5E2C" w:rsidP="000C5E2C">
      <w:pPr>
        <w:pStyle w:val="Caption"/>
      </w:pPr>
      <w:bookmarkStart w:id="324" w:name="_Ref285540190"/>
      <w:bookmarkStart w:id="325" w:name="_Toc295818282"/>
      <w:proofErr w:type="gramStart"/>
      <w:r>
        <w:lastRenderedPageBreak/>
        <w:t xml:space="preserve">Table </w:t>
      </w:r>
      <w:r w:rsidR="007511FA">
        <w:fldChar w:fldCharType="begin"/>
      </w:r>
      <w:r w:rsidR="00AE17F8">
        <w:instrText xml:space="preserve"> STYLEREF 1 \s </w:instrText>
      </w:r>
      <w:r w:rsidR="007511FA">
        <w:fldChar w:fldCharType="separate"/>
      </w:r>
      <w:r w:rsidR="00D5167B">
        <w:rPr>
          <w:noProof/>
        </w:rPr>
        <w:t>9</w:t>
      </w:r>
      <w:r w:rsidR="007511FA">
        <w:fldChar w:fldCharType="end"/>
      </w:r>
      <w:r w:rsidR="00DE5151">
        <w:t>.</w:t>
      </w:r>
      <w:proofErr w:type="gramEnd"/>
      <w:r w:rsidR="007511FA">
        <w:fldChar w:fldCharType="begin"/>
      </w:r>
      <w:r w:rsidR="00C43F40">
        <w:instrText xml:space="preserve"> SEQ Table \* ARABIC \s 1 </w:instrText>
      </w:r>
      <w:r w:rsidR="007511FA">
        <w:fldChar w:fldCharType="separate"/>
      </w:r>
      <w:r w:rsidR="00D5167B">
        <w:rPr>
          <w:noProof/>
        </w:rPr>
        <w:t>1</w:t>
      </w:r>
      <w:r w:rsidR="007511FA">
        <w:fldChar w:fldCharType="end"/>
      </w:r>
      <w:bookmarkEnd w:id="324"/>
      <w:r w:rsidR="0061389A">
        <w:t>.  Geometric and material descriptions of NEWT/COMSOL model regions.</w:t>
      </w:r>
      <w:bookmarkEnd w:id="325"/>
    </w:p>
    <w:tbl>
      <w:tblPr>
        <w:tblW w:w="9191" w:type="dxa"/>
        <w:jc w:val="center"/>
        <w:tblInd w:w="93" w:type="dxa"/>
        <w:tblLook w:val="04A0"/>
      </w:tblPr>
      <w:tblGrid>
        <w:gridCol w:w="1526"/>
        <w:gridCol w:w="1739"/>
        <w:gridCol w:w="1560"/>
        <w:gridCol w:w="1641"/>
        <w:gridCol w:w="1384"/>
        <w:gridCol w:w="1341"/>
      </w:tblGrid>
      <w:tr w:rsidR="0061389A" w:rsidRPr="00F21DBA" w:rsidTr="0061389A">
        <w:trPr>
          <w:trHeight w:val="610"/>
          <w:jc w:val="center"/>
        </w:trPr>
        <w:tc>
          <w:tcPr>
            <w:tcW w:w="15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1389A" w:rsidRPr="0061389A" w:rsidRDefault="0061389A" w:rsidP="0095569A">
            <w:pPr>
              <w:spacing w:before="0" w:after="0" w:line="240" w:lineRule="auto"/>
              <w:ind w:firstLine="0"/>
              <w:jc w:val="center"/>
              <w:rPr>
                <w:rFonts w:eastAsia="Times New Roman" w:cstheme="minorHAnsi"/>
                <w:b/>
                <w:bCs/>
                <w:color w:val="000000"/>
                <w:sz w:val="18"/>
                <w:szCs w:val="18"/>
              </w:rPr>
            </w:pPr>
            <w:r w:rsidRPr="0061389A">
              <w:rPr>
                <w:rFonts w:eastAsia="Times New Roman" w:cstheme="minorHAnsi"/>
                <w:b/>
                <w:bCs/>
                <w:color w:val="000000"/>
                <w:sz w:val="18"/>
                <w:szCs w:val="18"/>
              </w:rPr>
              <w:t>Region</w:t>
            </w:r>
          </w:p>
          <w:p w:rsidR="0061389A" w:rsidRPr="0061389A" w:rsidRDefault="0061389A" w:rsidP="0095569A">
            <w:pPr>
              <w:spacing w:before="0" w:after="0" w:line="240" w:lineRule="auto"/>
              <w:ind w:firstLine="0"/>
              <w:jc w:val="center"/>
              <w:rPr>
                <w:rFonts w:eastAsia="Times New Roman" w:cstheme="minorHAnsi"/>
                <w:b/>
                <w:bCs/>
                <w:color w:val="000000"/>
                <w:sz w:val="18"/>
                <w:szCs w:val="18"/>
              </w:rPr>
            </w:pPr>
            <w:r w:rsidRPr="0061389A">
              <w:rPr>
                <w:rFonts w:eastAsia="Times New Roman" w:cstheme="minorHAnsi"/>
                <w:b/>
                <w:bCs/>
                <w:color w:val="000000"/>
                <w:sz w:val="18"/>
                <w:szCs w:val="18"/>
              </w:rPr>
              <w:t>Description</w:t>
            </w:r>
          </w:p>
        </w:tc>
        <w:tc>
          <w:tcPr>
            <w:tcW w:w="1739" w:type="dxa"/>
            <w:tcBorders>
              <w:top w:val="single" w:sz="4" w:space="0" w:color="auto"/>
              <w:left w:val="single" w:sz="4" w:space="0" w:color="auto"/>
              <w:right w:val="single" w:sz="4" w:space="0" w:color="auto"/>
            </w:tcBorders>
            <w:vAlign w:val="center"/>
          </w:tcPr>
          <w:p w:rsidR="0061389A" w:rsidRPr="0061389A" w:rsidRDefault="0061389A" w:rsidP="0095569A">
            <w:pPr>
              <w:spacing w:before="0" w:after="0" w:line="240" w:lineRule="auto"/>
              <w:ind w:firstLine="0"/>
              <w:jc w:val="center"/>
              <w:rPr>
                <w:rFonts w:eastAsia="Times New Roman" w:cstheme="minorHAnsi"/>
                <w:b/>
                <w:bCs/>
                <w:color w:val="000000"/>
                <w:sz w:val="18"/>
                <w:szCs w:val="18"/>
              </w:rPr>
            </w:pPr>
            <w:r w:rsidRPr="0061389A">
              <w:rPr>
                <w:rFonts w:eastAsia="Times New Roman" w:cstheme="minorHAnsi"/>
                <w:b/>
                <w:bCs/>
                <w:color w:val="000000"/>
                <w:sz w:val="18"/>
                <w:szCs w:val="18"/>
              </w:rPr>
              <w:t>Material Description</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1389A" w:rsidRPr="0061389A" w:rsidRDefault="0061389A" w:rsidP="0095569A">
            <w:pPr>
              <w:spacing w:before="0" w:after="0" w:line="240" w:lineRule="auto"/>
              <w:ind w:firstLine="0"/>
              <w:jc w:val="center"/>
              <w:rPr>
                <w:rFonts w:eastAsia="Times New Roman" w:cstheme="minorHAnsi"/>
                <w:b/>
                <w:bCs/>
                <w:color w:val="000000"/>
                <w:sz w:val="18"/>
                <w:szCs w:val="18"/>
              </w:rPr>
            </w:pPr>
            <w:r w:rsidRPr="0061389A">
              <w:rPr>
                <w:rFonts w:eastAsia="Times New Roman" w:cstheme="minorHAnsi"/>
                <w:b/>
                <w:bCs/>
                <w:color w:val="000000"/>
                <w:sz w:val="18"/>
                <w:szCs w:val="18"/>
              </w:rPr>
              <w:t>Inner Radius</w:t>
            </w:r>
          </w:p>
          <w:p w:rsidR="0061389A" w:rsidRPr="0061389A" w:rsidRDefault="0061389A" w:rsidP="0095569A">
            <w:pPr>
              <w:spacing w:before="0" w:after="0" w:line="240" w:lineRule="auto"/>
              <w:ind w:firstLine="0"/>
              <w:jc w:val="center"/>
              <w:rPr>
                <w:rFonts w:eastAsia="Times New Roman" w:cstheme="minorHAnsi"/>
                <w:b/>
                <w:bCs/>
                <w:color w:val="000000"/>
                <w:sz w:val="18"/>
                <w:szCs w:val="18"/>
              </w:rPr>
            </w:pPr>
            <w:r w:rsidRPr="0061389A">
              <w:rPr>
                <w:rFonts w:eastAsia="Times New Roman" w:cstheme="minorHAnsi"/>
                <w:b/>
                <w:bCs/>
                <w:color w:val="000000"/>
                <w:sz w:val="18"/>
                <w:szCs w:val="18"/>
              </w:rPr>
              <w:t>(cm)</w:t>
            </w:r>
          </w:p>
        </w:tc>
        <w:tc>
          <w:tcPr>
            <w:tcW w:w="16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1389A" w:rsidRPr="0061389A" w:rsidRDefault="0061389A" w:rsidP="0095569A">
            <w:pPr>
              <w:spacing w:before="0" w:after="0" w:line="240" w:lineRule="auto"/>
              <w:ind w:firstLine="0"/>
              <w:jc w:val="center"/>
              <w:rPr>
                <w:rFonts w:eastAsia="Times New Roman" w:cstheme="minorHAnsi"/>
                <w:b/>
                <w:bCs/>
                <w:color w:val="000000"/>
                <w:sz w:val="18"/>
                <w:szCs w:val="18"/>
              </w:rPr>
            </w:pPr>
            <w:r w:rsidRPr="0061389A">
              <w:rPr>
                <w:rFonts w:eastAsia="Times New Roman" w:cstheme="minorHAnsi"/>
                <w:b/>
                <w:bCs/>
                <w:color w:val="000000"/>
                <w:sz w:val="18"/>
                <w:szCs w:val="18"/>
              </w:rPr>
              <w:t xml:space="preserve">Outer Radius </w:t>
            </w:r>
          </w:p>
          <w:p w:rsidR="0061389A" w:rsidRPr="0061389A" w:rsidRDefault="0061389A" w:rsidP="0095569A">
            <w:pPr>
              <w:spacing w:before="0" w:after="0" w:line="240" w:lineRule="auto"/>
              <w:ind w:firstLine="0"/>
              <w:jc w:val="center"/>
              <w:rPr>
                <w:rFonts w:eastAsia="Times New Roman" w:cstheme="minorHAnsi"/>
                <w:b/>
                <w:bCs/>
                <w:color w:val="000000"/>
                <w:sz w:val="18"/>
                <w:szCs w:val="18"/>
              </w:rPr>
            </w:pPr>
            <w:r w:rsidRPr="0061389A">
              <w:rPr>
                <w:rFonts w:eastAsia="Times New Roman" w:cstheme="minorHAnsi"/>
                <w:b/>
                <w:bCs/>
                <w:color w:val="000000"/>
                <w:sz w:val="18"/>
                <w:szCs w:val="18"/>
              </w:rPr>
              <w:t>(cm)</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1389A" w:rsidRPr="0061389A" w:rsidRDefault="0061389A" w:rsidP="0095569A">
            <w:pPr>
              <w:spacing w:before="0" w:after="0" w:line="240" w:lineRule="auto"/>
              <w:ind w:firstLine="0"/>
              <w:jc w:val="center"/>
              <w:rPr>
                <w:rFonts w:eastAsia="Times New Roman" w:cstheme="minorHAnsi"/>
                <w:b/>
                <w:bCs/>
                <w:color w:val="000000"/>
                <w:sz w:val="18"/>
                <w:szCs w:val="18"/>
              </w:rPr>
            </w:pPr>
            <w:r w:rsidRPr="0061389A">
              <w:rPr>
                <w:rFonts w:eastAsia="Times New Roman" w:cstheme="minorHAnsi"/>
                <w:b/>
                <w:bCs/>
                <w:color w:val="000000"/>
                <w:sz w:val="18"/>
                <w:szCs w:val="18"/>
              </w:rPr>
              <w:t xml:space="preserve">Axial Bottom </w:t>
            </w:r>
          </w:p>
          <w:p w:rsidR="0061389A" w:rsidRPr="0061389A" w:rsidRDefault="0061389A" w:rsidP="0095569A">
            <w:pPr>
              <w:spacing w:before="0" w:after="0" w:line="240" w:lineRule="auto"/>
              <w:ind w:firstLine="0"/>
              <w:jc w:val="center"/>
              <w:rPr>
                <w:rFonts w:eastAsia="Times New Roman" w:cstheme="minorHAnsi"/>
                <w:b/>
                <w:bCs/>
                <w:color w:val="000000"/>
                <w:sz w:val="18"/>
                <w:szCs w:val="18"/>
              </w:rPr>
            </w:pPr>
            <w:r w:rsidRPr="0061389A">
              <w:rPr>
                <w:rFonts w:eastAsia="Times New Roman" w:cstheme="minorHAnsi"/>
                <w:b/>
                <w:bCs/>
                <w:color w:val="000000"/>
                <w:sz w:val="18"/>
                <w:szCs w:val="18"/>
              </w:rPr>
              <w:t>(cm)</w:t>
            </w:r>
          </w:p>
        </w:tc>
        <w:tc>
          <w:tcPr>
            <w:tcW w:w="13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1389A" w:rsidRPr="0061389A" w:rsidRDefault="0061389A" w:rsidP="0095569A">
            <w:pPr>
              <w:spacing w:before="0" w:after="0" w:line="240" w:lineRule="auto"/>
              <w:ind w:firstLine="0"/>
              <w:jc w:val="center"/>
              <w:rPr>
                <w:rFonts w:eastAsia="Times New Roman" w:cstheme="minorHAnsi"/>
                <w:b/>
                <w:bCs/>
                <w:color w:val="000000"/>
                <w:sz w:val="18"/>
                <w:szCs w:val="18"/>
              </w:rPr>
            </w:pPr>
            <w:r w:rsidRPr="0061389A">
              <w:rPr>
                <w:rFonts w:eastAsia="Times New Roman" w:cstheme="minorHAnsi"/>
                <w:b/>
                <w:bCs/>
                <w:color w:val="000000"/>
                <w:sz w:val="18"/>
                <w:szCs w:val="18"/>
              </w:rPr>
              <w:t xml:space="preserve">Axial Top </w:t>
            </w:r>
          </w:p>
          <w:p w:rsidR="0061389A" w:rsidRPr="0061389A" w:rsidRDefault="0061389A" w:rsidP="0095569A">
            <w:pPr>
              <w:spacing w:before="0" w:after="0" w:line="240" w:lineRule="auto"/>
              <w:ind w:firstLine="0"/>
              <w:jc w:val="center"/>
              <w:rPr>
                <w:rFonts w:eastAsia="Times New Roman" w:cstheme="minorHAnsi"/>
                <w:b/>
                <w:bCs/>
                <w:color w:val="000000"/>
                <w:sz w:val="18"/>
                <w:szCs w:val="18"/>
              </w:rPr>
            </w:pPr>
            <w:r w:rsidRPr="0061389A">
              <w:rPr>
                <w:rFonts w:eastAsia="Times New Roman" w:cstheme="minorHAnsi"/>
                <w:b/>
                <w:bCs/>
                <w:color w:val="000000"/>
                <w:sz w:val="18"/>
                <w:szCs w:val="18"/>
              </w:rPr>
              <w:t>(cm)</w:t>
            </w:r>
          </w:p>
        </w:tc>
      </w:tr>
      <w:tr w:rsidR="0061389A" w:rsidRPr="00F21DBA" w:rsidTr="0061389A">
        <w:trPr>
          <w:trHeight w:val="300"/>
          <w:jc w:val="center"/>
        </w:trPr>
        <w:tc>
          <w:tcPr>
            <w:tcW w:w="1526" w:type="dxa"/>
            <w:tcBorders>
              <w:top w:val="nil"/>
              <w:left w:val="single" w:sz="4" w:space="0" w:color="auto"/>
              <w:bottom w:val="single" w:sz="4" w:space="0" w:color="auto"/>
              <w:right w:val="single" w:sz="4" w:space="0" w:color="auto"/>
            </w:tcBorders>
            <w:shd w:val="clear" w:color="auto" w:fill="auto"/>
            <w:noWrap/>
            <w:vAlign w:val="center"/>
            <w:hideMark/>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target structure 1</w:t>
            </w:r>
          </w:p>
        </w:tc>
        <w:tc>
          <w:tcPr>
            <w:tcW w:w="1739" w:type="dxa"/>
            <w:tcBorders>
              <w:top w:val="single" w:sz="4" w:space="0" w:color="auto"/>
              <w:left w:val="nil"/>
              <w:bottom w:val="single" w:sz="4" w:space="0" w:color="auto"/>
              <w:right w:val="single" w:sz="4" w:space="0" w:color="auto"/>
            </w:tcBorders>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Al, water</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0.000</w:t>
            </w:r>
          </w:p>
        </w:tc>
        <w:tc>
          <w:tcPr>
            <w:tcW w:w="16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0.887</w:t>
            </w:r>
          </w:p>
        </w:tc>
        <w:tc>
          <w:tcPr>
            <w:tcW w:w="1384"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-25.40</w:t>
            </w:r>
          </w:p>
        </w:tc>
        <w:tc>
          <w:tcPr>
            <w:tcW w:w="13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25.40</w:t>
            </w:r>
          </w:p>
        </w:tc>
      </w:tr>
      <w:tr w:rsidR="0061389A" w:rsidRPr="00F21DBA" w:rsidTr="0061389A">
        <w:trPr>
          <w:trHeight w:val="300"/>
          <w:jc w:val="center"/>
        </w:trPr>
        <w:tc>
          <w:tcPr>
            <w:tcW w:w="1526" w:type="dxa"/>
            <w:tcBorders>
              <w:top w:val="nil"/>
              <w:left w:val="single" w:sz="4" w:space="0" w:color="auto"/>
              <w:bottom w:val="single" w:sz="4" w:space="0" w:color="auto"/>
              <w:right w:val="single" w:sz="4" w:space="0" w:color="auto"/>
            </w:tcBorders>
            <w:shd w:val="clear" w:color="auto" w:fill="auto"/>
            <w:noWrap/>
            <w:vAlign w:val="center"/>
            <w:hideMark/>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target fuel</w:t>
            </w:r>
          </w:p>
        </w:tc>
        <w:tc>
          <w:tcPr>
            <w:tcW w:w="1739" w:type="dxa"/>
            <w:tcBorders>
              <w:top w:val="single" w:sz="4" w:space="0" w:color="auto"/>
              <w:left w:val="nil"/>
              <w:bottom w:val="single" w:sz="4" w:space="0" w:color="auto"/>
              <w:right w:val="single" w:sz="4" w:space="0" w:color="auto"/>
            </w:tcBorders>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Al, water, Cm target</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0.887</w:t>
            </w:r>
          </w:p>
        </w:tc>
        <w:tc>
          <w:tcPr>
            <w:tcW w:w="16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3.547</w:t>
            </w:r>
          </w:p>
        </w:tc>
        <w:tc>
          <w:tcPr>
            <w:tcW w:w="1384"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-25.40</w:t>
            </w:r>
          </w:p>
        </w:tc>
        <w:tc>
          <w:tcPr>
            <w:tcW w:w="13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25.40</w:t>
            </w:r>
          </w:p>
        </w:tc>
      </w:tr>
      <w:tr w:rsidR="0061389A" w:rsidRPr="00F21DBA" w:rsidTr="0061389A">
        <w:trPr>
          <w:trHeight w:val="300"/>
          <w:jc w:val="center"/>
        </w:trPr>
        <w:tc>
          <w:tcPr>
            <w:tcW w:w="1526" w:type="dxa"/>
            <w:tcBorders>
              <w:top w:val="nil"/>
              <w:left w:val="single" w:sz="4" w:space="0" w:color="auto"/>
              <w:bottom w:val="single" w:sz="4" w:space="0" w:color="auto"/>
              <w:right w:val="single" w:sz="4" w:space="0" w:color="auto"/>
            </w:tcBorders>
            <w:shd w:val="clear" w:color="auto" w:fill="auto"/>
            <w:noWrap/>
            <w:vAlign w:val="center"/>
            <w:hideMark/>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target structure 2</w:t>
            </w:r>
          </w:p>
        </w:tc>
        <w:tc>
          <w:tcPr>
            <w:tcW w:w="1739" w:type="dxa"/>
            <w:tcBorders>
              <w:top w:val="single" w:sz="4" w:space="0" w:color="auto"/>
              <w:left w:val="nil"/>
              <w:bottom w:val="single" w:sz="4" w:space="0" w:color="auto"/>
              <w:right w:val="single" w:sz="4" w:space="0" w:color="auto"/>
            </w:tcBorders>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Al, water</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3.547</w:t>
            </w:r>
          </w:p>
        </w:tc>
        <w:tc>
          <w:tcPr>
            <w:tcW w:w="16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6.400</w:t>
            </w:r>
          </w:p>
        </w:tc>
        <w:tc>
          <w:tcPr>
            <w:tcW w:w="1384"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-25.40</w:t>
            </w:r>
          </w:p>
        </w:tc>
        <w:tc>
          <w:tcPr>
            <w:tcW w:w="13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25.40</w:t>
            </w:r>
          </w:p>
        </w:tc>
      </w:tr>
      <w:tr w:rsidR="0061389A" w:rsidRPr="00F21DBA" w:rsidTr="0061389A">
        <w:trPr>
          <w:trHeight w:val="300"/>
          <w:jc w:val="center"/>
        </w:trPr>
        <w:tc>
          <w:tcPr>
            <w:tcW w:w="1526" w:type="dxa"/>
            <w:tcBorders>
              <w:top w:val="nil"/>
              <w:left w:val="single" w:sz="4" w:space="0" w:color="auto"/>
              <w:bottom w:val="single" w:sz="4" w:space="0" w:color="auto"/>
              <w:right w:val="single" w:sz="4" w:space="0" w:color="auto"/>
            </w:tcBorders>
            <w:shd w:val="clear" w:color="auto" w:fill="auto"/>
            <w:noWrap/>
            <w:vAlign w:val="center"/>
            <w:hideMark/>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target structure 3</w:t>
            </w:r>
          </w:p>
        </w:tc>
        <w:tc>
          <w:tcPr>
            <w:tcW w:w="1739" w:type="dxa"/>
            <w:tcBorders>
              <w:top w:val="single" w:sz="4" w:space="0" w:color="auto"/>
              <w:left w:val="nil"/>
              <w:bottom w:val="single" w:sz="4" w:space="0" w:color="auto"/>
              <w:right w:val="single" w:sz="4" w:space="0" w:color="auto"/>
            </w:tcBorders>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Al, water</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0.000</w:t>
            </w:r>
          </w:p>
        </w:tc>
        <w:tc>
          <w:tcPr>
            <w:tcW w:w="16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3.547</w:t>
            </w:r>
          </w:p>
        </w:tc>
        <w:tc>
          <w:tcPr>
            <w:tcW w:w="1384"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-30.48 (25.40)</w:t>
            </w:r>
          </w:p>
        </w:tc>
        <w:tc>
          <w:tcPr>
            <w:tcW w:w="13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-25.40 (30.48)</w:t>
            </w:r>
          </w:p>
        </w:tc>
      </w:tr>
      <w:tr w:rsidR="0061389A" w:rsidRPr="00F21DBA" w:rsidTr="0061389A">
        <w:trPr>
          <w:trHeight w:val="300"/>
          <w:jc w:val="center"/>
        </w:trPr>
        <w:tc>
          <w:tcPr>
            <w:tcW w:w="1526" w:type="dxa"/>
            <w:tcBorders>
              <w:top w:val="nil"/>
              <w:left w:val="single" w:sz="4" w:space="0" w:color="auto"/>
              <w:bottom w:val="single" w:sz="4" w:space="0" w:color="auto"/>
              <w:right w:val="single" w:sz="4" w:space="0" w:color="auto"/>
            </w:tcBorders>
            <w:shd w:val="clear" w:color="auto" w:fill="auto"/>
            <w:noWrap/>
            <w:vAlign w:val="center"/>
            <w:hideMark/>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IFE 1</w:t>
            </w:r>
          </w:p>
        </w:tc>
        <w:tc>
          <w:tcPr>
            <w:tcW w:w="1739" w:type="dxa"/>
            <w:tcBorders>
              <w:top w:val="single" w:sz="4" w:space="0" w:color="auto"/>
              <w:left w:val="nil"/>
              <w:bottom w:val="single" w:sz="4" w:space="0" w:color="auto"/>
              <w:right w:val="single" w:sz="4" w:space="0" w:color="auto"/>
            </w:tcBorders>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 xml:space="preserve">HEU, Al, water </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7.14</w:t>
            </w:r>
          </w:p>
        </w:tc>
        <w:tc>
          <w:tcPr>
            <w:tcW w:w="16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7.50</w:t>
            </w:r>
          </w:p>
        </w:tc>
        <w:tc>
          <w:tcPr>
            <w:tcW w:w="1384"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-25.40</w:t>
            </w:r>
          </w:p>
        </w:tc>
        <w:tc>
          <w:tcPr>
            <w:tcW w:w="13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25.40</w:t>
            </w:r>
          </w:p>
        </w:tc>
      </w:tr>
      <w:tr w:rsidR="0061389A" w:rsidRPr="00F21DBA" w:rsidTr="0061389A">
        <w:trPr>
          <w:trHeight w:val="300"/>
          <w:jc w:val="center"/>
        </w:trPr>
        <w:tc>
          <w:tcPr>
            <w:tcW w:w="1526" w:type="dxa"/>
            <w:tcBorders>
              <w:top w:val="nil"/>
              <w:left w:val="single" w:sz="4" w:space="0" w:color="auto"/>
              <w:bottom w:val="single" w:sz="4" w:space="0" w:color="auto"/>
              <w:right w:val="single" w:sz="4" w:space="0" w:color="auto"/>
            </w:tcBorders>
            <w:shd w:val="clear" w:color="auto" w:fill="auto"/>
            <w:noWrap/>
            <w:vAlign w:val="center"/>
            <w:hideMark/>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IFE 2</w:t>
            </w:r>
          </w:p>
        </w:tc>
        <w:tc>
          <w:tcPr>
            <w:tcW w:w="1739" w:type="dxa"/>
            <w:tcBorders>
              <w:top w:val="single" w:sz="4" w:space="0" w:color="auto"/>
              <w:left w:val="nil"/>
              <w:bottom w:val="single" w:sz="4" w:space="0" w:color="auto"/>
              <w:right w:val="single" w:sz="4" w:space="0" w:color="auto"/>
            </w:tcBorders>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HEU, Al, water</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7.50</w:t>
            </w:r>
          </w:p>
        </w:tc>
        <w:tc>
          <w:tcPr>
            <w:tcW w:w="16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8.00</w:t>
            </w:r>
          </w:p>
        </w:tc>
        <w:tc>
          <w:tcPr>
            <w:tcW w:w="1384"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-25.40</w:t>
            </w:r>
          </w:p>
        </w:tc>
        <w:tc>
          <w:tcPr>
            <w:tcW w:w="13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25.40</w:t>
            </w:r>
          </w:p>
        </w:tc>
      </w:tr>
      <w:tr w:rsidR="0061389A" w:rsidRPr="00F21DBA" w:rsidTr="0061389A">
        <w:trPr>
          <w:trHeight w:val="300"/>
          <w:jc w:val="center"/>
        </w:trPr>
        <w:tc>
          <w:tcPr>
            <w:tcW w:w="1526" w:type="dxa"/>
            <w:tcBorders>
              <w:top w:val="nil"/>
              <w:left w:val="single" w:sz="4" w:space="0" w:color="auto"/>
              <w:bottom w:val="single" w:sz="4" w:space="0" w:color="auto"/>
              <w:right w:val="single" w:sz="4" w:space="0" w:color="auto"/>
            </w:tcBorders>
            <w:shd w:val="clear" w:color="auto" w:fill="auto"/>
            <w:noWrap/>
            <w:vAlign w:val="center"/>
            <w:hideMark/>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IFE 3</w:t>
            </w:r>
          </w:p>
        </w:tc>
        <w:tc>
          <w:tcPr>
            <w:tcW w:w="1739" w:type="dxa"/>
            <w:tcBorders>
              <w:top w:val="single" w:sz="4" w:space="0" w:color="auto"/>
              <w:left w:val="nil"/>
              <w:bottom w:val="single" w:sz="4" w:space="0" w:color="auto"/>
              <w:right w:val="single" w:sz="4" w:space="0" w:color="auto"/>
            </w:tcBorders>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HEU, Al, water</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8.00</w:t>
            </w:r>
          </w:p>
        </w:tc>
        <w:tc>
          <w:tcPr>
            <w:tcW w:w="16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8.50</w:t>
            </w:r>
          </w:p>
        </w:tc>
        <w:tc>
          <w:tcPr>
            <w:tcW w:w="1384"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-25.40</w:t>
            </w:r>
          </w:p>
        </w:tc>
        <w:tc>
          <w:tcPr>
            <w:tcW w:w="13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25.40</w:t>
            </w:r>
          </w:p>
        </w:tc>
      </w:tr>
      <w:tr w:rsidR="0061389A" w:rsidRPr="00F21DBA" w:rsidTr="0061389A">
        <w:trPr>
          <w:trHeight w:val="300"/>
          <w:jc w:val="center"/>
        </w:trPr>
        <w:tc>
          <w:tcPr>
            <w:tcW w:w="1526" w:type="dxa"/>
            <w:tcBorders>
              <w:top w:val="nil"/>
              <w:left w:val="single" w:sz="4" w:space="0" w:color="auto"/>
              <w:bottom w:val="single" w:sz="4" w:space="0" w:color="auto"/>
              <w:right w:val="single" w:sz="4" w:space="0" w:color="auto"/>
            </w:tcBorders>
            <w:shd w:val="clear" w:color="auto" w:fill="auto"/>
            <w:noWrap/>
            <w:vAlign w:val="center"/>
            <w:hideMark/>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IFE 4</w:t>
            </w:r>
          </w:p>
        </w:tc>
        <w:tc>
          <w:tcPr>
            <w:tcW w:w="1739" w:type="dxa"/>
            <w:tcBorders>
              <w:top w:val="single" w:sz="4" w:space="0" w:color="auto"/>
              <w:left w:val="nil"/>
              <w:bottom w:val="single" w:sz="4" w:space="0" w:color="auto"/>
              <w:right w:val="single" w:sz="4" w:space="0" w:color="auto"/>
            </w:tcBorders>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HEU, Al, water</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8.50</w:t>
            </w:r>
          </w:p>
        </w:tc>
        <w:tc>
          <w:tcPr>
            <w:tcW w:w="16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9.50</w:t>
            </w:r>
          </w:p>
        </w:tc>
        <w:tc>
          <w:tcPr>
            <w:tcW w:w="1384"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-25.40</w:t>
            </w:r>
          </w:p>
        </w:tc>
        <w:tc>
          <w:tcPr>
            <w:tcW w:w="13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25.40</w:t>
            </w:r>
          </w:p>
        </w:tc>
      </w:tr>
      <w:tr w:rsidR="0061389A" w:rsidRPr="00F21DBA" w:rsidTr="0061389A">
        <w:trPr>
          <w:trHeight w:val="300"/>
          <w:jc w:val="center"/>
        </w:trPr>
        <w:tc>
          <w:tcPr>
            <w:tcW w:w="1526" w:type="dxa"/>
            <w:tcBorders>
              <w:top w:val="nil"/>
              <w:left w:val="single" w:sz="4" w:space="0" w:color="auto"/>
              <w:bottom w:val="single" w:sz="4" w:space="0" w:color="auto"/>
              <w:right w:val="single" w:sz="4" w:space="0" w:color="auto"/>
            </w:tcBorders>
            <w:shd w:val="clear" w:color="auto" w:fill="auto"/>
            <w:noWrap/>
            <w:vAlign w:val="center"/>
            <w:hideMark/>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IFE 5</w:t>
            </w:r>
          </w:p>
        </w:tc>
        <w:tc>
          <w:tcPr>
            <w:tcW w:w="1739" w:type="dxa"/>
            <w:tcBorders>
              <w:top w:val="single" w:sz="4" w:space="0" w:color="auto"/>
              <w:left w:val="nil"/>
              <w:bottom w:val="single" w:sz="4" w:space="0" w:color="auto"/>
              <w:right w:val="single" w:sz="4" w:space="0" w:color="auto"/>
            </w:tcBorders>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HEU, Al, water</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9.50</w:t>
            </w:r>
          </w:p>
        </w:tc>
        <w:tc>
          <w:tcPr>
            <w:tcW w:w="16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10.50</w:t>
            </w:r>
          </w:p>
        </w:tc>
        <w:tc>
          <w:tcPr>
            <w:tcW w:w="1384"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-25.40</w:t>
            </w:r>
          </w:p>
        </w:tc>
        <w:tc>
          <w:tcPr>
            <w:tcW w:w="13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25.40</w:t>
            </w:r>
          </w:p>
        </w:tc>
      </w:tr>
      <w:tr w:rsidR="0061389A" w:rsidRPr="00F21DBA" w:rsidTr="0061389A">
        <w:trPr>
          <w:trHeight w:val="300"/>
          <w:jc w:val="center"/>
        </w:trPr>
        <w:tc>
          <w:tcPr>
            <w:tcW w:w="1526" w:type="dxa"/>
            <w:tcBorders>
              <w:top w:val="nil"/>
              <w:left w:val="single" w:sz="4" w:space="0" w:color="auto"/>
              <w:bottom w:val="single" w:sz="4" w:space="0" w:color="auto"/>
              <w:right w:val="single" w:sz="4" w:space="0" w:color="auto"/>
            </w:tcBorders>
            <w:shd w:val="clear" w:color="auto" w:fill="auto"/>
            <w:noWrap/>
            <w:vAlign w:val="center"/>
            <w:hideMark/>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IFE 6</w:t>
            </w:r>
          </w:p>
        </w:tc>
        <w:tc>
          <w:tcPr>
            <w:tcW w:w="1739" w:type="dxa"/>
            <w:tcBorders>
              <w:top w:val="single" w:sz="4" w:space="0" w:color="auto"/>
              <w:left w:val="nil"/>
              <w:bottom w:val="single" w:sz="4" w:space="0" w:color="auto"/>
              <w:right w:val="single" w:sz="4" w:space="0" w:color="auto"/>
            </w:tcBorders>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HEU, Al, water</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10.50</w:t>
            </w:r>
          </w:p>
        </w:tc>
        <w:tc>
          <w:tcPr>
            <w:tcW w:w="16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11.50</w:t>
            </w:r>
          </w:p>
        </w:tc>
        <w:tc>
          <w:tcPr>
            <w:tcW w:w="1384"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-25.40</w:t>
            </w:r>
          </w:p>
        </w:tc>
        <w:tc>
          <w:tcPr>
            <w:tcW w:w="13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25.40</w:t>
            </w:r>
          </w:p>
        </w:tc>
      </w:tr>
      <w:tr w:rsidR="0061389A" w:rsidRPr="00F21DBA" w:rsidTr="0061389A">
        <w:trPr>
          <w:trHeight w:val="300"/>
          <w:jc w:val="center"/>
        </w:trPr>
        <w:tc>
          <w:tcPr>
            <w:tcW w:w="1526" w:type="dxa"/>
            <w:tcBorders>
              <w:top w:val="nil"/>
              <w:left w:val="single" w:sz="4" w:space="0" w:color="auto"/>
              <w:bottom w:val="single" w:sz="4" w:space="0" w:color="auto"/>
              <w:right w:val="single" w:sz="4" w:space="0" w:color="auto"/>
            </w:tcBorders>
            <w:shd w:val="clear" w:color="auto" w:fill="auto"/>
            <w:noWrap/>
            <w:vAlign w:val="center"/>
            <w:hideMark/>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IFE 7</w:t>
            </w:r>
          </w:p>
        </w:tc>
        <w:tc>
          <w:tcPr>
            <w:tcW w:w="1739" w:type="dxa"/>
            <w:tcBorders>
              <w:top w:val="single" w:sz="4" w:space="0" w:color="auto"/>
              <w:left w:val="nil"/>
              <w:bottom w:val="single" w:sz="4" w:space="0" w:color="auto"/>
              <w:right w:val="single" w:sz="4" w:space="0" w:color="auto"/>
            </w:tcBorders>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HEU, Al, water</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11.50</w:t>
            </w:r>
          </w:p>
        </w:tc>
        <w:tc>
          <w:tcPr>
            <w:tcW w:w="16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12.00</w:t>
            </w:r>
          </w:p>
        </w:tc>
        <w:tc>
          <w:tcPr>
            <w:tcW w:w="1384"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-25.40</w:t>
            </w:r>
          </w:p>
        </w:tc>
        <w:tc>
          <w:tcPr>
            <w:tcW w:w="13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25.40</w:t>
            </w:r>
          </w:p>
        </w:tc>
      </w:tr>
      <w:tr w:rsidR="0061389A" w:rsidRPr="00F21DBA" w:rsidTr="0061389A">
        <w:trPr>
          <w:trHeight w:val="300"/>
          <w:jc w:val="center"/>
        </w:trPr>
        <w:tc>
          <w:tcPr>
            <w:tcW w:w="1526" w:type="dxa"/>
            <w:tcBorders>
              <w:top w:val="nil"/>
              <w:left w:val="single" w:sz="4" w:space="0" w:color="auto"/>
              <w:bottom w:val="single" w:sz="4" w:space="0" w:color="auto"/>
              <w:right w:val="single" w:sz="4" w:space="0" w:color="auto"/>
            </w:tcBorders>
            <w:shd w:val="clear" w:color="auto" w:fill="auto"/>
            <w:noWrap/>
            <w:vAlign w:val="center"/>
            <w:hideMark/>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IFE 8</w:t>
            </w:r>
          </w:p>
        </w:tc>
        <w:tc>
          <w:tcPr>
            <w:tcW w:w="1739" w:type="dxa"/>
            <w:tcBorders>
              <w:top w:val="single" w:sz="4" w:space="0" w:color="auto"/>
              <w:left w:val="nil"/>
              <w:bottom w:val="single" w:sz="4" w:space="0" w:color="auto"/>
              <w:right w:val="single" w:sz="4" w:space="0" w:color="auto"/>
            </w:tcBorders>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HEU, Al, water</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12.00</w:t>
            </w:r>
          </w:p>
        </w:tc>
        <w:tc>
          <w:tcPr>
            <w:tcW w:w="16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12.60</w:t>
            </w:r>
          </w:p>
        </w:tc>
        <w:tc>
          <w:tcPr>
            <w:tcW w:w="1384"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-25.40</w:t>
            </w:r>
          </w:p>
        </w:tc>
        <w:tc>
          <w:tcPr>
            <w:tcW w:w="13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25.40</w:t>
            </w:r>
          </w:p>
        </w:tc>
      </w:tr>
      <w:tr w:rsidR="0061389A" w:rsidRPr="00F21DBA" w:rsidTr="0061389A">
        <w:trPr>
          <w:trHeight w:val="300"/>
          <w:jc w:val="center"/>
        </w:trPr>
        <w:tc>
          <w:tcPr>
            <w:tcW w:w="1526" w:type="dxa"/>
            <w:tcBorders>
              <w:top w:val="nil"/>
              <w:left w:val="single" w:sz="4" w:space="0" w:color="auto"/>
              <w:bottom w:val="single" w:sz="4" w:space="0" w:color="auto"/>
              <w:right w:val="single" w:sz="4" w:space="0" w:color="auto"/>
            </w:tcBorders>
            <w:shd w:val="clear" w:color="auto" w:fill="auto"/>
            <w:noWrap/>
            <w:vAlign w:val="center"/>
            <w:hideMark/>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OFE 1</w:t>
            </w:r>
          </w:p>
        </w:tc>
        <w:tc>
          <w:tcPr>
            <w:tcW w:w="1739" w:type="dxa"/>
            <w:tcBorders>
              <w:top w:val="single" w:sz="4" w:space="0" w:color="auto"/>
              <w:left w:val="nil"/>
              <w:bottom w:val="single" w:sz="4" w:space="0" w:color="auto"/>
              <w:right w:val="single" w:sz="4" w:space="0" w:color="auto"/>
            </w:tcBorders>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HEU, Al, water</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15.13</w:t>
            </w:r>
          </w:p>
        </w:tc>
        <w:tc>
          <w:tcPr>
            <w:tcW w:w="16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15.50</w:t>
            </w:r>
          </w:p>
        </w:tc>
        <w:tc>
          <w:tcPr>
            <w:tcW w:w="1384"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-25.40</w:t>
            </w:r>
          </w:p>
        </w:tc>
        <w:tc>
          <w:tcPr>
            <w:tcW w:w="13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25.40</w:t>
            </w:r>
          </w:p>
        </w:tc>
      </w:tr>
      <w:tr w:rsidR="0061389A" w:rsidRPr="00F21DBA" w:rsidTr="0061389A">
        <w:trPr>
          <w:trHeight w:val="300"/>
          <w:jc w:val="center"/>
        </w:trPr>
        <w:tc>
          <w:tcPr>
            <w:tcW w:w="1526" w:type="dxa"/>
            <w:tcBorders>
              <w:top w:val="nil"/>
              <w:left w:val="single" w:sz="4" w:space="0" w:color="auto"/>
              <w:bottom w:val="single" w:sz="4" w:space="0" w:color="auto"/>
              <w:right w:val="single" w:sz="4" w:space="0" w:color="auto"/>
            </w:tcBorders>
            <w:shd w:val="clear" w:color="auto" w:fill="auto"/>
            <w:noWrap/>
            <w:vAlign w:val="center"/>
            <w:hideMark/>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OFE 2</w:t>
            </w:r>
          </w:p>
        </w:tc>
        <w:tc>
          <w:tcPr>
            <w:tcW w:w="1739" w:type="dxa"/>
            <w:tcBorders>
              <w:top w:val="single" w:sz="4" w:space="0" w:color="auto"/>
              <w:left w:val="nil"/>
              <w:bottom w:val="single" w:sz="4" w:space="0" w:color="auto"/>
              <w:right w:val="single" w:sz="4" w:space="0" w:color="auto"/>
            </w:tcBorders>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HEU, Al, water</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15.50</w:t>
            </w:r>
          </w:p>
        </w:tc>
        <w:tc>
          <w:tcPr>
            <w:tcW w:w="16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16.00</w:t>
            </w:r>
          </w:p>
        </w:tc>
        <w:tc>
          <w:tcPr>
            <w:tcW w:w="1384"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-25.40</w:t>
            </w:r>
          </w:p>
        </w:tc>
        <w:tc>
          <w:tcPr>
            <w:tcW w:w="13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25.40</w:t>
            </w:r>
          </w:p>
        </w:tc>
      </w:tr>
      <w:tr w:rsidR="0061389A" w:rsidRPr="00F21DBA" w:rsidTr="0061389A">
        <w:trPr>
          <w:trHeight w:val="300"/>
          <w:jc w:val="center"/>
        </w:trPr>
        <w:tc>
          <w:tcPr>
            <w:tcW w:w="1526" w:type="dxa"/>
            <w:tcBorders>
              <w:top w:val="nil"/>
              <w:left w:val="single" w:sz="4" w:space="0" w:color="auto"/>
              <w:bottom w:val="single" w:sz="4" w:space="0" w:color="auto"/>
              <w:right w:val="single" w:sz="4" w:space="0" w:color="auto"/>
            </w:tcBorders>
            <w:shd w:val="clear" w:color="auto" w:fill="auto"/>
            <w:noWrap/>
            <w:vAlign w:val="center"/>
            <w:hideMark/>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OFE 3</w:t>
            </w:r>
          </w:p>
        </w:tc>
        <w:tc>
          <w:tcPr>
            <w:tcW w:w="1739" w:type="dxa"/>
            <w:tcBorders>
              <w:top w:val="single" w:sz="4" w:space="0" w:color="auto"/>
              <w:left w:val="nil"/>
              <w:bottom w:val="single" w:sz="4" w:space="0" w:color="auto"/>
              <w:right w:val="single" w:sz="4" w:space="0" w:color="auto"/>
            </w:tcBorders>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HEU, Al, water</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16.00</w:t>
            </w:r>
          </w:p>
        </w:tc>
        <w:tc>
          <w:tcPr>
            <w:tcW w:w="16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16.50</w:t>
            </w:r>
          </w:p>
        </w:tc>
        <w:tc>
          <w:tcPr>
            <w:tcW w:w="1384"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-25.40</w:t>
            </w:r>
          </w:p>
        </w:tc>
        <w:tc>
          <w:tcPr>
            <w:tcW w:w="13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25.40</w:t>
            </w:r>
          </w:p>
        </w:tc>
      </w:tr>
      <w:tr w:rsidR="0061389A" w:rsidRPr="00F21DBA" w:rsidTr="0061389A">
        <w:trPr>
          <w:trHeight w:val="300"/>
          <w:jc w:val="center"/>
        </w:trPr>
        <w:tc>
          <w:tcPr>
            <w:tcW w:w="1526" w:type="dxa"/>
            <w:tcBorders>
              <w:top w:val="nil"/>
              <w:left w:val="single" w:sz="4" w:space="0" w:color="auto"/>
              <w:bottom w:val="single" w:sz="4" w:space="0" w:color="auto"/>
              <w:right w:val="single" w:sz="4" w:space="0" w:color="auto"/>
            </w:tcBorders>
            <w:shd w:val="clear" w:color="auto" w:fill="auto"/>
            <w:noWrap/>
            <w:vAlign w:val="center"/>
            <w:hideMark/>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OFE 4</w:t>
            </w:r>
          </w:p>
        </w:tc>
        <w:tc>
          <w:tcPr>
            <w:tcW w:w="1739" w:type="dxa"/>
            <w:tcBorders>
              <w:top w:val="single" w:sz="4" w:space="0" w:color="auto"/>
              <w:left w:val="nil"/>
              <w:bottom w:val="single" w:sz="4" w:space="0" w:color="auto"/>
              <w:right w:val="single" w:sz="4" w:space="0" w:color="auto"/>
            </w:tcBorders>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HEU, Al, water</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16.50</w:t>
            </w:r>
          </w:p>
        </w:tc>
        <w:tc>
          <w:tcPr>
            <w:tcW w:w="16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17.50</w:t>
            </w:r>
          </w:p>
        </w:tc>
        <w:tc>
          <w:tcPr>
            <w:tcW w:w="1384"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-25.40</w:t>
            </w:r>
          </w:p>
        </w:tc>
        <w:tc>
          <w:tcPr>
            <w:tcW w:w="13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25.40</w:t>
            </w:r>
          </w:p>
        </w:tc>
      </w:tr>
      <w:tr w:rsidR="0061389A" w:rsidRPr="00F21DBA" w:rsidTr="0061389A">
        <w:trPr>
          <w:trHeight w:val="300"/>
          <w:jc w:val="center"/>
        </w:trPr>
        <w:tc>
          <w:tcPr>
            <w:tcW w:w="1526" w:type="dxa"/>
            <w:tcBorders>
              <w:top w:val="nil"/>
              <w:left w:val="single" w:sz="4" w:space="0" w:color="auto"/>
              <w:bottom w:val="single" w:sz="4" w:space="0" w:color="auto"/>
              <w:right w:val="single" w:sz="4" w:space="0" w:color="auto"/>
            </w:tcBorders>
            <w:shd w:val="clear" w:color="auto" w:fill="auto"/>
            <w:noWrap/>
            <w:vAlign w:val="center"/>
            <w:hideMark/>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OFE 5</w:t>
            </w:r>
          </w:p>
        </w:tc>
        <w:tc>
          <w:tcPr>
            <w:tcW w:w="1739" w:type="dxa"/>
            <w:tcBorders>
              <w:top w:val="single" w:sz="4" w:space="0" w:color="auto"/>
              <w:left w:val="nil"/>
              <w:bottom w:val="single" w:sz="4" w:space="0" w:color="auto"/>
              <w:right w:val="single" w:sz="4" w:space="0" w:color="auto"/>
            </w:tcBorders>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HEU, Al, water</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17.50</w:t>
            </w:r>
          </w:p>
        </w:tc>
        <w:tc>
          <w:tcPr>
            <w:tcW w:w="16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18.50</w:t>
            </w:r>
          </w:p>
        </w:tc>
        <w:tc>
          <w:tcPr>
            <w:tcW w:w="1384"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-25.40</w:t>
            </w:r>
          </w:p>
        </w:tc>
        <w:tc>
          <w:tcPr>
            <w:tcW w:w="13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25.40</w:t>
            </w:r>
          </w:p>
        </w:tc>
      </w:tr>
      <w:tr w:rsidR="0061389A" w:rsidRPr="00F21DBA" w:rsidTr="0061389A">
        <w:trPr>
          <w:trHeight w:val="300"/>
          <w:jc w:val="center"/>
        </w:trPr>
        <w:tc>
          <w:tcPr>
            <w:tcW w:w="1526" w:type="dxa"/>
            <w:tcBorders>
              <w:top w:val="nil"/>
              <w:left w:val="single" w:sz="4" w:space="0" w:color="auto"/>
              <w:bottom w:val="single" w:sz="4" w:space="0" w:color="auto"/>
              <w:right w:val="single" w:sz="4" w:space="0" w:color="auto"/>
            </w:tcBorders>
            <w:shd w:val="clear" w:color="auto" w:fill="auto"/>
            <w:noWrap/>
            <w:vAlign w:val="center"/>
            <w:hideMark/>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OFE 6</w:t>
            </w:r>
          </w:p>
        </w:tc>
        <w:tc>
          <w:tcPr>
            <w:tcW w:w="1739" w:type="dxa"/>
            <w:tcBorders>
              <w:top w:val="single" w:sz="4" w:space="0" w:color="auto"/>
              <w:left w:val="nil"/>
              <w:bottom w:val="single" w:sz="4" w:space="0" w:color="auto"/>
              <w:right w:val="single" w:sz="4" w:space="0" w:color="auto"/>
            </w:tcBorders>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HEU, Al, water</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18.50</w:t>
            </w:r>
          </w:p>
        </w:tc>
        <w:tc>
          <w:tcPr>
            <w:tcW w:w="16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19.50</w:t>
            </w:r>
          </w:p>
        </w:tc>
        <w:tc>
          <w:tcPr>
            <w:tcW w:w="1384"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-25.40</w:t>
            </w:r>
          </w:p>
        </w:tc>
        <w:tc>
          <w:tcPr>
            <w:tcW w:w="13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25.40</w:t>
            </w:r>
          </w:p>
        </w:tc>
      </w:tr>
      <w:tr w:rsidR="0061389A" w:rsidRPr="00F21DBA" w:rsidTr="0061389A">
        <w:trPr>
          <w:trHeight w:val="300"/>
          <w:jc w:val="center"/>
        </w:trPr>
        <w:tc>
          <w:tcPr>
            <w:tcW w:w="1526" w:type="dxa"/>
            <w:tcBorders>
              <w:top w:val="nil"/>
              <w:left w:val="single" w:sz="4" w:space="0" w:color="auto"/>
              <w:bottom w:val="single" w:sz="4" w:space="0" w:color="auto"/>
              <w:right w:val="single" w:sz="4" w:space="0" w:color="auto"/>
            </w:tcBorders>
            <w:shd w:val="clear" w:color="auto" w:fill="auto"/>
            <w:noWrap/>
            <w:vAlign w:val="center"/>
            <w:hideMark/>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OFE 7</w:t>
            </w:r>
          </w:p>
        </w:tc>
        <w:tc>
          <w:tcPr>
            <w:tcW w:w="1739" w:type="dxa"/>
            <w:tcBorders>
              <w:top w:val="single" w:sz="4" w:space="0" w:color="auto"/>
              <w:left w:val="nil"/>
              <w:bottom w:val="single" w:sz="4" w:space="0" w:color="auto"/>
              <w:right w:val="single" w:sz="4" w:space="0" w:color="auto"/>
            </w:tcBorders>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HEU, Al, water</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19.50</w:t>
            </w:r>
          </w:p>
        </w:tc>
        <w:tc>
          <w:tcPr>
            <w:tcW w:w="16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20.00</w:t>
            </w:r>
          </w:p>
        </w:tc>
        <w:tc>
          <w:tcPr>
            <w:tcW w:w="1384"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-25.40</w:t>
            </w:r>
          </w:p>
        </w:tc>
        <w:tc>
          <w:tcPr>
            <w:tcW w:w="13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25.40</w:t>
            </w:r>
          </w:p>
        </w:tc>
      </w:tr>
      <w:tr w:rsidR="0061389A" w:rsidRPr="00F21DBA" w:rsidTr="0061389A">
        <w:trPr>
          <w:trHeight w:val="300"/>
          <w:jc w:val="center"/>
        </w:trPr>
        <w:tc>
          <w:tcPr>
            <w:tcW w:w="1526" w:type="dxa"/>
            <w:tcBorders>
              <w:top w:val="nil"/>
              <w:left w:val="single" w:sz="4" w:space="0" w:color="auto"/>
              <w:bottom w:val="single" w:sz="4" w:space="0" w:color="auto"/>
              <w:right w:val="single" w:sz="4" w:space="0" w:color="auto"/>
            </w:tcBorders>
            <w:shd w:val="clear" w:color="auto" w:fill="auto"/>
            <w:noWrap/>
            <w:vAlign w:val="center"/>
            <w:hideMark/>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OFE 8</w:t>
            </w:r>
          </w:p>
        </w:tc>
        <w:tc>
          <w:tcPr>
            <w:tcW w:w="1739" w:type="dxa"/>
            <w:tcBorders>
              <w:top w:val="single" w:sz="4" w:space="0" w:color="auto"/>
              <w:left w:val="nil"/>
              <w:bottom w:val="single" w:sz="4" w:space="0" w:color="auto"/>
              <w:right w:val="single" w:sz="4" w:space="0" w:color="auto"/>
            </w:tcBorders>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HEU, Al, water</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20.00</w:t>
            </w:r>
          </w:p>
        </w:tc>
        <w:tc>
          <w:tcPr>
            <w:tcW w:w="16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20.50</w:t>
            </w:r>
          </w:p>
        </w:tc>
        <w:tc>
          <w:tcPr>
            <w:tcW w:w="1384"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-25.40</w:t>
            </w:r>
          </w:p>
        </w:tc>
        <w:tc>
          <w:tcPr>
            <w:tcW w:w="13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25.40</w:t>
            </w:r>
          </w:p>
        </w:tc>
      </w:tr>
      <w:tr w:rsidR="0061389A" w:rsidRPr="00F21DBA" w:rsidTr="0061389A">
        <w:trPr>
          <w:trHeight w:val="300"/>
          <w:jc w:val="center"/>
        </w:trPr>
        <w:tc>
          <w:tcPr>
            <w:tcW w:w="1526" w:type="dxa"/>
            <w:tcBorders>
              <w:top w:val="nil"/>
              <w:left w:val="single" w:sz="4" w:space="0" w:color="auto"/>
              <w:bottom w:val="single" w:sz="4" w:space="0" w:color="auto"/>
              <w:right w:val="single" w:sz="4" w:space="0" w:color="auto"/>
            </w:tcBorders>
            <w:shd w:val="clear" w:color="auto" w:fill="auto"/>
            <w:noWrap/>
            <w:vAlign w:val="center"/>
            <w:hideMark/>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OFE 9</w:t>
            </w:r>
          </w:p>
        </w:tc>
        <w:tc>
          <w:tcPr>
            <w:tcW w:w="1739" w:type="dxa"/>
            <w:tcBorders>
              <w:top w:val="single" w:sz="4" w:space="0" w:color="auto"/>
              <w:left w:val="nil"/>
              <w:bottom w:val="single" w:sz="4" w:space="0" w:color="auto"/>
              <w:right w:val="single" w:sz="4" w:space="0" w:color="auto"/>
            </w:tcBorders>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HEU, Al, water</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20.50</w:t>
            </w:r>
          </w:p>
        </w:tc>
        <w:tc>
          <w:tcPr>
            <w:tcW w:w="16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20.98</w:t>
            </w:r>
          </w:p>
        </w:tc>
        <w:tc>
          <w:tcPr>
            <w:tcW w:w="1384"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-25.40</w:t>
            </w:r>
          </w:p>
        </w:tc>
        <w:tc>
          <w:tcPr>
            <w:tcW w:w="13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25.40</w:t>
            </w:r>
          </w:p>
        </w:tc>
      </w:tr>
      <w:tr w:rsidR="0061389A" w:rsidRPr="00F21DBA" w:rsidTr="0061389A">
        <w:trPr>
          <w:trHeight w:val="300"/>
          <w:jc w:val="center"/>
        </w:trPr>
        <w:tc>
          <w:tcPr>
            <w:tcW w:w="1526" w:type="dxa"/>
            <w:tcBorders>
              <w:top w:val="nil"/>
              <w:left w:val="single" w:sz="4" w:space="0" w:color="auto"/>
              <w:bottom w:val="single" w:sz="4" w:space="0" w:color="auto"/>
              <w:right w:val="single" w:sz="4" w:space="0" w:color="auto"/>
            </w:tcBorders>
            <w:shd w:val="clear" w:color="auto" w:fill="auto"/>
            <w:noWrap/>
            <w:vAlign w:val="center"/>
            <w:hideMark/>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FE side plates</w:t>
            </w:r>
          </w:p>
        </w:tc>
        <w:tc>
          <w:tcPr>
            <w:tcW w:w="1739" w:type="dxa"/>
            <w:tcBorders>
              <w:top w:val="single" w:sz="4" w:space="0" w:color="auto"/>
              <w:left w:val="nil"/>
              <w:bottom w:val="single" w:sz="4" w:space="0" w:color="auto"/>
              <w:right w:val="single" w:sz="4" w:space="0" w:color="auto"/>
            </w:tcBorders>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Al, water</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6.40 (20.98)</w:t>
            </w:r>
          </w:p>
        </w:tc>
        <w:tc>
          <w:tcPr>
            <w:tcW w:w="16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7.14 (21.7475)</w:t>
            </w:r>
          </w:p>
        </w:tc>
        <w:tc>
          <w:tcPr>
            <w:tcW w:w="1384"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-30.48</w:t>
            </w:r>
          </w:p>
        </w:tc>
        <w:tc>
          <w:tcPr>
            <w:tcW w:w="13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30.48</w:t>
            </w:r>
          </w:p>
        </w:tc>
      </w:tr>
      <w:tr w:rsidR="0061389A" w:rsidRPr="00F21DBA" w:rsidTr="0061389A">
        <w:trPr>
          <w:trHeight w:val="300"/>
          <w:jc w:val="center"/>
        </w:trPr>
        <w:tc>
          <w:tcPr>
            <w:tcW w:w="1526" w:type="dxa"/>
            <w:tcBorders>
              <w:top w:val="nil"/>
              <w:left w:val="single" w:sz="4" w:space="0" w:color="auto"/>
              <w:bottom w:val="single" w:sz="4" w:space="0" w:color="auto"/>
              <w:right w:val="single" w:sz="4" w:space="0" w:color="auto"/>
            </w:tcBorders>
            <w:shd w:val="clear" w:color="auto" w:fill="auto"/>
            <w:noWrap/>
            <w:vAlign w:val="center"/>
            <w:hideMark/>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FE extensions</w:t>
            </w:r>
          </w:p>
        </w:tc>
        <w:tc>
          <w:tcPr>
            <w:tcW w:w="1739" w:type="dxa"/>
            <w:tcBorders>
              <w:top w:val="single" w:sz="4" w:space="0" w:color="auto"/>
              <w:left w:val="nil"/>
              <w:bottom w:val="single" w:sz="4" w:space="0" w:color="auto"/>
              <w:right w:val="single" w:sz="4" w:space="0" w:color="auto"/>
            </w:tcBorders>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Al, water</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7.14 (15.13)</w:t>
            </w:r>
          </w:p>
        </w:tc>
        <w:tc>
          <w:tcPr>
            <w:tcW w:w="16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12.6 (20.98)</w:t>
            </w:r>
          </w:p>
        </w:tc>
        <w:tc>
          <w:tcPr>
            <w:tcW w:w="1384"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-30.48 (25.40)</w:t>
            </w:r>
          </w:p>
        </w:tc>
        <w:tc>
          <w:tcPr>
            <w:tcW w:w="13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-25.40 (30.48)</w:t>
            </w:r>
          </w:p>
        </w:tc>
      </w:tr>
      <w:tr w:rsidR="0061389A" w:rsidRPr="00F21DBA" w:rsidTr="0061389A">
        <w:trPr>
          <w:trHeight w:val="300"/>
          <w:jc w:val="center"/>
        </w:trPr>
        <w:tc>
          <w:tcPr>
            <w:tcW w:w="1526" w:type="dxa"/>
            <w:tcBorders>
              <w:top w:val="nil"/>
              <w:left w:val="single" w:sz="4" w:space="0" w:color="auto"/>
              <w:bottom w:val="single" w:sz="4" w:space="0" w:color="auto"/>
              <w:right w:val="single" w:sz="4" w:space="0" w:color="auto"/>
            </w:tcBorders>
            <w:shd w:val="clear" w:color="auto" w:fill="auto"/>
            <w:noWrap/>
            <w:vAlign w:val="center"/>
            <w:hideMark/>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FE middle plate</w:t>
            </w:r>
          </w:p>
        </w:tc>
        <w:tc>
          <w:tcPr>
            <w:tcW w:w="1739" w:type="dxa"/>
            <w:tcBorders>
              <w:top w:val="single" w:sz="4" w:space="0" w:color="auto"/>
              <w:left w:val="nil"/>
              <w:bottom w:val="single" w:sz="4" w:space="0" w:color="auto"/>
              <w:right w:val="single" w:sz="4" w:space="0" w:color="auto"/>
            </w:tcBorders>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Al, water</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12.60</w:t>
            </w:r>
          </w:p>
        </w:tc>
        <w:tc>
          <w:tcPr>
            <w:tcW w:w="16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15.13</w:t>
            </w:r>
          </w:p>
        </w:tc>
        <w:tc>
          <w:tcPr>
            <w:tcW w:w="1384"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-30.48</w:t>
            </w:r>
          </w:p>
        </w:tc>
        <w:tc>
          <w:tcPr>
            <w:tcW w:w="13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30.48</w:t>
            </w:r>
          </w:p>
        </w:tc>
      </w:tr>
      <w:tr w:rsidR="0061389A" w:rsidRPr="00F21DBA" w:rsidTr="0061389A">
        <w:trPr>
          <w:trHeight w:val="300"/>
          <w:jc w:val="center"/>
        </w:trPr>
        <w:tc>
          <w:tcPr>
            <w:tcW w:w="1526" w:type="dxa"/>
            <w:tcBorders>
              <w:top w:val="nil"/>
              <w:left w:val="single" w:sz="4" w:space="0" w:color="auto"/>
              <w:bottom w:val="single" w:sz="4" w:space="0" w:color="auto"/>
              <w:right w:val="single" w:sz="4" w:space="0" w:color="auto"/>
            </w:tcBorders>
            <w:shd w:val="clear" w:color="auto" w:fill="auto"/>
            <w:noWrap/>
            <w:vAlign w:val="center"/>
            <w:hideMark/>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white CE</w:t>
            </w:r>
          </w:p>
        </w:tc>
        <w:tc>
          <w:tcPr>
            <w:tcW w:w="1739" w:type="dxa"/>
            <w:tcBorders>
              <w:top w:val="single" w:sz="4" w:space="0" w:color="auto"/>
              <w:left w:val="nil"/>
              <w:bottom w:val="single" w:sz="4" w:space="0" w:color="auto"/>
              <w:right w:val="single" w:sz="4" w:space="0" w:color="auto"/>
            </w:tcBorders>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Al, water</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22.02434 (22.987)</w:t>
            </w:r>
          </w:p>
        </w:tc>
        <w:tc>
          <w:tcPr>
            <w:tcW w:w="16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22.65934 (23.622)</w:t>
            </w:r>
          </w:p>
        </w:tc>
        <w:tc>
          <w:tcPr>
            <w:tcW w:w="1384"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0.00 (-50.48)</w:t>
            </w:r>
          </w:p>
        </w:tc>
        <w:tc>
          <w:tcPr>
            <w:tcW w:w="13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50.48 (0.00)</w:t>
            </w:r>
          </w:p>
        </w:tc>
      </w:tr>
      <w:tr w:rsidR="0061389A" w:rsidRPr="00F21DBA" w:rsidTr="0061389A">
        <w:trPr>
          <w:trHeight w:val="300"/>
          <w:jc w:val="center"/>
        </w:trPr>
        <w:tc>
          <w:tcPr>
            <w:tcW w:w="1526" w:type="dxa"/>
            <w:tcBorders>
              <w:top w:val="nil"/>
              <w:left w:val="single" w:sz="4" w:space="0" w:color="auto"/>
              <w:bottom w:val="single" w:sz="4" w:space="0" w:color="auto"/>
              <w:right w:val="single" w:sz="4" w:space="0" w:color="auto"/>
            </w:tcBorders>
            <w:shd w:val="clear" w:color="auto" w:fill="auto"/>
            <w:noWrap/>
            <w:vAlign w:val="center"/>
            <w:hideMark/>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grey CE</w:t>
            </w:r>
          </w:p>
        </w:tc>
        <w:tc>
          <w:tcPr>
            <w:tcW w:w="1739" w:type="dxa"/>
            <w:tcBorders>
              <w:top w:val="single" w:sz="4" w:space="0" w:color="auto"/>
              <w:left w:val="nil"/>
              <w:bottom w:val="single" w:sz="4" w:space="0" w:color="auto"/>
              <w:right w:val="single" w:sz="4" w:space="0" w:color="auto"/>
            </w:tcBorders>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Ta, Al, water</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22.02434 (22.987)</w:t>
            </w:r>
          </w:p>
        </w:tc>
        <w:tc>
          <w:tcPr>
            <w:tcW w:w="16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22.65934 (23.622)</w:t>
            </w:r>
          </w:p>
        </w:tc>
        <w:tc>
          <w:tcPr>
            <w:tcW w:w="1384"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-12.70 (0.00)</w:t>
            </w:r>
          </w:p>
        </w:tc>
        <w:tc>
          <w:tcPr>
            <w:tcW w:w="13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0.00 (12.70)</w:t>
            </w:r>
          </w:p>
        </w:tc>
      </w:tr>
      <w:tr w:rsidR="0061389A" w:rsidRPr="00F21DBA" w:rsidTr="0061389A">
        <w:trPr>
          <w:trHeight w:val="300"/>
          <w:jc w:val="center"/>
        </w:trPr>
        <w:tc>
          <w:tcPr>
            <w:tcW w:w="1526" w:type="dxa"/>
            <w:tcBorders>
              <w:top w:val="nil"/>
              <w:left w:val="single" w:sz="4" w:space="0" w:color="auto"/>
              <w:bottom w:val="single" w:sz="4" w:space="0" w:color="auto"/>
              <w:right w:val="single" w:sz="4" w:space="0" w:color="auto"/>
            </w:tcBorders>
            <w:shd w:val="clear" w:color="auto" w:fill="auto"/>
            <w:noWrap/>
            <w:vAlign w:val="center"/>
            <w:hideMark/>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black CE</w:t>
            </w:r>
          </w:p>
        </w:tc>
        <w:tc>
          <w:tcPr>
            <w:tcW w:w="1739" w:type="dxa"/>
            <w:tcBorders>
              <w:top w:val="single" w:sz="4" w:space="0" w:color="auto"/>
              <w:left w:val="nil"/>
              <w:bottom w:val="single" w:sz="4" w:space="0" w:color="auto"/>
              <w:right w:val="single" w:sz="4" w:space="0" w:color="auto"/>
            </w:tcBorders>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Eu</w:t>
            </w:r>
            <w:r w:rsidRPr="0061389A">
              <w:rPr>
                <w:rFonts w:eastAsia="Times New Roman" w:cstheme="minorHAnsi"/>
                <w:color w:val="000000"/>
                <w:sz w:val="18"/>
                <w:szCs w:val="18"/>
                <w:vertAlign w:val="subscript"/>
              </w:rPr>
              <w:t>2</w:t>
            </w:r>
            <w:r w:rsidRPr="0061389A">
              <w:rPr>
                <w:rFonts w:eastAsia="Times New Roman" w:cstheme="minorHAnsi"/>
                <w:color w:val="000000"/>
                <w:sz w:val="18"/>
                <w:szCs w:val="18"/>
              </w:rPr>
              <w:t>O</w:t>
            </w:r>
            <w:r w:rsidRPr="0061389A">
              <w:rPr>
                <w:rFonts w:eastAsia="Times New Roman" w:cstheme="minorHAnsi"/>
                <w:color w:val="000000"/>
                <w:sz w:val="18"/>
                <w:szCs w:val="18"/>
                <w:vertAlign w:val="subscript"/>
              </w:rPr>
              <w:t>3</w:t>
            </w:r>
            <w:r w:rsidRPr="0061389A">
              <w:rPr>
                <w:rFonts w:eastAsia="Times New Roman" w:cstheme="minorHAnsi"/>
                <w:color w:val="000000"/>
                <w:sz w:val="18"/>
                <w:szCs w:val="18"/>
              </w:rPr>
              <w:t xml:space="preserve">, Al, water </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22.02434 (22.987)</w:t>
            </w:r>
          </w:p>
        </w:tc>
        <w:tc>
          <w:tcPr>
            <w:tcW w:w="16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22.65934 (23.622)</w:t>
            </w:r>
          </w:p>
        </w:tc>
        <w:tc>
          <w:tcPr>
            <w:tcW w:w="1384"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-50.48 (12.70)</w:t>
            </w:r>
          </w:p>
        </w:tc>
        <w:tc>
          <w:tcPr>
            <w:tcW w:w="13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-12.70 (50.48)</w:t>
            </w:r>
          </w:p>
        </w:tc>
      </w:tr>
      <w:tr w:rsidR="0061389A" w:rsidRPr="00F21DBA" w:rsidTr="0061389A">
        <w:trPr>
          <w:trHeight w:val="300"/>
          <w:jc w:val="center"/>
        </w:trPr>
        <w:tc>
          <w:tcPr>
            <w:tcW w:w="1526" w:type="dxa"/>
            <w:tcBorders>
              <w:top w:val="nil"/>
              <w:left w:val="single" w:sz="4" w:space="0" w:color="auto"/>
              <w:bottom w:val="single" w:sz="4" w:space="0" w:color="auto"/>
              <w:right w:val="single" w:sz="4" w:space="0" w:color="auto"/>
            </w:tcBorders>
            <w:shd w:val="clear" w:color="auto" w:fill="auto"/>
            <w:noWrap/>
            <w:vAlign w:val="center"/>
            <w:hideMark/>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RBE</w:t>
            </w:r>
          </w:p>
        </w:tc>
        <w:tc>
          <w:tcPr>
            <w:tcW w:w="1739" w:type="dxa"/>
            <w:tcBorders>
              <w:top w:val="single" w:sz="4" w:space="0" w:color="auto"/>
              <w:left w:val="nil"/>
              <w:bottom w:val="single" w:sz="4" w:space="0" w:color="auto"/>
              <w:right w:val="single" w:sz="4" w:space="0" w:color="auto"/>
            </w:tcBorders>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Be, Al, water</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23.8125</w:t>
            </w:r>
          </w:p>
        </w:tc>
        <w:tc>
          <w:tcPr>
            <w:tcW w:w="16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33.3375</w:t>
            </w:r>
          </w:p>
        </w:tc>
        <w:tc>
          <w:tcPr>
            <w:tcW w:w="1384"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-30.48</w:t>
            </w:r>
          </w:p>
        </w:tc>
        <w:tc>
          <w:tcPr>
            <w:tcW w:w="13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30.48</w:t>
            </w:r>
          </w:p>
        </w:tc>
      </w:tr>
      <w:tr w:rsidR="0061389A" w:rsidRPr="00F21DBA" w:rsidTr="0061389A">
        <w:trPr>
          <w:trHeight w:val="300"/>
          <w:jc w:val="center"/>
        </w:trPr>
        <w:tc>
          <w:tcPr>
            <w:tcW w:w="1526" w:type="dxa"/>
            <w:tcBorders>
              <w:top w:val="nil"/>
              <w:left w:val="single" w:sz="4" w:space="0" w:color="auto"/>
              <w:bottom w:val="single" w:sz="4" w:space="0" w:color="auto"/>
              <w:right w:val="single" w:sz="4" w:space="0" w:color="auto"/>
            </w:tcBorders>
            <w:shd w:val="clear" w:color="auto" w:fill="auto"/>
            <w:noWrap/>
            <w:vAlign w:val="center"/>
            <w:hideMark/>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PBE</w:t>
            </w:r>
          </w:p>
        </w:tc>
        <w:tc>
          <w:tcPr>
            <w:tcW w:w="1739" w:type="dxa"/>
            <w:tcBorders>
              <w:top w:val="single" w:sz="4" w:space="0" w:color="auto"/>
              <w:left w:val="nil"/>
              <w:bottom w:val="single" w:sz="4" w:space="0" w:color="auto"/>
              <w:right w:val="single" w:sz="4" w:space="0" w:color="auto"/>
            </w:tcBorders>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Be, Al, water</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33.3375</w:t>
            </w:r>
          </w:p>
        </w:tc>
        <w:tc>
          <w:tcPr>
            <w:tcW w:w="16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54.61</w:t>
            </w:r>
          </w:p>
        </w:tc>
        <w:tc>
          <w:tcPr>
            <w:tcW w:w="1384"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-30.48</w:t>
            </w:r>
          </w:p>
        </w:tc>
        <w:tc>
          <w:tcPr>
            <w:tcW w:w="13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30.48</w:t>
            </w:r>
          </w:p>
        </w:tc>
      </w:tr>
      <w:tr w:rsidR="0061389A" w:rsidRPr="00F21DBA" w:rsidTr="0061389A">
        <w:trPr>
          <w:trHeight w:val="300"/>
          <w:jc w:val="center"/>
        </w:trPr>
        <w:tc>
          <w:tcPr>
            <w:tcW w:w="1526" w:type="dxa"/>
            <w:tcBorders>
              <w:top w:val="nil"/>
              <w:left w:val="single" w:sz="4" w:space="0" w:color="auto"/>
              <w:bottom w:val="single" w:sz="4" w:space="0" w:color="auto"/>
              <w:right w:val="single" w:sz="4" w:space="0" w:color="auto"/>
            </w:tcBorders>
            <w:shd w:val="clear" w:color="auto" w:fill="auto"/>
            <w:noWrap/>
            <w:vAlign w:val="center"/>
            <w:hideMark/>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water</w:t>
            </w:r>
          </w:p>
        </w:tc>
        <w:tc>
          <w:tcPr>
            <w:tcW w:w="1739" w:type="dxa"/>
            <w:tcBorders>
              <w:top w:val="single" w:sz="4" w:space="0" w:color="auto"/>
              <w:left w:val="nil"/>
              <w:bottom w:val="single" w:sz="4" w:space="0" w:color="auto"/>
              <w:right w:val="single" w:sz="4" w:space="0" w:color="auto"/>
            </w:tcBorders>
          </w:tcPr>
          <w:p w:rsidR="0061389A" w:rsidRPr="0061389A" w:rsidRDefault="0061389A" w:rsidP="0095569A">
            <w:pPr>
              <w:spacing w:before="0" w:after="0" w:line="240" w:lineRule="auto"/>
              <w:ind w:firstLine="0"/>
              <w:rPr>
                <w:rFonts w:eastAsia="Times New Roman" w:cstheme="minorHAnsi"/>
                <w:color w:val="000000"/>
                <w:sz w:val="18"/>
                <w:szCs w:val="18"/>
              </w:rPr>
            </w:pPr>
            <w:r w:rsidRPr="0061389A">
              <w:rPr>
                <w:rFonts w:eastAsia="Times New Roman" w:cstheme="minorHAnsi"/>
                <w:color w:val="000000"/>
                <w:sz w:val="18"/>
                <w:szCs w:val="18"/>
              </w:rPr>
              <w:t>water</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0.00</w:t>
            </w:r>
          </w:p>
        </w:tc>
        <w:tc>
          <w:tcPr>
            <w:tcW w:w="16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84.61</w:t>
            </w:r>
          </w:p>
        </w:tc>
        <w:tc>
          <w:tcPr>
            <w:tcW w:w="1384"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-50.48</w:t>
            </w:r>
          </w:p>
        </w:tc>
        <w:tc>
          <w:tcPr>
            <w:tcW w:w="1341" w:type="dxa"/>
            <w:tcBorders>
              <w:top w:val="nil"/>
              <w:left w:val="nil"/>
              <w:bottom w:val="single" w:sz="4" w:space="0" w:color="auto"/>
              <w:right w:val="single" w:sz="4" w:space="0" w:color="auto"/>
            </w:tcBorders>
            <w:shd w:val="clear" w:color="auto" w:fill="auto"/>
            <w:noWrap/>
            <w:vAlign w:val="bottom"/>
            <w:hideMark/>
          </w:tcPr>
          <w:p w:rsidR="0061389A" w:rsidRPr="0061389A" w:rsidRDefault="0061389A" w:rsidP="0095569A">
            <w:pPr>
              <w:spacing w:before="0" w:after="0" w:line="240" w:lineRule="auto"/>
              <w:ind w:firstLine="0"/>
              <w:jc w:val="right"/>
              <w:rPr>
                <w:rFonts w:eastAsia="Times New Roman" w:cstheme="minorHAnsi"/>
                <w:color w:val="000000"/>
                <w:sz w:val="18"/>
                <w:szCs w:val="18"/>
              </w:rPr>
            </w:pPr>
            <w:r w:rsidRPr="0061389A">
              <w:rPr>
                <w:rFonts w:eastAsia="Times New Roman" w:cstheme="minorHAnsi"/>
                <w:color w:val="000000"/>
                <w:sz w:val="18"/>
                <w:szCs w:val="18"/>
              </w:rPr>
              <w:t>50.48</w:t>
            </w:r>
          </w:p>
        </w:tc>
      </w:tr>
    </w:tbl>
    <w:p w:rsidR="0061389A" w:rsidRDefault="0061389A">
      <w:pPr>
        <w:spacing w:before="0" w:after="200" w:line="276" w:lineRule="auto"/>
      </w:pPr>
    </w:p>
    <w:p w:rsidR="0061389A" w:rsidRDefault="0061389A">
      <w:pPr>
        <w:spacing w:before="0" w:after="200" w:line="276" w:lineRule="auto"/>
      </w:pPr>
      <w:r>
        <w:br w:type="page"/>
      </w:r>
    </w:p>
    <w:p w:rsidR="0061389A" w:rsidRDefault="0061389A" w:rsidP="0095569A">
      <w:r>
        <w:lastRenderedPageBreak/>
        <w:t>The spatial and eigenvalue convergence criteria were both set to 10</w:t>
      </w:r>
      <w:r>
        <w:rPr>
          <w:vertAlign w:val="superscript"/>
        </w:rPr>
        <w:t xml:space="preserve">-4 </w:t>
      </w:r>
      <w:r>
        <w:t>and coarse-mesh finite-difference acceleration was activated to speed convergence since there is a significant amount of scattering in the system</w:t>
      </w:r>
      <w:r w:rsidR="006B5D42">
        <w:t xml:space="preserve"> </w:t>
      </w:r>
      <w:r w:rsidR="007511FA">
        <w:fldChar w:fldCharType="begin"/>
      </w:r>
      <w:r w:rsidR="006B5D42">
        <w:instrText xml:space="preserve"> REF _Ref285636736 \n \h </w:instrText>
      </w:r>
      <w:r w:rsidR="007511FA">
        <w:fldChar w:fldCharType="separate"/>
      </w:r>
      <w:r w:rsidR="00D5167B">
        <w:t>[61]</w:t>
      </w:r>
      <w:r w:rsidR="007511FA">
        <w:fldChar w:fldCharType="end"/>
      </w:r>
      <w:r>
        <w:t>.  Two options are available in NEWT to set the regions within which convergence testing is applied: 1) force converged scalar fluxes in every computational cell and 2) relax convergence such that averaged scalar fluxes within a mixture are converged</w:t>
      </w:r>
      <w:r w:rsidR="006B5D42">
        <w:t xml:space="preserve"> </w:t>
      </w:r>
      <w:r w:rsidR="007511FA">
        <w:fldChar w:fldCharType="begin"/>
      </w:r>
      <w:r w:rsidR="006B5D42">
        <w:instrText xml:space="preserve"> REF _Ref285636736 \n \h </w:instrText>
      </w:r>
      <w:r w:rsidR="007511FA">
        <w:fldChar w:fldCharType="separate"/>
      </w:r>
      <w:r w:rsidR="00D5167B">
        <w:t>[61]</w:t>
      </w:r>
      <w:r w:rsidR="007511FA">
        <w:fldChar w:fldCharType="end"/>
      </w:r>
      <w:r>
        <w:t xml:space="preserve">.  The second option is useful for mixtures in which fluxes become very small (large reflectors or near a vacuum boundary condition) and since this model utilizes three vacuum boundary conditions and includes a large beryllium reflector and water surrounding the core, the second option was utilized.  The NEWT geometry, material number assignments, and fine rectangular mesh are depicted </w:t>
      </w:r>
      <w:r w:rsidRPr="00CC3BE2">
        <w:t>in</w:t>
      </w:r>
      <w:r>
        <w:t xml:space="preserve"> </w:t>
      </w:r>
      <w:r w:rsidR="007511FA">
        <w:rPr>
          <w:highlight w:val="yellow"/>
        </w:rPr>
        <w:fldChar w:fldCharType="begin"/>
      </w:r>
      <w:r w:rsidR="000C5E2C">
        <w:instrText xml:space="preserve"> REF _Ref285540216 \h </w:instrText>
      </w:r>
      <w:r w:rsidR="007511FA">
        <w:rPr>
          <w:highlight w:val="yellow"/>
        </w:rPr>
      </w:r>
      <w:r w:rsidR="007511FA">
        <w:rPr>
          <w:highlight w:val="yellow"/>
        </w:rPr>
        <w:fldChar w:fldCharType="separate"/>
      </w:r>
      <w:r w:rsidR="00D5167B">
        <w:t xml:space="preserve">Figure </w:t>
      </w:r>
      <w:r w:rsidR="00D5167B">
        <w:rPr>
          <w:noProof/>
        </w:rPr>
        <w:t>9</w:t>
      </w:r>
      <w:r w:rsidR="00D5167B">
        <w:t>.</w:t>
      </w:r>
      <w:r w:rsidR="00D5167B">
        <w:rPr>
          <w:noProof/>
        </w:rPr>
        <w:t>2</w:t>
      </w:r>
      <w:r w:rsidR="007511FA">
        <w:rPr>
          <w:highlight w:val="yellow"/>
        </w:rPr>
        <w:fldChar w:fldCharType="end"/>
      </w:r>
      <w:r>
        <w:t>.</w:t>
      </w:r>
    </w:p>
    <w:p w:rsidR="007822D7" w:rsidRDefault="007822D7" w:rsidP="0095569A"/>
    <w:p w:rsidR="00CA2E5F" w:rsidRDefault="00CA2E5F" w:rsidP="0095569A"/>
    <w:p w:rsidR="007822D7" w:rsidRDefault="007822D7" w:rsidP="007822D7">
      <w:pPr>
        <w:spacing w:line="360" w:lineRule="auto"/>
        <w:ind w:firstLine="0"/>
        <w:jc w:val="center"/>
      </w:pPr>
      <w:r>
        <w:rPr>
          <w:noProof/>
        </w:rPr>
        <w:drawing>
          <wp:inline distT="0" distB="0" distL="0" distR="0">
            <wp:extent cx="3204797" cy="3840480"/>
            <wp:effectExtent l="19050" t="0" r="0" b="0"/>
            <wp:docPr id="94" name="Picture 2" descr="C:\Users\dcz\Desktop\final2D2G\NEWTmaterialsMes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cz\Desktop\final2D2G\NEWTmaterialsMesh.png"/>
                    <pic:cNvPicPr>
                      <a:picLocks noChangeAspect="1" noChangeArrowheads="1"/>
                    </pic:cNvPicPr>
                  </pic:nvPicPr>
                  <pic:blipFill>
                    <a:blip r:embed="rId76" cstate="print"/>
                    <a:srcRect/>
                    <a:stretch>
                      <a:fillRect/>
                    </a:stretch>
                  </pic:blipFill>
                  <pic:spPr bwMode="auto">
                    <a:xfrm>
                      <a:off x="0" y="0"/>
                      <a:ext cx="3204797" cy="3840480"/>
                    </a:xfrm>
                    <a:prstGeom prst="rect">
                      <a:avLst/>
                    </a:prstGeom>
                    <a:noFill/>
                    <a:ln w="9525">
                      <a:noFill/>
                      <a:miter lim="800000"/>
                      <a:headEnd/>
                      <a:tailEnd/>
                    </a:ln>
                  </pic:spPr>
                </pic:pic>
              </a:graphicData>
            </a:graphic>
          </wp:inline>
        </w:drawing>
      </w:r>
    </w:p>
    <w:p w:rsidR="007822D7" w:rsidRDefault="007822D7" w:rsidP="007822D7">
      <w:pPr>
        <w:pStyle w:val="Caption"/>
      </w:pPr>
      <w:bookmarkStart w:id="326" w:name="_Ref285540216"/>
      <w:bookmarkStart w:id="327" w:name="_Toc295818248"/>
      <w:proofErr w:type="gramStart"/>
      <w:r>
        <w:t xml:space="preserve">Figure </w:t>
      </w:r>
      <w:r w:rsidR="007511FA">
        <w:fldChar w:fldCharType="begin"/>
      </w:r>
      <w:r w:rsidR="00AE17F8">
        <w:instrText xml:space="preserve"> STYLEREF 1 \s </w:instrText>
      </w:r>
      <w:r w:rsidR="007511FA">
        <w:fldChar w:fldCharType="separate"/>
      </w:r>
      <w:r w:rsidR="00D5167B">
        <w:rPr>
          <w:noProof/>
        </w:rPr>
        <w:t>9</w:t>
      </w:r>
      <w:r w:rsidR="007511FA">
        <w:fldChar w:fldCharType="end"/>
      </w:r>
      <w:r>
        <w:t>.</w:t>
      </w:r>
      <w:proofErr w:type="gramEnd"/>
      <w:r w:rsidR="007511FA">
        <w:fldChar w:fldCharType="begin"/>
      </w:r>
      <w:r w:rsidR="00C43F40">
        <w:instrText xml:space="preserve"> SEQ Figure \* ARABIC \s 1 </w:instrText>
      </w:r>
      <w:r w:rsidR="007511FA">
        <w:fldChar w:fldCharType="separate"/>
      </w:r>
      <w:r w:rsidR="00D5167B">
        <w:rPr>
          <w:noProof/>
        </w:rPr>
        <w:t>2</w:t>
      </w:r>
      <w:r w:rsidR="007511FA">
        <w:fldChar w:fldCharType="end"/>
      </w:r>
      <w:bookmarkEnd w:id="326"/>
      <w:r w:rsidRPr="000C5E2C">
        <w:t xml:space="preserve">.  </w:t>
      </w:r>
      <w:proofErr w:type="gramStart"/>
      <w:r w:rsidRPr="000C5E2C">
        <w:t>Grid structure and material placement in NEWT model.</w:t>
      </w:r>
      <w:bookmarkEnd w:id="327"/>
      <w:proofErr w:type="gramEnd"/>
      <w:r>
        <w:br w:type="page"/>
      </w:r>
    </w:p>
    <w:p w:rsidR="0083266C" w:rsidRDefault="0083266C" w:rsidP="00AA149C">
      <w:pPr>
        <w:pStyle w:val="Heading2"/>
      </w:pPr>
      <w:bookmarkStart w:id="328" w:name="_Toc295818162"/>
      <w:r>
        <w:lastRenderedPageBreak/>
        <w:t>Derivation of Diffusion Theory</w:t>
      </w:r>
      <w:bookmarkEnd w:id="328"/>
    </w:p>
    <w:p w:rsidR="0083266C" w:rsidRDefault="0083266C" w:rsidP="0095569A">
      <w:r>
        <w:t xml:space="preserve">The derivation of diffusion theory is based on </w:t>
      </w:r>
      <w:proofErr w:type="spellStart"/>
      <w:r>
        <w:t>Fick’s</w:t>
      </w:r>
      <w:proofErr w:type="spellEnd"/>
      <w:r>
        <w:t xml:space="preserve"> law, which governs that there will be a net flow of neutrons in a reactor from a region of greater neutron density into a region of lower neutron density</w:t>
      </w:r>
      <w:r w:rsidR="006B5D42">
        <w:t xml:space="preserve"> </w:t>
      </w:r>
      <w:r w:rsidR="007511FA">
        <w:fldChar w:fldCharType="begin"/>
      </w:r>
      <w:r w:rsidR="006B5D42">
        <w:instrText xml:space="preserve"> REF _Ref285638558 \n \h </w:instrText>
      </w:r>
      <w:r w:rsidR="007511FA">
        <w:fldChar w:fldCharType="separate"/>
      </w:r>
      <w:r w:rsidR="00D5167B">
        <w:t>[103]</w:t>
      </w:r>
      <w:r w:rsidR="007511FA">
        <w:fldChar w:fldCharType="end"/>
      </w:r>
      <w:r>
        <w:t xml:space="preserve">, and the equation of continuity, which governs that the net number of neutrons in a nuclear system must be conserved.  The expression for </w:t>
      </w:r>
      <w:proofErr w:type="spellStart"/>
      <w:r>
        <w:t>Fick’s</w:t>
      </w:r>
      <w:proofErr w:type="spellEnd"/>
      <w:r>
        <w:t xml:space="preserve"> law is shown in </w:t>
      </w:r>
      <w:fldSimple w:instr=" REF _Ref285540235 \h  \* MERGEFORMAT ">
        <w:r w:rsidR="00D5167B" w:rsidRPr="00D5167B">
          <w:t xml:space="preserve">Equation </w:t>
        </w:r>
        <w:r w:rsidR="00D5167B" w:rsidRPr="00D5167B">
          <w:rPr>
            <w:noProof/>
          </w:rPr>
          <w:t>9.1</w:t>
        </w:r>
      </w:fldSimple>
      <w:r>
        <w:t xml:space="preserve"> and the expression for neutron continuity is shown in </w:t>
      </w:r>
      <w:fldSimple w:instr=" REF _Ref285540262 \h  \* MERGEFORMAT ">
        <w:r w:rsidR="00D5167B" w:rsidRPr="00317688">
          <w:t xml:space="preserve">Equation </w:t>
        </w:r>
        <w:r w:rsidR="00D5167B">
          <w:rPr>
            <w:noProof/>
          </w:rPr>
          <w:t>9.2</w:t>
        </w:r>
      </w:fldSimple>
      <w:r>
        <w:t xml:space="preserve">.  For a complete derivation of these relationships refer </w:t>
      </w:r>
      <w:r w:rsidRPr="00CC3BE2">
        <w:t xml:space="preserve">to </w:t>
      </w:r>
      <w:r w:rsidR="007511FA">
        <w:fldChar w:fldCharType="begin"/>
      </w:r>
      <w:r w:rsidR="006B5D42">
        <w:instrText xml:space="preserve"> REF _Ref285638388 \n \h </w:instrText>
      </w:r>
      <w:r w:rsidR="007511FA">
        <w:fldChar w:fldCharType="separate"/>
      </w:r>
      <w:r w:rsidR="00D5167B">
        <w:t>[101]</w:t>
      </w:r>
      <w:r w:rsidR="007511FA">
        <w:fldChar w:fldCharType="end"/>
      </w:r>
      <w:r w:rsidR="006B5D42">
        <w:t xml:space="preserve"> and </w:t>
      </w:r>
      <w:r w:rsidR="007511FA">
        <w:fldChar w:fldCharType="begin"/>
      </w:r>
      <w:r w:rsidR="006B5D42">
        <w:instrText xml:space="preserve"> REF _Ref285638558 \n \h </w:instrText>
      </w:r>
      <w:r w:rsidR="007511FA">
        <w:fldChar w:fldCharType="separate"/>
      </w:r>
      <w:r w:rsidR="00D5167B">
        <w:t>[103]</w:t>
      </w:r>
      <w:r w:rsidR="007511FA">
        <w:fldChar w:fldCharType="end"/>
      </w:r>
      <w:r w:rsidR="006B5D42">
        <w:t>.</w:t>
      </w:r>
    </w:p>
    <w:p w:rsidR="00B12830" w:rsidRDefault="00B12830" w:rsidP="00B12830">
      <w:pPr>
        <w:ind w:firstLine="0"/>
      </w:pPr>
    </w:p>
    <w:p w:rsidR="000C5E2C" w:rsidRPr="000C5E2C" w:rsidRDefault="007511FA" w:rsidP="00CA2E5F">
      <w:pPr>
        <w:spacing w:line="240" w:lineRule="auto"/>
        <w:ind w:firstLine="0"/>
        <w:jc w:val="center"/>
        <w:rPr>
          <w:rFonts w:eastAsiaTheme="minorEastAsia"/>
        </w:rPr>
      </w:pPr>
      <m:oMathPara>
        <m:oMath>
          <m:bar>
            <m:barPr>
              <m:pos m:val="top"/>
              <m:ctrlPr>
                <w:rPr>
                  <w:rFonts w:ascii="Cambria Math" w:hAnsi="Cambria Math"/>
                  <w:i/>
                </w:rPr>
              </m:ctrlPr>
            </m:barPr>
            <m:e>
              <m:r>
                <w:rPr>
                  <w:rFonts w:ascii="Cambria Math" w:hAnsi="Cambria Math"/>
                </w:rPr>
                <m:t>J</m:t>
              </m:r>
            </m:e>
          </m:bar>
          <m:r>
            <w:rPr>
              <w:rFonts w:ascii="Cambria Math" w:hAnsi="Cambria Math"/>
            </w:rPr>
            <m:t>=-D</m:t>
          </m:r>
          <m:r>
            <m:rPr>
              <m:sty m:val="p"/>
            </m:rPr>
            <w:rPr>
              <w:rFonts w:ascii="Cambria Math" w:hAnsi="Cambria Math"/>
            </w:rPr>
            <m:t>∇</m:t>
          </m:r>
          <m:r>
            <w:rPr>
              <w:rFonts w:ascii="Cambria Math" w:hAnsi="Cambria Math"/>
            </w:rPr>
            <m:t>ϕ</m:t>
          </m:r>
        </m:oMath>
      </m:oMathPara>
    </w:p>
    <w:p w:rsidR="0083266C" w:rsidRPr="000C5E2C" w:rsidRDefault="0083266C" w:rsidP="000C5E2C">
      <w:pPr>
        <w:pStyle w:val="Caption"/>
      </w:pPr>
      <w:bookmarkStart w:id="329" w:name="_Ref285540235"/>
      <w:proofErr w:type="gramStart"/>
      <w:r w:rsidRPr="000C5E2C">
        <w:rPr>
          <w:szCs w:val="20"/>
        </w:rPr>
        <w:t xml:space="preserve">Equation </w:t>
      </w:r>
      <w:r w:rsidR="007511FA">
        <w:rPr>
          <w:szCs w:val="20"/>
        </w:rPr>
        <w:fldChar w:fldCharType="begin"/>
      </w:r>
      <w:r w:rsidR="00220B7D">
        <w:rPr>
          <w:szCs w:val="20"/>
        </w:rPr>
        <w:instrText xml:space="preserve"> STYLEREF 1 \s </w:instrText>
      </w:r>
      <w:r w:rsidR="007511FA">
        <w:rPr>
          <w:szCs w:val="20"/>
        </w:rPr>
        <w:fldChar w:fldCharType="separate"/>
      </w:r>
      <w:r w:rsidR="00D5167B">
        <w:rPr>
          <w:noProof/>
          <w:szCs w:val="20"/>
        </w:rPr>
        <w:t>9</w:t>
      </w:r>
      <w:r w:rsidR="007511FA">
        <w:rPr>
          <w:szCs w:val="20"/>
        </w:rPr>
        <w:fldChar w:fldCharType="end"/>
      </w:r>
      <w:r w:rsidR="00220B7D">
        <w:rPr>
          <w:szCs w:val="20"/>
        </w:rPr>
        <w:t>.</w:t>
      </w:r>
      <w:proofErr w:type="gramEnd"/>
      <w:r w:rsidR="007511FA">
        <w:rPr>
          <w:szCs w:val="20"/>
        </w:rPr>
        <w:fldChar w:fldCharType="begin"/>
      </w:r>
      <w:r w:rsidR="00220B7D">
        <w:rPr>
          <w:szCs w:val="20"/>
        </w:rPr>
        <w:instrText xml:space="preserve"> SEQ Equation \* ARABIC \s 1 </w:instrText>
      </w:r>
      <w:r w:rsidR="007511FA">
        <w:rPr>
          <w:szCs w:val="20"/>
        </w:rPr>
        <w:fldChar w:fldCharType="separate"/>
      </w:r>
      <w:r w:rsidR="00D5167B">
        <w:rPr>
          <w:noProof/>
          <w:szCs w:val="20"/>
        </w:rPr>
        <w:t>1</w:t>
      </w:r>
      <w:r w:rsidR="007511FA">
        <w:rPr>
          <w:szCs w:val="20"/>
        </w:rPr>
        <w:fldChar w:fldCharType="end"/>
      </w:r>
      <w:bookmarkEnd w:id="329"/>
    </w:p>
    <w:p w:rsidR="000C5E2C" w:rsidRPr="000C5E2C" w:rsidRDefault="000C5E2C" w:rsidP="000C5E2C"/>
    <w:p w:rsidR="0083266C" w:rsidRDefault="0083266C" w:rsidP="00B12830">
      <w:pPr>
        <w:ind w:firstLine="0"/>
        <w:rPr>
          <w:rFonts w:eastAsiaTheme="minorEastAsia"/>
        </w:rPr>
      </w:pPr>
      <w:proofErr w:type="gramStart"/>
      <w:r>
        <w:rPr>
          <w:rFonts w:eastAsiaTheme="minorEastAsia"/>
        </w:rPr>
        <w:t>where</w:t>
      </w:r>
      <w:proofErr w:type="gramEnd"/>
      <w:r>
        <w:rPr>
          <w:rFonts w:eastAsiaTheme="minorEastAsia"/>
        </w:rPr>
        <w:t>:</w:t>
      </w:r>
      <w:r>
        <w:rPr>
          <w:rFonts w:eastAsiaTheme="minorEastAsia"/>
        </w:rPr>
        <w:tab/>
      </w:r>
      <w:r>
        <w:rPr>
          <w:rFonts w:eastAsiaTheme="minorEastAsia"/>
        </w:rPr>
        <w:tab/>
      </w:r>
      <m:oMath>
        <m:bar>
          <m:barPr>
            <m:pos m:val="top"/>
            <m:ctrlPr>
              <w:rPr>
                <w:rFonts w:ascii="Cambria Math" w:hAnsi="Cambria Math"/>
                <w:i/>
              </w:rPr>
            </m:ctrlPr>
          </m:barPr>
          <m:e>
            <m:r>
              <w:rPr>
                <w:rFonts w:ascii="Cambria Math" w:hAnsi="Cambria Math"/>
              </w:rPr>
              <m:t>J</m:t>
            </m:r>
          </m:e>
        </m:bar>
      </m:oMath>
      <w:r>
        <w:rPr>
          <w:rFonts w:eastAsiaTheme="minorEastAsia"/>
        </w:rPr>
        <w:t xml:space="preserve"> is the neutron current density vector</w:t>
      </w:r>
    </w:p>
    <w:p w:rsidR="0083266C" w:rsidRDefault="0083266C" w:rsidP="00B12830">
      <w:pPr>
        <w:ind w:firstLine="0"/>
        <w:rPr>
          <w:rFonts w:eastAsiaTheme="minorEastAsia"/>
        </w:rPr>
      </w:pPr>
      <w:r>
        <w:rPr>
          <w:rFonts w:eastAsiaTheme="minorEastAsia"/>
        </w:rPr>
        <w:tab/>
      </w:r>
      <w:r>
        <w:rPr>
          <w:rFonts w:eastAsiaTheme="minorEastAsia"/>
        </w:rPr>
        <w:tab/>
        <w:t xml:space="preserve">D is the diffusion coefficient </w:t>
      </w:r>
      <m:oMath>
        <m:r>
          <w:rPr>
            <w:rFonts w:ascii="Cambria Math" w:eastAsiaTheme="minorEastAsia" w:hAnsi="Cambria Math"/>
          </w:rPr>
          <m:t>=</m:t>
        </m:r>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3</m:t>
                </m:r>
                <m:sSub>
                  <m:sSubPr>
                    <m:ctrlPr>
                      <w:rPr>
                        <w:rFonts w:ascii="Cambria Math" w:eastAsiaTheme="minorEastAsia" w:hAnsi="Cambria Math"/>
                        <w:i/>
                      </w:rPr>
                    </m:ctrlPr>
                  </m:sSubPr>
                  <m:e>
                    <m:r>
                      <m:rPr>
                        <m:sty m:val="p"/>
                      </m:rPr>
                      <w:rPr>
                        <w:rFonts w:ascii="Cambria Math" w:eastAsiaTheme="minorEastAsia" w:hAnsi="Cambria Math"/>
                      </w:rPr>
                      <m:t>Σ</m:t>
                    </m:r>
                  </m:e>
                  <m:sub>
                    <m:r>
                      <w:rPr>
                        <w:rFonts w:ascii="Cambria Math" w:eastAsiaTheme="minorEastAsia" w:hAnsi="Cambria Math"/>
                      </w:rPr>
                      <m:t>tr</m:t>
                    </m:r>
                  </m:sub>
                </m:sSub>
              </m:den>
            </m:f>
          </m:e>
        </m:d>
      </m:oMath>
    </w:p>
    <w:p w:rsidR="0083266C" w:rsidRDefault="0083266C" w:rsidP="00B12830">
      <w:pPr>
        <w:ind w:firstLine="0"/>
        <w:rPr>
          <w:rFonts w:eastAsiaTheme="minorEastAsia"/>
        </w:rPr>
      </w:pPr>
      <w:r>
        <w:rPr>
          <w:rFonts w:eastAsiaTheme="minorEastAsia"/>
        </w:rPr>
        <w:tab/>
      </w:r>
      <w:r>
        <w:rPr>
          <w:rFonts w:eastAsiaTheme="minorEastAsia"/>
        </w:rPr>
        <w:tab/>
      </w:r>
      <m:oMath>
        <m:r>
          <m:rPr>
            <m:sty m:val="p"/>
          </m:rPr>
          <w:rPr>
            <w:rFonts w:ascii="Cambria Math" w:hAnsi="Cambria Math"/>
          </w:rPr>
          <m:t>∇</m:t>
        </m:r>
      </m:oMath>
      <w:r>
        <w:rPr>
          <w:rFonts w:eastAsiaTheme="minorEastAsia"/>
        </w:rPr>
        <w:t xml:space="preserve"> </w:t>
      </w:r>
      <w:proofErr w:type="gramStart"/>
      <w:r>
        <w:rPr>
          <w:rFonts w:eastAsiaTheme="minorEastAsia"/>
        </w:rPr>
        <w:t>is</w:t>
      </w:r>
      <w:proofErr w:type="gramEnd"/>
      <w:r>
        <w:rPr>
          <w:rFonts w:eastAsiaTheme="minorEastAsia"/>
        </w:rPr>
        <w:t xml:space="preserve"> the gradient operator </w:t>
      </w:r>
      <m:oMath>
        <m:r>
          <w:rPr>
            <w:rFonts w:ascii="Cambria Math" w:eastAsiaTheme="minorEastAsia" w:hAnsi="Cambria Math"/>
          </w:rPr>
          <m:t>=</m:t>
        </m:r>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d</m:t>
                </m:r>
              </m:num>
              <m:den>
                <m:r>
                  <w:rPr>
                    <w:rFonts w:ascii="Cambria Math" w:eastAsiaTheme="minorEastAsia" w:hAnsi="Cambria Math"/>
                  </w:rPr>
                  <m:t>dx</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d</m:t>
                </m:r>
              </m:num>
              <m:den>
                <m:r>
                  <w:rPr>
                    <w:rFonts w:ascii="Cambria Math" w:eastAsiaTheme="minorEastAsia" w:hAnsi="Cambria Math"/>
                  </w:rPr>
                  <m:t>dy</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d</m:t>
                </m:r>
              </m:num>
              <m:den>
                <m:r>
                  <w:rPr>
                    <w:rFonts w:ascii="Cambria Math" w:eastAsiaTheme="minorEastAsia" w:hAnsi="Cambria Math"/>
                  </w:rPr>
                  <m:t>dz</m:t>
                </m:r>
              </m:den>
            </m:f>
          </m:e>
        </m:d>
      </m:oMath>
      <w:r>
        <w:rPr>
          <w:rFonts w:eastAsiaTheme="minorEastAsia"/>
        </w:rPr>
        <w:t xml:space="preserve"> in rectangular coordinates</w:t>
      </w:r>
    </w:p>
    <w:p w:rsidR="0083266C" w:rsidRDefault="0083266C" w:rsidP="0083266C">
      <w:pPr>
        <w:rPr>
          <w:rFonts w:eastAsiaTheme="minorEastAsia"/>
        </w:rPr>
      </w:pPr>
      <w:r>
        <w:rPr>
          <w:rFonts w:eastAsiaTheme="minorEastAsia"/>
        </w:rPr>
        <w:tab/>
      </w:r>
      <w:r>
        <w:rPr>
          <w:rFonts w:eastAsiaTheme="minorEastAsia"/>
        </w:rPr>
        <w:tab/>
      </w:r>
      <w:r>
        <w:rPr>
          <w:rFonts w:eastAsiaTheme="minorEastAsia" w:cstheme="minorHAnsi"/>
        </w:rPr>
        <w:t>ϕ</w:t>
      </w:r>
      <w:r>
        <w:rPr>
          <w:rFonts w:eastAsiaTheme="minorEastAsia"/>
        </w:rPr>
        <w:t xml:space="preserve"> is the neutron flux</w:t>
      </w:r>
    </w:p>
    <w:p w:rsidR="00B12830" w:rsidRDefault="00B12830" w:rsidP="0083266C"/>
    <w:p w:rsidR="000C5E2C" w:rsidRDefault="007511FA" w:rsidP="00CA2E5F">
      <w:pPr>
        <w:spacing w:line="240" w:lineRule="auto"/>
        <w:ind w:firstLine="0"/>
        <w:jc w:val="center"/>
        <w:rPr>
          <w:rFonts w:eastAsiaTheme="minorEastAsia"/>
        </w:rPr>
      </w:pPr>
      <m:oMathPara>
        <m:oMath>
          <m:nary>
            <m:naryPr>
              <m:limLoc m:val="undOvr"/>
              <m:subHide m:val="on"/>
              <m:supHide m:val="on"/>
              <m:ctrlPr>
                <w:rPr>
                  <w:rFonts w:ascii="Cambria Math" w:hAnsi="Cambria Math"/>
                  <w:i/>
                </w:rPr>
              </m:ctrlPr>
            </m:naryPr>
            <m:sub/>
            <m:sup/>
            <m:e>
              <m:f>
                <m:fPr>
                  <m:ctrlPr>
                    <w:rPr>
                      <w:rFonts w:ascii="Cambria Math" w:hAnsi="Cambria Math"/>
                      <w:i/>
                    </w:rPr>
                  </m:ctrlPr>
                </m:fPr>
                <m:num>
                  <m:r>
                    <w:rPr>
                      <w:rFonts w:ascii="Cambria Math" w:hAnsi="Cambria Math"/>
                    </w:rPr>
                    <m:t>dn</m:t>
                  </m:r>
                </m:num>
                <m:den>
                  <m:r>
                    <w:rPr>
                      <w:rFonts w:ascii="Cambria Math" w:hAnsi="Cambria Math"/>
                    </w:rPr>
                    <m:t>dt</m:t>
                  </m:r>
                </m:den>
              </m:f>
              <m:r>
                <w:rPr>
                  <w:rFonts w:ascii="Cambria Math" w:hAnsi="Cambria Math"/>
                </w:rPr>
                <m:t>dV=</m:t>
              </m:r>
            </m:e>
          </m:nary>
          <m:nary>
            <m:naryPr>
              <m:limLoc m:val="undOvr"/>
              <m:subHide m:val="on"/>
              <m:supHide m:val="on"/>
              <m:ctrlPr>
                <w:rPr>
                  <w:rFonts w:ascii="Cambria Math" w:hAnsi="Cambria Math"/>
                  <w:i/>
                </w:rPr>
              </m:ctrlPr>
            </m:naryPr>
            <m:sub/>
            <m:sup/>
            <m:e>
              <m:r>
                <w:rPr>
                  <w:rFonts w:ascii="Cambria Math" w:hAnsi="Cambria Math"/>
                </w:rPr>
                <m:t>SdV</m:t>
              </m:r>
            </m:e>
          </m:nary>
          <m:r>
            <w:rPr>
              <w:rFonts w:ascii="Cambria Math" w:hAnsi="Cambria Math"/>
            </w:rPr>
            <m:t>-</m:t>
          </m:r>
          <m:nary>
            <m:naryPr>
              <m:limLoc m:val="undOvr"/>
              <m:subHide m:val="on"/>
              <m:supHide m:val="on"/>
              <m:ctrlPr>
                <w:rPr>
                  <w:rFonts w:ascii="Cambria Math" w:hAnsi="Cambria Math"/>
                  <w:i/>
                </w:rPr>
              </m:ctrlPr>
            </m:naryPr>
            <m:sub/>
            <m:sup/>
            <m:e>
              <m:sSub>
                <m:sSubPr>
                  <m:ctrlPr>
                    <w:rPr>
                      <w:rFonts w:ascii="Cambria Math" w:hAnsi="Cambria Math"/>
                      <w:i/>
                    </w:rPr>
                  </m:ctrlPr>
                </m:sSubPr>
                <m:e>
                  <m:r>
                    <m:rPr>
                      <m:sty m:val="p"/>
                    </m:rPr>
                    <w:rPr>
                      <w:rFonts w:ascii="Cambria Math" w:hAnsi="Cambria Math"/>
                    </w:rPr>
                    <m:t>Σ</m:t>
                  </m:r>
                </m:e>
                <m:sub>
                  <m:r>
                    <w:rPr>
                      <w:rFonts w:ascii="Cambria Math" w:hAnsi="Cambria Math"/>
                    </w:rPr>
                    <m:t>a</m:t>
                  </m:r>
                </m:sub>
              </m:sSub>
              <m:r>
                <w:rPr>
                  <w:rFonts w:ascii="Cambria Math" w:hAnsi="Cambria Math"/>
                </w:rPr>
                <m:t>ϕdV-</m:t>
              </m:r>
              <m:nary>
                <m:naryPr>
                  <m:limLoc m:val="undOvr"/>
                  <m:subHide m:val="on"/>
                  <m:supHide m:val="on"/>
                  <m:ctrlPr>
                    <w:rPr>
                      <w:rFonts w:ascii="Cambria Math" w:hAnsi="Cambria Math"/>
                      <w:i/>
                    </w:rPr>
                  </m:ctrlPr>
                </m:naryPr>
                <m:sub/>
                <m:sup/>
                <m:e>
                  <m:r>
                    <m:rPr>
                      <m:sty m:val="p"/>
                    </m:rPr>
                    <w:rPr>
                      <w:rFonts w:ascii="Cambria Math" w:hAnsi="Cambria Math"/>
                    </w:rPr>
                    <m:t>∇</m:t>
                  </m:r>
                  <m:r>
                    <w:rPr>
                      <w:rFonts w:ascii="Cambria Math" w:hAnsi="Cambria Math"/>
                    </w:rPr>
                    <m:t>∙</m:t>
                  </m:r>
                </m:e>
              </m:nary>
            </m:e>
          </m:nary>
          <m:bar>
            <m:barPr>
              <m:pos m:val="top"/>
              <m:ctrlPr>
                <w:rPr>
                  <w:rFonts w:ascii="Cambria Math" w:hAnsi="Cambria Math"/>
                  <w:i/>
                </w:rPr>
              </m:ctrlPr>
            </m:barPr>
            <m:e>
              <m:r>
                <w:rPr>
                  <w:rFonts w:ascii="Cambria Math" w:hAnsi="Cambria Math"/>
                </w:rPr>
                <m:t>J</m:t>
              </m:r>
            </m:e>
          </m:bar>
          <m:r>
            <w:rPr>
              <w:rFonts w:ascii="Cambria Math" w:hAnsi="Cambria Math"/>
            </w:rPr>
            <m:t>dV</m:t>
          </m:r>
        </m:oMath>
      </m:oMathPara>
    </w:p>
    <w:p w:rsidR="0083266C" w:rsidRDefault="0083266C" w:rsidP="000C5E2C">
      <w:pPr>
        <w:pStyle w:val="Caption"/>
        <w:rPr>
          <w:rFonts w:eastAsiaTheme="minorEastAsia"/>
        </w:rPr>
      </w:pPr>
      <w:bookmarkStart w:id="330" w:name="_Ref285540262"/>
      <w:proofErr w:type="gramStart"/>
      <w:r w:rsidRPr="00317688">
        <w:t xml:space="preserve">Equation </w:t>
      </w:r>
      <w:r w:rsidR="007511FA">
        <w:fldChar w:fldCharType="begin"/>
      </w:r>
      <w:r w:rsidR="00AE17F8">
        <w:instrText xml:space="preserve"> STYLEREF 1 \s </w:instrText>
      </w:r>
      <w:r w:rsidR="007511FA">
        <w:fldChar w:fldCharType="separate"/>
      </w:r>
      <w:r w:rsidR="00D5167B">
        <w:rPr>
          <w:noProof/>
        </w:rPr>
        <w:t>9</w:t>
      </w:r>
      <w:r w:rsidR="007511FA">
        <w:fldChar w:fldCharType="end"/>
      </w:r>
      <w:r w:rsidR="00220B7D">
        <w:t>.</w:t>
      </w:r>
      <w:proofErr w:type="gramEnd"/>
      <w:r w:rsidR="007511FA">
        <w:fldChar w:fldCharType="begin"/>
      </w:r>
      <w:r w:rsidR="00220B7D">
        <w:instrText xml:space="preserve"> SEQ Equation \* ARABIC \s 1 </w:instrText>
      </w:r>
      <w:r w:rsidR="007511FA">
        <w:fldChar w:fldCharType="separate"/>
      </w:r>
      <w:r w:rsidR="00D5167B">
        <w:rPr>
          <w:noProof/>
        </w:rPr>
        <w:t>2</w:t>
      </w:r>
      <w:r w:rsidR="007511FA">
        <w:fldChar w:fldCharType="end"/>
      </w:r>
      <w:bookmarkEnd w:id="330"/>
    </w:p>
    <w:p w:rsidR="00B12830" w:rsidRPr="00D81F46" w:rsidRDefault="00B12830" w:rsidP="0083266C">
      <w:pPr>
        <w:jc w:val="center"/>
        <w:rPr>
          <w:sz w:val="20"/>
          <w:szCs w:val="20"/>
        </w:rPr>
      </w:pPr>
    </w:p>
    <w:p w:rsidR="0083266C" w:rsidRDefault="0083266C" w:rsidP="0095569A">
      <w:r>
        <w:t xml:space="preserve">The left-hand side (LHS) of </w:t>
      </w:r>
      <w:fldSimple w:instr=" REF _Ref285540262 \h  \* MERGEFORMAT ">
        <w:r w:rsidR="00D5167B" w:rsidRPr="00317688">
          <w:t xml:space="preserve">Equation </w:t>
        </w:r>
        <w:r w:rsidR="00D5167B">
          <w:rPr>
            <w:noProof/>
          </w:rPr>
          <w:t>9.2</w:t>
        </w:r>
      </w:fldSimple>
      <w:r>
        <w:t xml:space="preserve"> represents the time rate of change of the number of neutrons in volume V.  The production rate in V, absorption rate in V, and the net leakage from the surfaces of V </w:t>
      </w:r>
      <w:r>
        <w:lastRenderedPageBreak/>
        <w:t xml:space="preserve">are shown from left to right on the right-hand side (RHS) of </w:t>
      </w:r>
      <w:fldSimple w:instr=" REF _Ref285540262 \h  \* MERGEFORMAT ">
        <w:r w:rsidR="00D5167B" w:rsidRPr="00317688">
          <w:t xml:space="preserve">Equation </w:t>
        </w:r>
        <w:r w:rsidR="00D5167B">
          <w:rPr>
            <w:noProof/>
          </w:rPr>
          <w:t>9.2</w:t>
        </w:r>
      </w:fldSimple>
      <w:r>
        <w:t xml:space="preserve">.  The diffusion equation is developed by substituting </w:t>
      </w:r>
      <w:proofErr w:type="spellStart"/>
      <w:r>
        <w:t>Fick’s</w:t>
      </w:r>
      <w:proofErr w:type="spellEnd"/>
      <w:r>
        <w:t xml:space="preserve"> law into the equation of neutron continuity and is shown in </w:t>
      </w:r>
      <w:fldSimple w:instr=" REF _Ref285540332 \h  \* MERGEFORMAT ">
        <w:r w:rsidR="00D5167B" w:rsidRPr="00317688">
          <w:t xml:space="preserve">Equation </w:t>
        </w:r>
        <w:r w:rsidR="00D5167B">
          <w:rPr>
            <w:noProof/>
          </w:rPr>
          <w:t>9.3</w:t>
        </w:r>
      </w:fldSimple>
      <w:r>
        <w:t>.</w:t>
      </w:r>
    </w:p>
    <w:p w:rsidR="00B12830" w:rsidRDefault="00B12830" w:rsidP="0095569A"/>
    <w:p w:rsidR="000C5E2C" w:rsidRDefault="007511FA" w:rsidP="00CA2E5F">
      <w:pPr>
        <w:spacing w:line="240" w:lineRule="auto"/>
        <w:ind w:firstLine="0"/>
        <w:jc w:val="center"/>
        <w:rPr>
          <w:rFonts w:eastAsiaTheme="minorEastAsia"/>
        </w:rPr>
      </w:pPr>
      <m:oMathPara>
        <m:oMath>
          <m:f>
            <m:fPr>
              <m:ctrlPr>
                <w:rPr>
                  <w:rFonts w:ascii="Cambria Math" w:hAnsi="Cambria Math"/>
                  <w:i/>
                </w:rPr>
              </m:ctrlPr>
            </m:fPr>
            <m:num>
              <m:r>
                <w:rPr>
                  <w:rFonts w:ascii="Cambria Math" w:hAnsi="Cambria Math"/>
                </w:rPr>
                <m:t>dn</m:t>
              </m:r>
            </m:num>
            <m:den>
              <m:r>
                <w:rPr>
                  <w:rFonts w:ascii="Cambria Math" w:hAnsi="Cambria Math"/>
                </w:rPr>
                <m:t>dt</m:t>
              </m:r>
            </m:den>
          </m:f>
          <m:r>
            <w:rPr>
              <w:rFonts w:ascii="Cambria Math" w:hAnsi="Cambria Math"/>
            </w:rPr>
            <m:t>=S-</m:t>
          </m:r>
          <m:sSub>
            <m:sSubPr>
              <m:ctrlPr>
                <w:rPr>
                  <w:rFonts w:ascii="Cambria Math" w:hAnsi="Cambria Math"/>
                  <w:i/>
                </w:rPr>
              </m:ctrlPr>
            </m:sSubPr>
            <m:e>
              <m:r>
                <m:rPr>
                  <m:sty m:val="p"/>
                </m:rPr>
                <w:rPr>
                  <w:rFonts w:ascii="Cambria Math" w:hAnsi="Cambria Math"/>
                </w:rPr>
                <m:t>Σ</m:t>
              </m:r>
            </m:e>
            <m:sub>
              <m:r>
                <w:rPr>
                  <w:rFonts w:ascii="Cambria Math" w:hAnsi="Cambria Math"/>
                </w:rPr>
                <m:t>a</m:t>
              </m:r>
            </m:sub>
          </m:sSub>
          <m:r>
            <w:rPr>
              <w:rFonts w:ascii="Cambria Math" w:hAnsi="Cambria Math"/>
            </w:rPr>
            <m:t>ϕ-D</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ϕ</m:t>
          </m:r>
        </m:oMath>
      </m:oMathPara>
    </w:p>
    <w:p w:rsidR="0083266C" w:rsidRDefault="0083266C" w:rsidP="000C5E2C">
      <w:pPr>
        <w:pStyle w:val="Caption"/>
        <w:rPr>
          <w:rFonts w:eastAsiaTheme="minorEastAsia"/>
        </w:rPr>
      </w:pPr>
      <w:bookmarkStart w:id="331" w:name="_Ref285540332"/>
      <w:proofErr w:type="gramStart"/>
      <w:r w:rsidRPr="00317688">
        <w:t xml:space="preserve">Equation </w:t>
      </w:r>
      <w:r w:rsidR="007511FA">
        <w:fldChar w:fldCharType="begin"/>
      </w:r>
      <w:r w:rsidR="00AE17F8">
        <w:instrText xml:space="preserve"> STYLEREF 1 \s </w:instrText>
      </w:r>
      <w:r w:rsidR="007511FA">
        <w:fldChar w:fldCharType="separate"/>
      </w:r>
      <w:r w:rsidR="00D5167B">
        <w:rPr>
          <w:noProof/>
        </w:rPr>
        <w:t>9</w:t>
      </w:r>
      <w:r w:rsidR="007511FA">
        <w:fldChar w:fldCharType="end"/>
      </w:r>
      <w:r w:rsidR="00220B7D">
        <w:t>.</w:t>
      </w:r>
      <w:proofErr w:type="gramEnd"/>
      <w:r w:rsidR="007511FA">
        <w:fldChar w:fldCharType="begin"/>
      </w:r>
      <w:r w:rsidR="00220B7D">
        <w:instrText xml:space="preserve"> SEQ Equation \* ARABIC \s 1 </w:instrText>
      </w:r>
      <w:r w:rsidR="007511FA">
        <w:fldChar w:fldCharType="separate"/>
      </w:r>
      <w:r w:rsidR="00D5167B">
        <w:rPr>
          <w:noProof/>
        </w:rPr>
        <w:t>3</w:t>
      </w:r>
      <w:r w:rsidR="007511FA">
        <w:fldChar w:fldCharType="end"/>
      </w:r>
      <w:bookmarkEnd w:id="331"/>
    </w:p>
    <w:p w:rsidR="00B12830" w:rsidRPr="00D81F46" w:rsidRDefault="00B12830" w:rsidP="00B12830">
      <w:pPr>
        <w:rPr>
          <w:rFonts w:eastAsiaTheme="minorEastAsia"/>
          <w:sz w:val="20"/>
          <w:szCs w:val="20"/>
        </w:rPr>
      </w:pPr>
    </w:p>
    <w:p w:rsidR="0095569A" w:rsidRDefault="0095569A" w:rsidP="0095569A">
      <w:pPr>
        <w:rPr>
          <w:rFonts w:eastAsiaTheme="minorEastAsia"/>
        </w:rPr>
      </w:pPr>
      <w:r>
        <w:rPr>
          <w:rFonts w:eastAsiaTheme="minorEastAsia"/>
        </w:rPr>
        <w:t xml:space="preserve">The focus of this study is to obtain the steady-state BOC fluxes and thus the time-dependence term can be neglected.  Also, no external sources are present in HFIR and therefore fission is the only contributor to the production rate, S.  Thus, the steady-state one-group diffusion equation with no external sources is written in the form of </w:t>
      </w:r>
      <w:fldSimple w:instr=" REF _Ref285540354 \h  \* MERGEFORMAT ">
        <w:r w:rsidR="00D5167B" w:rsidRPr="00317688">
          <w:t xml:space="preserve">Equation </w:t>
        </w:r>
        <w:r w:rsidR="00D5167B">
          <w:rPr>
            <w:noProof/>
          </w:rPr>
          <w:t>9.4</w:t>
        </w:r>
      </w:fldSimple>
      <w:r>
        <w:rPr>
          <w:rFonts w:eastAsiaTheme="minorEastAsia"/>
        </w:rPr>
        <w:t>.</w:t>
      </w:r>
    </w:p>
    <w:p w:rsidR="00B12830" w:rsidRDefault="00B12830" w:rsidP="0095569A">
      <w:pPr>
        <w:rPr>
          <w:rFonts w:eastAsiaTheme="minorEastAsia"/>
        </w:rPr>
      </w:pPr>
    </w:p>
    <w:p w:rsidR="000C5E2C" w:rsidRDefault="0095569A" w:rsidP="00CA2E5F">
      <w:pPr>
        <w:spacing w:line="240" w:lineRule="auto"/>
        <w:ind w:firstLine="0"/>
        <w:jc w:val="center"/>
        <w:rPr>
          <w:rFonts w:eastAsiaTheme="minorEastAsia"/>
        </w:rPr>
      </w:pPr>
      <m:oMathPara>
        <m:oMath>
          <m:r>
            <w:rPr>
              <w:rFonts w:ascii="Cambria Math" w:hAnsi="Cambria Math"/>
            </w:rPr>
            <m:t>ν</m:t>
          </m:r>
          <m:sSub>
            <m:sSubPr>
              <m:ctrlPr>
                <w:rPr>
                  <w:rFonts w:ascii="Cambria Math" w:hAnsi="Cambria Math"/>
                  <w:i/>
                </w:rPr>
              </m:ctrlPr>
            </m:sSubPr>
            <m:e>
              <m:r>
                <m:rPr>
                  <m:sty m:val="p"/>
                </m:rPr>
                <w:rPr>
                  <w:rFonts w:ascii="Cambria Math" w:hAnsi="Cambria Math"/>
                </w:rPr>
                <m:t>Σ</m:t>
              </m:r>
            </m:e>
            <m:sub>
              <m:r>
                <w:rPr>
                  <w:rFonts w:ascii="Cambria Math" w:hAnsi="Cambria Math"/>
                </w:rPr>
                <m:t>f</m:t>
              </m:r>
            </m:sub>
          </m:sSub>
          <m:r>
            <w:rPr>
              <w:rFonts w:ascii="Cambria Math" w:hAnsi="Cambria Math"/>
            </w:rPr>
            <m:t>ϕ-</m:t>
          </m:r>
          <m:sSub>
            <m:sSubPr>
              <m:ctrlPr>
                <w:rPr>
                  <w:rFonts w:ascii="Cambria Math" w:hAnsi="Cambria Math"/>
                  <w:i/>
                </w:rPr>
              </m:ctrlPr>
            </m:sSubPr>
            <m:e>
              <m:r>
                <m:rPr>
                  <m:sty m:val="p"/>
                </m:rPr>
                <w:rPr>
                  <w:rFonts w:ascii="Cambria Math" w:hAnsi="Cambria Math"/>
                </w:rPr>
                <m:t>Σ</m:t>
              </m:r>
            </m:e>
            <m:sub>
              <m:r>
                <w:rPr>
                  <w:rFonts w:ascii="Cambria Math" w:hAnsi="Cambria Math"/>
                </w:rPr>
                <m:t>a</m:t>
              </m:r>
            </m:sub>
          </m:sSub>
          <m:r>
            <w:rPr>
              <w:rFonts w:ascii="Cambria Math" w:hAnsi="Cambria Math"/>
            </w:rPr>
            <m:t>ϕ-D</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w:rPr>
              <w:rFonts w:ascii="Cambria Math" w:hAnsi="Cambria Math"/>
            </w:rPr>
            <m:t>ϕ=0</m:t>
          </m:r>
        </m:oMath>
      </m:oMathPara>
    </w:p>
    <w:p w:rsidR="0095569A" w:rsidRDefault="0095569A" w:rsidP="000C5E2C">
      <w:pPr>
        <w:pStyle w:val="Caption"/>
      </w:pPr>
      <w:bookmarkStart w:id="332" w:name="_Ref285540354"/>
      <w:proofErr w:type="gramStart"/>
      <w:r w:rsidRPr="00317688">
        <w:t xml:space="preserve">Equation </w:t>
      </w:r>
      <w:r w:rsidR="007511FA">
        <w:fldChar w:fldCharType="begin"/>
      </w:r>
      <w:r w:rsidR="00AE17F8">
        <w:instrText xml:space="preserve"> STYLEREF 1 \s </w:instrText>
      </w:r>
      <w:r w:rsidR="007511FA">
        <w:fldChar w:fldCharType="separate"/>
      </w:r>
      <w:r w:rsidR="00D5167B">
        <w:rPr>
          <w:noProof/>
        </w:rPr>
        <w:t>9</w:t>
      </w:r>
      <w:r w:rsidR="007511FA">
        <w:fldChar w:fldCharType="end"/>
      </w:r>
      <w:r w:rsidR="00220B7D">
        <w:t>.</w:t>
      </w:r>
      <w:proofErr w:type="gramEnd"/>
      <w:r w:rsidR="007511FA">
        <w:fldChar w:fldCharType="begin"/>
      </w:r>
      <w:r w:rsidR="00220B7D">
        <w:instrText xml:space="preserve"> SEQ Equation \* ARABIC \s 1 </w:instrText>
      </w:r>
      <w:r w:rsidR="007511FA">
        <w:fldChar w:fldCharType="separate"/>
      </w:r>
      <w:r w:rsidR="00D5167B">
        <w:rPr>
          <w:noProof/>
        </w:rPr>
        <w:t>4</w:t>
      </w:r>
      <w:r w:rsidR="007511FA">
        <w:fldChar w:fldCharType="end"/>
      </w:r>
      <w:bookmarkEnd w:id="332"/>
    </w:p>
    <w:p w:rsidR="00CA2E5F" w:rsidRPr="00CA2E5F" w:rsidRDefault="00CA2E5F" w:rsidP="00CA2E5F"/>
    <w:p w:rsidR="0095569A" w:rsidRDefault="0095569A" w:rsidP="0095569A">
      <w:pPr>
        <w:rPr>
          <w:rFonts w:ascii="Times New Roman" w:hAnsi="Times New Roman" w:cs="Times New Roman"/>
        </w:rPr>
      </w:pPr>
      <w:r>
        <w:rPr>
          <w:rFonts w:eastAsiaTheme="minorEastAsia"/>
        </w:rPr>
        <w:t xml:space="preserve">Since two energy groups are being studied in this analysis, scattering from one energy group to another must be included into the diffusion equation.  The two-group neutron diffusion </w:t>
      </w:r>
      <w:r>
        <w:rPr>
          <w:rFonts w:ascii="Times New Roman" w:hAnsi="Times New Roman" w:cs="Times New Roman"/>
        </w:rPr>
        <w:t xml:space="preserve">equations for fast (group 1: noted with subscript 1) and thermal (group 2: noted with subscript 2) fluxes assuming all fission neutrons are born as fast neutrons are shown in </w:t>
      </w:r>
      <w:fldSimple w:instr=" REF _Ref285540368 \h  \* MERGEFORMAT ">
        <w:r w:rsidR="00D5167B" w:rsidRPr="00317688">
          <w:t xml:space="preserve">Equation </w:t>
        </w:r>
        <w:r w:rsidR="00D5167B">
          <w:rPr>
            <w:noProof/>
          </w:rPr>
          <w:t>9.5</w:t>
        </w:r>
      </w:fldSimple>
      <w:r w:rsidRPr="000C5E2C">
        <w:rPr>
          <w:rFonts w:ascii="Times New Roman" w:hAnsi="Times New Roman" w:cs="Times New Roman"/>
        </w:rPr>
        <w:t xml:space="preserve"> and </w:t>
      </w:r>
      <w:fldSimple w:instr=" REF _Ref285540372 \h  \* MERGEFORMAT ">
        <w:r w:rsidR="00D5167B" w:rsidRPr="00317688">
          <w:t xml:space="preserve">Equation </w:t>
        </w:r>
        <w:r w:rsidR="00D5167B">
          <w:rPr>
            <w:noProof/>
          </w:rPr>
          <w:t>9.6</w:t>
        </w:r>
      </w:fldSimple>
      <w:r>
        <w:rPr>
          <w:rFonts w:ascii="Times New Roman" w:hAnsi="Times New Roman" w:cs="Times New Roman"/>
        </w:rPr>
        <w:t>, respectively.  The equations were rearranged such that the LHS of the equations describe the neutron loss mechanism and the RHS of the equations describe the neutron production mechanism.  The effective multiplication factor, k</w:t>
      </w:r>
      <w:r>
        <w:rPr>
          <w:rFonts w:ascii="Times New Roman" w:hAnsi="Times New Roman" w:cs="Times New Roman"/>
          <w:vertAlign w:val="subscript"/>
        </w:rPr>
        <w:t>eff</w:t>
      </w:r>
      <w:r>
        <w:rPr>
          <w:rFonts w:ascii="Times New Roman" w:hAnsi="Times New Roman" w:cs="Times New Roman"/>
        </w:rPr>
        <w:t>, was also inserted to balance the equations and describes how the population of neutrons varies from one generation to another.</w:t>
      </w:r>
    </w:p>
    <w:p w:rsidR="00B12830" w:rsidRPr="00CF3BBF" w:rsidRDefault="00B12830" w:rsidP="0095569A">
      <w:pPr>
        <w:rPr>
          <w:rFonts w:ascii="Times New Roman" w:hAnsi="Times New Roman" w:cs="Times New Roman"/>
        </w:rPr>
      </w:pPr>
    </w:p>
    <w:p w:rsidR="000C5E2C" w:rsidRDefault="0095569A" w:rsidP="00CA2E5F">
      <w:pPr>
        <w:spacing w:line="240" w:lineRule="auto"/>
        <w:ind w:firstLine="0"/>
        <w:jc w:val="center"/>
        <w:rPr>
          <w:rFonts w:ascii="Times New Roman" w:eastAsiaTheme="minorEastAsia" w:hAnsi="Times New Roman" w:cs="Times New Roman"/>
        </w:rPr>
      </w:pPr>
      <m:oMathPara>
        <m:oMath>
          <m:r>
            <w:rPr>
              <w:rFonts w:ascii="Cambria Math" w:hAnsi="Cambria Math"/>
            </w:rPr>
            <w:lastRenderedPageBreak/>
            <m:t>-</m:t>
          </m:r>
          <m:sSub>
            <m:sSubPr>
              <m:ctrlPr>
                <w:rPr>
                  <w:rFonts w:ascii="Cambria Math" w:hAnsi="Cambria Math"/>
                  <w:i/>
                </w:rPr>
              </m:ctrlPr>
            </m:sSubPr>
            <m:e>
              <m:r>
                <w:rPr>
                  <w:rFonts w:ascii="Cambria Math" w:hAnsi="Cambria Math"/>
                </w:rPr>
                <m:t>D</m:t>
              </m:r>
            </m:e>
            <m:sub>
              <m:r>
                <w:rPr>
                  <w:rFonts w:ascii="Cambria Math" w:hAnsi="Cambria Math"/>
                </w:rPr>
                <m:t>1</m:t>
              </m:r>
            </m:sub>
          </m:sSub>
          <m:sSup>
            <m:sSupPr>
              <m:ctrlPr>
                <w:rPr>
                  <w:rFonts w:ascii="Cambria Math" w:hAnsi="Cambria Math"/>
                  <w:i/>
                </w:rPr>
              </m:ctrlPr>
            </m:sSupPr>
            <m:e>
              <m:r>
                <m:rPr>
                  <m:sty m:val="p"/>
                </m:rPr>
                <w:rPr>
                  <w:rFonts w:ascii="Cambria Math" w:hAnsi="Cambria Math"/>
                </w:rPr>
                <m:t>∇</m:t>
              </m:r>
            </m:e>
            <m:sup>
              <m:r>
                <w:rPr>
                  <w:rFonts w:ascii="Cambria Math" w:hAnsi="Cambria Math"/>
                </w:rPr>
                <m:t>2</m:t>
              </m:r>
            </m:sup>
          </m:sSup>
          <m:sSub>
            <m:sSubPr>
              <m:ctrlPr>
                <w:rPr>
                  <w:rFonts w:ascii="Cambria Math" w:hAnsi="Cambria Math"/>
                  <w:i/>
                </w:rPr>
              </m:ctrlPr>
            </m:sSubPr>
            <m:e>
              <m:r>
                <w:rPr>
                  <w:rFonts w:ascii="Cambria Math" w:hAnsi="Cambria Math"/>
                </w:rPr>
                <m:t>ϕ</m:t>
              </m:r>
            </m:e>
            <m:sub>
              <m:r>
                <w:rPr>
                  <w:rFonts w:ascii="Cambria Math" w:hAnsi="Cambria Math"/>
                </w:rPr>
                <m:t>1</m:t>
              </m:r>
            </m:sub>
          </m:sSub>
          <m:r>
            <w:rPr>
              <w:rFonts w:ascii="Cambria Math" w:hAnsi="Cambria Math"/>
            </w:rPr>
            <m:t>+</m:t>
          </m:r>
          <m:d>
            <m:dPr>
              <m:ctrlPr>
                <w:rPr>
                  <w:rFonts w:ascii="Cambria Math" w:hAnsi="Cambria Math"/>
                  <w:i/>
                </w:rPr>
              </m:ctrlPr>
            </m:dPr>
            <m:e>
              <m:sSub>
                <m:sSubPr>
                  <m:ctrlPr>
                    <w:rPr>
                      <w:rFonts w:ascii="Cambria Math" w:hAnsi="Cambria Math"/>
                    </w:rPr>
                  </m:ctrlPr>
                </m:sSubPr>
                <m:e>
                  <m:r>
                    <m:rPr>
                      <m:sty m:val="p"/>
                    </m:rPr>
                    <w:rPr>
                      <w:rFonts w:ascii="Cambria Math" w:hAnsi="Cambria Math"/>
                    </w:rPr>
                    <m:t>Σ</m:t>
                  </m:r>
                </m:e>
                <m:sub>
                  <m:r>
                    <m:rPr>
                      <m:sty m:val="p"/>
                    </m:rPr>
                    <w:rPr>
                      <w:rFonts w:ascii="Cambria Math" w:hAnsi="Cambria Math"/>
                    </w:rPr>
                    <m:t>a1</m:t>
                  </m:r>
                </m:sub>
              </m:sSub>
              <m:r>
                <w:rPr>
                  <w:rFonts w:ascii="Cambria Math" w:hAnsi="Cambria Math"/>
                </w:rPr>
                <m:t>+</m:t>
              </m:r>
              <m:sSubSup>
                <m:sSubSupPr>
                  <m:ctrlPr>
                    <w:rPr>
                      <w:rFonts w:ascii="Cambria Math" w:hAnsi="Cambria Math"/>
                      <w:i/>
                    </w:rPr>
                  </m:ctrlPr>
                </m:sSubSupPr>
                <m:e>
                  <m:r>
                    <m:rPr>
                      <m:sty m:val="p"/>
                    </m:rPr>
                    <w:rPr>
                      <w:rFonts w:ascii="Cambria Math" w:hAnsi="Cambria Math"/>
                    </w:rPr>
                    <m:t>Σ</m:t>
                  </m:r>
                </m:e>
                <m:sub>
                  <m:r>
                    <w:rPr>
                      <w:rFonts w:ascii="Cambria Math" w:hAnsi="Cambria Math"/>
                    </w:rPr>
                    <m:t>s</m:t>
                  </m:r>
                </m:sub>
                <m:sup>
                  <m:r>
                    <w:rPr>
                      <w:rFonts w:ascii="Cambria Math" w:hAnsi="Cambria Math"/>
                    </w:rPr>
                    <m:t>1→2</m:t>
                  </m:r>
                </m:sup>
              </m:sSubSup>
            </m:e>
          </m:d>
          <m:sSub>
            <m:sSubPr>
              <m:ctrlPr>
                <w:rPr>
                  <w:rFonts w:ascii="Cambria Math" w:hAnsi="Cambria Math"/>
                  <w:i/>
                </w:rPr>
              </m:ctrlPr>
            </m:sSubPr>
            <m:e>
              <m:r>
                <w:rPr>
                  <w:rFonts w:ascii="Cambria Math" w:hAnsi="Cambria Math"/>
                </w:rPr>
                <m:t>ϕ</m:t>
              </m:r>
            </m:e>
            <m:sub>
              <m:r>
                <w:rPr>
                  <w:rFonts w:ascii="Cambria Math" w:hAnsi="Cambria Math"/>
                </w:rPr>
                <m:t>1</m:t>
              </m:r>
            </m:sub>
          </m:sSub>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k</m:t>
                  </m:r>
                </m:e>
                <m:sub>
                  <m:r>
                    <w:rPr>
                      <w:rFonts w:ascii="Cambria Math" w:hAnsi="Cambria Math"/>
                    </w:rPr>
                    <m:t>eff</m:t>
                  </m:r>
                </m:sub>
              </m:sSub>
            </m:den>
          </m:f>
          <m:d>
            <m:dPr>
              <m:ctrlPr>
                <w:rPr>
                  <w:rFonts w:ascii="Cambria Math" w:hAnsi="Cambria Math"/>
                  <w:i/>
                </w:rPr>
              </m:ctrlPr>
            </m:dPr>
            <m:e>
              <m:r>
                <m:rPr>
                  <m:sty m:val="p"/>
                </m:rPr>
                <w:rPr>
                  <w:rFonts w:ascii="Cambria Math" w:hAnsi="Cambria Math"/>
                </w:rPr>
                <m:t>ν</m:t>
              </m:r>
              <m:sSub>
                <m:sSubPr>
                  <m:ctrlPr>
                    <w:rPr>
                      <w:rFonts w:ascii="Cambria Math" w:hAnsi="Cambria Math"/>
                    </w:rPr>
                  </m:ctrlPr>
                </m:sSubPr>
                <m:e>
                  <m:r>
                    <m:rPr>
                      <m:sty m:val="p"/>
                    </m:rPr>
                    <w:rPr>
                      <w:rFonts w:ascii="Cambria Math" w:hAnsi="Cambria Math"/>
                    </w:rPr>
                    <m:t>Σ</m:t>
                  </m:r>
                </m:e>
                <m:sub>
                  <m:r>
                    <m:rPr>
                      <m:sty m:val="p"/>
                    </m:rPr>
                    <w:rPr>
                      <w:rFonts w:ascii="Cambria Math" w:hAnsi="Cambria Math"/>
                    </w:rPr>
                    <m:t>f1</m:t>
                  </m:r>
                </m:sub>
              </m:sSub>
              <m:sSub>
                <m:sSubPr>
                  <m:ctrlPr>
                    <w:rPr>
                      <w:rFonts w:ascii="Cambria Math" w:hAnsi="Cambria Math"/>
                      <w:i/>
                    </w:rPr>
                  </m:ctrlPr>
                </m:sSubPr>
                <m:e>
                  <m:r>
                    <w:rPr>
                      <w:rFonts w:ascii="Cambria Math" w:hAnsi="Cambria Math"/>
                    </w:rPr>
                    <m:t>ϕ</m:t>
                  </m:r>
                </m:e>
                <m:sub>
                  <m:r>
                    <w:rPr>
                      <w:rFonts w:ascii="Cambria Math" w:hAnsi="Cambria Math"/>
                    </w:rPr>
                    <m:t>1</m:t>
                  </m:r>
                </m:sub>
              </m:sSub>
              <m:r>
                <w:rPr>
                  <w:rFonts w:ascii="Cambria Math" w:hAnsi="Cambria Math"/>
                </w:rPr>
                <m:t>+</m:t>
              </m:r>
              <m:r>
                <m:rPr>
                  <m:sty m:val="p"/>
                </m:rPr>
                <w:rPr>
                  <w:rFonts w:ascii="Cambria Math" w:hAnsi="Cambria Math"/>
                </w:rPr>
                <m:t>ν</m:t>
              </m:r>
              <m:sSub>
                <m:sSubPr>
                  <m:ctrlPr>
                    <w:rPr>
                      <w:rFonts w:ascii="Cambria Math" w:hAnsi="Cambria Math"/>
                    </w:rPr>
                  </m:ctrlPr>
                </m:sSubPr>
                <m:e>
                  <m:r>
                    <m:rPr>
                      <m:sty m:val="p"/>
                    </m:rPr>
                    <w:rPr>
                      <w:rFonts w:ascii="Cambria Math" w:hAnsi="Cambria Math"/>
                    </w:rPr>
                    <m:t>Σ</m:t>
                  </m:r>
                </m:e>
                <m:sub>
                  <m:r>
                    <m:rPr>
                      <m:sty m:val="p"/>
                    </m:rPr>
                    <w:rPr>
                      <w:rFonts w:ascii="Cambria Math" w:hAnsi="Cambria Math"/>
                    </w:rPr>
                    <m:t>f2</m:t>
                  </m:r>
                </m:sub>
              </m:sSub>
              <m:sSub>
                <m:sSubPr>
                  <m:ctrlPr>
                    <w:rPr>
                      <w:rFonts w:ascii="Cambria Math" w:hAnsi="Cambria Math"/>
                      <w:i/>
                    </w:rPr>
                  </m:ctrlPr>
                </m:sSubPr>
                <m:e>
                  <m:r>
                    <w:rPr>
                      <w:rFonts w:ascii="Cambria Math" w:hAnsi="Cambria Math"/>
                    </w:rPr>
                    <m:t>ϕ</m:t>
                  </m:r>
                </m:e>
                <m:sub>
                  <m:r>
                    <w:rPr>
                      <w:rFonts w:ascii="Cambria Math" w:hAnsi="Cambria Math"/>
                    </w:rPr>
                    <m:t>2</m:t>
                  </m:r>
                </m:sub>
              </m:sSub>
            </m:e>
          </m:d>
          <m:r>
            <w:rPr>
              <w:rFonts w:ascii="Cambria Math" w:hAnsi="Cambria Math"/>
            </w:rPr>
            <m:t>+</m:t>
          </m:r>
          <m:sSubSup>
            <m:sSubSupPr>
              <m:ctrlPr>
                <w:rPr>
                  <w:rFonts w:ascii="Cambria Math" w:hAnsi="Cambria Math"/>
                  <w:i/>
                </w:rPr>
              </m:ctrlPr>
            </m:sSubSupPr>
            <m:e>
              <m:r>
                <m:rPr>
                  <m:sty m:val="p"/>
                </m:rPr>
                <w:rPr>
                  <w:rFonts w:ascii="Cambria Math" w:hAnsi="Cambria Math"/>
                </w:rPr>
                <m:t>Σ</m:t>
              </m:r>
            </m:e>
            <m:sub>
              <m:r>
                <w:rPr>
                  <w:rFonts w:ascii="Cambria Math" w:hAnsi="Cambria Math"/>
                </w:rPr>
                <m:t>s</m:t>
              </m:r>
            </m:sub>
            <m:sup>
              <m:r>
                <w:rPr>
                  <w:rFonts w:ascii="Cambria Math" w:hAnsi="Cambria Math"/>
                </w:rPr>
                <m:t>2→1</m:t>
              </m:r>
            </m:sup>
          </m:sSubSup>
          <m:sSub>
            <m:sSubPr>
              <m:ctrlPr>
                <w:rPr>
                  <w:rFonts w:ascii="Cambria Math" w:hAnsi="Cambria Math"/>
                  <w:i/>
                </w:rPr>
              </m:ctrlPr>
            </m:sSubPr>
            <m:e>
              <m:r>
                <w:rPr>
                  <w:rFonts w:ascii="Cambria Math" w:hAnsi="Cambria Math"/>
                </w:rPr>
                <m:t>ϕ</m:t>
              </m:r>
            </m:e>
            <m:sub>
              <m:r>
                <w:rPr>
                  <w:rFonts w:ascii="Cambria Math" w:hAnsi="Cambria Math"/>
                </w:rPr>
                <m:t>2</m:t>
              </m:r>
            </m:sub>
          </m:sSub>
        </m:oMath>
      </m:oMathPara>
    </w:p>
    <w:p w:rsidR="0095569A" w:rsidRDefault="0095569A" w:rsidP="000C5E2C">
      <w:pPr>
        <w:pStyle w:val="Caption"/>
        <w:rPr>
          <w:rFonts w:eastAsiaTheme="minorEastAsia"/>
        </w:rPr>
      </w:pPr>
      <w:bookmarkStart w:id="333" w:name="_Ref285540368"/>
      <w:proofErr w:type="gramStart"/>
      <w:r w:rsidRPr="00317688">
        <w:t xml:space="preserve">Equation </w:t>
      </w:r>
      <w:r w:rsidR="007511FA">
        <w:fldChar w:fldCharType="begin"/>
      </w:r>
      <w:r w:rsidR="00AE17F8">
        <w:instrText xml:space="preserve"> STYLEREF 1 \s </w:instrText>
      </w:r>
      <w:r w:rsidR="007511FA">
        <w:fldChar w:fldCharType="separate"/>
      </w:r>
      <w:r w:rsidR="00D5167B">
        <w:rPr>
          <w:noProof/>
        </w:rPr>
        <w:t>9</w:t>
      </w:r>
      <w:r w:rsidR="007511FA">
        <w:fldChar w:fldCharType="end"/>
      </w:r>
      <w:r w:rsidR="00220B7D">
        <w:t>.</w:t>
      </w:r>
      <w:proofErr w:type="gramEnd"/>
      <w:r w:rsidR="007511FA">
        <w:fldChar w:fldCharType="begin"/>
      </w:r>
      <w:r w:rsidR="00220B7D">
        <w:instrText xml:space="preserve"> SEQ Equation \* ARABIC \s 1 </w:instrText>
      </w:r>
      <w:r w:rsidR="007511FA">
        <w:fldChar w:fldCharType="separate"/>
      </w:r>
      <w:r w:rsidR="00D5167B">
        <w:rPr>
          <w:noProof/>
        </w:rPr>
        <w:t>5</w:t>
      </w:r>
      <w:r w:rsidR="007511FA">
        <w:fldChar w:fldCharType="end"/>
      </w:r>
      <w:bookmarkEnd w:id="333"/>
    </w:p>
    <w:p w:rsidR="000C5E2C" w:rsidRPr="00D81F46" w:rsidRDefault="000C5E2C" w:rsidP="00B12830">
      <w:pPr>
        <w:ind w:firstLine="0"/>
        <w:jc w:val="center"/>
        <w:rPr>
          <w:sz w:val="20"/>
          <w:szCs w:val="20"/>
        </w:rPr>
      </w:pPr>
    </w:p>
    <w:p w:rsidR="000C5E2C" w:rsidRDefault="0095569A" w:rsidP="00CA2E5F">
      <w:pPr>
        <w:spacing w:line="240" w:lineRule="auto"/>
        <w:ind w:firstLine="0"/>
        <w:jc w:val="center"/>
        <w:rPr>
          <w:rFonts w:ascii="Times New Roman" w:eastAsiaTheme="minorEastAsia" w:hAnsi="Times New Roman" w:cs="Times New Roman"/>
        </w:rPr>
      </w:pPr>
      <m:oMathPara>
        <m:oMath>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2</m:t>
              </m:r>
            </m:sub>
          </m:sSub>
          <m:sSup>
            <m:sSupPr>
              <m:ctrlPr>
                <w:rPr>
                  <w:rFonts w:ascii="Cambria Math" w:hAnsi="Cambria Math"/>
                  <w:i/>
                </w:rPr>
              </m:ctrlPr>
            </m:sSupPr>
            <m:e>
              <m:r>
                <m:rPr>
                  <m:sty m:val="p"/>
                </m:rPr>
                <w:rPr>
                  <w:rFonts w:ascii="Cambria Math" w:hAnsi="Cambria Math"/>
                </w:rPr>
                <m:t>∇</m:t>
              </m:r>
            </m:e>
            <m:sup>
              <m:r>
                <w:rPr>
                  <w:rFonts w:ascii="Cambria Math" w:hAnsi="Cambria Math"/>
                </w:rPr>
                <m:t>2</m:t>
              </m:r>
            </m:sup>
          </m:sSup>
          <m:sSub>
            <m:sSubPr>
              <m:ctrlPr>
                <w:rPr>
                  <w:rFonts w:ascii="Cambria Math" w:hAnsi="Cambria Math"/>
                  <w:i/>
                </w:rPr>
              </m:ctrlPr>
            </m:sSubPr>
            <m:e>
              <m:r>
                <w:rPr>
                  <w:rFonts w:ascii="Cambria Math" w:hAnsi="Cambria Math"/>
                </w:rPr>
                <m:t>ϕ</m:t>
              </m:r>
            </m:e>
            <m:sub>
              <m:r>
                <w:rPr>
                  <w:rFonts w:ascii="Cambria Math" w:hAnsi="Cambria Math"/>
                </w:rPr>
                <m:t>2</m:t>
              </m:r>
            </m:sub>
          </m:sSub>
          <m:r>
            <w:rPr>
              <w:rFonts w:ascii="Cambria Math" w:hAnsi="Cambria Math"/>
            </w:rPr>
            <m:t>+</m:t>
          </m:r>
          <m:d>
            <m:dPr>
              <m:ctrlPr>
                <w:rPr>
                  <w:rFonts w:ascii="Cambria Math" w:hAnsi="Cambria Math"/>
                  <w:i/>
                </w:rPr>
              </m:ctrlPr>
            </m:dPr>
            <m:e>
              <m:sSub>
                <m:sSubPr>
                  <m:ctrlPr>
                    <w:rPr>
                      <w:rFonts w:ascii="Cambria Math" w:hAnsi="Cambria Math"/>
                    </w:rPr>
                  </m:ctrlPr>
                </m:sSubPr>
                <m:e>
                  <m:r>
                    <m:rPr>
                      <m:sty m:val="p"/>
                    </m:rPr>
                    <w:rPr>
                      <w:rFonts w:ascii="Cambria Math" w:hAnsi="Cambria Math"/>
                    </w:rPr>
                    <m:t>Σ</m:t>
                  </m:r>
                </m:e>
                <m:sub>
                  <m:r>
                    <m:rPr>
                      <m:sty m:val="p"/>
                    </m:rPr>
                    <w:rPr>
                      <w:rFonts w:ascii="Cambria Math" w:hAnsi="Cambria Math"/>
                    </w:rPr>
                    <m:t>a2</m:t>
                  </m:r>
                </m:sub>
              </m:sSub>
              <m:r>
                <w:rPr>
                  <w:rFonts w:ascii="Cambria Math" w:hAnsi="Cambria Math"/>
                </w:rPr>
                <m:t>+</m:t>
              </m:r>
              <m:sSubSup>
                <m:sSubSupPr>
                  <m:ctrlPr>
                    <w:rPr>
                      <w:rFonts w:ascii="Cambria Math" w:hAnsi="Cambria Math"/>
                      <w:i/>
                    </w:rPr>
                  </m:ctrlPr>
                </m:sSubSupPr>
                <m:e>
                  <m:r>
                    <m:rPr>
                      <m:sty m:val="p"/>
                    </m:rPr>
                    <w:rPr>
                      <w:rFonts w:ascii="Cambria Math" w:hAnsi="Cambria Math"/>
                    </w:rPr>
                    <m:t>Σ</m:t>
                  </m:r>
                </m:e>
                <m:sub>
                  <m:r>
                    <w:rPr>
                      <w:rFonts w:ascii="Cambria Math" w:hAnsi="Cambria Math"/>
                    </w:rPr>
                    <m:t>s</m:t>
                  </m:r>
                </m:sub>
                <m:sup>
                  <m:r>
                    <w:rPr>
                      <w:rFonts w:ascii="Cambria Math" w:hAnsi="Cambria Math"/>
                    </w:rPr>
                    <m:t>2→1</m:t>
                  </m:r>
                </m:sup>
              </m:sSubSup>
            </m:e>
          </m:d>
          <m:sSub>
            <m:sSubPr>
              <m:ctrlPr>
                <w:rPr>
                  <w:rFonts w:ascii="Cambria Math" w:hAnsi="Cambria Math"/>
                  <w:i/>
                </w:rPr>
              </m:ctrlPr>
            </m:sSubPr>
            <m:e>
              <m:r>
                <w:rPr>
                  <w:rFonts w:ascii="Cambria Math" w:hAnsi="Cambria Math"/>
                </w:rPr>
                <m:t>ϕ</m:t>
              </m:r>
            </m:e>
            <m:sub>
              <m:r>
                <w:rPr>
                  <w:rFonts w:ascii="Cambria Math" w:hAnsi="Cambria Math"/>
                </w:rPr>
                <m:t>2</m:t>
              </m:r>
            </m:sub>
          </m:sSub>
          <m:r>
            <w:rPr>
              <w:rFonts w:ascii="Cambria Math" w:hAnsi="Cambria Math"/>
            </w:rPr>
            <m:t>=</m:t>
          </m:r>
          <m:sSubSup>
            <m:sSubSupPr>
              <m:ctrlPr>
                <w:rPr>
                  <w:rFonts w:ascii="Cambria Math" w:hAnsi="Cambria Math"/>
                  <w:i/>
                </w:rPr>
              </m:ctrlPr>
            </m:sSubSupPr>
            <m:e>
              <m:r>
                <m:rPr>
                  <m:sty m:val="p"/>
                </m:rPr>
                <w:rPr>
                  <w:rFonts w:ascii="Cambria Math" w:hAnsi="Cambria Math"/>
                </w:rPr>
                <m:t>Σ</m:t>
              </m:r>
            </m:e>
            <m:sub>
              <m:r>
                <w:rPr>
                  <w:rFonts w:ascii="Cambria Math" w:hAnsi="Cambria Math"/>
                </w:rPr>
                <m:t>s</m:t>
              </m:r>
            </m:sub>
            <m:sup>
              <m:r>
                <w:rPr>
                  <w:rFonts w:ascii="Cambria Math" w:hAnsi="Cambria Math"/>
                </w:rPr>
                <m:t>1→2</m:t>
              </m:r>
            </m:sup>
          </m:sSubSup>
          <m:sSub>
            <m:sSubPr>
              <m:ctrlPr>
                <w:rPr>
                  <w:rFonts w:ascii="Cambria Math" w:hAnsi="Cambria Math"/>
                  <w:i/>
                </w:rPr>
              </m:ctrlPr>
            </m:sSubPr>
            <m:e>
              <m:r>
                <w:rPr>
                  <w:rFonts w:ascii="Cambria Math" w:hAnsi="Cambria Math"/>
                </w:rPr>
                <m:t>ϕ</m:t>
              </m:r>
            </m:e>
            <m:sub>
              <m:r>
                <w:rPr>
                  <w:rFonts w:ascii="Cambria Math" w:hAnsi="Cambria Math"/>
                </w:rPr>
                <m:t>1</m:t>
              </m:r>
            </m:sub>
          </m:sSub>
        </m:oMath>
      </m:oMathPara>
    </w:p>
    <w:p w:rsidR="0095569A" w:rsidRDefault="0095569A" w:rsidP="000C5E2C">
      <w:pPr>
        <w:pStyle w:val="Caption"/>
        <w:rPr>
          <w:rFonts w:eastAsiaTheme="minorEastAsia"/>
        </w:rPr>
      </w:pPr>
      <w:bookmarkStart w:id="334" w:name="_Ref285540372"/>
      <w:proofErr w:type="gramStart"/>
      <w:r w:rsidRPr="00317688">
        <w:t xml:space="preserve">Equation </w:t>
      </w:r>
      <w:r w:rsidR="007511FA">
        <w:fldChar w:fldCharType="begin"/>
      </w:r>
      <w:r w:rsidR="00AE17F8">
        <w:instrText xml:space="preserve"> STYLEREF 1 \s </w:instrText>
      </w:r>
      <w:r w:rsidR="007511FA">
        <w:fldChar w:fldCharType="separate"/>
      </w:r>
      <w:r w:rsidR="00D5167B">
        <w:rPr>
          <w:noProof/>
        </w:rPr>
        <w:t>9</w:t>
      </w:r>
      <w:r w:rsidR="007511FA">
        <w:fldChar w:fldCharType="end"/>
      </w:r>
      <w:r w:rsidR="00220B7D">
        <w:t>.</w:t>
      </w:r>
      <w:proofErr w:type="gramEnd"/>
      <w:r w:rsidR="007511FA">
        <w:fldChar w:fldCharType="begin"/>
      </w:r>
      <w:r w:rsidR="00220B7D">
        <w:instrText xml:space="preserve"> SEQ Equation \* ARABIC \s 1 </w:instrText>
      </w:r>
      <w:r w:rsidR="007511FA">
        <w:fldChar w:fldCharType="separate"/>
      </w:r>
      <w:r w:rsidR="00D5167B">
        <w:rPr>
          <w:noProof/>
        </w:rPr>
        <w:t>6</w:t>
      </w:r>
      <w:r w:rsidR="007511FA">
        <w:fldChar w:fldCharType="end"/>
      </w:r>
      <w:bookmarkEnd w:id="334"/>
    </w:p>
    <w:p w:rsidR="00B12830" w:rsidRPr="00D81F46" w:rsidRDefault="00B12830" w:rsidP="0095569A">
      <w:pPr>
        <w:jc w:val="center"/>
        <w:rPr>
          <w:rFonts w:eastAsiaTheme="minorEastAsia"/>
          <w:sz w:val="20"/>
          <w:szCs w:val="20"/>
        </w:rPr>
      </w:pPr>
    </w:p>
    <w:p w:rsidR="00B12830" w:rsidRDefault="00B12830" w:rsidP="00B12830">
      <w:pPr>
        <w:rPr>
          <w:rFonts w:cstheme="minorHAnsi"/>
        </w:rPr>
      </w:pPr>
      <w:r w:rsidRPr="0083266C">
        <w:rPr>
          <w:rFonts w:cstheme="minorHAnsi"/>
        </w:rPr>
        <w:t xml:space="preserve">By neglecting </w:t>
      </w:r>
      <w:proofErr w:type="spellStart"/>
      <w:r w:rsidRPr="0083266C">
        <w:rPr>
          <w:rFonts w:cstheme="minorHAnsi"/>
        </w:rPr>
        <w:t>upscatter</w:t>
      </w:r>
      <w:proofErr w:type="spellEnd"/>
      <w:r w:rsidRPr="0083266C">
        <w:rPr>
          <w:rFonts w:cstheme="minorHAnsi"/>
        </w:rPr>
        <w:t xml:space="preserve"> (</w:t>
      </w:r>
      <m:oMath>
        <m:sSubSup>
          <m:sSubSupPr>
            <m:ctrlPr>
              <w:rPr>
                <w:rFonts w:ascii="Cambria Math" w:hAnsi="Cambria Math" w:cstheme="minorHAnsi"/>
                <w:i/>
              </w:rPr>
            </m:ctrlPr>
          </m:sSubSupPr>
          <m:e>
            <m:r>
              <m:rPr>
                <m:sty m:val="p"/>
              </m:rPr>
              <w:rPr>
                <w:rFonts w:ascii="Cambria Math" w:cstheme="minorHAnsi"/>
              </w:rPr>
              <m:t>Σ</m:t>
            </m:r>
          </m:e>
          <m:sub>
            <m:r>
              <w:rPr>
                <w:rFonts w:ascii="Cambria Math" w:hAnsi="Cambria Math" w:cstheme="minorHAnsi"/>
              </w:rPr>
              <m:t>s</m:t>
            </m:r>
          </m:sub>
          <m:sup>
            <m:r>
              <w:rPr>
                <w:rFonts w:ascii="Cambria Math" w:cstheme="minorHAnsi"/>
              </w:rPr>
              <m:t>2</m:t>
            </m:r>
            <m:r>
              <w:rPr>
                <w:rFonts w:ascii="Cambria Math" w:cstheme="minorHAnsi"/>
              </w:rPr>
              <m:t>→</m:t>
            </m:r>
            <m:r>
              <w:rPr>
                <w:rFonts w:ascii="Cambria Math" w:cstheme="minorHAnsi"/>
              </w:rPr>
              <m:t>1</m:t>
            </m:r>
          </m:sup>
        </m:sSubSup>
      </m:oMath>
      <w:r w:rsidRPr="0083266C">
        <w:rPr>
          <w:rFonts w:cstheme="minorHAnsi"/>
        </w:rPr>
        <w:t xml:space="preserve"> = 0) and simplifying </w:t>
      </w:r>
      <w:fldSimple w:instr=" REF _Ref285540368 \h  \* MERGEFORMAT ">
        <w:r w:rsidR="00D5167B" w:rsidRPr="00317688">
          <w:t xml:space="preserve">Equation </w:t>
        </w:r>
        <w:r w:rsidR="00D5167B">
          <w:rPr>
            <w:noProof/>
          </w:rPr>
          <w:t>9.5</w:t>
        </w:r>
      </w:fldSimple>
      <w:r w:rsidR="000C5E2C" w:rsidRPr="000C5E2C">
        <w:rPr>
          <w:rFonts w:ascii="Times New Roman" w:hAnsi="Times New Roman" w:cs="Times New Roman"/>
        </w:rPr>
        <w:t xml:space="preserve"> and </w:t>
      </w:r>
      <w:fldSimple w:instr=" REF _Ref285540372 \h  \* MERGEFORMAT ">
        <w:r w:rsidR="00D5167B" w:rsidRPr="00317688">
          <w:t xml:space="preserve">Equation </w:t>
        </w:r>
        <w:r w:rsidR="00D5167B">
          <w:rPr>
            <w:noProof/>
          </w:rPr>
          <w:t>9.6</w:t>
        </w:r>
      </w:fldSimple>
      <w:r w:rsidR="000C5E2C">
        <w:rPr>
          <w:rFonts w:ascii="Times New Roman" w:hAnsi="Times New Roman" w:cs="Times New Roman"/>
        </w:rPr>
        <w:t xml:space="preserve"> </w:t>
      </w:r>
      <w:r w:rsidRPr="0083266C">
        <w:rPr>
          <w:rFonts w:cstheme="minorHAnsi"/>
        </w:rPr>
        <w:t>based on the problem definition of steady-state, BOC two-group analysis of HFIR, the following equations are applicable for the fast flux in the multiplying regions (</w:t>
      </w:r>
      <w:r w:rsidR="007511FA">
        <w:rPr>
          <w:rFonts w:cstheme="minorHAnsi"/>
        </w:rPr>
        <w:fldChar w:fldCharType="begin"/>
      </w:r>
      <w:r w:rsidR="007822D7">
        <w:rPr>
          <w:rFonts w:cstheme="minorHAnsi"/>
        </w:rPr>
        <w:instrText xml:space="preserve"> REF _Ref285540422 \h </w:instrText>
      </w:r>
      <w:r w:rsidR="007511FA">
        <w:rPr>
          <w:rFonts w:cstheme="minorHAnsi"/>
        </w:rPr>
      </w:r>
      <w:r w:rsidR="007511FA">
        <w:rPr>
          <w:rFonts w:cstheme="minorHAnsi"/>
        </w:rPr>
        <w:fldChar w:fldCharType="separate"/>
      </w:r>
      <w:r w:rsidR="00D5167B" w:rsidRPr="00317688">
        <w:t xml:space="preserve">Equation </w:t>
      </w:r>
      <w:r w:rsidR="00D5167B">
        <w:rPr>
          <w:noProof/>
        </w:rPr>
        <w:t>9</w:t>
      </w:r>
      <w:r w:rsidR="00D5167B">
        <w:t>.</w:t>
      </w:r>
      <w:r w:rsidR="00D5167B">
        <w:rPr>
          <w:noProof/>
        </w:rPr>
        <w:t>7</w:t>
      </w:r>
      <w:r w:rsidR="007511FA">
        <w:rPr>
          <w:rFonts w:cstheme="minorHAnsi"/>
        </w:rPr>
        <w:fldChar w:fldCharType="end"/>
      </w:r>
      <w:r w:rsidRPr="0083266C">
        <w:rPr>
          <w:rFonts w:cstheme="minorHAnsi"/>
        </w:rPr>
        <w:t>), the fast flux in the non-multiplying regions (</w:t>
      </w:r>
      <w:r w:rsidR="007511FA">
        <w:rPr>
          <w:rFonts w:cstheme="minorHAnsi"/>
        </w:rPr>
        <w:fldChar w:fldCharType="begin"/>
      </w:r>
      <w:r w:rsidR="007822D7">
        <w:rPr>
          <w:rFonts w:cstheme="minorHAnsi"/>
        </w:rPr>
        <w:instrText xml:space="preserve"> REF _Ref285540428 \h </w:instrText>
      </w:r>
      <w:r w:rsidR="007511FA">
        <w:rPr>
          <w:rFonts w:cstheme="minorHAnsi"/>
        </w:rPr>
      </w:r>
      <w:r w:rsidR="007511FA">
        <w:rPr>
          <w:rFonts w:cstheme="minorHAnsi"/>
        </w:rPr>
        <w:fldChar w:fldCharType="separate"/>
      </w:r>
      <w:r w:rsidR="00D5167B" w:rsidRPr="00317688">
        <w:t xml:space="preserve">Equation </w:t>
      </w:r>
      <w:r w:rsidR="00D5167B">
        <w:rPr>
          <w:noProof/>
        </w:rPr>
        <w:t>9</w:t>
      </w:r>
      <w:r w:rsidR="00D5167B">
        <w:t>.</w:t>
      </w:r>
      <w:r w:rsidR="00D5167B">
        <w:rPr>
          <w:noProof/>
        </w:rPr>
        <w:t>8</w:t>
      </w:r>
      <w:r w:rsidR="007511FA">
        <w:rPr>
          <w:rFonts w:cstheme="minorHAnsi"/>
        </w:rPr>
        <w:fldChar w:fldCharType="end"/>
      </w:r>
      <w:r w:rsidRPr="0083266C">
        <w:rPr>
          <w:rFonts w:cstheme="minorHAnsi"/>
        </w:rPr>
        <w:t>), and the thermal flux in all the regions (</w:t>
      </w:r>
      <w:r w:rsidR="007511FA">
        <w:rPr>
          <w:rFonts w:cstheme="minorHAnsi"/>
        </w:rPr>
        <w:fldChar w:fldCharType="begin"/>
      </w:r>
      <w:r w:rsidR="007822D7">
        <w:rPr>
          <w:rFonts w:cstheme="minorHAnsi"/>
        </w:rPr>
        <w:instrText xml:space="preserve"> REF _Ref285540433 \h </w:instrText>
      </w:r>
      <w:r w:rsidR="007511FA">
        <w:rPr>
          <w:rFonts w:cstheme="minorHAnsi"/>
        </w:rPr>
      </w:r>
      <w:r w:rsidR="007511FA">
        <w:rPr>
          <w:rFonts w:cstheme="minorHAnsi"/>
        </w:rPr>
        <w:fldChar w:fldCharType="separate"/>
      </w:r>
      <w:r w:rsidR="00D5167B" w:rsidRPr="00317688">
        <w:t xml:space="preserve">Equation </w:t>
      </w:r>
      <w:r w:rsidR="00D5167B">
        <w:rPr>
          <w:noProof/>
        </w:rPr>
        <w:t>9</w:t>
      </w:r>
      <w:r w:rsidR="00D5167B">
        <w:t>.</w:t>
      </w:r>
      <w:r w:rsidR="00D5167B">
        <w:rPr>
          <w:noProof/>
        </w:rPr>
        <w:t>9</w:t>
      </w:r>
      <w:r w:rsidR="007511FA">
        <w:rPr>
          <w:rFonts w:cstheme="minorHAnsi"/>
        </w:rPr>
        <w:fldChar w:fldCharType="end"/>
      </w:r>
      <w:r w:rsidRPr="0083266C">
        <w:rPr>
          <w:rFonts w:cstheme="minorHAnsi"/>
        </w:rPr>
        <w:t>).</w:t>
      </w:r>
    </w:p>
    <w:p w:rsidR="00B12830" w:rsidRPr="0083266C" w:rsidRDefault="00B12830" w:rsidP="00B12830">
      <w:pPr>
        <w:rPr>
          <w:rFonts w:cstheme="minorHAnsi"/>
        </w:rPr>
      </w:pPr>
    </w:p>
    <w:p w:rsidR="000C5E2C" w:rsidRDefault="00B12830" w:rsidP="00CA2E5F">
      <w:pPr>
        <w:spacing w:line="240" w:lineRule="auto"/>
        <w:ind w:firstLine="0"/>
        <w:jc w:val="center"/>
        <w:rPr>
          <w:rFonts w:eastAsiaTheme="minorEastAsia"/>
        </w:rPr>
      </w:pPr>
      <m:oMathPara>
        <m:oMath>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1</m:t>
              </m:r>
            </m:sub>
          </m:sSub>
          <m:sSup>
            <m:sSupPr>
              <m:ctrlPr>
                <w:rPr>
                  <w:rFonts w:ascii="Cambria Math" w:hAnsi="Cambria Math"/>
                  <w:i/>
                </w:rPr>
              </m:ctrlPr>
            </m:sSupPr>
            <m:e>
              <m:r>
                <m:rPr>
                  <m:sty m:val="p"/>
                </m:rPr>
                <w:rPr>
                  <w:rFonts w:ascii="Cambria Math" w:hAnsi="Cambria Math"/>
                </w:rPr>
                <m:t>∇</m:t>
              </m:r>
            </m:e>
            <m:sup>
              <m:r>
                <w:rPr>
                  <w:rFonts w:ascii="Cambria Math" w:hAnsi="Cambria Math"/>
                </w:rPr>
                <m:t>2</m:t>
              </m:r>
            </m:sup>
          </m:sSup>
          <m:sSub>
            <m:sSubPr>
              <m:ctrlPr>
                <w:rPr>
                  <w:rFonts w:ascii="Cambria Math" w:hAnsi="Cambria Math"/>
                  <w:i/>
                </w:rPr>
              </m:ctrlPr>
            </m:sSubPr>
            <m:e>
              <m:r>
                <w:rPr>
                  <w:rFonts w:ascii="Cambria Math" w:hAnsi="Cambria Math"/>
                </w:rPr>
                <m:t>ϕ</m:t>
              </m:r>
            </m:e>
            <m:sub>
              <m:r>
                <w:rPr>
                  <w:rFonts w:ascii="Cambria Math" w:hAnsi="Cambria Math"/>
                </w:rPr>
                <m:t>1</m:t>
              </m:r>
            </m:sub>
          </m:sSub>
          <m:r>
            <w:rPr>
              <w:rFonts w:ascii="Cambria Math" w:hAnsi="Cambria Math"/>
            </w:rPr>
            <m:t>+</m:t>
          </m:r>
          <m:d>
            <m:dPr>
              <m:ctrlPr>
                <w:rPr>
                  <w:rFonts w:ascii="Cambria Math" w:hAnsi="Cambria Math"/>
                  <w:i/>
                </w:rPr>
              </m:ctrlPr>
            </m:dPr>
            <m:e>
              <m:sSub>
                <m:sSubPr>
                  <m:ctrlPr>
                    <w:rPr>
                      <w:rFonts w:ascii="Cambria Math" w:hAnsi="Cambria Math"/>
                    </w:rPr>
                  </m:ctrlPr>
                </m:sSubPr>
                <m:e>
                  <m:r>
                    <m:rPr>
                      <m:sty m:val="p"/>
                    </m:rPr>
                    <w:rPr>
                      <w:rFonts w:ascii="Cambria Math" w:hAnsi="Cambria Math"/>
                    </w:rPr>
                    <m:t>Σ</m:t>
                  </m:r>
                </m:e>
                <m:sub>
                  <m:r>
                    <m:rPr>
                      <m:sty m:val="p"/>
                    </m:rPr>
                    <w:rPr>
                      <w:rFonts w:ascii="Cambria Math" w:hAnsi="Cambria Math"/>
                    </w:rPr>
                    <m:t>a1</m:t>
                  </m:r>
                </m:sub>
              </m:sSub>
              <m:r>
                <w:rPr>
                  <w:rFonts w:ascii="Cambria Math" w:hAnsi="Cambria Math"/>
                </w:rPr>
                <m:t>+</m:t>
              </m:r>
              <m:sSubSup>
                <m:sSubSupPr>
                  <m:ctrlPr>
                    <w:rPr>
                      <w:rFonts w:ascii="Cambria Math" w:hAnsi="Cambria Math"/>
                      <w:i/>
                    </w:rPr>
                  </m:ctrlPr>
                </m:sSubSupPr>
                <m:e>
                  <m:r>
                    <m:rPr>
                      <m:sty m:val="p"/>
                    </m:rPr>
                    <w:rPr>
                      <w:rFonts w:ascii="Cambria Math" w:hAnsi="Cambria Math"/>
                    </w:rPr>
                    <m:t>Σ</m:t>
                  </m:r>
                </m:e>
                <m:sub>
                  <m:r>
                    <w:rPr>
                      <w:rFonts w:ascii="Cambria Math" w:hAnsi="Cambria Math"/>
                    </w:rPr>
                    <m:t>s</m:t>
                  </m:r>
                </m:sub>
                <m:sup>
                  <m:r>
                    <w:rPr>
                      <w:rFonts w:ascii="Cambria Math" w:hAnsi="Cambria Math"/>
                    </w:rPr>
                    <m:t>1→2</m:t>
                  </m:r>
                </m:sup>
              </m:sSubSup>
            </m:e>
          </m:d>
          <m:sSub>
            <m:sSubPr>
              <m:ctrlPr>
                <w:rPr>
                  <w:rFonts w:ascii="Cambria Math" w:hAnsi="Cambria Math"/>
                  <w:i/>
                </w:rPr>
              </m:ctrlPr>
            </m:sSubPr>
            <m:e>
              <m:r>
                <w:rPr>
                  <w:rFonts w:ascii="Cambria Math" w:hAnsi="Cambria Math"/>
                </w:rPr>
                <m:t>ϕ</m:t>
              </m:r>
            </m:e>
            <m:sub>
              <m:r>
                <w:rPr>
                  <w:rFonts w:ascii="Cambria Math" w:hAnsi="Cambria Math"/>
                </w:rPr>
                <m:t>1</m:t>
              </m:r>
            </m:sub>
          </m:sSub>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k</m:t>
                  </m:r>
                </m:e>
                <m:sub>
                  <m:r>
                    <w:rPr>
                      <w:rFonts w:ascii="Cambria Math" w:hAnsi="Cambria Math"/>
                    </w:rPr>
                    <m:t>eff</m:t>
                  </m:r>
                </m:sub>
              </m:sSub>
            </m:den>
          </m:f>
          <m:d>
            <m:dPr>
              <m:ctrlPr>
                <w:rPr>
                  <w:rFonts w:ascii="Cambria Math" w:hAnsi="Cambria Math"/>
                  <w:i/>
                </w:rPr>
              </m:ctrlPr>
            </m:dPr>
            <m:e>
              <m:sSub>
                <m:sSubPr>
                  <m:ctrlPr>
                    <w:rPr>
                      <w:rFonts w:ascii="Cambria Math" w:hAnsi="Cambria Math"/>
                      <w:i/>
                    </w:rPr>
                  </m:ctrlPr>
                </m:sSubPr>
                <m:e>
                  <m:r>
                    <m:rPr>
                      <m:sty m:val="p"/>
                    </m:rPr>
                    <w:rPr>
                      <w:rFonts w:ascii="Cambria Math" w:hAnsi="Cambria Math"/>
                    </w:rPr>
                    <m:t>ν</m:t>
                  </m:r>
                  <m:sSub>
                    <m:sSubPr>
                      <m:ctrlPr>
                        <w:rPr>
                          <w:rFonts w:ascii="Cambria Math" w:hAnsi="Cambria Math"/>
                        </w:rPr>
                      </m:ctrlPr>
                    </m:sSubPr>
                    <m:e>
                      <m:r>
                        <m:rPr>
                          <m:sty m:val="p"/>
                        </m:rPr>
                        <w:rPr>
                          <w:rFonts w:ascii="Cambria Math" w:hAnsi="Cambria Math"/>
                        </w:rPr>
                        <m:t>Σ</m:t>
                      </m:r>
                    </m:e>
                    <m:sub>
                      <m:r>
                        <m:rPr>
                          <m:sty m:val="p"/>
                        </m:rPr>
                        <w:rPr>
                          <w:rFonts w:ascii="Cambria Math" w:hAnsi="Cambria Math"/>
                        </w:rPr>
                        <m:t>f1</m:t>
                      </m:r>
                    </m:sub>
                  </m:sSub>
                  <m:r>
                    <w:rPr>
                      <w:rFonts w:ascii="Cambria Math" w:hAnsi="Cambria Math"/>
                    </w:rPr>
                    <m:t>ϕ</m:t>
                  </m:r>
                </m:e>
                <m:sub>
                  <m:r>
                    <w:rPr>
                      <w:rFonts w:ascii="Cambria Math" w:hAnsi="Cambria Math"/>
                    </w:rPr>
                    <m:t>1</m:t>
                  </m:r>
                </m:sub>
              </m:sSub>
              <m:r>
                <w:rPr>
                  <w:rFonts w:ascii="Cambria Math" w:hAnsi="Cambria Math"/>
                </w:rPr>
                <m:t>+</m:t>
              </m:r>
              <m:r>
                <m:rPr>
                  <m:sty m:val="p"/>
                </m:rPr>
                <w:rPr>
                  <w:rFonts w:ascii="Cambria Math" w:hAnsi="Cambria Math"/>
                </w:rPr>
                <m:t>ν</m:t>
              </m:r>
              <m:sSub>
                <m:sSubPr>
                  <m:ctrlPr>
                    <w:rPr>
                      <w:rFonts w:ascii="Cambria Math" w:hAnsi="Cambria Math"/>
                    </w:rPr>
                  </m:ctrlPr>
                </m:sSubPr>
                <m:e>
                  <m:r>
                    <m:rPr>
                      <m:sty m:val="p"/>
                    </m:rPr>
                    <w:rPr>
                      <w:rFonts w:ascii="Cambria Math" w:hAnsi="Cambria Math"/>
                    </w:rPr>
                    <m:t>Σ</m:t>
                  </m:r>
                </m:e>
                <m:sub>
                  <m:r>
                    <m:rPr>
                      <m:sty m:val="p"/>
                    </m:rPr>
                    <w:rPr>
                      <w:rFonts w:ascii="Cambria Math" w:hAnsi="Cambria Math"/>
                    </w:rPr>
                    <m:t>f2</m:t>
                  </m:r>
                </m:sub>
              </m:sSub>
              <m:sSub>
                <m:sSubPr>
                  <m:ctrlPr>
                    <w:rPr>
                      <w:rFonts w:ascii="Cambria Math" w:hAnsi="Cambria Math"/>
                      <w:i/>
                    </w:rPr>
                  </m:ctrlPr>
                </m:sSubPr>
                <m:e>
                  <m:r>
                    <w:rPr>
                      <w:rFonts w:ascii="Cambria Math" w:hAnsi="Cambria Math"/>
                    </w:rPr>
                    <m:t>ϕ</m:t>
                  </m:r>
                </m:e>
                <m:sub>
                  <m:r>
                    <w:rPr>
                      <w:rFonts w:ascii="Cambria Math" w:hAnsi="Cambria Math"/>
                    </w:rPr>
                    <m:t>2</m:t>
                  </m:r>
                </m:sub>
              </m:sSub>
            </m:e>
          </m:d>
        </m:oMath>
      </m:oMathPara>
    </w:p>
    <w:p w:rsidR="00B12830" w:rsidRDefault="00B12830" w:rsidP="000C5E2C">
      <w:pPr>
        <w:pStyle w:val="Caption"/>
      </w:pPr>
      <w:bookmarkStart w:id="335" w:name="_Ref285540422"/>
      <w:proofErr w:type="gramStart"/>
      <w:r w:rsidRPr="00317688">
        <w:t xml:space="preserve">Equation </w:t>
      </w:r>
      <w:r w:rsidR="007511FA">
        <w:fldChar w:fldCharType="begin"/>
      </w:r>
      <w:r w:rsidR="00AE17F8">
        <w:instrText xml:space="preserve"> STYLEREF 1 \s </w:instrText>
      </w:r>
      <w:r w:rsidR="007511FA">
        <w:fldChar w:fldCharType="separate"/>
      </w:r>
      <w:r w:rsidR="00D5167B">
        <w:rPr>
          <w:noProof/>
        </w:rPr>
        <w:t>9</w:t>
      </w:r>
      <w:r w:rsidR="007511FA">
        <w:fldChar w:fldCharType="end"/>
      </w:r>
      <w:r w:rsidR="00220B7D">
        <w:t>.</w:t>
      </w:r>
      <w:proofErr w:type="gramEnd"/>
      <w:r w:rsidR="007511FA">
        <w:fldChar w:fldCharType="begin"/>
      </w:r>
      <w:r w:rsidR="00220B7D">
        <w:instrText xml:space="preserve"> SEQ Equation \* ARABIC \s 1 </w:instrText>
      </w:r>
      <w:r w:rsidR="007511FA">
        <w:fldChar w:fldCharType="separate"/>
      </w:r>
      <w:r w:rsidR="00D5167B">
        <w:rPr>
          <w:noProof/>
        </w:rPr>
        <w:t>7</w:t>
      </w:r>
      <w:r w:rsidR="007511FA">
        <w:fldChar w:fldCharType="end"/>
      </w:r>
      <w:bookmarkEnd w:id="335"/>
    </w:p>
    <w:p w:rsidR="007822D7" w:rsidRPr="007822D7" w:rsidRDefault="007822D7" w:rsidP="007822D7"/>
    <w:p w:rsidR="000C5E2C" w:rsidRDefault="00B12830" w:rsidP="00CA2E5F">
      <w:pPr>
        <w:spacing w:line="240" w:lineRule="auto"/>
        <w:ind w:firstLine="0"/>
        <w:jc w:val="center"/>
        <w:rPr>
          <w:rFonts w:ascii="Times New Roman" w:eastAsiaTheme="minorEastAsia" w:hAnsi="Times New Roman" w:cs="Times New Roman"/>
        </w:rPr>
      </w:pPr>
      <m:oMathPara>
        <m:oMath>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1</m:t>
              </m:r>
            </m:sub>
          </m:sSub>
          <m:sSup>
            <m:sSupPr>
              <m:ctrlPr>
                <w:rPr>
                  <w:rFonts w:ascii="Cambria Math" w:hAnsi="Cambria Math"/>
                  <w:i/>
                </w:rPr>
              </m:ctrlPr>
            </m:sSupPr>
            <m:e>
              <m:r>
                <m:rPr>
                  <m:sty m:val="p"/>
                </m:rPr>
                <w:rPr>
                  <w:rFonts w:ascii="Cambria Math" w:hAnsi="Cambria Math"/>
                </w:rPr>
                <m:t>∇</m:t>
              </m:r>
            </m:e>
            <m:sup>
              <m:r>
                <w:rPr>
                  <w:rFonts w:ascii="Cambria Math" w:hAnsi="Cambria Math"/>
                </w:rPr>
                <m:t>2</m:t>
              </m:r>
            </m:sup>
          </m:sSup>
          <m:sSub>
            <m:sSubPr>
              <m:ctrlPr>
                <w:rPr>
                  <w:rFonts w:ascii="Cambria Math" w:hAnsi="Cambria Math"/>
                  <w:i/>
                </w:rPr>
              </m:ctrlPr>
            </m:sSubPr>
            <m:e>
              <m:r>
                <w:rPr>
                  <w:rFonts w:ascii="Cambria Math" w:hAnsi="Cambria Math"/>
                </w:rPr>
                <m:t>ϕ</m:t>
              </m:r>
            </m:e>
            <m:sub>
              <m:r>
                <w:rPr>
                  <w:rFonts w:ascii="Cambria Math" w:hAnsi="Cambria Math"/>
                </w:rPr>
                <m:t>1</m:t>
              </m:r>
            </m:sub>
          </m:sSub>
          <m:r>
            <w:rPr>
              <w:rFonts w:ascii="Cambria Math" w:hAnsi="Cambria Math"/>
            </w:rPr>
            <m:t>+</m:t>
          </m:r>
          <m:d>
            <m:dPr>
              <m:ctrlPr>
                <w:rPr>
                  <w:rFonts w:ascii="Cambria Math" w:hAnsi="Cambria Math"/>
                  <w:i/>
                </w:rPr>
              </m:ctrlPr>
            </m:dPr>
            <m:e>
              <m:sSub>
                <m:sSubPr>
                  <m:ctrlPr>
                    <w:rPr>
                      <w:rFonts w:ascii="Cambria Math" w:hAnsi="Cambria Math"/>
                    </w:rPr>
                  </m:ctrlPr>
                </m:sSubPr>
                <m:e>
                  <m:r>
                    <m:rPr>
                      <m:sty m:val="p"/>
                    </m:rPr>
                    <w:rPr>
                      <w:rFonts w:ascii="Cambria Math" w:hAnsi="Cambria Math"/>
                    </w:rPr>
                    <m:t>Σ</m:t>
                  </m:r>
                </m:e>
                <m:sub>
                  <m:r>
                    <m:rPr>
                      <m:sty m:val="p"/>
                    </m:rPr>
                    <w:rPr>
                      <w:rFonts w:ascii="Cambria Math" w:hAnsi="Cambria Math"/>
                    </w:rPr>
                    <m:t>a1</m:t>
                  </m:r>
                </m:sub>
              </m:sSub>
              <m:r>
                <w:rPr>
                  <w:rFonts w:ascii="Cambria Math" w:hAnsi="Cambria Math"/>
                </w:rPr>
                <m:t>+</m:t>
              </m:r>
              <m:sSubSup>
                <m:sSubSupPr>
                  <m:ctrlPr>
                    <w:rPr>
                      <w:rFonts w:ascii="Cambria Math" w:hAnsi="Cambria Math"/>
                      <w:i/>
                    </w:rPr>
                  </m:ctrlPr>
                </m:sSubSupPr>
                <m:e>
                  <m:r>
                    <m:rPr>
                      <m:sty m:val="p"/>
                    </m:rPr>
                    <w:rPr>
                      <w:rFonts w:ascii="Cambria Math" w:hAnsi="Cambria Math"/>
                    </w:rPr>
                    <m:t>Σ</m:t>
                  </m:r>
                </m:e>
                <m:sub>
                  <m:r>
                    <w:rPr>
                      <w:rFonts w:ascii="Cambria Math" w:hAnsi="Cambria Math"/>
                    </w:rPr>
                    <m:t>s</m:t>
                  </m:r>
                </m:sub>
                <m:sup>
                  <m:r>
                    <w:rPr>
                      <w:rFonts w:ascii="Cambria Math" w:hAnsi="Cambria Math"/>
                    </w:rPr>
                    <m:t>1→2</m:t>
                  </m:r>
                </m:sup>
              </m:sSubSup>
            </m:e>
          </m:d>
          <m:sSub>
            <m:sSubPr>
              <m:ctrlPr>
                <w:rPr>
                  <w:rFonts w:ascii="Cambria Math" w:hAnsi="Cambria Math"/>
                  <w:i/>
                </w:rPr>
              </m:ctrlPr>
            </m:sSubPr>
            <m:e>
              <m:r>
                <w:rPr>
                  <w:rFonts w:ascii="Cambria Math" w:hAnsi="Cambria Math"/>
                </w:rPr>
                <m:t>ϕ</m:t>
              </m:r>
            </m:e>
            <m:sub>
              <m:r>
                <w:rPr>
                  <w:rFonts w:ascii="Cambria Math" w:hAnsi="Cambria Math"/>
                </w:rPr>
                <m:t>1</m:t>
              </m:r>
            </m:sub>
          </m:sSub>
          <m:r>
            <w:rPr>
              <w:rFonts w:ascii="Cambria Math" w:hAnsi="Cambria Math"/>
            </w:rPr>
            <m:t>=0</m:t>
          </m:r>
        </m:oMath>
      </m:oMathPara>
    </w:p>
    <w:p w:rsidR="00B12830" w:rsidRDefault="00B12830" w:rsidP="000C5E2C">
      <w:pPr>
        <w:pStyle w:val="Caption"/>
      </w:pPr>
      <w:bookmarkStart w:id="336" w:name="_Ref285540428"/>
      <w:proofErr w:type="gramStart"/>
      <w:r w:rsidRPr="00317688">
        <w:t xml:space="preserve">Equation </w:t>
      </w:r>
      <w:r w:rsidR="007511FA">
        <w:fldChar w:fldCharType="begin"/>
      </w:r>
      <w:r w:rsidR="00AE17F8">
        <w:instrText xml:space="preserve"> STYLEREF 1 \s </w:instrText>
      </w:r>
      <w:r w:rsidR="007511FA">
        <w:fldChar w:fldCharType="separate"/>
      </w:r>
      <w:r w:rsidR="00D5167B">
        <w:rPr>
          <w:noProof/>
        </w:rPr>
        <w:t>9</w:t>
      </w:r>
      <w:r w:rsidR="007511FA">
        <w:fldChar w:fldCharType="end"/>
      </w:r>
      <w:r w:rsidR="00220B7D">
        <w:t>.</w:t>
      </w:r>
      <w:proofErr w:type="gramEnd"/>
      <w:r w:rsidR="007511FA">
        <w:fldChar w:fldCharType="begin"/>
      </w:r>
      <w:r w:rsidR="00220B7D">
        <w:instrText xml:space="preserve"> SEQ Equation \* ARABIC \s 1 </w:instrText>
      </w:r>
      <w:r w:rsidR="007511FA">
        <w:fldChar w:fldCharType="separate"/>
      </w:r>
      <w:r w:rsidR="00D5167B">
        <w:rPr>
          <w:noProof/>
        </w:rPr>
        <w:t>8</w:t>
      </w:r>
      <w:r w:rsidR="007511FA">
        <w:fldChar w:fldCharType="end"/>
      </w:r>
      <w:bookmarkEnd w:id="336"/>
    </w:p>
    <w:p w:rsidR="000C5E2C" w:rsidRPr="00D81F46" w:rsidRDefault="000C5E2C" w:rsidP="00B12830">
      <w:pPr>
        <w:ind w:firstLine="0"/>
        <w:jc w:val="center"/>
        <w:rPr>
          <w:sz w:val="20"/>
          <w:szCs w:val="20"/>
        </w:rPr>
      </w:pPr>
    </w:p>
    <w:p w:rsidR="000C5E2C" w:rsidRDefault="00B12830" w:rsidP="00CA2E5F">
      <w:pPr>
        <w:spacing w:line="240" w:lineRule="auto"/>
        <w:ind w:firstLine="0"/>
        <w:jc w:val="center"/>
        <w:rPr>
          <w:rFonts w:eastAsiaTheme="minorEastAsia"/>
        </w:rPr>
      </w:pPr>
      <m:oMathPara>
        <m:oMath>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2</m:t>
              </m:r>
            </m:sub>
          </m:sSub>
          <m:sSup>
            <m:sSupPr>
              <m:ctrlPr>
                <w:rPr>
                  <w:rFonts w:ascii="Cambria Math" w:hAnsi="Cambria Math"/>
                  <w:i/>
                </w:rPr>
              </m:ctrlPr>
            </m:sSupPr>
            <m:e>
              <m:r>
                <m:rPr>
                  <m:sty m:val="p"/>
                </m:rPr>
                <w:rPr>
                  <w:rFonts w:ascii="Cambria Math" w:hAnsi="Cambria Math"/>
                </w:rPr>
                <m:t>∇</m:t>
              </m:r>
            </m:e>
            <m:sup>
              <m:r>
                <w:rPr>
                  <w:rFonts w:ascii="Cambria Math" w:hAnsi="Cambria Math"/>
                </w:rPr>
                <m:t>2</m:t>
              </m:r>
            </m:sup>
          </m:sSup>
          <m:sSub>
            <m:sSubPr>
              <m:ctrlPr>
                <w:rPr>
                  <w:rFonts w:ascii="Cambria Math" w:hAnsi="Cambria Math"/>
                  <w:i/>
                </w:rPr>
              </m:ctrlPr>
            </m:sSubPr>
            <m:e>
              <m:r>
                <w:rPr>
                  <w:rFonts w:ascii="Cambria Math" w:hAnsi="Cambria Math"/>
                </w:rPr>
                <m:t>ϕ</m:t>
              </m:r>
            </m:e>
            <m:sub>
              <m:r>
                <w:rPr>
                  <w:rFonts w:ascii="Cambria Math" w:hAnsi="Cambria Math"/>
                </w:rPr>
                <m:t>2</m:t>
              </m:r>
            </m:sub>
          </m:sSub>
          <m:r>
            <w:rPr>
              <w:rFonts w:ascii="Cambria Math" w:hAnsi="Cambria Math"/>
            </w:rPr>
            <m:t>+</m:t>
          </m:r>
          <m:sSub>
            <m:sSubPr>
              <m:ctrlPr>
                <w:rPr>
                  <w:rFonts w:ascii="Cambria Math" w:hAnsi="Cambria Math"/>
                  <w:i/>
                </w:rPr>
              </m:ctrlPr>
            </m:sSubPr>
            <m:e>
              <m:sSub>
                <m:sSubPr>
                  <m:ctrlPr>
                    <w:rPr>
                      <w:rFonts w:ascii="Cambria Math" w:hAnsi="Cambria Math"/>
                    </w:rPr>
                  </m:ctrlPr>
                </m:sSubPr>
                <m:e>
                  <m:r>
                    <m:rPr>
                      <m:sty m:val="p"/>
                    </m:rPr>
                    <w:rPr>
                      <w:rFonts w:ascii="Cambria Math" w:hAnsi="Cambria Math"/>
                    </w:rPr>
                    <m:t>Σ</m:t>
                  </m:r>
                </m:e>
                <m:sub>
                  <m:r>
                    <m:rPr>
                      <m:sty m:val="p"/>
                    </m:rPr>
                    <w:rPr>
                      <w:rFonts w:ascii="Cambria Math" w:hAnsi="Cambria Math"/>
                    </w:rPr>
                    <m:t>a2</m:t>
                  </m:r>
                </m:sub>
              </m:sSub>
              <m:r>
                <w:rPr>
                  <w:rFonts w:ascii="Cambria Math" w:hAnsi="Cambria Math"/>
                </w:rPr>
                <m:t>ϕ</m:t>
              </m:r>
            </m:e>
            <m:sub>
              <m:r>
                <w:rPr>
                  <w:rFonts w:ascii="Cambria Math" w:hAnsi="Cambria Math"/>
                </w:rPr>
                <m:t>2</m:t>
              </m:r>
            </m:sub>
          </m:sSub>
          <m:r>
            <w:rPr>
              <w:rFonts w:ascii="Cambria Math" w:hAnsi="Cambria Math"/>
            </w:rPr>
            <m:t>=</m:t>
          </m:r>
          <m:sSubSup>
            <m:sSubSupPr>
              <m:ctrlPr>
                <w:rPr>
                  <w:rFonts w:ascii="Cambria Math" w:hAnsi="Cambria Math"/>
                  <w:i/>
                </w:rPr>
              </m:ctrlPr>
            </m:sSubSupPr>
            <m:e>
              <m:r>
                <m:rPr>
                  <m:sty m:val="p"/>
                </m:rPr>
                <w:rPr>
                  <w:rFonts w:ascii="Cambria Math" w:hAnsi="Cambria Math"/>
                </w:rPr>
                <m:t>Σ</m:t>
              </m:r>
            </m:e>
            <m:sub>
              <m:r>
                <w:rPr>
                  <w:rFonts w:ascii="Cambria Math" w:hAnsi="Cambria Math"/>
                </w:rPr>
                <m:t>s</m:t>
              </m:r>
            </m:sub>
            <m:sup>
              <m:r>
                <w:rPr>
                  <w:rFonts w:ascii="Cambria Math" w:hAnsi="Cambria Math"/>
                </w:rPr>
                <m:t>1→2</m:t>
              </m:r>
            </m:sup>
          </m:sSubSup>
          <m:sSub>
            <m:sSubPr>
              <m:ctrlPr>
                <w:rPr>
                  <w:rFonts w:ascii="Cambria Math" w:hAnsi="Cambria Math"/>
                  <w:i/>
                </w:rPr>
              </m:ctrlPr>
            </m:sSubPr>
            <m:e>
              <m:r>
                <w:rPr>
                  <w:rFonts w:ascii="Cambria Math" w:hAnsi="Cambria Math"/>
                </w:rPr>
                <m:t>ϕ</m:t>
              </m:r>
            </m:e>
            <m:sub>
              <m:r>
                <w:rPr>
                  <w:rFonts w:ascii="Cambria Math" w:hAnsi="Cambria Math"/>
                </w:rPr>
                <m:t>1</m:t>
              </m:r>
            </m:sub>
          </m:sSub>
        </m:oMath>
      </m:oMathPara>
    </w:p>
    <w:p w:rsidR="00B12830" w:rsidRPr="00317688" w:rsidRDefault="00B12830" w:rsidP="000C5E2C">
      <w:pPr>
        <w:pStyle w:val="Caption"/>
      </w:pPr>
      <w:bookmarkStart w:id="337" w:name="_Ref285540433"/>
      <w:proofErr w:type="gramStart"/>
      <w:r w:rsidRPr="00317688">
        <w:t xml:space="preserve">Equation </w:t>
      </w:r>
      <w:r w:rsidR="007511FA">
        <w:fldChar w:fldCharType="begin"/>
      </w:r>
      <w:r w:rsidR="00AE17F8">
        <w:instrText xml:space="preserve"> STYLEREF 1 \s </w:instrText>
      </w:r>
      <w:r w:rsidR="007511FA">
        <w:fldChar w:fldCharType="separate"/>
      </w:r>
      <w:r w:rsidR="00D5167B">
        <w:rPr>
          <w:noProof/>
        </w:rPr>
        <w:t>9</w:t>
      </w:r>
      <w:r w:rsidR="007511FA">
        <w:fldChar w:fldCharType="end"/>
      </w:r>
      <w:r w:rsidR="00220B7D">
        <w:t>.</w:t>
      </w:r>
      <w:proofErr w:type="gramEnd"/>
      <w:r w:rsidR="007511FA">
        <w:fldChar w:fldCharType="begin"/>
      </w:r>
      <w:r w:rsidR="00220B7D">
        <w:instrText xml:space="preserve"> SEQ Equation \* ARABIC \s 1 </w:instrText>
      </w:r>
      <w:r w:rsidR="007511FA">
        <w:fldChar w:fldCharType="separate"/>
      </w:r>
      <w:r w:rsidR="00D5167B">
        <w:rPr>
          <w:noProof/>
        </w:rPr>
        <w:t>9</w:t>
      </w:r>
      <w:r w:rsidR="007511FA">
        <w:fldChar w:fldCharType="end"/>
      </w:r>
      <w:bookmarkEnd w:id="337"/>
    </w:p>
    <w:p w:rsidR="0083266C" w:rsidRDefault="0083266C">
      <w:pPr>
        <w:spacing w:before="0" w:after="200" w:line="276" w:lineRule="auto"/>
        <w:rPr>
          <w:rFonts w:eastAsiaTheme="minorEastAsia"/>
          <w:b/>
          <w:sz w:val="20"/>
          <w:szCs w:val="20"/>
        </w:rPr>
      </w:pPr>
    </w:p>
    <w:p w:rsidR="0083266C" w:rsidRDefault="0083266C" w:rsidP="00633839">
      <w:r w:rsidRPr="0083266C">
        <w:t xml:space="preserve">Symmetry boundary conditions (BC), vacuum BCs, and continuity BCs are to be applied to the COMSOL model.  A symmetrical BC is governed by </w:t>
      </w:r>
      <w:r w:rsidR="007511FA">
        <w:fldChar w:fldCharType="begin"/>
      </w:r>
      <w:r w:rsidR="007822D7">
        <w:instrText xml:space="preserve"> REF _Ref285540572 \h </w:instrText>
      </w:r>
      <w:r w:rsidR="007511FA">
        <w:fldChar w:fldCharType="separate"/>
      </w:r>
      <w:r w:rsidR="00D5167B" w:rsidRPr="00317688">
        <w:t xml:space="preserve">Equation </w:t>
      </w:r>
      <w:r w:rsidR="00D5167B">
        <w:rPr>
          <w:noProof/>
        </w:rPr>
        <w:t>9</w:t>
      </w:r>
      <w:r w:rsidR="00D5167B">
        <w:t>.</w:t>
      </w:r>
      <w:r w:rsidR="00D5167B">
        <w:rPr>
          <w:noProof/>
        </w:rPr>
        <w:t>10</w:t>
      </w:r>
      <w:r w:rsidR="007511FA">
        <w:fldChar w:fldCharType="end"/>
      </w:r>
      <w:r w:rsidRPr="0083266C">
        <w:t xml:space="preserve"> and shows that the divergence of the gradient of the neutron flux is equal to zero at the boundary.  This BC is used at the core centerline since only half of the reactor is modeled.  A vacuum BC uses the flux slope at the boundary to extrapolate the </w:t>
      </w:r>
      <w:r w:rsidRPr="0083266C">
        <w:lastRenderedPageBreak/>
        <w:t xml:space="preserve">flux outside of the physical boundary a distance, d, where the flux vanishes to zero and assumes that no neutrons are reflected back through the boundary.  The vacuum BC is used at the three pool surfaces (the top, bottom, and outer edge boundaries) where it is assumed that the neutrons that pass through these boundaries will not reenter the system.  The vacuum BC is described pictorially in </w:t>
      </w:r>
      <w:r w:rsidR="007511FA">
        <w:rPr>
          <w:highlight w:val="yellow"/>
        </w:rPr>
        <w:fldChar w:fldCharType="begin"/>
      </w:r>
      <w:r w:rsidR="007822D7">
        <w:instrText xml:space="preserve"> REF _Ref285540589 \h </w:instrText>
      </w:r>
      <w:r w:rsidR="007511FA">
        <w:rPr>
          <w:highlight w:val="yellow"/>
        </w:rPr>
      </w:r>
      <w:r w:rsidR="007511FA">
        <w:rPr>
          <w:highlight w:val="yellow"/>
        </w:rPr>
        <w:fldChar w:fldCharType="separate"/>
      </w:r>
      <w:r w:rsidR="00D5167B">
        <w:t xml:space="preserve">Figure </w:t>
      </w:r>
      <w:r w:rsidR="00D5167B">
        <w:rPr>
          <w:noProof/>
        </w:rPr>
        <w:t>9</w:t>
      </w:r>
      <w:r w:rsidR="00D5167B">
        <w:t>.</w:t>
      </w:r>
      <w:r w:rsidR="00D5167B">
        <w:rPr>
          <w:noProof/>
        </w:rPr>
        <w:t>3</w:t>
      </w:r>
      <w:r w:rsidR="007511FA">
        <w:rPr>
          <w:highlight w:val="yellow"/>
        </w:rPr>
        <w:fldChar w:fldCharType="end"/>
      </w:r>
      <w:r w:rsidRPr="0083266C">
        <w:t xml:space="preserve"> and mathematically in </w:t>
      </w:r>
      <w:r w:rsidR="007511FA">
        <w:fldChar w:fldCharType="begin"/>
      </w:r>
      <w:r w:rsidR="007822D7">
        <w:instrText xml:space="preserve"> REF _Ref285540605 \h </w:instrText>
      </w:r>
      <w:r w:rsidR="007511FA">
        <w:fldChar w:fldCharType="separate"/>
      </w:r>
      <w:r w:rsidR="00D5167B" w:rsidRPr="00317688">
        <w:t xml:space="preserve">Equation </w:t>
      </w:r>
      <w:r w:rsidR="00D5167B">
        <w:rPr>
          <w:noProof/>
        </w:rPr>
        <w:t>9</w:t>
      </w:r>
      <w:r w:rsidR="00D5167B">
        <w:t>.</w:t>
      </w:r>
      <w:r w:rsidR="00D5167B">
        <w:rPr>
          <w:noProof/>
        </w:rPr>
        <w:t>11</w:t>
      </w:r>
      <w:r w:rsidR="007511FA">
        <w:fldChar w:fldCharType="end"/>
      </w:r>
      <w:r w:rsidRPr="0083266C">
        <w:t>.  Interface BCs are used to show that the flux is continuous across the boundary interface between two different media, A and B, and is used at all of the interface boundaries (</w:t>
      </w:r>
      <w:r w:rsidR="007511FA">
        <w:fldChar w:fldCharType="begin"/>
      </w:r>
      <w:r w:rsidR="007822D7">
        <w:instrText xml:space="preserve"> REF _Ref285540612 \h </w:instrText>
      </w:r>
      <w:r w:rsidR="007511FA">
        <w:fldChar w:fldCharType="separate"/>
      </w:r>
      <w:r w:rsidR="00D5167B" w:rsidRPr="00317688">
        <w:t xml:space="preserve">Equation </w:t>
      </w:r>
      <w:r w:rsidR="00D5167B">
        <w:rPr>
          <w:noProof/>
        </w:rPr>
        <w:t>9</w:t>
      </w:r>
      <w:r w:rsidR="00D5167B">
        <w:t>.</w:t>
      </w:r>
      <w:r w:rsidR="00D5167B">
        <w:rPr>
          <w:noProof/>
        </w:rPr>
        <w:t>12</w:t>
      </w:r>
      <w:r w:rsidR="007511FA">
        <w:fldChar w:fldCharType="end"/>
      </w:r>
      <w:r w:rsidRPr="0083266C">
        <w:t>).</w:t>
      </w:r>
    </w:p>
    <w:p w:rsidR="00B12830" w:rsidRDefault="00B12830" w:rsidP="00633839"/>
    <w:p w:rsidR="000C5E2C" w:rsidRDefault="0083266C" w:rsidP="00CA2E5F">
      <w:pPr>
        <w:spacing w:line="240" w:lineRule="auto"/>
        <w:ind w:firstLine="0"/>
        <w:jc w:val="center"/>
        <w:rPr>
          <w:rFonts w:eastAsiaTheme="minorEastAsia"/>
        </w:rPr>
      </w:pPr>
      <m:oMathPara>
        <m:oMath>
          <m:r>
            <w:rPr>
              <w:rFonts w:ascii="Cambria Math" w:hAnsi="Cambria Math"/>
            </w:rPr>
            <m:t>-D</m:t>
          </m:r>
          <m:sSup>
            <m:sSupPr>
              <m:ctrlPr>
                <w:rPr>
                  <w:rFonts w:ascii="Cambria Math" w:hAnsi="Cambria Math"/>
                  <w:i/>
                </w:rPr>
              </m:ctrlPr>
            </m:sSupPr>
            <m:e>
              <m:r>
                <m:rPr>
                  <m:sty m:val="p"/>
                </m:rPr>
                <w:rPr>
                  <w:rFonts w:ascii="Cambria Math" w:hAnsi="Cambria Math"/>
                </w:rPr>
                <m:t>∇</m:t>
              </m:r>
            </m:e>
            <m:sup>
              <m:r>
                <w:rPr>
                  <w:rFonts w:ascii="Cambria Math" w:hAnsi="Cambria Math"/>
                </w:rPr>
                <m:t>2</m:t>
              </m:r>
            </m:sup>
          </m:sSup>
          <m:r>
            <w:rPr>
              <w:rFonts w:ascii="Cambria Math" w:hAnsi="Cambria Math"/>
            </w:rPr>
            <m:t>ϕ</m:t>
          </m:r>
          <m:sSub>
            <m:sSubPr>
              <m:ctrlPr>
                <w:rPr>
                  <w:rFonts w:ascii="Cambria Math" w:hAnsi="Cambria Math"/>
                  <w:i/>
                </w:rPr>
              </m:ctrlPr>
            </m:sSubPr>
            <m:e>
              <m:r>
                <w:rPr>
                  <w:rFonts w:ascii="Cambria Math" w:hAnsi="Cambria Math"/>
                </w:rPr>
                <m:t>|</m:t>
              </m:r>
            </m:e>
            <m:sub>
              <m:r>
                <w:rPr>
                  <w:rFonts w:ascii="Cambria Math" w:hAnsi="Cambria Math"/>
                </w:rPr>
                <m:t>boundary</m:t>
              </m:r>
            </m:sub>
          </m:sSub>
          <m:r>
            <w:rPr>
              <w:rFonts w:ascii="Cambria Math" w:hAnsi="Cambria Math"/>
            </w:rPr>
            <m:t>=0</m:t>
          </m:r>
        </m:oMath>
      </m:oMathPara>
    </w:p>
    <w:p w:rsidR="0083266C" w:rsidRDefault="0083266C" w:rsidP="000C5E2C">
      <w:pPr>
        <w:pStyle w:val="Caption"/>
      </w:pPr>
      <w:bookmarkStart w:id="338" w:name="_Ref285540572"/>
      <w:proofErr w:type="gramStart"/>
      <w:r w:rsidRPr="00317688">
        <w:t xml:space="preserve">Equation </w:t>
      </w:r>
      <w:r w:rsidR="007511FA">
        <w:fldChar w:fldCharType="begin"/>
      </w:r>
      <w:r w:rsidR="00AE17F8">
        <w:instrText xml:space="preserve"> STYLEREF 1 \s </w:instrText>
      </w:r>
      <w:r w:rsidR="007511FA">
        <w:fldChar w:fldCharType="separate"/>
      </w:r>
      <w:r w:rsidR="00D5167B">
        <w:rPr>
          <w:noProof/>
        </w:rPr>
        <w:t>9</w:t>
      </w:r>
      <w:r w:rsidR="007511FA">
        <w:fldChar w:fldCharType="end"/>
      </w:r>
      <w:r w:rsidR="00220B7D">
        <w:t>.</w:t>
      </w:r>
      <w:proofErr w:type="gramEnd"/>
      <w:r w:rsidR="007511FA">
        <w:fldChar w:fldCharType="begin"/>
      </w:r>
      <w:r w:rsidR="00220B7D">
        <w:instrText xml:space="preserve"> SEQ Equation \* ARABIC \s 1 </w:instrText>
      </w:r>
      <w:r w:rsidR="007511FA">
        <w:fldChar w:fldCharType="separate"/>
      </w:r>
      <w:r w:rsidR="00D5167B">
        <w:rPr>
          <w:noProof/>
        </w:rPr>
        <w:t>10</w:t>
      </w:r>
      <w:r w:rsidR="007511FA">
        <w:fldChar w:fldCharType="end"/>
      </w:r>
      <w:bookmarkEnd w:id="338"/>
    </w:p>
    <w:p w:rsidR="000C5E2C" w:rsidRPr="00D81F46" w:rsidRDefault="000C5E2C" w:rsidP="00B12830">
      <w:pPr>
        <w:ind w:firstLine="0"/>
        <w:jc w:val="center"/>
        <w:rPr>
          <w:sz w:val="20"/>
          <w:szCs w:val="20"/>
        </w:rPr>
      </w:pPr>
    </w:p>
    <w:p w:rsidR="000C5E2C" w:rsidRDefault="007511FA" w:rsidP="00CA2E5F">
      <w:pPr>
        <w:spacing w:line="240" w:lineRule="auto"/>
        <w:ind w:firstLine="0"/>
        <w:jc w:val="center"/>
        <w:rPr>
          <w:rFonts w:eastAsiaTheme="minorEastAsia"/>
        </w:rPr>
      </w:pPr>
      <m:oMathPara>
        <m:oMath>
          <m:sSub>
            <m:sSubPr>
              <m:ctrlPr>
                <w:rPr>
                  <w:rFonts w:ascii="Cambria Math" w:hAnsi="Cambria Math"/>
                </w:rPr>
              </m:ctrlPr>
            </m:sSubPr>
            <m:e>
              <m:r>
                <m:rPr>
                  <m:sty m:val="p"/>
                </m:rPr>
                <w:rPr>
                  <w:rFonts w:ascii="Cambria Math" w:hAnsi="Cambria Math"/>
                </w:rPr>
                <m:t>ϕ</m:t>
              </m:r>
            </m:e>
            <m:sub>
              <m:r>
                <m:rPr>
                  <m:sty m:val="p"/>
                </m:rPr>
                <w:rPr>
                  <w:rFonts w:ascii="Cambria Math" w:hAnsi="Cambria Math"/>
                </w:rPr>
                <m:t>boundary</m:t>
              </m:r>
            </m:sub>
          </m:sSub>
          <m:r>
            <m:rPr>
              <m:sty m:val="p"/>
            </m:rPr>
            <w:rPr>
              <w:rFonts w:ascii="Cambria Math" w:hAnsi="Cambria Math"/>
            </w:rPr>
            <m:t>=</m:t>
          </m:r>
          <m:d>
            <m:dPr>
              <m:ctrlPr>
                <w:rPr>
                  <w:rFonts w:ascii="Cambria Math" w:hAnsi="Cambria Math"/>
                </w:rPr>
              </m:ctrlPr>
            </m:dPr>
            <m:e>
              <m:r>
                <m:rPr>
                  <m:sty m:val="p"/>
                </m:rPr>
                <w:rPr>
                  <w:rFonts w:ascii="Cambria Math" w:hAnsi="Cambria Math"/>
                </w:rPr>
                <m:t>-2.1312</m:t>
              </m:r>
            </m:e>
          </m:d>
          <m:d>
            <m:dPr>
              <m:ctrlPr>
                <w:rPr>
                  <w:rFonts w:ascii="Cambria Math" w:hAnsi="Cambria Math"/>
                </w:rPr>
              </m:ctrlPr>
            </m:dPr>
            <m:e>
              <m:r>
                <m:rPr>
                  <m:sty m:val="p"/>
                </m:rPr>
                <w:rPr>
                  <w:rFonts w:ascii="Cambria Math" w:hAnsi="Cambria Math"/>
                </w:rPr>
                <m:t>D</m:t>
              </m:r>
            </m:e>
          </m:d>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∇ϕ</m:t>
                  </m:r>
                </m:e>
              </m:d>
            </m:e>
            <m:sub>
              <m:r>
                <m:rPr>
                  <m:sty m:val="p"/>
                </m:rPr>
                <w:rPr>
                  <w:rFonts w:ascii="Cambria Math" w:hAnsi="Cambria Math"/>
                </w:rPr>
                <m:t>boundary</m:t>
              </m:r>
            </m:sub>
          </m:sSub>
        </m:oMath>
      </m:oMathPara>
    </w:p>
    <w:p w:rsidR="0083266C" w:rsidRDefault="0083266C" w:rsidP="000C5E2C">
      <w:pPr>
        <w:pStyle w:val="Caption"/>
      </w:pPr>
      <w:bookmarkStart w:id="339" w:name="_Ref285540605"/>
      <w:proofErr w:type="gramStart"/>
      <w:r w:rsidRPr="00317688">
        <w:t xml:space="preserve">Equation </w:t>
      </w:r>
      <w:r w:rsidR="007511FA">
        <w:fldChar w:fldCharType="begin"/>
      </w:r>
      <w:r w:rsidR="00AE17F8">
        <w:instrText xml:space="preserve"> STYLEREF 1 \s </w:instrText>
      </w:r>
      <w:r w:rsidR="007511FA">
        <w:fldChar w:fldCharType="separate"/>
      </w:r>
      <w:r w:rsidR="00D5167B">
        <w:rPr>
          <w:noProof/>
        </w:rPr>
        <w:t>9</w:t>
      </w:r>
      <w:r w:rsidR="007511FA">
        <w:fldChar w:fldCharType="end"/>
      </w:r>
      <w:r w:rsidR="00220B7D">
        <w:t>.</w:t>
      </w:r>
      <w:proofErr w:type="gramEnd"/>
      <w:r w:rsidR="007511FA">
        <w:fldChar w:fldCharType="begin"/>
      </w:r>
      <w:r w:rsidR="00220B7D">
        <w:instrText xml:space="preserve"> SEQ Equation \* ARABIC \s 1 </w:instrText>
      </w:r>
      <w:r w:rsidR="007511FA">
        <w:fldChar w:fldCharType="separate"/>
      </w:r>
      <w:r w:rsidR="00D5167B">
        <w:rPr>
          <w:noProof/>
        </w:rPr>
        <w:t>11</w:t>
      </w:r>
      <w:r w:rsidR="007511FA">
        <w:fldChar w:fldCharType="end"/>
      </w:r>
      <w:bookmarkEnd w:id="339"/>
    </w:p>
    <w:p w:rsidR="000C5E2C" w:rsidRPr="00D81F46" w:rsidRDefault="000C5E2C" w:rsidP="00B12830">
      <w:pPr>
        <w:ind w:firstLine="0"/>
        <w:jc w:val="center"/>
        <w:rPr>
          <w:sz w:val="20"/>
          <w:szCs w:val="20"/>
        </w:rPr>
      </w:pPr>
    </w:p>
    <w:p w:rsidR="000C5E2C" w:rsidRDefault="007511FA" w:rsidP="00CA2E5F">
      <w:pPr>
        <w:spacing w:line="240" w:lineRule="auto"/>
        <w:ind w:firstLine="0"/>
        <w:jc w:val="center"/>
        <w:rPr>
          <w:rFonts w:eastAsiaTheme="minorEastAsia"/>
        </w:rPr>
      </w:pPr>
      <m:oMathPara>
        <m:oMath>
          <m:sSub>
            <m:sSubPr>
              <m:ctrlPr>
                <w:rPr>
                  <w:rFonts w:ascii="Cambria Math" w:hAnsi="Cambria Math"/>
                </w:rPr>
              </m:ctrlPr>
            </m:sSubPr>
            <m:e>
              <m:r>
                <m:rPr>
                  <m:sty m:val="p"/>
                </m:rPr>
                <w:rPr>
                  <w:rFonts w:ascii="Cambria Math" w:hAnsi="Cambria Math"/>
                </w:rPr>
                <m:t>ϕ</m:t>
              </m:r>
            </m:e>
            <m:sub>
              <m:r>
                <m:rPr>
                  <m:sty m:val="p"/>
                </m:rPr>
                <w:rPr>
                  <w:rFonts w:ascii="Cambria Math" w:hAnsi="Cambria Math"/>
                </w:rPr>
                <m:t>A</m:t>
              </m:r>
            </m:sub>
          </m:sSub>
          <m:sSub>
            <m:sSubPr>
              <m:ctrlPr>
                <w:rPr>
                  <w:rFonts w:ascii="Cambria Math" w:hAnsi="Cambria Math"/>
                </w:rPr>
              </m:ctrlPr>
            </m:sSubPr>
            <m:e>
              <m:r>
                <m:rPr>
                  <m:sty m:val="p"/>
                </m:rPr>
                <w:rPr>
                  <w:rFonts w:ascii="Cambria Math" w:hAnsi="Cambria Math"/>
                </w:rPr>
                <m:t>|</m:t>
              </m:r>
            </m:e>
            <m:sub>
              <m:r>
                <m:rPr>
                  <m:sty m:val="p"/>
                </m:rPr>
                <w:rPr>
                  <w:rFonts w:ascii="Cambria Math" w:hAnsi="Cambria Math"/>
                </w:rPr>
                <m:t>interface</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ϕ</m:t>
              </m:r>
            </m:e>
            <m:sub>
              <m:r>
                <m:rPr>
                  <m:sty m:val="p"/>
                </m:rPr>
                <w:rPr>
                  <w:rFonts w:ascii="Cambria Math" w:hAnsi="Cambria Math"/>
                </w:rPr>
                <m:t>B</m:t>
              </m:r>
            </m:sub>
          </m:sSub>
          <m:sSub>
            <m:sSubPr>
              <m:ctrlPr>
                <w:rPr>
                  <w:rFonts w:ascii="Cambria Math" w:hAnsi="Cambria Math"/>
                </w:rPr>
              </m:ctrlPr>
            </m:sSubPr>
            <m:e>
              <m:r>
                <m:rPr>
                  <m:sty m:val="p"/>
                </m:rPr>
                <w:rPr>
                  <w:rFonts w:ascii="Cambria Math" w:hAnsi="Cambria Math"/>
                </w:rPr>
                <m:t>|</m:t>
              </m:r>
            </m:e>
            <m:sub>
              <m:r>
                <m:rPr>
                  <m:sty m:val="p"/>
                </m:rPr>
                <w:rPr>
                  <w:rFonts w:ascii="Cambria Math" w:hAnsi="Cambria Math"/>
                </w:rPr>
                <m:t>interface</m:t>
              </m:r>
            </m:sub>
          </m:sSub>
        </m:oMath>
      </m:oMathPara>
    </w:p>
    <w:p w:rsidR="0083266C" w:rsidRDefault="0083266C" w:rsidP="000C5E2C">
      <w:pPr>
        <w:pStyle w:val="Caption"/>
      </w:pPr>
      <w:bookmarkStart w:id="340" w:name="_Ref285540612"/>
      <w:proofErr w:type="gramStart"/>
      <w:r w:rsidRPr="00317688">
        <w:t xml:space="preserve">Equation </w:t>
      </w:r>
      <w:r w:rsidR="007511FA">
        <w:fldChar w:fldCharType="begin"/>
      </w:r>
      <w:r w:rsidR="00AE17F8">
        <w:instrText xml:space="preserve"> STYLEREF 1 \s </w:instrText>
      </w:r>
      <w:r w:rsidR="007511FA">
        <w:fldChar w:fldCharType="separate"/>
      </w:r>
      <w:r w:rsidR="00D5167B">
        <w:rPr>
          <w:noProof/>
        </w:rPr>
        <w:t>9</w:t>
      </w:r>
      <w:r w:rsidR="007511FA">
        <w:fldChar w:fldCharType="end"/>
      </w:r>
      <w:r w:rsidR="00220B7D">
        <w:t>.</w:t>
      </w:r>
      <w:proofErr w:type="gramEnd"/>
      <w:r w:rsidR="007511FA">
        <w:fldChar w:fldCharType="begin"/>
      </w:r>
      <w:r w:rsidR="00220B7D">
        <w:instrText xml:space="preserve"> SEQ Equation \* ARABIC \s 1 </w:instrText>
      </w:r>
      <w:r w:rsidR="007511FA">
        <w:fldChar w:fldCharType="separate"/>
      </w:r>
      <w:r w:rsidR="00D5167B">
        <w:rPr>
          <w:noProof/>
        </w:rPr>
        <w:t>12</w:t>
      </w:r>
      <w:r w:rsidR="007511FA">
        <w:fldChar w:fldCharType="end"/>
      </w:r>
      <w:bookmarkEnd w:id="340"/>
    </w:p>
    <w:p w:rsidR="00CA2E5F" w:rsidRPr="00CA2E5F" w:rsidRDefault="00CA2E5F" w:rsidP="00CA2E5F"/>
    <w:p w:rsidR="00633839" w:rsidRDefault="00633839" w:rsidP="00CA2E5F">
      <w:pPr>
        <w:spacing w:line="240" w:lineRule="auto"/>
        <w:ind w:firstLine="0"/>
        <w:jc w:val="center"/>
      </w:pPr>
      <w:r w:rsidRPr="00CF2AE2">
        <w:rPr>
          <w:rFonts w:ascii="Times New Roman" w:eastAsiaTheme="minorEastAsia" w:hAnsi="Times New Roman" w:cs="Times New Roman"/>
          <w:noProof/>
        </w:rPr>
        <w:drawing>
          <wp:inline distT="0" distB="0" distL="0" distR="0">
            <wp:extent cx="2817081" cy="2011680"/>
            <wp:effectExtent l="19050" t="19050" r="21369" b="26670"/>
            <wp:docPr id="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7" cstate="print"/>
                    <a:srcRect l="66978" t="24800" r="10252" b="36000"/>
                    <a:stretch>
                      <a:fillRect/>
                    </a:stretch>
                  </pic:blipFill>
                  <pic:spPr bwMode="auto">
                    <a:xfrm>
                      <a:off x="0" y="0"/>
                      <a:ext cx="2817081" cy="2011680"/>
                    </a:xfrm>
                    <a:prstGeom prst="rect">
                      <a:avLst/>
                    </a:prstGeom>
                    <a:noFill/>
                    <a:ln w="12700">
                      <a:solidFill>
                        <a:schemeClr val="tx1"/>
                      </a:solidFill>
                      <a:miter lim="800000"/>
                      <a:headEnd/>
                      <a:tailEnd/>
                    </a:ln>
                  </pic:spPr>
                </pic:pic>
              </a:graphicData>
            </a:graphic>
          </wp:inline>
        </w:drawing>
      </w:r>
    </w:p>
    <w:p w:rsidR="00633839" w:rsidRPr="000C5E2C" w:rsidRDefault="000C5E2C" w:rsidP="000C5E2C">
      <w:pPr>
        <w:pStyle w:val="Caption"/>
      </w:pPr>
      <w:bookmarkStart w:id="341" w:name="_Ref285540589"/>
      <w:bookmarkStart w:id="342" w:name="_Toc295818249"/>
      <w:proofErr w:type="gramStart"/>
      <w:r>
        <w:t xml:space="preserve">Figure </w:t>
      </w:r>
      <w:r w:rsidR="007511FA">
        <w:fldChar w:fldCharType="begin"/>
      </w:r>
      <w:r w:rsidR="00AE17F8">
        <w:instrText xml:space="preserve"> STYLEREF 1 \s </w:instrText>
      </w:r>
      <w:r w:rsidR="007511FA">
        <w:fldChar w:fldCharType="separate"/>
      </w:r>
      <w:r w:rsidR="00D5167B">
        <w:rPr>
          <w:noProof/>
        </w:rPr>
        <w:t>9</w:t>
      </w:r>
      <w:r w:rsidR="007511FA">
        <w:fldChar w:fldCharType="end"/>
      </w:r>
      <w:r>
        <w:t>.</w:t>
      </w:r>
      <w:proofErr w:type="gramEnd"/>
      <w:r w:rsidR="007511FA">
        <w:fldChar w:fldCharType="begin"/>
      </w:r>
      <w:r w:rsidR="00C43F40">
        <w:instrText xml:space="preserve"> SEQ Figure \* ARABIC \s 1 </w:instrText>
      </w:r>
      <w:r w:rsidR="007511FA">
        <w:fldChar w:fldCharType="separate"/>
      </w:r>
      <w:r w:rsidR="00D5167B">
        <w:rPr>
          <w:noProof/>
        </w:rPr>
        <w:t>3</w:t>
      </w:r>
      <w:r w:rsidR="007511FA">
        <w:fldChar w:fldCharType="end"/>
      </w:r>
      <w:bookmarkEnd w:id="341"/>
      <w:r w:rsidR="00633839" w:rsidRPr="000C5E2C">
        <w:t>.  Diffusion theory estimate of the extrapolation distance.</w:t>
      </w:r>
      <w:bookmarkEnd w:id="342"/>
    </w:p>
    <w:p w:rsidR="00691E47" w:rsidRDefault="0083266C" w:rsidP="00AA149C">
      <w:pPr>
        <w:pStyle w:val="Heading2"/>
      </w:pPr>
      <w:bookmarkStart w:id="343" w:name="_Toc295818163"/>
      <w:r>
        <w:lastRenderedPageBreak/>
        <w:t>COMSOL Model Development</w:t>
      </w:r>
      <w:bookmarkEnd w:id="343"/>
    </w:p>
    <w:p w:rsidR="0083266C" w:rsidRDefault="0083266C" w:rsidP="0083266C">
      <w:r>
        <w:t>The first step in developing a COMSOL model is to select the application mode that is best for the problem being solved.  Since COMSOL doesn’t have a built-in neutronics application-mode module, the PDE coefficient application mode and eigenvalue analysis is chosen so that the diffusion equations described in the previous paragraphs can be implemented.  The COMSOL model was developed by using the graphical user interface (GUI) of the COMSOL client to:</w:t>
      </w:r>
    </w:p>
    <w:p w:rsidR="0083266C" w:rsidRDefault="0083266C" w:rsidP="0083266C">
      <w:r>
        <w:t>a)</w:t>
      </w:r>
      <w:r>
        <w:tab/>
      </w:r>
      <w:proofErr w:type="gramStart"/>
      <w:r>
        <w:t>create</w:t>
      </w:r>
      <w:proofErr w:type="gramEnd"/>
      <w:r>
        <w:t xml:space="preserve"> the identical geometry that was utilized in the NEWT model,</w:t>
      </w:r>
    </w:p>
    <w:p w:rsidR="0083266C" w:rsidRDefault="0083266C" w:rsidP="0083266C">
      <w:r>
        <w:t>b)</w:t>
      </w:r>
      <w:r>
        <w:tab/>
      </w:r>
      <w:proofErr w:type="gramStart"/>
      <w:r>
        <w:t>import</w:t>
      </w:r>
      <w:proofErr w:type="gramEnd"/>
      <w:r>
        <w:t xml:space="preserve"> the macroscopic cross sections previously calculated by NEWT,</w:t>
      </w:r>
    </w:p>
    <w:p w:rsidR="0083266C" w:rsidRDefault="0083266C" w:rsidP="0083266C">
      <w:pPr>
        <w:ind w:left="720" w:hanging="360"/>
      </w:pPr>
      <w:r>
        <w:t>c)</w:t>
      </w:r>
      <w:r>
        <w:tab/>
      </w:r>
      <w:proofErr w:type="gramStart"/>
      <w:r>
        <w:t>code</w:t>
      </w:r>
      <w:proofErr w:type="gramEnd"/>
      <w:r>
        <w:t xml:space="preserve"> the diffusion theory equations into the subdomain settings,</w:t>
      </w:r>
    </w:p>
    <w:p w:rsidR="0083266C" w:rsidRDefault="0083266C" w:rsidP="0083266C">
      <w:r>
        <w:t>d)</w:t>
      </w:r>
      <w:r>
        <w:tab/>
      </w:r>
      <w:proofErr w:type="gramStart"/>
      <w:r>
        <w:t>define</w:t>
      </w:r>
      <w:proofErr w:type="gramEnd"/>
      <w:r>
        <w:t xml:space="preserve"> the appropriate boundary conditions in the boundary settings,</w:t>
      </w:r>
    </w:p>
    <w:p w:rsidR="0083266C" w:rsidRDefault="0083266C" w:rsidP="0083266C">
      <w:r>
        <w:t>e)</w:t>
      </w:r>
      <w:r>
        <w:tab/>
      </w:r>
      <w:proofErr w:type="gramStart"/>
      <w:r>
        <w:t>create</w:t>
      </w:r>
      <w:proofErr w:type="gramEnd"/>
      <w:r>
        <w:t xml:space="preserve"> an appropriately fine mesh,</w:t>
      </w:r>
    </w:p>
    <w:p w:rsidR="0083266C" w:rsidRDefault="0083266C" w:rsidP="0083266C">
      <w:r>
        <w:t>f)</w:t>
      </w:r>
      <w:r>
        <w:tab/>
      </w:r>
      <w:proofErr w:type="gramStart"/>
      <w:r>
        <w:t>set</w:t>
      </w:r>
      <w:proofErr w:type="gramEnd"/>
      <w:r>
        <w:t xml:space="preserve"> up the solver, and finally,</w:t>
      </w:r>
    </w:p>
    <w:p w:rsidR="0083266C" w:rsidRDefault="0083266C" w:rsidP="0083266C">
      <w:r>
        <w:t>g)</w:t>
      </w:r>
      <w:r>
        <w:tab/>
      </w:r>
      <w:proofErr w:type="gramStart"/>
      <w:r>
        <w:t>perform</w:t>
      </w:r>
      <w:proofErr w:type="gramEnd"/>
      <w:r>
        <w:t xml:space="preserve"> the actual calculation.</w:t>
      </w:r>
    </w:p>
    <w:p w:rsidR="0083266C" w:rsidRDefault="0083266C" w:rsidP="00CF2AE2">
      <w:r>
        <w:t xml:space="preserve">The two-dimensional HFIR COMSOL model as it appears in the draw mode of the GUI is shown in </w:t>
      </w:r>
      <w:r w:rsidR="007511FA">
        <w:rPr>
          <w:highlight w:val="yellow"/>
        </w:rPr>
        <w:fldChar w:fldCharType="begin"/>
      </w:r>
      <w:r w:rsidR="007822D7">
        <w:instrText xml:space="preserve"> REF _Ref285540815 \h </w:instrText>
      </w:r>
      <w:r w:rsidR="007511FA">
        <w:rPr>
          <w:highlight w:val="yellow"/>
        </w:rPr>
      </w:r>
      <w:r w:rsidR="007511FA">
        <w:rPr>
          <w:highlight w:val="yellow"/>
        </w:rPr>
        <w:fldChar w:fldCharType="separate"/>
      </w:r>
      <w:r w:rsidR="00D5167B">
        <w:t xml:space="preserve">Figure </w:t>
      </w:r>
      <w:r w:rsidR="00D5167B">
        <w:rPr>
          <w:noProof/>
        </w:rPr>
        <w:t>9</w:t>
      </w:r>
      <w:r w:rsidR="00D5167B">
        <w:t>.</w:t>
      </w:r>
      <w:r w:rsidR="00D5167B">
        <w:rPr>
          <w:noProof/>
        </w:rPr>
        <w:t>4</w:t>
      </w:r>
      <w:r w:rsidR="007511FA">
        <w:rPr>
          <w:highlight w:val="yellow"/>
        </w:rPr>
        <w:fldChar w:fldCharType="end"/>
      </w:r>
      <w:r>
        <w:t>.  The same dimensions defined in the NEWT model (</w:t>
      </w:r>
      <w:r w:rsidR="007511FA">
        <w:rPr>
          <w:highlight w:val="yellow"/>
        </w:rPr>
        <w:fldChar w:fldCharType="begin"/>
      </w:r>
      <w:r w:rsidR="007822D7">
        <w:instrText xml:space="preserve"> REF _Ref285540190 \h </w:instrText>
      </w:r>
      <w:r w:rsidR="007511FA">
        <w:rPr>
          <w:highlight w:val="yellow"/>
        </w:rPr>
      </w:r>
      <w:r w:rsidR="007511FA">
        <w:rPr>
          <w:highlight w:val="yellow"/>
        </w:rPr>
        <w:fldChar w:fldCharType="separate"/>
      </w:r>
      <w:r w:rsidR="00D5167B">
        <w:t xml:space="preserve">Table </w:t>
      </w:r>
      <w:r w:rsidR="00D5167B">
        <w:rPr>
          <w:noProof/>
        </w:rPr>
        <w:t>9</w:t>
      </w:r>
      <w:r w:rsidR="00D5167B">
        <w:t>.</w:t>
      </w:r>
      <w:r w:rsidR="00D5167B">
        <w:rPr>
          <w:noProof/>
        </w:rPr>
        <w:t>1</w:t>
      </w:r>
      <w:r w:rsidR="007511FA">
        <w:rPr>
          <w:highlight w:val="yellow"/>
        </w:rPr>
        <w:fldChar w:fldCharType="end"/>
      </w:r>
      <w:r>
        <w:t>) were utilized in the COMSOL model.</w:t>
      </w:r>
    </w:p>
    <w:p w:rsidR="0083266C" w:rsidRDefault="0083266C" w:rsidP="00CF2AE2">
      <w:r>
        <w:t xml:space="preserve">The PDE coefficient mode allows the user to enter a system of PDEs into the software in the form expressed </w:t>
      </w:r>
      <w:r w:rsidRPr="0043160E">
        <w:t xml:space="preserve">in </w:t>
      </w:r>
      <w:r w:rsidR="007511FA">
        <w:fldChar w:fldCharType="begin"/>
      </w:r>
      <w:r w:rsidR="007822D7">
        <w:instrText xml:space="preserve"> REF _Ref285540756 \h </w:instrText>
      </w:r>
      <w:r w:rsidR="007511FA">
        <w:fldChar w:fldCharType="separate"/>
      </w:r>
      <w:r w:rsidR="00D5167B" w:rsidRPr="00317688">
        <w:t xml:space="preserve">Equation </w:t>
      </w:r>
      <w:r w:rsidR="00D5167B">
        <w:rPr>
          <w:noProof/>
        </w:rPr>
        <w:t>9</w:t>
      </w:r>
      <w:r w:rsidR="00D5167B">
        <w:t>.</w:t>
      </w:r>
      <w:r w:rsidR="00D5167B">
        <w:rPr>
          <w:noProof/>
        </w:rPr>
        <w:t>13</w:t>
      </w:r>
      <w:r w:rsidR="007511FA">
        <w:fldChar w:fldCharType="end"/>
      </w:r>
      <w:r w:rsidRPr="0043160E">
        <w:t>.</w:t>
      </w:r>
      <w:r>
        <w:t xml:space="preserve">  The equations entered in the subdomain settings GUI for </w:t>
      </w:r>
      <w:r>
        <w:rPr>
          <w:rFonts w:ascii="Times New Roman" w:hAnsi="Times New Roman" w:cs="Times New Roman"/>
        </w:rPr>
        <w:t>the fast flux in the multiplying regions</w:t>
      </w:r>
      <w:r w:rsidRPr="005A4EC1">
        <w:rPr>
          <w:rFonts w:ascii="Times New Roman" w:hAnsi="Times New Roman" w:cs="Times New Roman"/>
        </w:rPr>
        <w:t>, the fast flux in the non-multiplying regi</w:t>
      </w:r>
      <w:r>
        <w:rPr>
          <w:rFonts w:ascii="Times New Roman" w:hAnsi="Times New Roman" w:cs="Times New Roman"/>
        </w:rPr>
        <w:t>ons, and</w:t>
      </w:r>
      <w:r w:rsidRPr="005A4EC1">
        <w:rPr>
          <w:rFonts w:ascii="Times New Roman" w:hAnsi="Times New Roman" w:cs="Times New Roman"/>
        </w:rPr>
        <w:t xml:space="preserve"> the thermal flux in </w:t>
      </w:r>
      <w:r>
        <w:rPr>
          <w:rFonts w:ascii="Times New Roman" w:hAnsi="Times New Roman" w:cs="Times New Roman"/>
        </w:rPr>
        <w:t>all</w:t>
      </w:r>
      <w:r w:rsidRPr="005A4EC1">
        <w:rPr>
          <w:rFonts w:ascii="Times New Roman" w:hAnsi="Times New Roman" w:cs="Times New Roman"/>
        </w:rPr>
        <w:t xml:space="preserve"> </w:t>
      </w:r>
      <w:r>
        <w:rPr>
          <w:rFonts w:ascii="Times New Roman" w:hAnsi="Times New Roman" w:cs="Times New Roman"/>
        </w:rPr>
        <w:t xml:space="preserve">the </w:t>
      </w:r>
      <w:r w:rsidRPr="005A4EC1">
        <w:rPr>
          <w:rFonts w:ascii="Times New Roman" w:hAnsi="Times New Roman" w:cs="Times New Roman"/>
        </w:rPr>
        <w:t xml:space="preserve">regions </w:t>
      </w:r>
      <w:r>
        <w:rPr>
          <w:rFonts w:ascii="Times New Roman" w:hAnsi="Times New Roman" w:cs="Times New Roman"/>
        </w:rPr>
        <w:t xml:space="preserve">are shown in </w:t>
      </w:r>
      <w:r w:rsidR="007511FA">
        <w:rPr>
          <w:rFonts w:ascii="Times New Roman" w:hAnsi="Times New Roman" w:cs="Times New Roman"/>
        </w:rPr>
        <w:fldChar w:fldCharType="begin"/>
      </w:r>
      <w:r w:rsidR="007822D7">
        <w:rPr>
          <w:rFonts w:ascii="Times New Roman" w:hAnsi="Times New Roman" w:cs="Times New Roman"/>
        </w:rPr>
        <w:instrText xml:space="preserve"> REF _Ref285540775 \h </w:instrText>
      </w:r>
      <w:r w:rsidR="007511FA">
        <w:rPr>
          <w:rFonts w:ascii="Times New Roman" w:hAnsi="Times New Roman" w:cs="Times New Roman"/>
        </w:rPr>
      </w:r>
      <w:r w:rsidR="007511FA">
        <w:rPr>
          <w:rFonts w:ascii="Times New Roman" w:hAnsi="Times New Roman" w:cs="Times New Roman"/>
        </w:rPr>
        <w:fldChar w:fldCharType="separate"/>
      </w:r>
      <w:r w:rsidR="00D5167B" w:rsidRPr="00317688">
        <w:t xml:space="preserve">Equation </w:t>
      </w:r>
      <w:r w:rsidR="00D5167B">
        <w:rPr>
          <w:noProof/>
        </w:rPr>
        <w:t>9</w:t>
      </w:r>
      <w:r w:rsidR="00D5167B">
        <w:t>.</w:t>
      </w:r>
      <w:r w:rsidR="00D5167B">
        <w:rPr>
          <w:noProof/>
        </w:rPr>
        <w:t>14</w:t>
      </w:r>
      <w:r w:rsidR="007511FA">
        <w:rPr>
          <w:rFonts w:ascii="Times New Roman" w:hAnsi="Times New Roman" w:cs="Times New Roman"/>
        </w:rPr>
        <w:fldChar w:fldCharType="end"/>
      </w:r>
      <w:r w:rsidR="007822D7">
        <w:rPr>
          <w:rFonts w:ascii="Times New Roman" w:hAnsi="Times New Roman" w:cs="Times New Roman"/>
        </w:rPr>
        <w:t xml:space="preserve">, </w:t>
      </w:r>
      <w:r w:rsidR="007511FA">
        <w:rPr>
          <w:rFonts w:ascii="Times New Roman" w:hAnsi="Times New Roman" w:cs="Times New Roman"/>
        </w:rPr>
        <w:fldChar w:fldCharType="begin"/>
      </w:r>
      <w:r w:rsidR="007822D7">
        <w:rPr>
          <w:rFonts w:ascii="Times New Roman" w:hAnsi="Times New Roman" w:cs="Times New Roman"/>
        </w:rPr>
        <w:instrText xml:space="preserve"> REF _Ref285540781 \h </w:instrText>
      </w:r>
      <w:r w:rsidR="007511FA">
        <w:rPr>
          <w:rFonts w:ascii="Times New Roman" w:hAnsi="Times New Roman" w:cs="Times New Roman"/>
        </w:rPr>
      </w:r>
      <w:r w:rsidR="007511FA">
        <w:rPr>
          <w:rFonts w:ascii="Times New Roman" w:hAnsi="Times New Roman" w:cs="Times New Roman"/>
        </w:rPr>
        <w:fldChar w:fldCharType="separate"/>
      </w:r>
      <w:r w:rsidR="00D5167B" w:rsidRPr="00317688">
        <w:t xml:space="preserve">Equation </w:t>
      </w:r>
      <w:r w:rsidR="00D5167B">
        <w:rPr>
          <w:noProof/>
        </w:rPr>
        <w:t>9</w:t>
      </w:r>
      <w:r w:rsidR="00D5167B">
        <w:t>.</w:t>
      </w:r>
      <w:r w:rsidR="00D5167B">
        <w:rPr>
          <w:noProof/>
        </w:rPr>
        <w:t>15</w:t>
      </w:r>
      <w:r w:rsidR="007511FA">
        <w:rPr>
          <w:rFonts w:ascii="Times New Roman" w:hAnsi="Times New Roman" w:cs="Times New Roman"/>
        </w:rPr>
        <w:fldChar w:fldCharType="end"/>
      </w:r>
      <w:r w:rsidR="007822D7">
        <w:rPr>
          <w:rFonts w:ascii="Times New Roman" w:hAnsi="Times New Roman" w:cs="Times New Roman"/>
        </w:rPr>
        <w:t xml:space="preserve">, and </w:t>
      </w:r>
      <w:r w:rsidR="007511FA">
        <w:rPr>
          <w:rFonts w:ascii="Times New Roman" w:hAnsi="Times New Roman" w:cs="Times New Roman"/>
        </w:rPr>
        <w:fldChar w:fldCharType="begin"/>
      </w:r>
      <w:r w:rsidR="007822D7">
        <w:rPr>
          <w:rFonts w:ascii="Times New Roman" w:hAnsi="Times New Roman" w:cs="Times New Roman"/>
        </w:rPr>
        <w:instrText xml:space="preserve"> REF _Ref285540788 \h </w:instrText>
      </w:r>
      <w:r w:rsidR="007511FA">
        <w:rPr>
          <w:rFonts w:ascii="Times New Roman" w:hAnsi="Times New Roman" w:cs="Times New Roman"/>
        </w:rPr>
      </w:r>
      <w:r w:rsidR="007511FA">
        <w:rPr>
          <w:rFonts w:ascii="Times New Roman" w:hAnsi="Times New Roman" w:cs="Times New Roman"/>
        </w:rPr>
        <w:fldChar w:fldCharType="separate"/>
      </w:r>
      <w:r w:rsidR="00D5167B" w:rsidRPr="00317688">
        <w:t xml:space="preserve">Equation </w:t>
      </w:r>
      <w:r w:rsidR="00D5167B">
        <w:rPr>
          <w:noProof/>
        </w:rPr>
        <w:t>9</w:t>
      </w:r>
      <w:r w:rsidR="00D5167B">
        <w:t>.</w:t>
      </w:r>
      <w:r w:rsidR="00D5167B">
        <w:rPr>
          <w:noProof/>
        </w:rPr>
        <w:t>16</w:t>
      </w:r>
      <w:r w:rsidR="007511FA">
        <w:rPr>
          <w:rFonts w:ascii="Times New Roman" w:hAnsi="Times New Roman" w:cs="Times New Roman"/>
        </w:rPr>
        <w:fldChar w:fldCharType="end"/>
      </w:r>
      <w:r>
        <w:rPr>
          <w:rFonts w:ascii="Times New Roman" w:hAnsi="Times New Roman" w:cs="Times New Roman"/>
        </w:rPr>
        <w:t>, respectively</w:t>
      </w:r>
      <w:r w:rsidRPr="005A4EC1">
        <w:rPr>
          <w:rFonts w:ascii="Times New Roman" w:hAnsi="Times New Roman" w:cs="Times New Roman"/>
        </w:rPr>
        <w:t>.</w:t>
      </w:r>
      <w:r>
        <w:t xml:space="preserve">  The subscripts 1 and 2 indicate fast and thermal energy groups, respectively.</w:t>
      </w:r>
    </w:p>
    <w:p w:rsidR="00CF2AE2" w:rsidRDefault="00CF2AE2" w:rsidP="00D81F46">
      <w:pPr>
        <w:spacing w:line="240" w:lineRule="auto"/>
        <w:jc w:val="center"/>
      </w:pPr>
      <w:r>
        <w:rPr>
          <w:noProof/>
        </w:rPr>
        <w:lastRenderedPageBreak/>
        <w:drawing>
          <wp:inline distT="0" distB="0" distL="0" distR="0">
            <wp:extent cx="3053019" cy="3840480"/>
            <wp:effectExtent l="0" t="0" r="0" b="0"/>
            <wp:docPr id="28" name="Picture 1" descr="C:\Users\dcz\Desktop\final2D2G\GeometryB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cz\Desktop\final2D2G\GeometryBW.png"/>
                    <pic:cNvPicPr>
                      <a:picLocks noChangeAspect="1" noChangeArrowheads="1"/>
                    </pic:cNvPicPr>
                  </pic:nvPicPr>
                  <pic:blipFill>
                    <a:blip r:embed="rId78" cstate="print"/>
                    <a:srcRect/>
                    <a:stretch>
                      <a:fillRect/>
                    </a:stretch>
                  </pic:blipFill>
                  <pic:spPr bwMode="auto">
                    <a:xfrm>
                      <a:off x="0" y="0"/>
                      <a:ext cx="3053019" cy="3840480"/>
                    </a:xfrm>
                    <a:prstGeom prst="rect">
                      <a:avLst/>
                    </a:prstGeom>
                    <a:noFill/>
                    <a:ln w="9525">
                      <a:noFill/>
                      <a:miter lim="800000"/>
                      <a:headEnd/>
                      <a:tailEnd/>
                    </a:ln>
                  </pic:spPr>
                </pic:pic>
              </a:graphicData>
            </a:graphic>
          </wp:inline>
        </w:drawing>
      </w:r>
    </w:p>
    <w:p w:rsidR="00CF2AE2" w:rsidRPr="000C5E2C" w:rsidRDefault="000C5E2C" w:rsidP="000C5E2C">
      <w:pPr>
        <w:pStyle w:val="Caption"/>
      </w:pPr>
      <w:bookmarkStart w:id="344" w:name="_Ref285540815"/>
      <w:bookmarkStart w:id="345" w:name="_Toc295818250"/>
      <w:proofErr w:type="gramStart"/>
      <w:r>
        <w:t xml:space="preserve">Figure </w:t>
      </w:r>
      <w:r w:rsidR="007511FA">
        <w:fldChar w:fldCharType="begin"/>
      </w:r>
      <w:r w:rsidR="00AE17F8">
        <w:instrText xml:space="preserve"> STYLEREF 1 \s </w:instrText>
      </w:r>
      <w:r w:rsidR="007511FA">
        <w:fldChar w:fldCharType="separate"/>
      </w:r>
      <w:r w:rsidR="00D5167B">
        <w:rPr>
          <w:noProof/>
        </w:rPr>
        <w:t>9</w:t>
      </w:r>
      <w:r w:rsidR="007511FA">
        <w:fldChar w:fldCharType="end"/>
      </w:r>
      <w:r>
        <w:t>.</w:t>
      </w:r>
      <w:proofErr w:type="gramEnd"/>
      <w:r w:rsidR="007511FA">
        <w:fldChar w:fldCharType="begin"/>
      </w:r>
      <w:r w:rsidR="00C43F40">
        <w:instrText xml:space="preserve"> SEQ Figure \* ARABIC \s 1 </w:instrText>
      </w:r>
      <w:r w:rsidR="007511FA">
        <w:fldChar w:fldCharType="separate"/>
      </w:r>
      <w:r w:rsidR="00D5167B">
        <w:rPr>
          <w:noProof/>
        </w:rPr>
        <w:t>4</w:t>
      </w:r>
      <w:r w:rsidR="007511FA">
        <w:fldChar w:fldCharType="end"/>
      </w:r>
      <w:bookmarkEnd w:id="344"/>
      <w:r w:rsidR="00CF2AE2" w:rsidRPr="000C5E2C">
        <w:t xml:space="preserve">.  </w:t>
      </w:r>
      <w:proofErr w:type="gramStart"/>
      <w:r w:rsidR="00CF2AE2" w:rsidRPr="000C5E2C">
        <w:t>COMSOL geometry drawing of HFIR.</w:t>
      </w:r>
      <w:bookmarkEnd w:id="345"/>
      <w:proofErr w:type="gramEnd"/>
    </w:p>
    <w:p w:rsidR="00CF2AE2" w:rsidRDefault="00CF2AE2">
      <w:pPr>
        <w:spacing w:before="0" w:after="200" w:line="276" w:lineRule="auto"/>
      </w:pPr>
    </w:p>
    <w:p w:rsidR="000C5E2C" w:rsidRDefault="0083266C" w:rsidP="00D81F46">
      <w:pPr>
        <w:spacing w:line="240" w:lineRule="auto"/>
        <w:ind w:firstLine="0"/>
        <w:jc w:val="center"/>
        <w:rPr>
          <w:rFonts w:eastAsiaTheme="minorEastAsia"/>
        </w:rPr>
      </w:pPr>
      <m:oMathPara>
        <m:oMath>
          <m:r>
            <m:rPr>
              <m:sty m:val="p"/>
            </m:rPr>
            <w:rPr>
              <w:rFonts w:ascii="Cambria Math" w:hAnsi="Cambria Math"/>
            </w:rPr>
            <m:t>∇∙</m:t>
          </m:r>
          <m:d>
            <m:dPr>
              <m:ctrlPr>
                <w:rPr>
                  <w:rFonts w:ascii="Cambria Math" w:hAnsi="Cambria Math"/>
                  <w:i/>
                </w:rPr>
              </m:ctrlPr>
            </m:dPr>
            <m:e>
              <m:r>
                <w:rPr>
                  <w:rFonts w:ascii="Cambria Math" w:hAnsi="Cambria Math"/>
                </w:rPr>
                <m:t>-c</m:t>
              </m:r>
              <m:r>
                <m:rPr>
                  <m:sty m:val="p"/>
                </m:rPr>
                <w:rPr>
                  <w:rFonts w:ascii="Cambria Math" w:hAnsi="Cambria Math"/>
                </w:rPr>
                <m:t>∇u-αu+γ</m:t>
              </m:r>
            </m:e>
          </m:d>
          <m:r>
            <w:rPr>
              <w:rFonts w:ascii="Cambria Math" w:hAnsi="Cambria Math"/>
            </w:rPr>
            <m:t>+au+β</m:t>
          </m:r>
          <m:r>
            <m:rPr>
              <m:sty m:val="p"/>
            </m:rPr>
            <w:rPr>
              <w:rFonts w:ascii="Cambria Math" w:hAnsi="Cambria Math"/>
            </w:rPr>
            <m:t>∙∇u=</m:t>
          </m:r>
          <m:sSub>
            <m:sSubPr>
              <m:ctrlPr>
                <w:rPr>
                  <w:rFonts w:ascii="Cambria Math" w:hAnsi="Cambria Math"/>
                </w:rPr>
              </m:ctrlPr>
            </m:sSubPr>
            <m:e>
              <m:r>
                <m:rPr>
                  <m:sty m:val="p"/>
                </m:rPr>
                <w:rPr>
                  <w:rFonts w:ascii="Cambria Math" w:hAnsi="Cambria Math"/>
                </w:rPr>
                <m:t>d</m:t>
              </m:r>
            </m:e>
            <m:sub>
              <m:r>
                <m:rPr>
                  <m:sty m:val="p"/>
                </m:rPr>
                <w:rPr>
                  <w:rFonts w:ascii="Cambria Math" w:hAnsi="Cambria Math"/>
                </w:rPr>
                <m:t>a</m:t>
              </m:r>
            </m:sub>
          </m:sSub>
          <m:d>
            <m:dPr>
              <m:ctrlPr>
                <w:rPr>
                  <w:rFonts w:ascii="Cambria Math" w:hAnsi="Cambria Math"/>
                </w:rPr>
              </m:ctrlPr>
            </m:dPr>
            <m:e>
              <m:r>
                <m:rPr>
                  <m:sty m:val="p"/>
                </m:rPr>
                <w:rPr>
                  <w:rFonts w:ascii="Cambria Math" w:hAnsi="Cambria Math"/>
                </w:rPr>
                <m:t>λ-</m:t>
              </m:r>
              <m:sSub>
                <m:sSubPr>
                  <m:ctrlPr>
                    <w:rPr>
                      <w:rFonts w:ascii="Cambria Math" w:hAnsi="Cambria Math"/>
                    </w:rPr>
                  </m:ctrlPr>
                </m:sSubPr>
                <m:e>
                  <m:r>
                    <m:rPr>
                      <m:sty m:val="p"/>
                    </m:rPr>
                    <w:rPr>
                      <w:rFonts w:ascii="Cambria Math" w:hAnsi="Cambria Math"/>
                    </w:rPr>
                    <m:t>λ</m:t>
                  </m:r>
                </m:e>
                <m:sub>
                  <m:r>
                    <m:rPr>
                      <m:sty m:val="p"/>
                    </m:rPr>
                    <w:rPr>
                      <w:rFonts w:ascii="Cambria Math" w:hAnsi="Cambria Math"/>
                    </w:rPr>
                    <m:t>0</m:t>
                  </m:r>
                </m:sub>
              </m:sSub>
            </m:e>
          </m:d>
          <m:r>
            <m:rPr>
              <m:sty m:val="p"/>
            </m:rPr>
            <w:rPr>
              <w:rFonts w:ascii="Cambria Math" w:hAnsi="Cambria Math"/>
            </w:rPr>
            <m:t>u-</m:t>
          </m:r>
          <m:sSub>
            <m:sSubPr>
              <m:ctrlPr>
                <w:rPr>
                  <w:rFonts w:ascii="Cambria Math" w:hAnsi="Cambria Math"/>
                </w:rPr>
              </m:ctrlPr>
            </m:sSubPr>
            <m:e>
              <m:r>
                <m:rPr>
                  <m:sty m:val="p"/>
                </m:rPr>
                <w:rPr>
                  <w:rFonts w:ascii="Cambria Math" w:hAnsi="Cambria Math"/>
                </w:rPr>
                <m:t>e</m:t>
              </m:r>
            </m:e>
            <m:sub>
              <m:r>
                <m:rPr>
                  <m:sty m:val="p"/>
                </m:rPr>
                <w:rPr>
                  <w:rFonts w:ascii="Cambria Math" w:hAnsi="Cambria Math"/>
                </w:rPr>
                <m:t>a</m:t>
              </m:r>
            </m:sub>
          </m:sSub>
          <m:sSup>
            <m:sSupPr>
              <m:ctrlPr>
                <w:rPr>
                  <w:rFonts w:ascii="Cambria Math" w:hAnsi="Cambria Math"/>
                </w:rPr>
              </m:ctrlPr>
            </m:sSupPr>
            <m:e>
              <m:d>
                <m:dPr>
                  <m:ctrlPr>
                    <w:rPr>
                      <w:rFonts w:ascii="Cambria Math" w:hAnsi="Cambria Math"/>
                    </w:rPr>
                  </m:ctrlPr>
                </m:dPr>
                <m:e>
                  <m:r>
                    <m:rPr>
                      <m:sty m:val="p"/>
                    </m:rPr>
                    <w:rPr>
                      <w:rFonts w:ascii="Cambria Math" w:hAnsi="Cambria Math"/>
                    </w:rPr>
                    <m:t>λ-</m:t>
                  </m:r>
                  <m:sSub>
                    <m:sSubPr>
                      <m:ctrlPr>
                        <w:rPr>
                          <w:rFonts w:ascii="Cambria Math" w:hAnsi="Cambria Math"/>
                        </w:rPr>
                      </m:ctrlPr>
                    </m:sSubPr>
                    <m:e>
                      <m:r>
                        <m:rPr>
                          <m:sty m:val="p"/>
                        </m:rPr>
                        <w:rPr>
                          <w:rFonts w:ascii="Cambria Math" w:hAnsi="Cambria Math"/>
                        </w:rPr>
                        <m:t>λ</m:t>
                      </m:r>
                    </m:e>
                    <m:sub>
                      <m:r>
                        <m:rPr>
                          <m:sty m:val="p"/>
                        </m:rPr>
                        <w:rPr>
                          <w:rFonts w:ascii="Cambria Math" w:hAnsi="Cambria Math"/>
                        </w:rPr>
                        <m:t>0</m:t>
                      </m:r>
                    </m:sub>
                  </m:sSub>
                </m:e>
              </m:d>
            </m:e>
            <m:sup>
              <m:r>
                <m:rPr>
                  <m:sty m:val="p"/>
                </m:rPr>
                <w:rPr>
                  <w:rFonts w:ascii="Cambria Math" w:hAnsi="Cambria Math"/>
                </w:rPr>
                <m:t>2</m:t>
              </m:r>
            </m:sup>
          </m:sSup>
          <m:r>
            <m:rPr>
              <m:sty m:val="p"/>
            </m:rPr>
            <w:rPr>
              <w:rFonts w:ascii="Cambria Math" w:hAnsi="Cambria Math"/>
            </w:rPr>
            <m:t>u+f</m:t>
          </m:r>
        </m:oMath>
      </m:oMathPara>
    </w:p>
    <w:p w:rsidR="0083266C" w:rsidRDefault="0083266C" w:rsidP="000C5E2C">
      <w:pPr>
        <w:pStyle w:val="Caption"/>
        <w:rPr>
          <w:rFonts w:eastAsiaTheme="minorEastAsia"/>
        </w:rPr>
      </w:pPr>
      <w:bookmarkStart w:id="346" w:name="_Ref285540756"/>
      <w:proofErr w:type="gramStart"/>
      <w:r w:rsidRPr="00317688">
        <w:t xml:space="preserve">Equation </w:t>
      </w:r>
      <w:r w:rsidR="007511FA">
        <w:fldChar w:fldCharType="begin"/>
      </w:r>
      <w:r w:rsidR="00AE17F8">
        <w:instrText xml:space="preserve"> STYLEREF 1 \s </w:instrText>
      </w:r>
      <w:r w:rsidR="007511FA">
        <w:fldChar w:fldCharType="separate"/>
      </w:r>
      <w:r w:rsidR="00D5167B">
        <w:rPr>
          <w:noProof/>
        </w:rPr>
        <w:t>9</w:t>
      </w:r>
      <w:r w:rsidR="007511FA">
        <w:fldChar w:fldCharType="end"/>
      </w:r>
      <w:r w:rsidR="00220B7D">
        <w:t>.</w:t>
      </w:r>
      <w:proofErr w:type="gramEnd"/>
      <w:r w:rsidR="007511FA">
        <w:fldChar w:fldCharType="begin"/>
      </w:r>
      <w:r w:rsidR="00220B7D">
        <w:instrText xml:space="preserve"> SEQ Equation \* ARABIC \s 1 </w:instrText>
      </w:r>
      <w:r w:rsidR="007511FA">
        <w:fldChar w:fldCharType="separate"/>
      </w:r>
      <w:r w:rsidR="00D5167B">
        <w:rPr>
          <w:noProof/>
        </w:rPr>
        <w:t>13</w:t>
      </w:r>
      <w:r w:rsidR="007511FA">
        <w:fldChar w:fldCharType="end"/>
      </w:r>
      <w:bookmarkEnd w:id="346"/>
    </w:p>
    <w:p w:rsidR="00B12830" w:rsidRPr="00D81F46" w:rsidRDefault="00B12830" w:rsidP="00B12830">
      <w:pPr>
        <w:ind w:firstLine="0"/>
        <w:jc w:val="center"/>
        <w:rPr>
          <w:rFonts w:eastAsiaTheme="minorEastAsia"/>
          <w:sz w:val="20"/>
          <w:szCs w:val="20"/>
        </w:rPr>
      </w:pPr>
    </w:p>
    <w:p w:rsidR="0083266C" w:rsidRDefault="0083266C" w:rsidP="00B12830">
      <w:pPr>
        <w:ind w:firstLine="0"/>
        <w:rPr>
          <w:rFonts w:eastAsiaTheme="minorEastAsia"/>
        </w:rPr>
      </w:pPr>
      <w:proofErr w:type="gramStart"/>
      <w:r>
        <w:rPr>
          <w:rFonts w:eastAsiaTheme="minorEastAsia"/>
        </w:rPr>
        <w:t>where</w:t>
      </w:r>
      <w:proofErr w:type="gramEnd"/>
      <w:r>
        <w:rPr>
          <w:rFonts w:eastAsiaTheme="minorEastAsia"/>
        </w:rPr>
        <w:t>:</w:t>
      </w:r>
      <w:r>
        <w:rPr>
          <w:rFonts w:eastAsiaTheme="minorEastAsia"/>
        </w:rPr>
        <w:tab/>
      </w:r>
      <w:r>
        <w:rPr>
          <w:rFonts w:eastAsiaTheme="minorEastAsia"/>
        </w:rPr>
        <w:tab/>
        <w:t>c is the diffusion coefficient,</w:t>
      </w:r>
    </w:p>
    <w:p w:rsidR="0083266C" w:rsidRDefault="0083266C" w:rsidP="00B12830">
      <w:pPr>
        <w:ind w:firstLine="0"/>
        <w:rPr>
          <w:rFonts w:eastAsiaTheme="minorEastAsia"/>
        </w:rPr>
      </w:pPr>
      <w:r>
        <w:rPr>
          <w:rFonts w:eastAsiaTheme="minorEastAsia"/>
        </w:rPr>
        <w:tab/>
      </w:r>
      <w:r>
        <w:rPr>
          <w:rFonts w:eastAsiaTheme="minorEastAsia"/>
        </w:rPr>
        <w:tab/>
      </w:r>
      <w:proofErr w:type="gramStart"/>
      <w:r>
        <w:rPr>
          <w:rFonts w:eastAsiaTheme="minorEastAsia"/>
        </w:rPr>
        <w:t>u</w:t>
      </w:r>
      <w:proofErr w:type="gramEnd"/>
      <w:r>
        <w:rPr>
          <w:rFonts w:eastAsiaTheme="minorEastAsia"/>
        </w:rPr>
        <w:t xml:space="preserve"> is the dependent variable,</w:t>
      </w:r>
    </w:p>
    <w:p w:rsidR="0083266C" w:rsidRDefault="0083266C" w:rsidP="00B12830">
      <w:pPr>
        <w:ind w:firstLine="0"/>
        <w:rPr>
          <w:rFonts w:cstheme="minorHAnsi"/>
        </w:rPr>
      </w:pPr>
      <w:r>
        <w:rPr>
          <w:rFonts w:eastAsiaTheme="minorEastAsia"/>
        </w:rPr>
        <w:tab/>
      </w:r>
      <w:r>
        <w:rPr>
          <w:rFonts w:eastAsiaTheme="minorEastAsia"/>
        </w:rPr>
        <w:tab/>
      </w:r>
      <w:proofErr w:type="gramStart"/>
      <w:r>
        <w:rPr>
          <w:rFonts w:cstheme="minorHAnsi"/>
        </w:rPr>
        <w:t>α</w:t>
      </w:r>
      <w:proofErr w:type="gramEnd"/>
      <w:r>
        <w:rPr>
          <w:rFonts w:cstheme="minorHAnsi"/>
        </w:rPr>
        <w:t xml:space="preserve"> is the conservative flux convection coefficient,</w:t>
      </w:r>
    </w:p>
    <w:p w:rsidR="0083266C" w:rsidRDefault="0083266C" w:rsidP="00B12830">
      <w:pPr>
        <w:ind w:firstLine="0"/>
        <w:rPr>
          <w:rFonts w:cstheme="minorHAnsi"/>
        </w:rPr>
      </w:pPr>
      <w:r>
        <w:rPr>
          <w:rFonts w:cstheme="minorHAnsi"/>
        </w:rPr>
        <w:tab/>
      </w:r>
      <w:r>
        <w:rPr>
          <w:rFonts w:cstheme="minorHAnsi"/>
        </w:rPr>
        <w:tab/>
      </w:r>
      <w:proofErr w:type="gramStart"/>
      <w:r>
        <w:rPr>
          <w:rFonts w:cstheme="minorHAnsi"/>
        </w:rPr>
        <w:t>γ</w:t>
      </w:r>
      <w:proofErr w:type="gramEnd"/>
      <w:r>
        <w:rPr>
          <w:rFonts w:cstheme="minorHAnsi"/>
        </w:rPr>
        <w:t xml:space="preserve"> is the conservative flux source term,</w:t>
      </w:r>
    </w:p>
    <w:p w:rsidR="0083266C" w:rsidRDefault="0083266C" w:rsidP="00B12830">
      <w:pPr>
        <w:ind w:firstLine="0"/>
        <w:rPr>
          <w:rFonts w:cstheme="minorHAnsi"/>
        </w:rPr>
      </w:pPr>
      <w:r>
        <w:rPr>
          <w:rFonts w:cstheme="minorHAnsi"/>
        </w:rPr>
        <w:tab/>
      </w:r>
      <w:r>
        <w:rPr>
          <w:rFonts w:cstheme="minorHAnsi"/>
        </w:rPr>
        <w:tab/>
      </w:r>
      <w:proofErr w:type="gramStart"/>
      <w:r>
        <w:rPr>
          <w:rFonts w:cstheme="minorHAnsi"/>
        </w:rPr>
        <w:t>a</w:t>
      </w:r>
      <w:proofErr w:type="gramEnd"/>
      <w:r>
        <w:rPr>
          <w:rFonts w:cstheme="minorHAnsi"/>
        </w:rPr>
        <w:t xml:space="preserve"> is the absorption coefficient,</w:t>
      </w:r>
    </w:p>
    <w:p w:rsidR="0083266C" w:rsidRDefault="0083266C" w:rsidP="00B12830">
      <w:pPr>
        <w:ind w:firstLine="0"/>
        <w:rPr>
          <w:rFonts w:cstheme="minorHAnsi"/>
        </w:rPr>
      </w:pPr>
      <w:r>
        <w:rPr>
          <w:rFonts w:cstheme="minorHAnsi"/>
        </w:rPr>
        <w:tab/>
      </w:r>
      <w:r>
        <w:rPr>
          <w:rFonts w:cstheme="minorHAnsi"/>
        </w:rPr>
        <w:tab/>
      </w:r>
      <w:proofErr w:type="gramStart"/>
      <w:r>
        <w:rPr>
          <w:rFonts w:cstheme="minorHAnsi"/>
        </w:rPr>
        <w:t>β</w:t>
      </w:r>
      <w:proofErr w:type="gramEnd"/>
      <w:r>
        <w:rPr>
          <w:rFonts w:cstheme="minorHAnsi"/>
        </w:rPr>
        <w:t xml:space="preserve"> is the </w:t>
      </w:r>
      <w:r>
        <w:t>convection coefficient,</w:t>
      </w:r>
    </w:p>
    <w:p w:rsidR="0083266C" w:rsidRDefault="0083266C" w:rsidP="00B12830">
      <w:pPr>
        <w:ind w:firstLine="0"/>
      </w:pPr>
      <w:r>
        <w:rPr>
          <w:rFonts w:cstheme="minorHAnsi"/>
        </w:rPr>
        <w:tab/>
      </w:r>
      <w:r>
        <w:rPr>
          <w:rFonts w:cstheme="minorHAnsi"/>
        </w:rPr>
        <w:tab/>
      </w:r>
      <w:proofErr w:type="spellStart"/>
      <w:proofErr w:type="gramStart"/>
      <w:r>
        <w:t>d</w:t>
      </w:r>
      <w:r>
        <w:rPr>
          <w:vertAlign w:val="subscript"/>
        </w:rPr>
        <w:t>a</w:t>
      </w:r>
      <w:proofErr w:type="spellEnd"/>
      <w:proofErr w:type="gramEnd"/>
      <w:r>
        <w:t xml:space="preserve"> is the damping/mass coefficient,</w:t>
      </w:r>
    </w:p>
    <w:p w:rsidR="0083266C" w:rsidRDefault="0083266C" w:rsidP="00B12830">
      <w:pPr>
        <w:ind w:firstLine="0"/>
        <w:rPr>
          <w:rFonts w:cstheme="minorHAnsi"/>
        </w:rPr>
      </w:pPr>
      <w:r>
        <w:lastRenderedPageBreak/>
        <w:tab/>
      </w:r>
      <w:r>
        <w:tab/>
      </w:r>
      <w:proofErr w:type="gramStart"/>
      <w:r>
        <w:rPr>
          <w:rFonts w:cstheme="minorHAnsi"/>
        </w:rPr>
        <w:t>λ</w:t>
      </w:r>
      <w:proofErr w:type="gramEnd"/>
      <w:r>
        <w:rPr>
          <w:rFonts w:cstheme="minorHAnsi"/>
        </w:rPr>
        <w:t xml:space="preserve"> is the eigenvalue,</w:t>
      </w:r>
    </w:p>
    <w:p w:rsidR="0083266C" w:rsidRDefault="00B12830" w:rsidP="00B12830">
      <w:pPr>
        <w:ind w:firstLine="0"/>
        <w:rPr>
          <w:rFonts w:cstheme="minorHAnsi"/>
        </w:rPr>
      </w:pPr>
      <w:r>
        <w:tab/>
      </w:r>
      <w:r>
        <w:tab/>
      </w:r>
      <w:proofErr w:type="gramStart"/>
      <w:r w:rsidR="0083266C">
        <w:rPr>
          <w:rFonts w:cstheme="minorHAnsi"/>
        </w:rPr>
        <w:t>λ</w:t>
      </w:r>
      <w:r w:rsidR="0083266C">
        <w:rPr>
          <w:rFonts w:cstheme="minorHAnsi"/>
          <w:vertAlign w:val="subscript"/>
        </w:rPr>
        <w:t>0</w:t>
      </w:r>
      <w:proofErr w:type="gramEnd"/>
      <w:r w:rsidR="0083266C">
        <w:rPr>
          <w:rFonts w:cstheme="minorHAnsi"/>
        </w:rPr>
        <w:t xml:space="preserve"> is the linearization point for the eigenvalue,</w:t>
      </w:r>
    </w:p>
    <w:p w:rsidR="0083266C" w:rsidRDefault="0083266C" w:rsidP="00B12830">
      <w:pPr>
        <w:ind w:firstLine="0"/>
      </w:pPr>
      <w:r>
        <w:rPr>
          <w:rFonts w:cstheme="minorHAnsi"/>
        </w:rPr>
        <w:tab/>
      </w:r>
      <w:r>
        <w:rPr>
          <w:rFonts w:cstheme="minorHAnsi"/>
        </w:rPr>
        <w:tab/>
      </w:r>
      <w:proofErr w:type="gramStart"/>
      <w:r>
        <w:t>e</w:t>
      </w:r>
      <w:r>
        <w:rPr>
          <w:vertAlign w:val="subscript"/>
        </w:rPr>
        <w:t>a</w:t>
      </w:r>
      <w:proofErr w:type="gramEnd"/>
      <w:r>
        <w:t xml:space="preserve"> is the mass coefficient, and</w:t>
      </w:r>
    </w:p>
    <w:p w:rsidR="0083266C" w:rsidRDefault="0083266C" w:rsidP="00B12830">
      <w:pPr>
        <w:ind w:firstLine="0"/>
      </w:pPr>
      <w:r>
        <w:tab/>
      </w:r>
      <w:r>
        <w:tab/>
      </w:r>
      <w:proofErr w:type="gramStart"/>
      <w:r>
        <w:t>f</w:t>
      </w:r>
      <w:proofErr w:type="gramEnd"/>
      <w:r>
        <w:t xml:space="preserve"> is the source term.</w:t>
      </w:r>
    </w:p>
    <w:p w:rsidR="00B12830" w:rsidRPr="003E719A" w:rsidRDefault="00B12830" w:rsidP="00B12830">
      <w:pPr>
        <w:ind w:firstLine="0"/>
        <w:rPr>
          <w:rFonts w:eastAsiaTheme="minorEastAsia"/>
        </w:rPr>
      </w:pPr>
    </w:p>
    <w:p w:rsidR="000C5E2C" w:rsidRDefault="0083266C" w:rsidP="00D81F46">
      <w:pPr>
        <w:spacing w:line="240" w:lineRule="auto"/>
        <w:ind w:firstLine="0"/>
        <w:jc w:val="center"/>
        <w:rPr>
          <w:rFonts w:eastAsiaTheme="minorEastAsia"/>
        </w:rPr>
      </w:pPr>
      <m:oMathPara>
        <m:oMath>
          <m:r>
            <m:rPr>
              <m:sty m:val="p"/>
            </m:rPr>
            <w:rPr>
              <w:rFonts w:ascii="Cambria Math" w:hAnsi="Cambria Math"/>
            </w:rPr>
            <m:t>∇∙</m:t>
          </m:r>
          <m:d>
            <m:dPr>
              <m:ctrlPr>
                <w:rPr>
                  <w:rFonts w:ascii="Cambria Math" w:hAnsi="Cambria Math"/>
                  <w:i/>
                </w:rPr>
              </m:ctrlPr>
            </m:dPr>
            <m:e>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1</m:t>
                  </m:r>
                </m:sub>
              </m:sSub>
              <m:r>
                <m:rPr>
                  <m:sty m:val="p"/>
                </m:rPr>
                <w:rPr>
                  <w:rFonts w:ascii="Cambria Math" w:hAnsi="Cambria Math"/>
                </w:rPr>
                <m:t>∇</m:t>
              </m:r>
              <m:sSub>
                <m:sSubPr>
                  <m:ctrlPr>
                    <w:rPr>
                      <w:rFonts w:ascii="Cambria Math" w:hAnsi="Cambria Math"/>
                      <w:i/>
                    </w:rPr>
                  </m:ctrlPr>
                </m:sSubPr>
                <m:e>
                  <m:r>
                    <w:rPr>
                      <w:rFonts w:ascii="Cambria Math" w:hAnsi="Cambria Math"/>
                    </w:rPr>
                    <m:t>ϕ</m:t>
                  </m:r>
                </m:e>
                <m:sub>
                  <m:r>
                    <w:rPr>
                      <w:rFonts w:ascii="Cambria Math" w:hAnsi="Cambria Math"/>
                    </w:rPr>
                    <m:t>1</m:t>
                  </m:r>
                </m:sub>
              </m:sSub>
            </m:e>
          </m:d>
          <m:r>
            <w:rPr>
              <w:rFonts w:ascii="Cambria Math" w:hAnsi="Cambria Math"/>
            </w:rPr>
            <m:t>+</m:t>
          </m:r>
          <m:d>
            <m:dPr>
              <m:ctrlPr>
                <w:rPr>
                  <w:rFonts w:ascii="Cambria Math" w:hAnsi="Cambria Math"/>
                  <w:i/>
                </w:rPr>
              </m:ctrlPr>
            </m:dPr>
            <m:e>
              <m:sSub>
                <m:sSubPr>
                  <m:ctrlPr>
                    <w:rPr>
                      <w:rFonts w:ascii="Cambria Math" w:hAnsi="Cambria Math"/>
                    </w:rPr>
                  </m:ctrlPr>
                </m:sSubPr>
                <m:e>
                  <m:r>
                    <m:rPr>
                      <m:sty m:val="p"/>
                    </m:rPr>
                    <w:rPr>
                      <w:rFonts w:ascii="Cambria Math" w:hAnsi="Cambria Math"/>
                    </w:rPr>
                    <m:t>Σ</m:t>
                  </m:r>
                </m:e>
                <m:sub>
                  <m:r>
                    <m:rPr>
                      <m:sty m:val="p"/>
                    </m:rPr>
                    <w:rPr>
                      <w:rFonts w:ascii="Cambria Math" w:hAnsi="Cambria Math"/>
                    </w:rPr>
                    <m:t>a1</m:t>
                  </m:r>
                </m:sub>
              </m:sSub>
              <m:r>
                <w:rPr>
                  <w:rFonts w:ascii="Cambria Math" w:hAnsi="Cambria Math"/>
                </w:rPr>
                <m:t>+</m:t>
              </m:r>
              <m:sSubSup>
                <m:sSubSupPr>
                  <m:ctrlPr>
                    <w:rPr>
                      <w:rFonts w:ascii="Cambria Math" w:hAnsi="Cambria Math"/>
                      <w:i/>
                    </w:rPr>
                  </m:ctrlPr>
                </m:sSubSupPr>
                <m:e>
                  <m:r>
                    <m:rPr>
                      <m:sty m:val="p"/>
                    </m:rPr>
                    <w:rPr>
                      <w:rFonts w:ascii="Cambria Math" w:hAnsi="Cambria Math"/>
                    </w:rPr>
                    <m:t>Σ</m:t>
                  </m:r>
                </m:e>
                <m:sub>
                  <m:r>
                    <w:rPr>
                      <w:rFonts w:ascii="Cambria Math" w:hAnsi="Cambria Math"/>
                    </w:rPr>
                    <m:t>s</m:t>
                  </m:r>
                </m:sub>
                <m:sup>
                  <m:r>
                    <w:rPr>
                      <w:rFonts w:ascii="Cambria Math" w:hAnsi="Cambria Math"/>
                    </w:rPr>
                    <m:t>1→2</m:t>
                  </m:r>
                </m:sup>
              </m:sSubSup>
            </m:e>
          </m:d>
          <m:sSub>
            <m:sSubPr>
              <m:ctrlPr>
                <w:rPr>
                  <w:rFonts w:ascii="Cambria Math" w:hAnsi="Cambria Math"/>
                  <w:i/>
                </w:rPr>
              </m:ctrlPr>
            </m:sSubPr>
            <m:e>
              <m:r>
                <w:rPr>
                  <w:rFonts w:ascii="Cambria Math" w:hAnsi="Cambria Math"/>
                </w:rPr>
                <m:t>ϕ</m:t>
              </m:r>
            </m:e>
            <m:sub>
              <m:r>
                <w:rPr>
                  <w:rFonts w:ascii="Cambria Math" w:hAnsi="Cambria Math"/>
                </w:rPr>
                <m:t>1</m:t>
              </m:r>
            </m:sub>
          </m:sSub>
          <m:r>
            <m:rPr>
              <m:sty m:val="p"/>
            </m:rPr>
            <w:rPr>
              <w:rFonts w:ascii="Cambria Math" w:hAnsi="Cambria Math"/>
            </w:rPr>
            <m:t>=λ</m:t>
          </m:r>
          <m:sSub>
            <m:sSubPr>
              <m:ctrlPr>
                <w:rPr>
                  <w:rFonts w:ascii="Cambria Math" w:hAnsi="Cambria Math"/>
                  <w:i/>
                </w:rPr>
              </m:ctrlPr>
            </m:sSubPr>
            <m:e>
              <m:r>
                <w:rPr>
                  <w:rFonts w:ascii="Cambria Math" w:hAnsi="Cambria Math"/>
                </w:rPr>
                <m:t>ϕ</m:t>
              </m:r>
            </m:e>
            <m:sub>
              <m:r>
                <w:rPr>
                  <w:rFonts w:ascii="Cambria Math" w:hAnsi="Cambria Math"/>
                </w:rPr>
                <m:t>1</m:t>
              </m:r>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m:rPr>
                      <m:sty m:val="p"/>
                    </m:rPr>
                    <w:rPr>
                      <w:rFonts w:ascii="Cambria Math" w:hAnsi="Cambria Math"/>
                    </w:rPr>
                    <m:t>k</m:t>
                  </m:r>
                </m:e>
                <m:sub>
                  <m:r>
                    <m:rPr>
                      <m:sty m:val="p"/>
                    </m:rPr>
                    <w:rPr>
                      <w:rFonts w:ascii="Cambria Math" w:hAnsi="Cambria Math"/>
                    </w:rPr>
                    <m:t>eff</m:t>
                  </m:r>
                </m:sub>
              </m:sSub>
            </m:den>
          </m:f>
          <m:d>
            <m:dPr>
              <m:ctrlPr>
                <w:rPr>
                  <w:rFonts w:ascii="Cambria Math" w:hAnsi="Cambria Math"/>
                  <w:i/>
                </w:rPr>
              </m:ctrlPr>
            </m:dPr>
            <m:e>
              <m:sSub>
                <m:sSubPr>
                  <m:ctrlPr>
                    <w:rPr>
                      <w:rFonts w:ascii="Cambria Math" w:hAnsi="Cambria Math"/>
                      <w:i/>
                    </w:rPr>
                  </m:ctrlPr>
                </m:sSubPr>
                <m:e>
                  <m:r>
                    <m:rPr>
                      <m:sty m:val="p"/>
                    </m:rPr>
                    <w:rPr>
                      <w:rFonts w:ascii="Cambria Math" w:hAnsi="Cambria Math"/>
                    </w:rPr>
                    <m:t>ν</m:t>
                  </m:r>
                  <m:sSub>
                    <m:sSubPr>
                      <m:ctrlPr>
                        <w:rPr>
                          <w:rFonts w:ascii="Cambria Math" w:hAnsi="Cambria Math"/>
                        </w:rPr>
                      </m:ctrlPr>
                    </m:sSubPr>
                    <m:e>
                      <m:r>
                        <m:rPr>
                          <m:sty m:val="p"/>
                        </m:rPr>
                        <w:rPr>
                          <w:rFonts w:ascii="Cambria Math" w:hAnsi="Cambria Math"/>
                        </w:rPr>
                        <m:t>Σ</m:t>
                      </m:r>
                    </m:e>
                    <m:sub>
                      <m:r>
                        <m:rPr>
                          <m:sty m:val="p"/>
                        </m:rPr>
                        <w:rPr>
                          <w:rFonts w:ascii="Cambria Math" w:hAnsi="Cambria Math"/>
                        </w:rPr>
                        <m:t>f1</m:t>
                      </m:r>
                    </m:sub>
                  </m:sSub>
                  <m:r>
                    <w:rPr>
                      <w:rFonts w:ascii="Cambria Math" w:hAnsi="Cambria Math"/>
                    </w:rPr>
                    <m:t>ϕ</m:t>
                  </m:r>
                </m:e>
                <m:sub>
                  <m:r>
                    <w:rPr>
                      <w:rFonts w:ascii="Cambria Math" w:hAnsi="Cambria Math"/>
                    </w:rPr>
                    <m:t>1</m:t>
                  </m:r>
                </m:sub>
              </m:sSub>
              <m:r>
                <w:rPr>
                  <w:rFonts w:ascii="Cambria Math" w:hAnsi="Cambria Math"/>
                </w:rPr>
                <m:t>+</m:t>
              </m:r>
              <m:r>
                <m:rPr>
                  <m:sty m:val="p"/>
                </m:rPr>
                <w:rPr>
                  <w:rFonts w:ascii="Cambria Math" w:hAnsi="Cambria Math"/>
                </w:rPr>
                <m:t>ν</m:t>
              </m:r>
              <m:sSub>
                <m:sSubPr>
                  <m:ctrlPr>
                    <w:rPr>
                      <w:rFonts w:ascii="Cambria Math" w:hAnsi="Cambria Math"/>
                    </w:rPr>
                  </m:ctrlPr>
                </m:sSubPr>
                <m:e>
                  <m:r>
                    <m:rPr>
                      <m:sty m:val="p"/>
                    </m:rPr>
                    <w:rPr>
                      <w:rFonts w:ascii="Cambria Math" w:hAnsi="Cambria Math"/>
                    </w:rPr>
                    <m:t>Σ</m:t>
                  </m:r>
                </m:e>
                <m:sub>
                  <m:r>
                    <m:rPr>
                      <m:sty m:val="p"/>
                    </m:rPr>
                    <w:rPr>
                      <w:rFonts w:ascii="Cambria Math" w:hAnsi="Cambria Math"/>
                    </w:rPr>
                    <m:t>f2</m:t>
                  </m:r>
                </m:sub>
              </m:sSub>
              <m:sSub>
                <m:sSubPr>
                  <m:ctrlPr>
                    <w:rPr>
                      <w:rFonts w:ascii="Cambria Math" w:hAnsi="Cambria Math"/>
                      <w:i/>
                    </w:rPr>
                  </m:ctrlPr>
                </m:sSubPr>
                <m:e>
                  <m:r>
                    <w:rPr>
                      <w:rFonts w:ascii="Cambria Math" w:hAnsi="Cambria Math"/>
                    </w:rPr>
                    <m:t>ϕ</m:t>
                  </m:r>
                </m:e>
                <m:sub>
                  <m:r>
                    <w:rPr>
                      <w:rFonts w:ascii="Cambria Math" w:hAnsi="Cambria Math"/>
                    </w:rPr>
                    <m:t>2</m:t>
                  </m:r>
                </m:sub>
              </m:sSub>
            </m:e>
          </m:d>
        </m:oMath>
      </m:oMathPara>
    </w:p>
    <w:p w:rsidR="0083266C" w:rsidRDefault="0083266C" w:rsidP="000C5E2C">
      <w:pPr>
        <w:pStyle w:val="Caption"/>
      </w:pPr>
      <w:bookmarkStart w:id="347" w:name="_Ref285540775"/>
      <w:proofErr w:type="gramStart"/>
      <w:r w:rsidRPr="00317688">
        <w:t xml:space="preserve">Equation </w:t>
      </w:r>
      <w:r w:rsidR="007511FA">
        <w:fldChar w:fldCharType="begin"/>
      </w:r>
      <w:r w:rsidR="00AE17F8">
        <w:instrText xml:space="preserve"> STYLEREF 1 \s </w:instrText>
      </w:r>
      <w:r w:rsidR="007511FA">
        <w:fldChar w:fldCharType="separate"/>
      </w:r>
      <w:r w:rsidR="00D5167B">
        <w:rPr>
          <w:noProof/>
        </w:rPr>
        <w:t>9</w:t>
      </w:r>
      <w:r w:rsidR="007511FA">
        <w:fldChar w:fldCharType="end"/>
      </w:r>
      <w:r w:rsidR="00220B7D">
        <w:t>.</w:t>
      </w:r>
      <w:proofErr w:type="gramEnd"/>
      <w:r w:rsidR="007511FA">
        <w:fldChar w:fldCharType="begin"/>
      </w:r>
      <w:r w:rsidR="00220B7D">
        <w:instrText xml:space="preserve"> SEQ Equation \* ARABIC \s 1 </w:instrText>
      </w:r>
      <w:r w:rsidR="007511FA">
        <w:fldChar w:fldCharType="separate"/>
      </w:r>
      <w:r w:rsidR="00D5167B">
        <w:rPr>
          <w:noProof/>
        </w:rPr>
        <w:t>14</w:t>
      </w:r>
      <w:r w:rsidR="007511FA">
        <w:fldChar w:fldCharType="end"/>
      </w:r>
      <w:bookmarkEnd w:id="347"/>
    </w:p>
    <w:p w:rsidR="000C5E2C" w:rsidRPr="00D81F46" w:rsidRDefault="000C5E2C" w:rsidP="00B12830">
      <w:pPr>
        <w:ind w:firstLine="0"/>
        <w:jc w:val="center"/>
        <w:rPr>
          <w:rFonts w:eastAsiaTheme="minorEastAsia"/>
          <w:sz w:val="20"/>
          <w:szCs w:val="20"/>
        </w:rPr>
      </w:pPr>
    </w:p>
    <w:p w:rsidR="000C5E2C" w:rsidRDefault="0083266C" w:rsidP="00D81F46">
      <w:pPr>
        <w:spacing w:line="240" w:lineRule="auto"/>
        <w:ind w:firstLine="0"/>
        <w:jc w:val="center"/>
        <w:rPr>
          <w:rFonts w:eastAsiaTheme="minorEastAsia"/>
        </w:rPr>
      </w:pPr>
      <m:oMathPara>
        <m:oMath>
          <m:r>
            <m:rPr>
              <m:sty m:val="p"/>
            </m:rPr>
            <w:rPr>
              <w:rFonts w:ascii="Cambria Math" w:hAnsi="Cambria Math"/>
            </w:rPr>
            <m:t>∇∙</m:t>
          </m:r>
          <m:d>
            <m:dPr>
              <m:ctrlPr>
                <w:rPr>
                  <w:rFonts w:ascii="Cambria Math" w:hAnsi="Cambria Math"/>
                  <w:i/>
                </w:rPr>
              </m:ctrlPr>
            </m:dPr>
            <m:e>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1</m:t>
                  </m:r>
                </m:sub>
              </m:sSub>
              <m:r>
                <m:rPr>
                  <m:sty m:val="p"/>
                </m:rPr>
                <w:rPr>
                  <w:rFonts w:ascii="Cambria Math" w:hAnsi="Cambria Math"/>
                </w:rPr>
                <m:t>∇</m:t>
              </m:r>
              <m:sSub>
                <m:sSubPr>
                  <m:ctrlPr>
                    <w:rPr>
                      <w:rFonts w:ascii="Cambria Math" w:hAnsi="Cambria Math"/>
                      <w:i/>
                    </w:rPr>
                  </m:ctrlPr>
                </m:sSubPr>
                <m:e>
                  <m:r>
                    <w:rPr>
                      <w:rFonts w:ascii="Cambria Math" w:hAnsi="Cambria Math"/>
                    </w:rPr>
                    <m:t>ϕ</m:t>
                  </m:r>
                </m:e>
                <m:sub>
                  <m:r>
                    <w:rPr>
                      <w:rFonts w:ascii="Cambria Math" w:hAnsi="Cambria Math"/>
                    </w:rPr>
                    <m:t>1</m:t>
                  </m:r>
                </m:sub>
              </m:sSub>
            </m:e>
          </m:d>
          <m:r>
            <w:rPr>
              <w:rFonts w:ascii="Cambria Math" w:hAnsi="Cambria Math"/>
            </w:rPr>
            <m:t>+</m:t>
          </m:r>
          <m:d>
            <m:dPr>
              <m:ctrlPr>
                <w:rPr>
                  <w:rFonts w:ascii="Cambria Math" w:hAnsi="Cambria Math"/>
                  <w:i/>
                </w:rPr>
              </m:ctrlPr>
            </m:dPr>
            <m:e>
              <m:sSub>
                <m:sSubPr>
                  <m:ctrlPr>
                    <w:rPr>
                      <w:rFonts w:ascii="Cambria Math" w:hAnsi="Cambria Math"/>
                    </w:rPr>
                  </m:ctrlPr>
                </m:sSubPr>
                <m:e>
                  <m:r>
                    <m:rPr>
                      <m:sty m:val="p"/>
                    </m:rPr>
                    <w:rPr>
                      <w:rFonts w:ascii="Cambria Math" w:hAnsi="Cambria Math"/>
                    </w:rPr>
                    <m:t>Σ</m:t>
                  </m:r>
                </m:e>
                <m:sub>
                  <m:r>
                    <m:rPr>
                      <m:sty m:val="p"/>
                    </m:rPr>
                    <w:rPr>
                      <w:rFonts w:ascii="Cambria Math" w:hAnsi="Cambria Math"/>
                    </w:rPr>
                    <m:t>a1</m:t>
                  </m:r>
                </m:sub>
              </m:sSub>
              <m:r>
                <w:rPr>
                  <w:rFonts w:ascii="Cambria Math" w:hAnsi="Cambria Math"/>
                </w:rPr>
                <m:t>+</m:t>
              </m:r>
              <m:sSubSup>
                <m:sSubSupPr>
                  <m:ctrlPr>
                    <w:rPr>
                      <w:rFonts w:ascii="Cambria Math" w:hAnsi="Cambria Math"/>
                      <w:i/>
                    </w:rPr>
                  </m:ctrlPr>
                </m:sSubSupPr>
                <m:e>
                  <m:r>
                    <m:rPr>
                      <m:sty m:val="p"/>
                    </m:rPr>
                    <w:rPr>
                      <w:rFonts w:ascii="Cambria Math" w:hAnsi="Cambria Math"/>
                    </w:rPr>
                    <m:t>Σ</m:t>
                  </m:r>
                </m:e>
                <m:sub>
                  <m:r>
                    <w:rPr>
                      <w:rFonts w:ascii="Cambria Math" w:hAnsi="Cambria Math"/>
                    </w:rPr>
                    <m:t>s</m:t>
                  </m:r>
                </m:sub>
                <m:sup>
                  <m:r>
                    <w:rPr>
                      <w:rFonts w:ascii="Cambria Math" w:hAnsi="Cambria Math"/>
                    </w:rPr>
                    <m:t>1→2</m:t>
                  </m:r>
                </m:sup>
              </m:sSubSup>
            </m:e>
          </m:d>
          <m:sSub>
            <m:sSubPr>
              <m:ctrlPr>
                <w:rPr>
                  <w:rFonts w:ascii="Cambria Math" w:hAnsi="Cambria Math"/>
                  <w:i/>
                </w:rPr>
              </m:ctrlPr>
            </m:sSubPr>
            <m:e>
              <m:r>
                <w:rPr>
                  <w:rFonts w:ascii="Cambria Math" w:hAnsi="Cambria Math"/>
                </w:rPr>
                <m:t>ϕ</m:t>
              </m:r>
            </m:e>
            <m:sub>
              <m:r>
                <w:rPr>
                  <w:rFonts w:ascii="Cambria Math" w:hAnsi="Cambria Math"/>
                </w:rPr>
                <m:t>1</m:t>
              </m:r>
            </m:sub>
          </m:sSub>
          <m:r>
            <m:rPr>
              <m:sty m:val="p"/>
            </m:rPr>
            <w:rPr>
              <w:rFonts w:ascii="Cambria Math" w:hAnsi="Cambria Math"/>
            </w:rPr>
            <m:t>=λ</m:t>
          </m:r>
          <m:sSub>
            <m:sSubPr>
              <m:ctrlPr>
                <w:rPr>
                  <w:rFonts w:ascii="Cambria Math" w:hAnsi="Cambria Math"/>
                  <w:i/>
                </w:rPr>
              </m:ctrlPr>
            </m:sSubPr>
            <m:e>
              <m:r>
                <w:rPr>
                  <w:rFonts w:ascii="Cambria Math" w:hAnsi="Cambria Math"/>
                </w:rPr>
                <m:t>ϕ</m:t>
              </m:r>
            </m:e>
            <m:sub>
              <m:r>
                <w:rPr>
                  <w:rFonts w:ascii="Cambria Math" w:hAnsi="Cambria Math"/>
                </w:rPr>
                <m:t>1</m:t>
              </m:r>
            </m:sub>
          </m:sSub>
        </m:oMath>
      </m:oMathPara>
    </w:p>
    <w:p w:rsidR="007822D7" w:rsidRPr="007822D7" w:rsidRDefault="0083266C" w:rsidP="007822D7">
      <w:pPr>
        <w:pStyle w:val="Caption"/>
      </w:pPr>
      <w:bookmarkStart w:id="348" w:name="_Ref285540781"/>
      <w:proofErr w:type="gramStart"/>
      <w:r w:rsidRPr="00317688">
        <w:t xml:space="preserve">Equation </w:t>
      </w:r>
      <w:r w:rsidR="007511FA">
        <w:fldChar w:fldCharType="begin"/>
      </w:r>
      <w:r w:rsidR="00AE17F8">
        <w:instrText xml:space="preserve"> STYLEREF 1 \s </w:instrText>
      </w:r>
      <w:r w:rsidR="007511FA">
        <w:fldChar w:fldCharType="separate"/>
      </w:r>
      <w:r w:rsidR="00D5167B">
        <w:rPr>
          <w:noProof/>
        </w:rPr>
        <w:t>9</w:t>
      </w:r>
      <w:r w:rsidR="007511FA">
        <w:fldChar w:fldCharType="end"/>
      </w:r>
      <w:r w:rsidR="00220B7D">
        <w:t>.</w:t>
      </w:r>
      <w:proofErr w:type="gramEnd"/>
      <w:r w:rsidR="007511FA">
        <w:fldChar w:fldCharType="begin"/>
      </w:r>
      <w:r w:rsidR="00220B7D">
        <w:instrText xml:space="preserve"> SEQ Equation \* ARABIC \s 1 </w:instrText>
      </w:r>
      <w:r w:rsidR="007511FA">
        <w:fldChar w:fldCharType="separate"/>
      </w:r>
      <w:r w:rsidR="00D5167B">
        <w:rPr>
          <w:noProof/>
        </w:rPr>
        <w:t>15</w:t>
      </w:r>
      <w:r w:rsidR="007511FA">
        <w:fldChar w:fldCharType="end"/>
      </w:r>
      <w:bookmarkEnd w:id="348"/>
    </w:p>
    <w:p w:rsidR="000C5E2C" w:rsidRPr="00D81F46" w:rsidRDefault="000C5E2C" w:rsidP="00B12830">
      <w:pPr>
        <w:ind w:firstLine="0"/>
        <w:jc w:val="center"/>
        <w:rPr>
          <w:rFonts w:eastAsiaTheme="minorEastAsia"/>
          <w:sz w:val="20"/>
          <w:szCs w:val="20"/>
        </w:rPr>
      </w:pPr>
    </w:p>
    <w:p w:rsidR="000C5E2C" w:rsidRDefault="0083266C" w:rsidP="00D81F46">
      <w:pPr>
        <w:spacing w:after="240" w:line="240" w:lineRule="auto"/>
        <w:ind w:firstLine="0"/>
        <w:jc w:val="center"/>
        <w:rPr>
          <w:rFonts w:eastAsiaTheme="minorEastAsia"/>
        </w:rPr>
      </w:pPr>
      <m:oMathPara>
        <m:oMath>
          <m:r>
            <m:rPr>
              <m:sty m:val="p"/>
            </m:rPr>
            <w:rPr>
              <w:rFonts w:ascii="Cambria Math" w:hAnsi="Cambria Math"/>
            </w:rPr>
            <m:t>∇∙</m:t>
          </m:r>
          <m:d>
            <m:dPr>
              <m:ctrlPr>
                <w:rPr>
                  <w:rFonts w:ascii="Cambria Math" w:hAnsi="Cambria Math"/>
                  <w:i/>
                </w:rPr>
              </m:ctrlPr>
            </m:dPr>
            <m:e>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2</m:t>
                  </m:r>
                </m:sub>
              </m:sSub>
              <m:r>
                <m:rPr>
                  <m:sty m:val="p"/>
                </m:rPr>
                <w:rPr>
                  <w:rFonts w:ascii="Cambria Math" w:hAnsi="Cambria Math"/>
                </w:rPr>
                <m:t>∇</m:t>
              </m:r>
              <m:sSub>
                <m:sSubPr>
                  <m:ctrlPr>
                    <w:rPr>
                      <w:rFonts w:ascii="Cambria Math" w:hAnsi="Cambria Math"/>
                      <w:i/>
                    </w:rPr>
                  </m:ctrlPr>
                </m:sSubPr>
                <m:e>
                  <m:r>
                    <w:rPr>
                      <w:rFonts w:ascii="Cambria Math" w:hAnsi="Cambria Math"/>
                    </w:rPr>
                    <m:t>ϕ</m:t>
                  </m:r>
                </m:e>
                <m:sub>
                  <m:r>
                    <w:rPr>
                      <w:rFonts w:ascii="Cambria Math" w:hAnsi="Cambria Math"/>
                    </w:rPr>
                    <m:t>2</m:t>
                  </m:r>
                </m:sub>
              </m:sSub>
            </m:e>
          </m:d>
          <m:r>
            <w:rPr>
              <w:rFonts w:ascii="Cambria Math" w:hAnsi="Cambria Math"/>
            </w:rPr>
            <m:t>+</m:t>
          </m:r>
          <m:sSub>
            <m:sSubPr>
              <m:ctrlPr>
                <w:rPr>
                  <w:rFonts w:ascii="Cambria Math" w:hAnsi="Cambria Math"/>
                </w:rPr>
              </m:ctrlPr>
            </m:sSubPr>
            <m:e>
              <m:r>
                <m:rPr>
                  <m:sty m:val="p"/>
                </m:rPr>
                <w:rPr>
                  <w:rFonts w:ascii="Cambria Math" w:hAnsi="Cambria Math"/>
                </w:rPr>
                <m:t>Σ</m:t>
              </m:r>
            </m:e>
            <m:sub>
              <m:r>
                <m:rPr>
                  <m:sty m:val="p"/>
                </m:rPr>
                <w:rPr>
                  <w:rFonts w:ascii="Cambria Math" w:hAnsi="Cambria Math"/>
                </w:rPr>
                <m:t>a2</m:t>
              </m:r>
            </m:sub>
          </m:sSub>
          <m:sSub>
            <m:sSubPr>
              <m:ctrlPr>
                <w:rPr>
                  <w:rFonts w:ascii="Cambria Math" w:hAnsi="Cambria Math"/>
                  <w:i/>
                </w:rPr>
              </m:ctrlPr>
            </m:sSubPr>
            <m:e>
              <m:r>
                <w:rPr>
                  <w:rFonts w:ascii="Cambria Math" w:hAnsi="Cambria Math"/>
                </w:rPr>
                <m:t>ϕ</m:t>
              </m:r>
            </m:e>
            <m:sub>
              <m:r>
                <w:rPr>
                  <w:rFonts w:ascii="Cambria Math" w:hAnsi="Cambria Math"/>
                </w:rPr>
                <m:t>2</m:t>
              </m:r>
            </m:sub>
          </m:sSub>
          <m:r>
            <m:rPr>
              <m:sty m:val="p"/>
            </m:rPr>
            <w:rPr>
              <w:rFonts w:ascii="Cambria Math" w:hAnsi="Cambria Math"/>
            </w:rPr>
            <m:t>=λ</m:t>
          </m:r>
          <m:sSub>
            <m:sSubPr>
              <m:ctrlPr>
                <w:rPr>
                  <w:rFonts w:ascii="Cambria Math" w:hAnsi="Cambria Math"/>
                  <w:i/>
                </w:rPr>
              </m:ctrlPr>
            </m:sSubPr>
            <m:e>
              <m:r>
                <w:rPr>
                  <w:rFonts w:ascii="Cambria Math" w:hAnsi="Cambria Math"/>
                </w:rPr>
                <m:t>ϕ</m:t>
              </m:r>
            </m:e>
            <m:sub>
              <m:r>
                <w:rPr>
                  <w:rFonts w:ascii="Cambria Math" w:hAnsi="Cambria Math"/>
                </w:rPr>
                <m:t>2</m:t>
              </m:r>
            </m:sub>
          </m:sSub>
          <m:r>
            <w:rPr>
              <w:rFonts w:ascii="Cambria Math" w:hAnsi="Cambria Math"/>
            </w:rPr>
            <m:t>+</m:t>
          </m:r>
          <m:sSubSup>
            <m:sSubSupPr>
              <m:ctrlPr>
                <w:rPr>
                  <w:rFonts w:ascii="Cambria Math" w:hAnsi="Cambria Math"/>
                  <w:i/>
                </w:rPr>
              </m:ctrlPr>
            </m:sSubSupPr>
            <m:e>
              <m:r>
                <m:rPr>
                  <m:sty m:val="p"/>
                </m:rPr>
                <w:rPr>
                  <w:rFonts w:ascii="Cambria Math" w:hAnsi="Cambria Math"/>
                </w:rPr>
                <m:t>Σ</m:t>
              </m:r>
            </m:e>
            <m:sub>
              <m:r>
                <w:rPr>
                  <w:rFonts w:ascii="Cambria Math" w:hAnsi="Cambria Math"/>
                </w:rPr>
                <m:t>s</m:t>
              </m:r>
            </m:sub>
            <m:sup>
              <m:r>
                <w:rPr>
                  <w:rFonts w:ascii="Cambria Math" w:hAnsi="Cambria Math"/>
                </w:rPr>
                <m:t>1→2</m:t>
              </m:r>
            </m:sup>
          </m:sSubSup>
          <m:sSub>
            <m:sSubPr>
              <m:ctrlPr>
                <w:rPr>
                  <w:rFonts w:ascii="Cambria Math" w:hAnsi="Cambria Math"/>
                  <w:i/>
                </w:rPr>
              </m:ctrlPr>
            </m:sSubPr>
            <m:e>
              <m:r>
                <w:rPr>
                  <w:rFonts w:ascii="Cambria Math" w:hAnsi="Cambria Math"/>
                </w:rPr>
                <m:t>ϕ</m:t>
              </m:r>
            </m:e>
            <m:sub>
              <m:r>
                <w:rPr>
                  <w:rFonts w:ascii="Cambria Math" w:hAnsi="Cambria Math"/>
                </w:rPr>
                <m:t>1</m:t>
              </m:r>
            </m:sub>
          </m:sSub>
        </m:oMath>
      </m:oMathPara>
    </w:p>
    <w:p w:rsidR="0083266C" w:rsidRDefault="0083266C" w:rsidP="000C5E2C">
      <w:pPr>
        <w:pStyle w:val="Caption"/>
        <w:rPr>
          <w:rFonts w:eastAsiaTheme="minorEastAsia"/>
        </w:rPr>
      </w:pPr>
      <w:bookmarkStart w:id="349" w:name="_Ref285540788"/>
      <w:proofErr w:type="gramStart"/>
      <w:r w:rsidRPr="00317688">
        <w:t xml:space="preserve">Equation </w:t>
      </w:r>
      <w:r w:rsidR="007511FA">
        <w:fldChar w:fldCharType="begin"/>
      </w:r>
      <w:r w:rsidR="00AE17F8">
        <w:instrText xml:space="preserve"> STYLEREF 1 \s </w:instrText>
      </w:r>
      <w:r w:rsidR="007511FA">
        <w:fldChar w:fldCharType="separate"/>
      </w:r>
      <w:r w:rsidR="00D5167B">
        <w:rPr>
          <w:noProof/>
        </w:rPr>
        <w:t>9</w:t>
      </w:r>
      <w:r w:rsidR="007511FA">
        <w:fldChar w:fldCharType="end"/>
      </w:r>
      <w:r w:rsidR="00220B7D">
        <w:t>.</w:t>
      </w:r>
      <w:proofErr w:type="gramEnd"/>
      <w:r w:rsidR="007511FA">
        <w:fldChar w:fldCharType="begin"/>
      </w:r>
      <w:r w:rsidR="00220B7D">
        <w:instrText xml:space="preserve"> SEQ Equation \* ARABIC \s 1 </w:instrText>
      </w:r>
      <w:r w:rsidR="007511FA">
        <w:fldChar w:fldCharType="separate"/>
      </w:r>
      <w:r w:rsidR="00D5167B">
        <w:rPr>
          <w:noProof/>
        </w:rPr>
        <w:t>16</w:t>
      </w:r>
      <w:r w:rsidR="007511FA">
        <w:fldChar w:fldCharType="end"/>
      </w:r>
      <w:bookmarkEnd w:id="349"/>
    </w:p>
    <w:p w:rsidR="00B12830" w:rsidRPr="00D81F46" w:rsidRDefault="00B12830" w:rsidP="0083266C">
      <w:pPr>
        <w:spacing w:after="240"/>
        <w:jc w:val="center"/>
        <w:rPr>
          <w:rFonts w:eastAsiaTheme="minorEastAsia"/>
          <w:sz w:val="20"/>
          <w:szCs w:val="20"/>
        </w:rPr>
      </w:pPr>
    </w:p>
    <w:p w:rsidR="0083266C" w:rsidRDefault="0083266C" w:rsidP="00CF2AE2">
      <w:r>
        <w:t xml:space="preserve">Two PDE coefficient modes are coupled together and dependent upon each other since the thermal and fast neutron fluxes are being solved.  The dependent variable for the first mode is the fast flux and the dependent variable for the second mode is the thermal flux.  Thus, </w:t>
      </w:r>
      <w:r w:rsidR="007511FA">
        <w:fldChar w:fldCharType="begin"/>
      </w:r>
      <w:r w:rsidR="007822D7">
        <w:instrText xml:space="preserve"> REF _Ref285540775 \h </w:instrText>
      </w:r>
      <w:r w:rsidR="007511FA">
        <w:fldChar w:fldCharType="separate"/>
      </w:r>
      <w:r w:rsidR="00D5167B" w:rsidRPr="00317688">
        <w:t xml:space="preserve">Equation </w:t>
      </w:r>
      <w:r w:rsidR="00D5167B">
        <w:rPr>
          <w:noProof/>
        </w:rPr>
        <w:t>9</w:t>
      </w:r>
      <w:r w:rsidR="00D5167B">
        <w:t>.</w:t>
      </w:r>
      <w:r w:rsidR="00D5167B">
        <w:rPr>
          <w:noProof/>
        </w:rPr>
        <w:t>14</w:t>
      </w:r>
      <w:r w:rsidR="007511FA">
        <w:fldChar w:fldCharType="end"/>
      </w:r>
      <w:r w:rsidR="007822D7">
        <w:t xml:space="preserve"> and </w:t>
      </w:r>
      <w:r w:rsidR="007511FA">
        <w:fldChar w:fldCharType="begin"/>
      </w:r>
      <w:r w:rsidR="007822D7">
        <w:instrText xml:space="preserve"> REF _Ref285540781 \h </w:instrText>
      </w:r>
      <w:r w:rsidR="007511FA">
        <w:fldChar w:fldCharType="separate"/>
      </w:r>
      <w:r w:rsidR="00D5167B" w:rsidRPr="00317688">
        <w:t xml:space="preserve">Equation </w:t>
      </w:r>
      <w:r w:rsidR="00D5167B">
        <w:rPr>
          <w:noProof/>
        </w:rPr>
        <w:t>9</w:t>
      </w:r>
      <w:r w:rsidR="00D5167B">
        <w:t>.</w:t>
      </w:r>
      <w:r w:rsidR="00D5167B">
        <w:rPr>
          <w:noProof/>
        </w:rPr>
        <w:t>15</w:t>
      </w:r>
      <w:r w:rsidR="007511FA">
        <w:fldChar w:fldCharType="end"/>
      </w:r>
      <w:r w:rsidRPr="004D596C">
        <w:t xml:space="preserve"> </w:t>
      </w:r>
      <w:r>
        <w:t xml:space="preserve">are input for the multiplying and non-multiplying regions, respectively, in the fast flux PDE coefficient mode and </w:t>
      </w:r>
      <w:r w:rsidR="007511FA">
        <w:fldChar w:fldCharType="begin"/>
      </w:r>
      <w:r w:rsidR="007822D7">
        <w:instrText xml:space="preserve"> REF _Ref285540788 \h </w:instrText>
      </w:r>
      <w:r w:rsidR="007511FA">
        <w:fldChar w:fldCharType="separate"/>
      </w:r>
      <w:r w:rsidR="00D5167B" w:rsidRPr="00317688">
        <w:t xml:space="preserve">Equation </w:t>
      </w:r>
      <w:r w:rsidR="00D5167B">
        <w:rPr>
          <w:noProof/>
        </w:rPr>
        <w:t>9</w:t>
      </w:r>
      <w:r w:rsidR="00D5167B">
        <w:t>.</w:t>
      </w:r>
      <w:r w:rsidR="00D5167B">
        <w:rPr>
          <w:noProof/>
        </w:rPr>
        <w:t>16</w:t>
      </w:r>
      <w:r w:rsidR="007511FA">
        <w:fldChar w:fldCharType="end"/>
      </w:r>
      <w:r w:rsidRPr="004D596C">
        <w:t xml:space="preserve"> </w:t>
      </w:r>
      <w:r>
        <w:t>is input for the multiplying and non-multiplying regions in the thermal flux PDE coefficient mode.  Since there are 31 unique materials in the model there are 31 distinct equations specified for the fast flux and 31 distinct equations for the thermal flux (62 distinct sets of cross sections and diffusion coefficients).</w:t>
      </w:r>
    </w:p>
    <w:p w:rsidR="0083266C" w:rsidRDefault="0083266C" w:rsidP="00CF2AE2">
      <w:r>
        <w:lastRenderedPageBreak/>
        <w:t xml:space="preserve">The boundary conditions were defined in the boundary settings GUI.  Boundary conditions were defined for both the fast and thermal flux physics modes.  Symmetry was used at the core </w:t>
      </w:r>
      <w:proofErr w:type="gramStart"/>
      <w:r>
        <w:t>centerline,</w:t>
      </w:r>
      <w:proofErr w:type="gramEnd"/>
      <w:r>
        <w:t xml:space="preserve"> vacuum BCs were applied at the three outer pool boundaries, and continuity BCs were used at </w:t>
      </w:r>
      <w:r w:rsidRPr="00B91B41">
        <w:t xml:space="preserve">all of the inner surfaces.  The governing equations for the boundary conditions are shown in </w:t>
      </w:r>
      <w:r w:rsidR="007511FA">
        <w:fldChar w:fldCharType="begin"/>
      </w:r>
      <w:r w:rsidR="007822D7">
        <w:instrText xml:space="preserve"> REF _Ref285540901 \h </w:instrText>
      </w:r>
      <w:r w:rsidR="007511FA">
        <w:fldChar w:fldCharType="separate"/>
      </w:r>
      <w:r w:rsidR="00D5167B" w:rsidRPr="00317688">
        <w:t xml:space="preserve">Equation </w:t>
      </w:r>
      <w:r w:rsidR="00D5167B">
        <w:rPr>
          <w:noProof/>
        </w:rPr>
        <w:t>9</w:t>
      </w:r>
      <w:r w:rsidR="00D5167B">
        <w:t>.</w:t>
      </w:r>
      <w:r w:rsidR="00D5167B">
        <w:rPr>
          <w:noProof/>
        </w:rPr>
        <w:t>17</w:t>
      </w:r>
      <w:r w:rsidR="007511FA">
        <w:fldChar w:fldCharType="end"/>
      </w:r>
      <w:r w:rsidR="007822D7">
        <w:t xml:space="preserve"> -</w:t>
      </w:r>
      <w:r w:rsidR="007511FA">
        <w:fldChar w:fldCharType="begin"/>
      </w:r>
      <w:r w:rsidR="007822D7">
        <w:instrText xml:space="preserve"> REF _Ref285540910 \h </w:instrText>
      </w:r>
      <w:r w:rsidR="007511FA">
        <w:fldChar w:fldCharType="separate"/>
      </w:r>
      <w:r w:rsidR="00D5167B" w:rsidRPr="000C5E2C">
        <w:rPr>
          <w:szCs w:val="20"/>
        </w:rPr>
        <w:t xml:space="preserve">Equation </w:t>
      </w:r>
      <w:r w:rsidR="00D5167B">
        <w:rPr>
          <w:noProof/>
          <w:szCs w:val="20"/>
        </w:rPr>
        <w:t>9</w:t>
      </w:r>
      <w:r w:rsidR="00D5167B">
        <w:rPr>
          <w:szCs w:val="20"/>
        </w:rPr>
        <w:t>.</w:t>
      </w:r>
      <w:r w:rsidR="00D5167B">
        <w:rPr>
          <w:noProof/>
          <w:szCs w:val="20"/>
        </w:rPr>
        <w:t>22</w:t>
      </w:r>
      <w:r w:rsidR="007511FA">
        <w:fldChar w:fldCharType="end"/>
      </w:r>
      <w:r w:rsidRPr="00B91B41">
        <w:t>.  The first</w:t>
      </w:r>
      <w:r>
        <w:t xml:space="preserve"> equation listed for each BC is written in “generic” terms and the second equation listed for each BC is the equation applied to the COMSOL model.</w:t>
      </w:r>
    </w:p>
    <w:p w:rsidR="00B12830" w:rsidRDefault="00B12830" w:rsidP="00CF2AE2"/>
    <w:p w:rsidR="0083266C" w:rsidRPr="004D3A27" w:rsidRDefault="0083266C" w:rsidP="00B12830">
      <w:pPr>
        <w:ind w:firstLine="0"/>
        <w:rPr>
          <w:rFonts w:eastAsiaTheme="minorEastAsia"/>
        </w:rPr>
      </w:pPr>
      <w:r>
        <w:t>Symmetry - Neumann boundary condition:</w:t>
      </w:r>
    </w:p>
    <w:p w:rsidR="000C5E2C" w:rsidRDefault="0083266C" w:rsidP="00D81F46">
      <w:pPr>
        <w:spacing w:line="240" w:lineRule="auto"/>
        <w:ind w:firstLine="0"/>
        <w:jc w:val="center"/>
        <w:rPr>
          <w:rFonts w:eastAsiaTheme="minorEastAsia"/>
        </w:rPr>
      </w:pPr>
      <m:oMathPara>
        <m:oMath>
          <m:r>
            <w:rPr>
              <w:rFonts w:ascii="Cambria Math" w:hAnsi="Cambria Math"/>
            </w:rPr>
            <m:t>n∙</m:t>
          </m:r>
          <m:d>
            <m:dPr>
              <m:ctrlPr>
                <w:rPr>
                  <w:rFonts w:ascii="Cambria Math" w:hAnsi="Cambria Math"/>
                  <w:i/>
                </w:rPr>
              </m:ctrlPr>
            </m:dPr>
            <m:e>
              <m:r>
                <w:rPr>
                  <w:rFonts w:ascii="Cambria Math" w:hAnsi="Cambria Math"/>
                </w:rPr>
                <m:t>c</m:t>
              </m:r>
              <m:r>
                <m:rPr>
                  <m:sty m:val="p"/>
                </m:rPr>
                <w:rPr>
                  <w:rFonts w:ascii="Cambria Math" w:hAnsi="Cambria Math"/>
                </w:rPr>
                <m:t>∇u+αu-γ</m:t>
              </m:r>
            </m:e>
          </m:d>
          <m:r>
            <w:rPr>
              <w:rFonts w:ascii="Cambria Math" w:hAnsi="Cambria Math"/>
            </w:rPr>
            <m:t>+q</m:t>
          </m:r>
          <m:r>
            <m:rPr>
              <m:sty m:val="p"/>
            </m:rPr>
            <w:rPr>
              <w:rFonts w:ascii="Cambria Math" w:hAnsi="Cambria Math"/>
            </w:rPr>
            <m:t>u=g</m:t>
          </m:r>
        </m:oMath>
      </m:oMathPara>
    </w:p>
    <w:p w:rsidR="007822D7" w:rsidRDefault="0083266C" w:rsidP="007822D7">
      <w:pPr>
        <w:pStyle w:val="Caption"/>
      </w:pPr>
      <w:bookmarkStart w:id="350" w:name="_Ref285540901"/>
      <w:proofErr w:type="gramStart"/>
      <w:r w:rsidRPr="00317688">
        <w:t xml:space="preserve">Equation </w:t>
      </w:r>
      <w:r w:rsidR="007511FA">
        <w:fldChar w:fldCharType="begin"/>
      </w:r>
      <w:r w:rsidR="00AE17F8">
        <w:instrText xml:space="preserve"> STYLEREF 1 \s </w:instrText>
      </w:r>
      <w:r w:rsidR="007511FA">
        <w:fldChar w:fldCharType="separate"/>
      </w:r>
      <w:r w:rsidR="00D5167B">
        <w:rPr>
          <w:noProof/>
        </w:rPr>
        <w:t>9</w:t>
      </w:r>
      <w:r w:rsidR="007511FA">
        <w:fldChar w:fldCharType="end"/>
      </w:r>
      <w:r w:rsidR="00220B7D">
        <w:t>.</w:t>
      </w:r>
      <w:proofErr w:type="gramEnd"/>
      <w:r w:rsidR="007511FA">
        <w:fldChar w:fldCharType="begin"/>
      </w:r>
      <w:r w:rsidR="00220B7D">
        <w:instrText xml:space="preserve"> SEQ Equation \* ARABIC \s 1 </w:instrText>
      </w:r>
      <w:r w:rsidR="007511FA">
        <w:fldChar w:fldCharType="separate"/>
      </w:r>
      <w:r w:rsidR="00D5167B">
        <w:rPr>
          <w:noProof/>
        </w:rPr>
        <w:t>17</w:t>
      </w:r>
      <w:r w:rsidR="007511FA">
        <w:fldChar w:fldCharType="end"/>
      </w:r>
      <w:bookmarkEnd w:id="350"/>
    </w:p>
    <w:p w:rsidR="00D81F46" w:rsidRPr="00D81F46" w:rsidRDefault="00D81F46" w:rsidP="00D81F46"/>
    <w:p w:rsidR="000C5E2C" w:rsidRDefault="0083266C" w:rsidP="00D81F46">
      <w:pPr>
        <w:spacing w:line="240" w:lineRule="auto"/>
        <w:ind w:firstLine="0"/>
        <w:jc w:val="center"/>
        <w:rPr>
          <w:rFonts w:eastAsiaTheme="minorEastAsia"/>
        </w:rPr>
      </w:pPr>
      <m:oMathPara>
        <m:oMath>
          <m:r>
            <w:rPr>
              <w:rFonts w:ascii="Cambria Math" w:hAnsi="Cambria Math"/>
            </w:rPr>
            <m:t>n∙</m:t>
          </m:r>
          <m:d>
            <m:dPr>
              <m:ctrlPr>
                <w:rPr>
                  <w:rFonts w:ascii="Cambria Math" w:hAnsi="Cambria Math"/>
                  <w:i/>
                </w:rPr>
              </m:ctrlPr>
            </m:dPr>
            <m:e>
              <m:r>
                <w:rPr>
                  <w:rFonts w:ascii="Cambria Math" w:hAnsi="Cambria Math"/>
                </w:rPr>
                <m:t>D</m:t>
              </m:r>
              <m:r>
                <m:rPr>
                  <m:sty m:val="p"/>
                </m:rPr>
                <w:rPr>
                  <w:rFonts w:ascii="Cambria Math" w:hAnsi="Cambria Math"/>
                </w:rPr>
                <m:t>∇ϕ</m:t>
              </m:r>
            </m:e>
          </m:d>
          <m:r>
            <m:rPr>
              <m:sty m:val="p"/>
            </m:rPr>
            <w:rPr>
              <w:rFonts w:ascii="Cambria Math" w:hAnsi="Cambria Math"/>
            </w:rPr>
            <m:t>=0</m:t>
          </m:r>
        </m:oMath>
      </m:oMathPara>
    </w:p>
    <w:p w:rsidR="0083266C" w:rsidRPr="000C5E2C" w:rsidRDefault="0083266C" w:rsidP="000C5E2C">
      <w:pPr>
        <w:pStyle w:val="Caption"/>
      </w:pPr>
      <w:proofErr w:type="gramStart"/>
      <w:r w:rsidRPr="000C5E2C">
        <w:rPr>
          <w:szCs w:val="20"/>
        </w:rPr>
        <w:t xml:space="preserve">Equation </w:t>
      </w:r>
      <w:r w:rsidR="007511FA">
        <w:rPr>
          <w:szCs w:val="20"/>
        </w:rPr>
        <w:fldChar w:fldCharType="begin"/>
      </w:r>
      <w:r w:rsidR="00220B7D">
        <w:rPr>
          <w:szCs w:val="20"/>
        </w:rPr>
        <w:instrText xml:space="preserve"> STYLEREF 1 \s </w:instrText>
      </w:r>
      <w:r w:rsidR="007511FA">
        <w:rPr>
          <w:szCs w:val="20"/>
        </w:rPr>
        <w:fldChar w:fldCharType="separate"/>
      </w:r>
      <w:r w:rsidR="00D5167B">
        <w:rPr>
          <w:noProof/>
          <w:szCs w:val="20"/>
        </w:rPr>
        <w:t>9</w:t>
      </w:r>
      <w:r w:rsidR="007511FA">
        <w:rPr>
          <w:szCs w:val="20"/>
        </w:rPr>
        <w:fldChar w:fldCharType="end"/>
      </w:r>
      <w:r w:rsidR="00220B7D">
        <w:rPr>
          <w:szCs w:val="20"/>
        </w:rPr>
        <w:t>.</w:t>
      </w:r>
      <w:proofErr w:type="gramEnd"/>
      <w:r w:rsidR="007511FA">
        <w:rPr>
          <w:szCs w:val="20"/>
        </w:rPr>
        <w:fldChar w:fldCharType="begin"/>
      </w:r>
      <w:r w:rsidR="00220B7D">
        <w:rPr>
          <w:szCs w:val="20"/>
        </w:rPr>
        <w:instrText xml:space="preserve"> SEQ Equation \* ARABIC \s 1 </w:instrText>
      </w:r>
      <w:r w:rsidR="007511FA">
        <w:rPr>
          <w:szCs w:val="20"/>
        </w:rPr>
        <w:fldChar w:fldCharType="separate"/>
      </w:r>
      <w:r w:rsidR="00D5167B">
        <w:rPr>
          <w:noProof/>
          <w:szCs w:val="20"/>
        </w:rPr>
        <w:t>18</w:t>
      </w:r>
      <w:r w:rsidR="007511FA">
        <w:rPr>
          <w:szCs w:val="20"/>
        </w:rPr>
        <w:fldChar w:fldCharType="end"/>
      </w:r>
    </w:p>
    <w:p w:rsidR="000C5E2C" w:rsidRPr="000C5E2C" w:rsidRDefault="000C5E2C" w:rsidP="000C5E2C"/>
    <w:p w:rsidR="0083266C" w:rsidRDefault="0083266C" w:rsidP="00B12830">
      <w:pPr>
        <w:ind w:firstLine="0"/>
        <w:rPr>
          <w:rFonts w:eastAsiaTheme="minorEastAsia"/>
        </w:rPr>
      </w:pPr>
      <w:r>
        <w:rPr>
          <w:rFonts w:eastAsiaTheme="minorEastAsia"/>
        </w:rPr>
        <w:t xml:space="preserve">Vacuum - </w:t>
      </w:r>
      <w:proofErr w:type="spellStart"/>
      <w:r>
        <w:rPr>
          <w:rFonts w:eastAsiaTheme="minorEastAsia"/>
        </w:rPr>
        <w:t>Dirichlet</w:t>
      </w:r>
      <w:proofErr w:type="spellEnd"/>
      <w:r>
        <w:rPr>
          <w:rFonts w:eastAsiaTheme="minorEastAsia"/>
        </w:rPr>
        <w:t xml:space="preserve"> boundary condition:</w:t>
      </w:r>
    </w:p>
    <w:p w:rsidR="000C5E2C" w:rsidRDefault="0083266C" w:rsidP="00D81F46">
      <w:pPr>
        <w:spacing w:line="240" w:lineRule="auto"/>
        <w:ind w:firstLine="0"/>
        <w:jc w:val="center"/>
        <w:rPr>
          <w:rFonts w:eastAsiaTheme="minorEastAsia"/>
        </w:rPr>
      </w:pPr>
      <m:oMathPara>
        <m:oMath>
          <m:r>
            <w:rPr>
              <w:rFonts w:ascii="Cambria Math" w:hAnsi="Cambria Math"/>
            </w:rPr>
            <m:t>h</m:t>
          </m:r>
          <m:r>
            <m:rPr>
              <m:sty m:val="p"/>
            </m:rPr>
            <w:rPr>
              <w:rFonts w:ascii="Cambria Math" w:hAnsi="Cambria Math"/>
            </w:rPr>
            <m:t>u=r</m:t>
          </m:r>
        </m:oMath>
      </m:oMathPara>
    </w:p>
    <w:p w:rsidR="0083266C" w:rsidRDefault="0083266C" w:rsidP="000C5E2C">
      <w:pPr>
        <w:pStyle w:val="Caption"/>
      </w:pPr>
      <w:proofErr w:type="gramStart"/>
      <w:r w:rsidRPr="00317688">
        <w:t xml:space="preserve">Equation </w:t>
      </w:r>
      <w:r w:rsidR="007511FA">
        <w:fldChar w:fldCharType="begin"/>
      </w:r>
      <w:r w:rsidR="00AE17F8">
        <w:instrText xml:space="preserve"> STYLEREF 1 \s </w:instrText>
      </w:r>
      <w:r w:rsidR="007511FA">
        <w:fldChar w:fldCharType="separate"/>
      </w:r>
      <w:r w:rsidR="00D5167B">
        <w:rPr>
          <w:noProof/>
        </w:rPr>
        <w:t>9</w:t>
      </w:r>
      <w:r w:rsidR="007511FA">
        <w:fldChar w:fldCharType="end"/>
      </w:r>
      <w:r w:rsidR="00220B7D">
        <w:t>.</w:t>
      </w:r>
      <w:proofErr w:type="gramEnd"/>
      <w:r w:rsidR="007511FA">
        <w:fldChar w:fldCharType="begin"/>
      </w:r>
      <w:r w:rsidR="00220B7D">
        <w:instrText xml:space="preserve"> SEQ Equation \* ARABIC \s 1 </w:instrText>
      </w:r>
      <w:r w:rsidR="007511FA">
        <w:fldChar w:fldCharType="separate"/>
      </w:r>
      <w:r w:rsidR="00D5167B">
        <w:rPr>
          <w:noProof/>
        </w:rPr>
        <w:t>19</w:t>
      </w:r>
      <w:r w:rsidR="007511FA">
        <w:fldChar w:fldCharType="end"/>
      </w:r>
    </w:p>
    <w:p w:rsidR="000C5E2C" w:rsidRPr="00317688" w:rsidRDefault="000C5E2C" w:rsidP="00B12830">
      <w:pPr>
        <w:ind w:firstLine="0"/>
        <w:jc w:val="center"/>
        <w:rPr>
          <w:b/>
          <w:sz w:val="20"/>
          <w:szCs w:val="20"/>
        </w:rPr>
      </w:pPr>
    </w:p>
    <w:p w:rsidR="000C5E2C" w:rsidRDefault="0083266C" w:rsidP="00D81F46">
      <w:pPr>
        <w:spacing w:line="240" w:lineRule="auto"/>
        <w:ind w:firstLine="0"/>
        <w:jc w:val="center"/>
        <w:rPr>
          <w:rFonts w:eastAsiaTheme="minorEastAsia"/>
        </w:rPr>
      </w:pPr>
      <m:oMathPara>
        <m:oMath>
          <m:r>
            <m:rPr>
              <m:sty m:val="p"/>
            </m:rPr>
            <w:rPr>
              <w:rFonts w:ascii="Cambria Math" w:hAnsi="Cambria Math"/>
            </w:rPr>
            <m:t>ϕ=</m:t>
          </m:r>
          <m:d>
            <m:dPr>
              <m:ctrlPr>
                <w:rPr>
                  <w:rFonts w:ascii="Cambria Math" w:hAnsi="Cambria Math"/>
                </w:rPr>
              </m:ctrlPr>
            </m:dPr>
            <m:e>
              <m:r>
                <m:rPr>
                  <m:sty m:val="p"/>
                </m:rPr>
                <w:rPr>
                  <w:rFonts w:ascii="Cambria Math" w:hAnsi="Cambria Math"/>
                </w:rPr>
                <m:t>-2.1312</m:t>
              </m:r>
            </m:e>
          </m:d>
          <m:d>
            <m:dPr>
              <m:ctrlPr>
                <w:rPr>
                  <w:rFonts w:ascii="Cambria Math" w:hAnsi="Cambria Math"/>
                </w:rPr>
              </m:ctrlPr>
            </m:dPr>
            <m:e>
              <m:r>
                <m:rPr>
                  <m:sty m:val="p"/>
                </m:rPr>
                <w:rPr>
                  <w:rFonts w:ascii="Cambria Math" w:hAnsi="Cambria Math"/>
                </w:rPr>
                <m:t>D</m:t>
              </m:r>
            </m:e>
          </m:d>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∇ϕ</m:t>
                  </m:r>
                </m:e>
              </m:d>
            </m:e>
            <m:sub>
              <m:r>
                <m:rPr>
                  <m:sty m:val="p"/>
                </m:rPr>
                <w:rPr>
                  <w:rFonts w:ascii="Cambria Math" w:hAnsi="Cambria Math"/>
                </w:rPr>
                <m:t>boundary</m:t>
              </m:r>
            </m:sub>
          </m:sSub>
        </m:oMath>
      </m:oMathPara>
    </w:p>
    <w:p w:rsidR="0083266C" w:rsidRDefault="0083266C" w:rsidP="000C5E2C">
      <w:pPr>
        <w:pStyle w:val="Caption"/>
      </w:pPr>
      <w:proofErr w:type="gramStart"/>
      <w:r w:rsidRPr="00317688">
        <w:t xml:space="preserve">Equation </w:t>
      </w:r>
      <w:r w:rsidR="007511FA">
        <w:fldChar w:fldCharType="begin"/>
      </w:r>
      <w:r w:rsidR="00AE17F8">
        <w:instrText xml:space="preserve"> STYLEREF 1 \s </w:instrText>
      </w:r>
      <w:r w:rsidR="007511FA">
        <w:fldChar w:fldCharType="separate"/>
      </w:r>
      <w:r w:rsidR="00D5167B">
        <w:rPr>
          <w:noProof/>
        </w:rPr>
        <w:t>9</w:t>
      </w:r>
      <w:r w:rsidR="007511FA">
        <w:fldChar w:fldCharType="end"/>
      </w:r>
      <w:r w:rsidR="00220B7D">
        <w:t>.</w:t>
      </w:r>
      <w:proofErr w:type="gramEnd"/>
      <w:r w:rsidR="007511FA">
        <w:fldChar w:fldCharType="begin"/>
      </w:r>
      <w:r w:rsidR="00220B7D">
        <w:instrText xml:space="preserve"> SEQ Equation \* ARABIC \s 1 </w:instrText>
      </w:r>
      <w:r w:rsidR="007511FA">
        <w:fldChar w:fldCharType="separate"/>
      </w:r>
      <w:r w:rsidR="00D5167B">
        <w:rPr>
          <w:noProof/>
        </w:rPr>
        <w:t>20</w:t>
      </w:r>
      <w:r w:rsidR="007511FA">
        <w:fldChar w:fldCharType="end"/>
      </w:r>
    </w:p>
    <w:p w:rsidR="000C5E2C" w:rsidRPr="00963956" w:rsidRDefault="000C5E2C" w:rsidP="00B12830">
      <w:pPr>
        <w:ind w:firstLine="0"/>
        <w:jc w:val="center"/>
        <w:rPr>
          <w:b/>
          <w:sz w:val="20"/>
          <w:szCs w:val="20"/>
        </w:rPr>
      </w:pPr>
    </w:p>
    <w:p w:rsidR="0083266C" w:rsidRDefault="0083266C" w:rsidP="00B12830">
      <w:pPr>
        <w:ind w:firstLine="0"/>
      </w:pPr>
      <w:r>
        <w:t>Continuity - Neumann boundary condition:</w:t>
      </w:r>
    </w:p>
    <w:p w:rsidR="000C5E2C" w:rsidRDefault="0083266C" w:rsidP="00D81F46">
      <w:pPr>
        <w:spacing w:line="240" w:lineRule="auto"/>
        <w:ind w:firstLine="0"/>
        <w:jc w:val="center"/>
        <w:rPr>
          <w:rFonts w:eastAsiaTheme="minorEastAsia"/>
        </w:rPr>
      </w:pPr>
      <m:oMathPara>
        <m:oMath>
          <m:r>
            <w:rPr>
              <w:rFonts w:ascii="Cambria Math" w:hAnsi="Cambria Math"/>
            </w:rPr>
            <m:t>n∙</m:t>
          </m:r>
          <m:d>
            <m:dPr>
              <m:ctrlPr>
                <w:rPr>
                  <w:rFonts w:ascii="Cambria Math" w:hAnsi="Cambria Math"/>
                  <w:i/>
                </w:rPr>
              </m:ctrlPr>
            </m:dPr>
            <m:e>
              <m:sSub>
                <m:sSubPr>
                  <m:ctrlPr>
                    <w:rPr>
                      <w:rFonts w:ascii="Cambria Math" w:hAnsi="Cambria Math"/>
                      <w:i/>
                    </w:rPr>
                  </m:ctrlPr>
                </m:sSubPr>
                <m:e>
                  <m:d>
                    <m:dPr>
                      <m:ctrlPr>
                        <w:rPr>
                          <w:rFonts w:ascii="Cambria Math" w:hAnsi="Cambria Math"/>
                          <w:i/>
                        </w:rPr>
                      </m:ctrlPr>
                    </m:dPr>
                    <m:e>
                      <m:r>
                        <w:rPr>
                          <w:rFonts w:ascii="Cambria Math" w:hAnsi="Cambria Math"/>
                        </w:rPr>
                        <m:t>c</m:t>
                      </m:r>
                      <m:r>
                        <m:rPr>
                          <m:sty m:val="p"/>
                        </m:rPr>
                        <w:rPr>
                          <w:rFonts w:ascii="Cambria Math" w:hAnsi="Cambria Math"/>
                        </w:rPr>
                        <m:t>∇u+αu-γ</m:t>
                      </m:r>
                    </m:e>
                  </m:d>
                </m:e>
                <m:sub>
                  <m:r>
                    <w:rPr>
                      <w:rFonts w:ascii="Cambria Math" w:hAnsi="Cambria Math"/>
                    </w:rPr>
                    <m:t>1</m:t>
                  </m:r>
                </m:sub>
              </m:sSub>
              <m:r>
                <w:rPr>
                  <w:rFonts w:ascii="Cambria Math" w:hAnsi="Cambria Math"/>
                </w:rPr>
                <m:t>-</m:t>
              </m:r>
              <m:sSub>
                <m:sSubPr>
                  <m:ctrlPr>
                    <w:rPr>
                      <w:rFonts w:ascii="Cambria Math" w:hAnsi="Cambria Math"/>
                      <w:i/>
                    </w:rPr>
                  </m:ctrlPr>
                </m:sSubPr>
                <m:e>
                  <m:d>
                    <m:dPr>
                      <m:ctrlPr>
                        <w:rPr>
                          <w:rFonts w:ascii="Cambria Math" w:hAnsi="Cambria Math"/>
                          <w:i/>
                        </w:rPr>
                      </m:ctrlPr>
                    </m:dPr>
                    <m:e>
                      <m:r>
                        <w:rPr>
                          <w:rFonts w:ascii="Cambria Math" w:hAnsi="Cambria Math"/>
                        </w:rPr>
                        <m:t>c</m:t>
                      </m:r>
                      <m:r>
                        <m:rPr>
                          <m:sty m:val="p"/>
                        </m:rPr>
                        <w:rPr>
                          <w:rFonts w:ascii="Cambria Math" w:hAnsi="Cambria Math"/>
                        </w:rPr>
                        <m:t>∇u+αu-γ</m:t>
                      </m:r>
                    </m:e>
                  </m:d>
                </m:e>
                <m:sub>
                  <m:r>
                    <w:rPr>
                      <w:rFonts w:ascii="Cambria Math" w:hAnsi="Cambria Math"/>
                    </w:rPr>
                    <m:t>2</m:t>
                  </m:r>
                </m:sub>
              </m:sSub>
            </m:e>
          </m:d>
          <m:r>
            <w:rPr>
              <w:rFonts w:ascii="Cambria Math" w:hAnsi="Cambria Math"/>
            </w:rPr>
            <m:t>+q</m:t>
          </m:r>
          <m:r>
            <m:rPr>
              <m:sty m:val="p"/>
            </m:rPr>
            <w:rPr>
              <w:rFonts w:ascii="Cambria Math" w:hAnsi="Cambria Math"/>
            </w:rPr>
            <m:t>u=g</m:t>
          </m:r>
        </m:oMath>
      </m:oMathPara>
    </w:p>
    <w:p w:rsidR="0083266C" w:rsidRDefault="0083266C" w:rsidP="000C5E2C">
      <w:pPr>
        <w:pStyle w:val="Caption"/>
      </w:pPr>
      <w:proofErr w:type="gramStart"/>
      <w:r w:rsidRPr="00317688">
        <w:t xml:space="preserve">Equation </w:t>
      </w:r>
      <w:r w:rsidR="007511FA">
        <w:fldChar w:fldCharType="begin"/>
      </w:r>
      <w:r w:rsidR="00AE17F8">
        <w:instrText xml:space="preserve"> STYLEREF 1 \s </w:instrText>
      </w:r>
      <w:r w:rsidR="007511FA">
        <w:fldChar w:fldCharType="separate"/>
      </w:r>
      <w:r w:rsidR="00D5167B">
        <w:rPr>
          <w:noProof/>
        </w:rPr>
        <w:t>9</w:t>
      </w:r>
      <w:r w:rsidR="007511FA">
        <w:fldChar w:fldCharType="end"/>
      </w:r>
      <w:r w:rsidR="00220B7D">
        <w:t>.</w:t>
      </w:r>
      <w:proofErr w:type="gramEnd"/>
      <w:r w:rsidR="007511FA">
        <w:fldChar w:fldCharType="begin"/>
      </w:r>
      <w:r w:rsidR="00220B7D">
        <w:instrText xml:space="preserve"> SEQ Equation \* ARABIC \s 1 </w:instrText>
      </w:r>
      <w:r w:rsidR="007511FA">
        <w:fldChar w:fldCharType="separate"/>
      </w:r>
      <w:r w:rsidR="00D5167B">
        <w:rPr>
          <w:noProof/>
        </w:rPr>
        <w:t>21</w:t>
      </w:r>
      <w:r w:rsidR="007511FA">
        <w:fldChar w:fldCharType="end"/>
      </w:r>
    </w:p>
    <w:p w:rsidR="000C5E2C" w:rsidRDefault="0083266C" w:rsidP="00D81F46">
      <w:pPr>
        <w:spacing w:line="240" w:lineRule="auto"/>
        <w:ind w:firstLine="0"/>
        <w:jc w:val="center"/>
        <w:rPr>
          <w:rFonts w:eastAsiaTheme="minorEastAsia"/>
        </w:rPr>
      </w:pPr>
      <m:oMathPara>
        <m:oMath>
          <m:r>
            <w:rPr>
              <w:rFonts w:ascii="Cambria Math" w:hAnsi="Cambria Math"/>
            </w:rPr>
            <w:lastRenderedPageBreak/>
            <m:t>n∙</m:t>
          </m:r>
          <m:d>
            <m:dPr>
              <m:ctrlPr>
                <w:rPr>
                  <w:rFonts w:ascii="Cambria Math" w:hAnsi="Cambria Math"/>
                  <w:i/>
                </w:rPr>
              </m:ctrlPr>
            </m:dPr>
            <m:e>
              <m:sSub>
                <m:sSubPr>
                  <m:ctrlPr>
                    <w:rPr>
                      <w:rFonts w:ascii="Cambria Math" w:hAnsi="Cambria Math"/>
                      <w:i/>
                    </w:rPr>
                  </m:ctrlPr>
                </m:sSubPr>
                <m:e>
                  <m:d>
                    <m:dPr>
                      <m:ctrlPr>
                        <w:rPr>
                          <w:rFonts w:ascii="Cambria Math" w:hAnsi="Cambria Math"/>
                          <w:i/>
                        </w:rPr>
                      </m:ctrlPr>
                    </m:dPr>
                    <m:e>
                      <m:r>
                        <w:rPr>
                          <w:rFonts w:ascii="Cambria Math" w:hAnsi="Cambria Math"/>
                        </w:rPr>
                        <m:t>D</m:t>
                      </m:r>
                      <m:r>
                        <m:rPr>
                          <m:sty m:val="p"/>
                        </m:rPr>
                        <w:rPr>
                          <w:rFonts w:ascii="Cambria Math" w:hAnsi="Cambria Math"/>
                        </w:rPr>
                        <m:t>∇ϕ</m:t>
                      </m:r>
                    </m:e>
                  </m:d>
                </m:e>
                <m:sub>
                  <m:r>
                    <w:rPr>
                      <w:rFonts w:ascii="Cambria Math" w:hAnsi="Cambria Math"/>
                    </w:rPr>
                    <m:t>1</m:t>
                  </m:r>
                </m:sub>
              </m:sSub>
              <m:r>
                <w:rPr>
                  <w:rFonts w:ascii="Cambria Math" w:hAnsi="Cambria Math"/>
                </w:rPr>
                <m:t>-</m:t>
              </m:r>
              <m:sSub>
                <m:sSubPr>
                  <m:ctrlPr>
                    <w:rPr>
                      <w:rFonts w:ascii="Cambria Math" w:hAnsi="Cambria Math"/>
                      <w:i/>
                    </w:rPr>
                  </m:ctrlPr>
                </m:sSubPr>
                <m:e>
                  <m:d>
                    <m:dPr>
                      <m:ctrlPr>
                        <w:rPr>
                          <w:rFonts w:ascii="Cambria Math" w:hAnsi="Cambria Math"/>
                          <w:i/>
                        </w:rPr>
                      </m:ctrlPr>
                    </m:dPr>
                    <m:e>
                      <m:r>
                        <w:rPr>
                          <w:rFonts w:ascii="Cambria Math" w:hAnsi="Cambria Math"/>
                        </w:rPr>
                        <m:t>D</m:t>
                      </m:r>
                      <m:r>
                        <m:rPr>
                          <m:sty m:val="p"/>
                        </m:rPr>
                        <w:rPr>
                          <w:rFonts w:ascii="Cambria Math" w:hAnsi="Cambria Math"/>
                        </w:rPr>
                        <m:t>∇ϕ</m:t>
                      </m:r>
                    </m:e>
                  </m:d>
                </m:e>
                <m:sub>
                  <m:r>
                    <w:rPr>
                      <w:rFonts w:ascii="Cambria Math" w:hAnsi="Cambria Math"/>
                    </w:rPr>
                    <m:t>2</m:t>
                  </m:r>
                </m:sub>
              </m:sSub>
            </m:e>
          </m:d>
          <m:r>
            <m:rPr>
              <m:sty m:val="p"/>
            </m:rPr>
            <w:rPr>
              <w:rFonts w:ascii="Cambria Math" w:hAnsi="Cambria Math"/>
            </w:rPr>
            <m:t>=0</m:t>
          </m:r>
        </m:oMath>
      </m:oMathPara>
    </w:p>
    <w:p w:rsidR="0083266C" w:rsidRPr="000C5E2C" w:rsidRDefault="0083266C" w:rsidP="000C5E2C">
      <w:pPr>
        <w:pStyle w:val="Caption"/>
        <w:rPr>
          <w:szCs w:val="20"/>
        </w:rPr>
      </w:pPr>
      <w:bookmarkStart w:id="351" w:name="_Ref285540910"/>
      <w:proofErr w:type="gramStart"/>
      <w:r w:rsidRPr="000C5E2C">
        <w:rPr>
          <w:szCs w:val="20"/>
        </w:rPr>
        <w:t xml:space="preserve">Equation </w:t>
      </w:r>
      <w:r w:rsidR="007511FA">
        <w:rPr>
          <w:szCs w:val="20"/>
        </w:rPr>
        <w:fldChar w:fldCharType="begin"/>
      </w:r>
      <w:r w:rsidR="00220B7D">
        <w:rPr>
          <w:szCs w:val="20"/>
        </w:rPr>
        <w:instrText xml:space="preserve"> STYLEREF 1 \s </w:instrText>
      </w:r>
      <w:r w:rsidR="007511FA">
        <w:rPr>
          <w:szCs w:val="20"/>
        </w:rPr>
        <w:fldChar w:fldCharType="separate"/>
      </w:r>
      <w:r w:rsidR="00D5167B">
        <w:rPr>
          <w:noProof/>
          <w:szCs w:val="20"/>
        </w:rPr>
        <w:t>9</w:t>
      </w:r>
      <w:r w:rsidR="007511FA">
        <w:rPr>
          <w:szCs w:val="20"/>
        </w:rPr>
        <w:fldChar w:fldCharType="end"/>
      </w:r>
      <w:r w:rsidR="00220B7D">
        <w:rPr>
          <w:szCs w:val="20"/>
        </w:rPr>
        <w:t>.</w:t>
      </w:r>
      <w:proofErr w:type="gramEnd"/>
      <w:r w:rsidR="007511FA">
        <w:rPr>
          <w:szCs w:val="20"/>
        </w:rPr>
        <w:fldChar w:fldCharType="begin"/>
      </w:r>
      <w:r w:rsidR="00220B7D">
        <w:rPr>
          <w:szCs w:val="20"/>
        </w:rPr>
        <w:instrText xml:space="preserve"> SEQ Equation \* ARABIC \s 1 </w:instrText>
      </w:r>
      <w:r w:rsidR="007511FA">
        <w:rPr>
          <w:szCs w:val="20"/>
        </w:rPr>
        <w:fldChar w:fldCharType="separate"/>
      </w:r>
      <w:r w:rsidR="00D5167B">
        <w:rPr>
          <w:noProof/>
          <w:szCs w:val="20"/>
        </w:rPr>
        <w:t>22</w:t>
      </w:r>
      <w:r w:rsidR="007511FA">
        <w:rPr>
          <w:szCs w:val="20"/>
        </w:rPr>
        <w:fldChar w:fldCharType="end"/>
      </w:r>
      <w:bookmarkEnd w:id="351"/>
    </w:p>
    <w:p w:rsidR="00B12830" w:rsidRPr="00317688" w:rsidRDefault="00B12830" w:rsidP="00B12830">
      <w:pPr>
        <w:rPr>
          <w:b/>
          <w:sz w:val="20"/>
          <w:szCs w:val="20"/>
        </w:rPr>
      </w:pPr>
    </w:p>
    <w:p w:rsidR="0083266C" w:rsidRDefault="0083266C" w:rsidP="00CF2AE2">
      <w:r w:rsidRPr="00790CDE">
        <w:t xml:space="preserve">COMSOL provides an adaptive mesh refinement </w:t>
      </w:r>
      <w:r>
        <w:t>algorithm that</w:t>
      </w:r>
      <w:r w:rsidRPr="00790CDE">
        <w:t xml:space="preserve"> provides an iterative solution scheme to update the mesh based on the results from the solution.  In this manner, machine accuracy may be obtained in the solution, thus yielding only round</w:t>
      </w:r>
      <w:r>
        <w:t>-</w:t>
      </w:r>
      <w:r w:rsidRPr="00790CDE">
        <w:t>off error left in the solution.</w:t>
      </w:r>
      <w:r>
        <w:t xml:space="preserve">  The automatic mesh refinement algorithm was used to solve the diffusion equations using a sequence of refined meshes.  The predefined “extremely course” triangular mesh was used as the initial mesh and was refined five times by the “longest edge” refinement method.  When using the “longest edge” refinement method, the longest edge of the triangles that are determined to have the largest errors are bisected in order to increase the number of elements in areas of largest numerical  error.  The initial mesh was used to solve the system of PDEs and was improved by computing local mesh element error indicators, </w:t>
      </w:r>
      <w:r w:rsidRPr="008B41D6">
        <w:rPr>
          <w:i/>
        </w:rPr>
        <w:t>(f(</w:t>
      </w:r>
      <w:proofErr w:type="spellStart"/>
      <w:r w:rsidRPr="008B41D6">
        <w:rPr>
          <w:i/>
        </w:rPr>
        <w:t>i,j</w:t>
      </w:r>
      <w:proofErr w:type="spellEnd"/>
      <w:r w:rsidRPr="008B41D6">
        <w:rPr>
          <w:i/>
        </w:rPr>
        <w:t>)h(j)</w:t>
      </w:r>
      <w:r w:rsidRPr="008B41D6">
        <w:rPr>
          <w:rFonts w:cstheme="minorHAnsi"/>
          <w:i/>
          <w:vertAlign w:val="superscript"/>
        </w:rPr>
        <w:t>β</w:t>
      </w:r>
      <w:r w:rsidRPr="008B41D6">
        <w:rPr>
          <w:i/>
          <w:vertAlign w:val="superscript"/>
        </w:rPr>
        <w:t>(</w:t>
      </w:r>
      <w:proofErr w:type="spellStart"/>
      <w:r w:rsidRPr="008B41D6">
        <w:rPr>
          <w:i/>
          <w:vertAlign w:val="superscript"/>
        </w:rPr>
        <w:t>i</w:t>
      </w:r>
      <w:proofErr w:type="spellEnd"/>
      <w:r w:rsidRPr="008B41D6">
        <w:rPr>
          <w:i/>
          <w:vertAlign w:val="superscript"/>
        </w:rPr>
        <w:t>)</w:t>
      </w:r>
      <w:r w:rsidRPr="008B41D6">
        <w:rPr>
          <w:i/>
        </w:rPr>
        <w:t>)</w:t>
      </w:r>
      <w:proofErr w:type="spellStart"/>
      <w:r w:rsidRPr="008B41D6">
        <w:rPr>
          <w:rFonts w:cstheme="minorHAnsi"/>
          <w:i/>
          <w:vertAlign w:val="superscript"/>
        </w:rPr>
        <w:t>α</w:t>
      </w:r>
      <w:r w:rsidRPr="008B41D6">
        <w:rPr>
          <w:i/>
        </w:rPr>
        <w:t>Vol</w:t>
      </w:r>
      <w:proofErr w:type="spellEnd"/>
      <w:r w:rsidRPr="008B41D6">
        <w:rPr>
          <w:i/>
        </w:rPr>
        <w:t>(j)</w:t>
      </w:r>
      <w:r w:rsidRPr="008B41D6">
        <w:t>,</w:t>
      </w:r>
      <w:r>
        <w:t xml:space="preserve"> and refining the mesh where the errors are largest.  The local error indicators depend on the equation number (</w:t>
      </w:r>
      <w:proofErr w:type="spellStart"/>
      <w:r w:rsidRPr="008B41D6">
        <w:rPr>
          <w:i/>
        </w:rPr>
        <w:t>i</w:t>
      </w:r>
      <w:proofErr w:type="spellEnd"/>
      <w:r>
        <w:t>), the mesh element number (</w:t>
      </w:r>
      <w:r w:rsidRPr="008B41D6">
        <w:rPr>
          <w:i/>
        </w:rPr>
        <w:t>j</w:t>
      </w:r>
      <w:r>
        <w:t>), the mesh element size (</w:t>
      </w:r>
      <w:r w:rsidRPr="008B41D6">
        <w:rPr>
          <w:i/>
        </w:rPr>
        <w:t>h</w:t>
      </w:r>
      <w:r>
        <w:t>), and the mesh element volume (</w:t>
      </w:r>
      <w:proofErr w:type="spellStart"/>
      <w:r w:rsidRPr="008B41D6">
        <w:rPr>
          <w:i/>
        </w:rPr>
        <w:t>Vol</w:t>
      </w:r>
      <w:proofErr w:type="spellEnd"/>
      <w:r>
        <w:t>).  The global error is estimated by taking the sum of the local error estimates.  The mesh refinement loop continues until the maximum number of refinements is reached or the maximum number of elements is obtained, both of which are user-defined values</w:t>
      </w:r>
      <w:r w:rsidR="006B5D42">
        <w:t xml:space="preserve"> </w:t>
      </w:r>
      <w:r w:rsidR="007511FA">
        <w:fldChar w:fldCharType="begin"/>
      </w:r>
      <w:r w:rsidR="006B5D42">
        <w:instrText xml:space="preserve"> REF _Ref285636781 \n \h </w:instrText>
      </w:r>
      <w:r w:rsidR="007511FA">
        <w:fldChar w:fldCharType="separate"/>
      </w:r>
      <w:r w:rsidR="00D5167B">
        <w:t>[64]</w:t>
      </w:r>
      <w:r w:rsidR="007511FA">
        <w:fldChar w:fldCharType="end"/>
      </w:r>
      <w:r>
        <w:t>.</w:t>
      </w:r>
    </w:p>
    <w:p w:rsidR="0083266C" w:rsidRDefault="0083266C" w:rsidP="00CF2AE2">
      <w:r>
        <w:t>Mesh quality, as described in</w:t>
      </w:r>
      <w:r w:rsidR="006B5D42">
        <w:t xml:space="preserve"> </w:t>
      </w:r>
      <w:r w:rsidR="007511FA">
        <w:fldChar w:fldCharType="begin"/>
      </w:r>
      <w:r w:rsidR="006B5D42">
        <w:instrText xml:space="preserve"> REF _Ref285638622 \n \h </w:instrText>
      </w:r>
      <w:r w:rsidR="007511FA">
        <w:fldChar w:fldCharType="separate"/>
      </w:r>
      <w:r w:rsidR="00D5167B">
        <w:t>[104]</w:t>
      </w:r>
      <w:r w:rsidR="007511FA">
        <w:fldChar w:fldCharType="end"/>
      </w:r>
      <w:r>
        <w:t>, concerns the characteristics of a mesh that permit a particular numerical</w:t>
      </w:r>
      <w:r w:rsidRPr="001753C4">
        <w:t xml:space="preserve"> PDE</w:t>
      </w:r>
      <w:r>
        <w:t xml:space="preserve"> simulation to be efficiently performed, with fidelity to the underlying physics, and with the accuracy required for the problem.  The mesh quality influences the convergence, accuracy, and efficiency of finite-element-based simulations.  </w:t>
      </w:r>
      <w:r w:rsidRPr="00144D21">
        <w:t xml:space="preserve">Since the mesh quality is based on the geometry and the aspect ratio of the element, and </w:t>
      </w:r>
      <w:proofErr w:type="gramStart"/>
      <w:r w:rsidRPr="00144D21">
        <w:t>not the actual physics being solved, the mesh quality shown is not necessarily an indicator of solution ability</w:t>
      </w:r>
      <w:proofErr w:type="gramEnd"/>
      <w:r w:rsidRPr="00144D21">
        <w:t>.  However</w:t>
      </w:r>
      <w:r>
        <w:t xml:space="preserve">, the COMSOL documentation </w:t>
      </w:r>
      <w:r w:rsidR="007511FA">
        <w:fldChar w:fldCharType="begin"/>
      </w:r>
      <w:r w:rsidR="006B5D42">
        <w:instrText xml:space="preserve"> REF _Ref285636781 \n \h </w:instrText>
      </w:r>
      <w:r w:rsidR="007511FA">
        <w:fldChar w:fldCharType="separate"/>
      </w:r>
      <w:r w:rsidR="00D5167B">
        <w:t>[64]</w:t>
      </w:r>
      <w:r w:rsidR="007511FA">
        <w:fldChar w:fldCharType="end"/>
      </w:r>
      <w:r w:rsidR="006B5D42">
        <w:t xml:space="preserve"> </w:t>
      </w:r>
      <w:r>
        <w:t>states that if the quality is at least greater than 0.3, then the mesh quality is sufficient to obtain an accurate solution.</w:t>
      </w:r>
    </w:p>
    <w:p w:rsidR="0083266C" w:rsidRDefault="0083266C" w:rsidP="00CF2AE2">
      <w:pPr>
        <w:rPr>
          <w:rFonts w:eastAsiaTheme="minorEastAsia"/>
        </w:rPr>
      </w:pPr>
      <w:r>
        <w:rPr>
          <w:rFonts w:eastAsiaTheme="minorEastAsia"/>
        </w:rPr>
        <w:lastRenderedPageBreak/>
        <w:t>A</w:t>
      </w:r>
      <w:r w:rsidRPr="003817C2">
        <w:rPr>
          <w:rFonts w:eastAsiaTheme="minorEastAsia"/>
        </w:rPr>
        <w:t xml:space="preserve"> </w:t>
      </w:r>
      <w:r>
        <w:rPr>
          <w:rFonts w:eastAsiaTheme="minorEastAsia"/>
        </w:rPr>
        <w:t>d</w:t>
      </w:r>
      <w:r w:rsidRPr="003817C2">
        <w:rPr>
          <w:rFonts w:eastAsiaTheme="minorEastAsia"/>
        </w:rPr>
        <w:t>irect (PARDISO) linear system solver was chosen in the solver parameters dialog box because it is more efficient and uses less memory than other solvers.  The PARDISO</w:t>
      </w:r>
      <w:r>
        <w:rPr>
          <w:rFonts w:eastAsiaTheme="minorEastAsia"/>
        </w:rPr>
        <w:t xml:space="preserve"> solver is a direct solver for sparse symmetric and </w:t>
      </w:r>
      <w:proofErr w:type="spellStart"/>
      <w:r>
        <w:rPr>
          <w:rFonts w:eastAsiaTheme="minorEastAsia"/>
        </w:rPr>
        <w:t>unsymmetric</w:t>
      </w:r>
      <w:proofErr w:type="spellEnd"/>
      <w:r>
        <w:rPr>
          <w:rFonts w:eastAsiaTheme="minorEastAsia"/>
        </w:rPr>
        <w:t xml:space="preserve"> linear systems (Ax=b) of equations.  In diffusion theory, the matrix A represents the destruction matrix [leakage, absorption, and downscatter (for the fast flux group only)], x is the neutron flux, and b is the production vector [fission and downscatter (for the thermal group only)].</w:t>
      </w:r>
    </w:p>
    <w:p w:rsidR="007822D7" w:rsidRDefault="0083266C" w:rsidP="007822D7">
      <w:pPr>
        <w:rPr>
          <w:rFonts w:eastAsiaTheme="minorEastAsia"/>
        </w:rPr>
      </w:pPr>
      <w:r>
        <w:rPr>
          <w:rFonts w:eastAsiaTheme="minorEastAsia"/>
        </w:rPr>
        <w:t xml:space="preserve">Referring to </w:t>
      </w:r>
      <w:r w:rsidR="007511FA">
        <w:rPr>
          <w:rFonts w:eastAsiaTheme="minorEastAsia"/>
        </w:rPr>
        <w:fldChar w:fldCharType="begin"/>
      </w:r>
      <w:r w:rsidR="007822D7">
        <w:rPr>
          <w:rFonts w:eastAsiaTheme="minorEastAsia"/>
        </w:rPr>
        <w:instrText xml:space="preserve"> REF _Ref285540756 \h </w:instrText>
      </w:r>
      <w:r w:rsidR="007511FA">
        <w:rPr>
          <w:rFonts w:eastAsiaTheme="minorEastAsia"/>
        </w:rPr>
      </w:r>
      <w:r w:rsidR="007511FA">
        <w:rPr>
          <w:rFonts w:eastAsiaTheme="minorEastAsia"/>
        </w:rPr>
        <w:fldChar w:fldCharType="separate"/>
      </w:r>
      <w:r w:rsidR="00D5167B" w:rsidRPr="00317688">
        <w:t xml:space="preserve">Equation </w:t>
      </w:r>
      <w:r w:rsidR="00D5167B">
        <w:rPr>
          <w:noProof/>
        </w:rPr>
        <w:t>9</w:t>
      </w:r>
      <w:r w:rsidR="00D5167B">
        <w:t>.</w:t>
      </w:r>
      <w:r w:rsidR="00D5167B">
        <w:rPr>
          <w:noProof/>
        </w:rPr>
        <w:t>13</w:t>
      </w:r>
      <w:r w:rsidR="007511FA">
        <w:rPr>
          <w:rFonts w:eastAsiaTheme="minorEastAsia"/>
        </w:rPr>
        <w:fldChar w:fldCharType="end"/>
      </w:r>
      <w:r w:rsidR="007822D7">
        <w:rPr>
          <w:rFonts w:eastAsiaTheme="minorEastAsia"/>
        </w:rPr>
        <w:t xml:space="preserve"> through </w:t>
      </w:r>
      <w:r w:rsidR="007511FA">
        <w:rPr>
          <w:rFonts w:eastAsiaTheme="minorEastAsia"/>
        </w:rPr>
        <w:fldChar w:fldCharType="begin"/>
      </w:r>
      <w:r w:rsidR="007822D7">
        <w:rPr>
          <w:rFonts w:eastAsiaTheme="minorEastAsia"/>
        </w:rPr>
        <w:instrText xml:space="preserve"> REF _Ref285540788 \h </w:instrText>
      </w:r>
      <w:r w:rsidR="007511FA">
        <w:rPr>
          <w:rFonts w:eastAsiaTheme="minorEastAsia"/>
        </w:rPr>
      </w:r>
      <w:r w:rsidR="007511FA">
        <w:rPr>
          <w:rFonts w:eastAsiaTheme="minorEastAsia"/>
        </w:rPr>
        <w:fldChar w:fldCharType="separate"/>
      </w:r>
      <w:r w:rsidR="00D5167B" w:rsidRPr="00317688">
        <w:t xml:space="preserve">Equation </w:t>
      </w:r>
      <w:r w:rsidR="00D5167B">
        <w:rPr>
          <w:noProof/>
        </w:rPr>
        <w:t>9</w:t>
      </w:r>
      <w:r w:rsidR="00D5167B">
        <w:t>.</w:t>
      </w:r>
      <w:r w:rsidR="00D5167B">
        <w:rPr>
          <w:noProof/>
        </w:rPr>
        <w:t>16</w:t>
      </w:r>
      <w:r w:rsidR="007511FA">
        <w:rPr>
          <w:rFonts w:eastAsiaTheme="minorEastAsia"/>
        </w:rPr>
        <w:fldChar w:fldCharType="end"/>
      </w:r>
      <w:r>
        <w:rPr>
          <w:rFonts w:eastAsiaTheme="minorEastAsia"/>
        </w:rPr>
        <w:t xml:space="preserve">, static eigenvalue problems in COMSOL are setup similarly to time-dependent problems by linking the time derivative, </w:t>
      </w:r>
      <w:r w:rsidRPr="00AA4696">
        <w:rPr>
          <w:rFonts w:eastAsiaTheme="minorEastAsia" w:cstheme="minorHAnsi"/>
        </w:rPr>
        <w:t>∂</w:t>
      </w:r>
      <w:r>
        <w:rPr>
          <w:rFonts w:eastAsiaTheme="minorEastAsia" w:cstheme="minorHAnsi"/>
        </w:rPr>
        <w:t>ϕ</w:t>
      </w:r>
      <w:r w:rsidRPr="00AA4696">
        <w:rPr>
          <w:rFonts w:eastAsiaTheme="minorEastAsia" w:cstheme="minorHAnsi"/>
        </w:rPr>
        <w:t>/∂t</w:t>
      </w:r>
      <w:r>
        <w:rPr>
          <w:rFonts w:eastAsiaTheme="minorEastAsia" w:cstheme="minorHAnsi"/>
        </w:rPr>
        <w:t>, to the eigenvalue, λ.  Thus, for a critical system (k</w:t>
      </w:r>
      <w:r>
        <w:rPr>
          <w:rFonts w:eastAsiaTheme="minorEastAsia" w:cstheme="minorHAnsi"/>
          <w:vertAlign w:val="subscript"/>
        </w:rPr>
        <w:t>eff</w:t>
      </w:r>
      <w:r>
        <w:rPr>
          <w:rFonts w:eastAsiaTheme="minorEastAsia" w:cstheme="minorHAnsi"/>
        </w:rPr>
        <w:t xml:space="preserve"> = unity), the eigenvalue, λ, is equal to zero according to the set of PDEs being solved and therefore a</w:t>
      </w:r>
      <w:r>
        <w:rPr>
          <w:rFonts w:eastAsiaTheme="minorEastAsia"/>
        </w:rPr>
        <w:t xml:space="preserve"> desired eigenvalue of 0 was defined and the eigenvalue linearization point was set to </w:t>
      </w:r>
      <w:r w:rsidRPr="00EA3FD8">
        <w:rPr>
          <w:rFonts w:eastAsiaTheme="minorEastAsia"/>
        </w:rPr>
        <w:t>0</w:t>
      </w:r>
      <w:r>
        <w:rPr>
          <w:rFonts w:eastAsiaTheme="minorEastAsia"/>
        </w:rPr>
        <w:t>.</w:t>
      </w:r>
    </w:p>
    <w:p w:rsidR="00D81F46" w:rsidRDefault="00D81F46" w:rsidP="007822D7">
      <w:pPr>
        <w:rPr>
          <w:rFonts w:eastAsiaTheme="minorEastAsia"/>
        </w:rPr>
      </w:pPr>
    </w:p>
    <w:p w:rsidR="00A27A1E" w:rsidRDefault="00CF2AE2" w:rsidP="00AA149C">
      <w:pPr>
        <w:pStyle w:val="Heading2"/>
        <w:rPr>
          <w:rFonts w:eastAsiaTheme="minorEastAsia"/>
        </w:rPr>
      </w:pPr>
      <w:bookmarkStart w:id="352" w:name="_Toc295818164"/>
      <w:r>
        <w:rPr>
          <w:rFonts w:eastAsiaTheme="minorEastAsia"/>
        </w:rPr>
        <w:t>NEWT/</w:t>
      </w:r>
      <w:r w:rsidR="00A27A1E">
        <w:rPr>
          <w:rFonts w:eastAsiaTheme="minorEastAsia"/>
        </w:rPr>
        <w:t>COMSOL Two-Group Flux Results</w:t>
      </w:r>
      <w:bookmarkEnd w:id="352"/>
    </w:p>
    <w:p w:rsidR="00CF2AE2" w:rsidRDefault="00CF2AE2" w:rsidP="00CF2AE2">
      <w:r>
        <w:t xml:space="preserve">The NEWT code in the SCALE 6 system was used to model HFIR and generate the two-group macroscopic cross sections needed to solve the diffusion equations by calculating zone-averaged neutron fluxes and then using them to collapse the 238-group ENDF/B-VII cross section library to a two-group structure.  The effective multiplication factor for the defined configuration was calculated to be </w:t>
      </w:r>
      <w:r w:rsidRPr="00EA3FD8">
        <w:t>1.0033</w:t>
      </w:r>
      <w:r>
        <w:t>.  The thermal (10</w:t>
      </w:r>
      <w:r>
        <w:rPr>
          <w:vertAlign w:val="superscript"/>
        </w:rPr>
        <w:t>-5</w:t>
      </w:r>
      <w:r>
        <w:t xml:space="preserve"> &lt; E &lt; 3 </w:t>
      </w:r>
      <w:proofErr w:type="spellStart"/>
      <w:r>
        <w:t>eV</w:t>
      </w:r>
      <w:proofErr w:type="spellEnd"/>
      <w:r>
        <w:t xml:space="preserve">) and fast (3 </w:t>
      </w:r>
      <w:proofErr w:type="spellStart"/>
      <w:r>
        <w:t>eV</w:t>
      </w:r>
      <w:proofErr w:type="spellEnd"/>
      <w:r>
        <w:t xml:space="preserve"> &lt; E &lt; 20 </w:t>
      </w:r>
      <w:proofErr w:type="spellStart"/>
      <w:r>
        <w:t>MeV</w:t>
      </w:r>
      <w:proofErr w:type="spellEnd"/>
      <w:r>
        <w:t xml:space="preserve">) neutron flux distributions as calculated with NEWT are depicted in </w:t>
      </w:r>
      <w:r w:rsidR="007511FA">
        <w:fldChar w:fldCharType="begin"/>
      </w:r>
      <w:r w:rsidR="000C5E2C">
        <w:instrText xml:space="preserve"> REF _Ref285539915 \h </w:instrText>
      </w:r>
      <w:r w:rsidR="007511FA">
        <w:fldChar w:fldCharType="separate"/>
      </w:r>
      <w:r w:rsidR="00D5167B">
        <w:t xml:space="preserve">Figure </w:t>
      </w:r>
      <w:r w:rsidR="00D5167B">
        <w:rPr>
          <w:noProof/>
        </w:rPr>
        <w:t>9</w:t>
      </w:r>
      <w:r w:rsidR="00D5167B">
        <w:t>.</w:t>
      </w:r>
      <w:r w:rsidR="00D5167B">
        <w:rPr>
          <w:noProof/>
        </w:rPr>
        <w:t>5</w:t>
      </w:r>
      <w:r w:rsidR="007511FA">
        <w:fldChar w:fldCharType="end"/>
      </w:r>
      <w:r>
        <w:t xml:space="preserve"> and </w:t>
      </w:r>
      <w:r w:rsidR="007511FA">
        <w:fldChar w:fldCharType="begin"/>
      </w:r>
      <w:r w:rsidR="000C5E2C">
        <w:instrText xml:space="preserve"> REF _Ref285539919 \h </w:instrText>
      </w:r>
      <w:r w:rsidR="007511FA">
        <w:fldChar w:fldCharType="separate"/>
      </w:r>
      <w:r w:rsidR="00D5167B">
        <w:t xml:space="preserve">Figure </w:t>
      </w:r>
      <w:r w:rsidR="00D5167B">
        <w:rPr>
          <w:noProof/>
        </w:rPr>
        <w:t>9</w:t>
      </w:r>
      <w:r w:rsidR="00D5167B">
        <w:t>.</w:t>
      </w:r>
      <w:r w:rsidR="00D5167B">
        <w:rPr>
          <w:noProof/>
        </w:rPr>
        <w:t>6</w:t>
      </w:r>
      <w:r w:rsidR="007511FA">
        <w:fldChar w:fldCharType="end"/>
      </w:r>
      <w:r>
        <w:t xml:space="preserve">, respectively.  In these figures, the neutron flux is viewed by the color spectrum scale whereby the red color represents the largest flux and the blue represents the smallest flux.  Due to the very fine mesh applied around the CEs, it is difficult to see the flux profile in and around them.  A very fine mesh is needed for the discrete representation of the model of HFIR since it is a very compact HEU loaded core and thus there are sharp gradients in the fluxes.  The steepest gradients occur near the edges of the fuel elements where the neutrons are moving from fuel </w:t>
      </w:r>
      <w:r>
        <w:lastRenderedPageBreak/>
        <w:t>regions to moderating [water (FT and flow channels) and beryllium] and absorbing (control elements) regions.</w:t>
      </w:r>
    </w:p>
    <w:p w:rsidR="00CF2AE2" w:rsidRDefault="00CF2AE2" w:rsidP="00CF2AE2">
      <w:r>
        <w:t xml:space="preserve">The thermal and fast neutron flux distributions as calculated with COMSOL are shown in </w:t>
      </w:r>
      <w:r w:rsidR="007511FA">
        <w:fldChar w:fldCharType="begin"/>
      </w:r>
      <w:r w:rsidR="000C5E2C">
        <w:instrText xml:space="preserve"> REF _Ref285539928 \h </w:instrText>
      </w:r>
      <w:r w:rsidR="007511FA">
        <w:fldChar w:fldCharType="separate"/>
      </w:r>
      <w:r w:rsidR="00D5167B">
        <w:t xml:space="preserve">Figure </w:t>
      </w:r>
      <w:r w:rsidR="00D5167B">
        <w:rPr>
          <w:noProof/>
        </w:rPr>
        <w:t>9</w:t>
      </w:r>
      <w:r w:rsidR="00D5167B">
        <w:t>.</w:t>
      </w:r>
      <w:r w:rsidR="00D5167B">
        <w:rPr>
          <w:noProof/>
        </w:rPr>
        <w:t>7</w:t>
      </w:r>
      <w:r w:rsidR="007511FA">
        <w:fldChar w:fldCharType="end"/>
      </w:r>
      <w:r>
        <w:t xml:space="preserve"> and </w:t>
      </w:r>
      <w:r w:rsidR="007511FA">
        <w:fldChar w:fldCharType="begin"/>
      </w:r>
      <w:r w:rsidR="000C5E2C">
        <w:instrText xml:space="preserve"> REF _Ref285539934 \h </w:instrText>
      </w:r>
      <w:r w:rsidR="007511FA">
        <w:fldChar w:fldCharType="separate"/>
      </w:r>
      <w:r w:rsidR="00D5167B">
        <w:t xml:space="preserve">Figure </w:t>
      </w:r>
      <w:r w:rsidR="00D5167B">
        <w:rPr>
          <w:noProof/>
        </w:rPr>
        <w:t>9</w:t>
      </w:r>
      <w:r w:rsidR="00D5167B">
        <w:t>.</w:t>
      </w:r>
      <w:r w:rsidR="00D5167B">
        <w:rPr>
          <w:noProof/>
        </w:rPr>
        <w:t>8</w:t>
      </w:r>
      <w:r w:rsidR="007511FA">
        <w:fldChar w:fldCharType="end"/>
      </w:r>
      <w:r>
        <w:t xml:space="preserve">, respectively, and are in very good agreement with the NEWT results shown </w:t>
      </w:r>
      <w:r w:rsidRPr="0057248D">
        <w:t>in</w:t>
      </w:r>
      <w:r>
        <w:t xml:space="preserve"> </w:t>
      </w:r>
      <w:r w:rsidR="007511FA">
        <w:fldChar w:fldCharType="begin"/>
      </w:r>
      <w:r w:rsidR="000C5E2C">
        <w:instrText xml:space="preserve"> REF _Ref285539915 \h </w:instrText>
      </w:r>
      <w:r w:rsidR="007511FA">
        <w:fldChar w:fldCharType="separate"/>
      </w:r>
      <w:r w:rsidR="00D5167B">
        <w:t xml:space="preserve">Figure </w:t>
      </w:r>
      <w:r w:rsidR="00D5167B">
        <w:rPr>
          <w:noProof/>
        </w:rPr>
        <w:t>9</w:t>
      </w:r>
      <w:r w:rsidR="00D5167B">
        <w:t>.</w:t>
      </w:r>
      <w:r w:rsidR="00D5167B">
        <w:rPr>
          <w:noProof/>
        </w:rPr>
        <w:t>5</w:t>
      </w:r>
      <w:r w:rsidR="007511FA">
        <w:fldChar w:fldCharType="end"/>
      </w:r>
      <w:r>
        <w:t xml:space="preserve"> and </w:t>
      </w:r>
      <w:r w:rsidR="007511FA">
        <w:fldChar w:fldCharType="begin"/>
      </w:r>
      <w:r w:rsidR="000C5E2C">
        <w:instrText xml:space="preserve"> REF _Ref285539919 \h </w:instrText>
      </w:r>
      <w:r w:rsidR="007511FA">
        <w:fldChar w:fldCharType="separate"/>
      </w:r>
      <w:r w:rsidR="00D5167B">
        <w:t xml:space="preserve">Figure </w:t>
      </w:r>
      <w:r w:rsidR="00D5167B">
        <w:rPr>
          <w:noProof/>
        </w:rPr>
        <w:t>9</w:t>
      </w:r>
      <w:r w:rsidR="00D5167B">
        <w:t>.</w:t>
      </w:r>
      <w:r w:rsidR="00D5167B">
        <w:rPr>
          <w:noProof/>
        </w:rPr>
        <w:t>6</w:t>
      </w:r>
      <w:r w:rsidR="007511FA">
        <w:fldChar w:fldCharType="end"/>
      </w:r>
      <w:r w:rsidRPr="0057248D">
        <w:t xml:space="preserve">.  </w:t>
      </w:r>
      <w:r w:rsidR="007511FA">
        <w:fldChar w:fldCharType="begin"/>
      </w:r>
      <w:r w:rsidR="000C5E2C">
        <w:instrText xml:space="preserve"> REF _Ref285539928 \h </w:instrText>
      </w:r>
      <w:r w:rsidR="007511FA">
        <w:fldChar w:fldCharType="separate"/>
      </w:r>
      <w:r w:rsidR="00D5167B">
        <w:t xml:space="preserve">Figure </w:t>
      </w:r>
      <w:r w:rsidR="00D5167B">
        <w:rPr>
          <w:noProof/>
        </w:rPr>
        <w:t>9</w:t>
      </w:r>
      <w:r w:rsidR="00D5167B">
        <w:t>.</w:t>
      </w:r>
      <w:r w:rsidR="00D5167B">
        <w:rPr>
          <w:noProof/>
        </w:rPr>
        <w:t>7</w:t>
      </w:r>
      <w:r w:rsidR="007511FA">
        <w:fldChar w:fldCharType="end"/>
      </w:r>
      <w:r>
        <w:t xml:space="preserve"> and </w:t>
      </w:r>
      <w:r w:rsidR="007511FA">
        <w:fldChar w:fldCharType="begin"/>
      </w:r>
      <w:r w:rsidR="000C5E2C">
        <w:instrText xml:space="preserve"> REF _Ref285539934 \h </w:instrText>
      </w:r>
      <w:r w:rsidR="007511FA">
        <w:fldChar w:fldCharType="separate"/>
      </w:r>
      <w:r w:rsidR="00D5167B">
        <w:t xml:space="preserve">Figure </w:t>
      </w:r>
      <w:r w:rsidR="00D5167B">
        <w:rPr>
          <w:noProof/>
        </w:rPr>
        <w:t>9</w:t>
      </w:r>
      <w:r w:rsidR="00D5167B">
        <w:t>.</w:t>
      </w:r>
      <w:r w:rsidR="00D5167B">
        <w:rPr>
          <w:noProof/>
        </w:rPr>
        <w:t>8</w:t>
      </w:r>
      <w:r w:rsidR="007511FA">
        <w:fldChar w:fldCharType="end"/>
      </w:r>
      <w:r>
        <w:t xml:space="preserve"> are surface plots that show the continuous distribution of the fluxes and contour lines overlay the plots to capture the discrete curves of the solution field.  Again, the neutron flux is viewed by the color spectrum scale whereby red represents the largest flux and blue represents the smallest flux.  The square root of the thermal flux is plotted along with the thermal flux surface plot in </w:t>
      </w:r>
      <w:r w:rsidR="007511FA">
        <w:fldChar w:fldCharType="begin"/>
      </w:r>
      <w:r w:rsidR="000C5E2C">
        <w:instrText xml:space="preserve"> REF _Ref285539928 \h </w:instrText>
      </w:r>
      <w:r w:rsidR="007511FA">
        <w:fldChar w:fldCharType="separate"/>
      </w:r>
      <w:r w:rsidR="00D5167B">
        <w:t xml:space="preserve">Figure </w:t>
      </w:r>
      <w:r w:rsidR="00D5167B">
        <w:rPr>
          <w:noProof/>
        </w:rPr>
        <w:t>9</w:t>
      </w:r>
      <w:r w:rsidR="00D5167B">
        <w:t>.</w:t>
      </w:r>
      <w:r w:rsidR="00D5167B">
        <w:rPr>
          <w:noProof/>
        </w:rPr>
        <w:t>7</w:t>
      </w:r>
      <w:r w:rsidR="007511FA">
        <w:fldChar w:fldCharType="end"/>
      </w:r>
      <w:r>
        <w:t xml:space="preserve"> for the sole purpose of showing more variability in the color spectrum.  It is important to note that the square root of the flux has no physical meaning.  As mentioned in the previous paragraph, steep flux gradients are unique to the compact HFIR core, which is emphasized in </w:t>
      </w:r>
      <w:r w:rsidR="007511FA">
        <w:fldChar w:fldCharType="begin"/>
      </w:r>
      <w:r w:rsidR="000C5E2C">
        <w:instrText xml:space="preserve"> REF _Ref285539928 \h </w:instrText>
      </w:r>
      <w:r w:rsidR="007511FA">
        <w:fldChar w:fldCharType="separate"/>
      </w:r>
      <w:r w:rsidR="00D5167B">
        <w:t xml:space="preserve">Figure </w:t>
      </w:r>
      <w:r w:rsidR="00D5167B">
        <w:rPr>
          <w:noProof/>
        </w:rPr>
        <w:t>9</w:t>
      </w:r>
      <w:r w:rsidR="00D5167B">
        <w:t>.</w:t>
      </w:r>
      <w:r w:rsidR="00D5167B">
        <w:rPr>
          <w:noProof/>
        </w:rPr>
        <w:t>7</w:t>
      </w:r>
      <w:r w:rsidR="007511FA">
        <w:fldChar w:fldCharType="end"/>
      </w:r>
      <w:r>
        <w:t xml:space="preserve"> where the FT is red and all other regions are blue.</w:t>
      </w:r>
    </w:p>
    <w:p w:rsidR="00CF2AE2" w:rsidRDefault="00CF2AE2" w:rsidP="00CF2AE2">
      <w:r>
        <w:t xml:space="preserve">Region specific thermal and fast neutron flux surface plots for the FT, FE, CEs, and the beryllium reflector regions are illustrated in </w:t>
      </w:r>
      <w:r w:rsidR="007511FA">
        <w:fldChar w:fldCharType="begin"/>
      </w:r>
      <w:r w:rsidR="000C5E2C">
        <w:instrText xml:space="preserve"> REF _Ref285539979 \h </w:instrText>
      </w:r>
      <w:r w:rsidR="007511FA">
        <w:fldChar w:fldCharType="separate"/>
      </w:r>
      <w:r w:rsidR="00D5167B">
        <w:t xml:space="preserve">Figure </w:t>
      </w:r>
      <w:r w:rsidR="00D5167B">
        <w:rPr>
          <w:noProof/>
        </w:rPr>
        <w:t>9</w:t>
      </w:r>
      <w:r w:rsidR="00D5167B">
        <w:t>.</w:t>
      </w:r>
      <w:r w:rsidR="00D5167B">
        <w:rPr>
          <w:noProof/>
        </w:rPr>
        <w:t>9</w:t>
      </w:r>
      <w:r w:rsidR="007511FA">
        <w:fldChar w:fldCharType="end"/>
      </w:r>
      <w:r w:rsidRPr="000C5E2C">
        <w:t xml:space="preserve"> through </w:t>
      </w:r>
      <w:r w:rsidR="007511FA">
        <w:rPr>
          <w:highlight w:val="yellow"/>
        </w:rPr>
        <w:fldChar w:fldCharType="begin"/>
      </w:r>
      <w:r w:rsidR="000C5E2C">
        <w:rPr>
          <w:highlight w:val="yellow"/>
        </w:rPr>
        <w:instrText xml:space="preserve"> REF _Ref285539985 \h </w:instrText>
      </w:r>
      <w:r w:rsidR="007511FA">
        <w:rPr>
          <w:highlight w:val="yellow"/>
        </w:rPr>
      </w:r>
      <w:r w:rsidR="007511FA">
        <w:rPr>
          <w:highlight w:val="yellow"/>
        </w:rPr>
        <w:fldChar w:fldCharType="separate"/>
      </w:r>
      <w:r w:rsidR="00D5167B">
        <w:t xml:space="preserve">Figure </w:t>
      </w:r>
      <w:r w:rsidR="00D5167B">
        <w:rPr>
          <w:noProof/>
        </w:rPr>
        <w:t>9</w:t>
      </w:r>
      <w:r w:rsidR="00D5167B">
        <w:t>.</w:t>
      </w:r>
      <w:r w:rsidR="00D5167B">
        <w:rPr>
          <w:noProof/>
        </w:rPr>
        <w:t>12</w:t>
      </w:r>
      <w:r w:rsidR="007511FA">
        <w:rPr>
          <w:highlight w:val="yellow"/>
        </w:rPr>
        <w:fldChar w:fldCharType="end"/>
      </w:r>
      <w:r>
        <w:t xml:space="preserve">, </w:t>
      </w:r>
      <w:r w:rsidRPr="003817C2">
        <w:t>respectively.</w:t>
      </w:r>
      <w:r>
        <w:t xml:space="preserve">  The FT, FE, and beryllium reflector plots are bounded by the y = -30.48 cm and y = 30.48 cm planes (active fuel length is only 50.8 cm in length) and the CE surface plot shows the entire length of the elements as modeled.  The width-to-</w:t>
      </w:r>
      <w:proofErr w:type="spellStart"/>
      <w:r>
        <w:t>height</w:t>
      </w:r>
      <w:proofErr w:type="spellEnd"/>
      <w:r>
        <w:t xml:space="preserve"> ratio of the CEs was increased for better visibility of the plot and CE drawings were placed next to the plots such that the three regions (white, gray, and black) could be easily identified.</w:t>
      </w:r>
    </w:p>
    <w:p w:rsidR="00CF2AE2" w:rsidRDefault="00CF2AE2" w:rsidP="00CF2AE2">
      <w:r>
        <w:t>F</w:t>
      </w:r>
      <w:r w:rsidRPr="0057248D">
        <w:t xml:space="preserve">ast neutrons are born in the fuel regions and leak out </w:t>
      </w:r>
      <w:r>
        <w:t>into</w:t>
      </w:r>
      <w:r w:rsidRPr="0057248D">
        <w:t xml:space="preserve"> the</w:t>
      </w:r>
      <w:r>
        <w:t xml:space="preserve"> FT and beryllium reflector regions where they are moderated to lower energies.  The fast flux decreases with increasing penetration into the FT and the beryllium reflector regions because they are being </w:t>
      </w:r>
      <w:proofErr w:type="spellStart"/>
      <w:r>
        <w:t>thermalized</w:t>
      </w:r>
      <w:proofErr w:type="spellEnd"/>
      <w:r>
        <w:t>.  The thermal flux increases with increasing penetration into the FT and is greatest at center of the core.  The thermal flux also increases with increasing penetration into the beryllium reflector and is greatest (in the reflector) at a distance of approximately 4 cm into the reflector (at the horizontal midplane) and then exponentially decreases with distance out of the reflector and into the pool.</w:t>
      </w:r>
    </w:p>
    <w:p w:rsidR="00CF2AE2" w:rsidRDefault="00CF2AE2" w:rsidP="00CF2AE2">
      <w:r>
        <w:lastRenderedPageBreak/>
        <w:t>The fast flux at the horizontal midplane is greatest at the outer edge of the IFE and the inner edge of the OFE and dips slightly in the region between the FEs since fast neutrons are produced in the fuel regions and slow down in non-fuel regions due to scattering and moderating.  The fast flux decreases exponentially at the horizontal midplane as a function of distance out of the OFE and into the reflector and out of the IFE and into the FT and this is again due to these fast neutrons being moderated and scattered in the hydrogenous and beryllium regions.</w:t>
      </w:r>
    </w:p>
    <w:p w:rsidR="00CF2AE2" w:rsidRDefault="00CF2AE2" w:rsidP="00CF2AE2">
      <w:r>
        <w:t>The effect of the black CE regions is very apparent in the thermal flux plot where the color darkens around the upper and lower sections of the CEs where the black regions are located.  The thermal flux is much larger at the inner edge of the beryllium reflector at the core horizontal midplane than it is at the upper and lower sections of the reflector’s inner edge because the grey regions (moderate neutron absorbers) of the CEs are located in the center 25.4 cm region and the black regions (strong thermal neutron absorbers) of the CEs are located above and below the grey regions for the OCE and ICE, respectively.  This effect isn’t as apparent in the fast flux profile because europium has a much larger absorption cross section in the thermal group in comparison to the fast group.</w:t>
      </w:r>
    </w:p>
    <w:p w:rsidR="00CF2AE2" w:rsidRDefault="00CF2AE2" w:rsidP="00CF2AE2">
      <w:r>
        <w:t>The thermal and fast neutron fluxes at the horizontal midplane are compared to benchmarked MCNP</w:t>
      </w:r>
      <w:r w:rsidR="006B5D42">
        <w:t xml:space="preserve"> </w:t>
      </w:r>
      <w:r w:rsidR="007511FA">
        <w:fldChar w:fldCharType="begin"/>
      </w:r>
      <w:r w:rsidR="006B5D42">
        <w:instrText xml:space="preserve"> REF _Ref285636274 \n \h </w:instrText>
      </w:r>
      <w:r w:rsidR="007511FA">
        <w:fldChar w:fldCharType="separate"/>
      </w:r>
      <w:r w:rsidR="00D5167B">
        <w:t>[23]</w:t>
      </w:r>
      <w:r w:rsidR="007511FA">
        <w:fldChar w:fldCharType="end"/>
      </w:r>
      <w:r w:rsidRPr="00B7010C">
        <w:t xml:space="preserve"> and KENO</w:t>
      </w:r>
      <w:r w:rsidR="006B5D42">
        <w:t xml:space="preserve"> </w:t>
      </w:r>
      <w:r w:rsidR="007511FA">
        <w:fldChar w:fldCharType="begin"/>
      </w:r>
      <w:r w:rsidR="006B5D42">
        <w:instrText xml:space="preserve"> REF _Ref285636033 \n \h </w:instrText>
      </w:r>
      <w:r w:rsidR="007511FA">
        <w:fldChar w:fldCharType="separate"/>
      </w:r>
      <w:r w:rsidR="00D5167B">
        <w:t>[8]</w:t>
      </w:r>
      <w:r w:rsidR="007511FA">
        <w:fldChar w:fldCharType="end"/>
      </w:r>
      <w:r w:rsidRPr="00B7010C">
        <w:t xml:space="preserve"> axially</w:t>
      </w:r>
      <w:r>
        <w:t xml:space="preserve"> averaged fluxes in </w:t>
      </w:r>
      <w:r w:rsidR="007511FA">
        <w:fldChar w:fldCharType="begin"/>
      </w:r>
      <w:r w:rsidR="000C5E2C">
        <w:instrText xml:space="preserve"> REF _Ref285540004 \h </w:instrText>
      </w:r>
      <w:r w:rsidR="007511FA">
        <w:fldChar w:fldCharType="separate"/>
      </w:r>
      <w:r w:rsidR="00D5167B">
        <w:t xml:space="preserve">Figure </w:t>
      </w:r>
      <w:r w:rsidR="00D5167B">
        <w:rPr>
          <w:noProof/>
        </w:rPr>
        <w:t>9</w:t>
      </w:r>
      <w:r w:rsidR="00D5167B">
        <w:t>.</w:t>
      </w:r>
      <w:r w:rsidR="00D5167B">
        <w:rPr>
          <w:noProof/>
        </w:rPr>
        <w:t>13</w:t>
      </w:r>
      <w:r w:rsidR="007511FA">
        <w:fldChar w:fldCharType="end"/>
      </w:r>
      <w:r>
        <w:t xml:space="preserve">.  The fluxes shown in </w:t>
      </w:r>
      <w:r w:rsidR="007511FA">
        <w:fldChar w:fldCharType="begin"/>
      </w:r>
      <w:r w:rsidR="000C5E2C">
        <w:instrText xml:space="preserve"> REF _Ref285540004 \h </w:instrText>
      </w:r>
      <w:r w:rsidR="007511FA">
        <w:fldChar w:fldCharType="separate"/>
      </w:r>
      <w:r w:rsidR="00D5167B">
        <w:t xml:space="preserve">Figure </w:t>
      </w:r>
      <w:r w:rsidR="00D5167B">
        <w:rPr>
          <w:noProof/>
        </w:rPr>
        <w:t>9</w:t>
      </w:r>
      <w:r w:rsidR="00D5167B">
        <w:t>.</w:t>
      </w:r>
      <w:r w:rsidR="00D5167B">
        <w:rPr>
          <w:noProof/>
        </w:rPr>
        <w:t>13</w:t>
      </w:r>
      <w:r w:rsidR="007511FA">
        <w:fldChar w:fldCharType="end"/>
      </w:r>
      <w:r w:rsidR="000C5E2C">
        <w:t xml:space="preserve"> </w:t>
      </w:r>
      <w:r>
        <w:t xml:space="preserve">are normalized such that </w:t>
      </w:r>
      <w:proofErr w:type="spellStart"/>
      <w:r>
        <w:rPr>
          <w:rFonts w:cstheme="minorHAnsi"/>
        </w:rPr>
        <w:t>ϕ</w:t>
      </w:r>
      <w:r>
        <w:rPr>
          <w:vertAlign w:val="subscript"/>
        </w:rPr>
        <w:t>fast</w:t>
      </w:r>
      <w:proofErr w:type="gramStart"/>
      <w:r>
        <w:rPr>
          <w:vertAlign w:val="subscript"/>
        </w:rPr>
        <w:t>,max</w:t>
      </w:r>
      <w:proofErr w:type="spellEnd"/>
      <w:proofErr w:type="gramEnd"/>
      <w:r>
        <w:t xml:space="preserve"> = </w:t>
      </w:r>
      <w:proofErr w:type="spellStart"/>
      <w:r>
        <w:rPr>
          <w:rFonts w:cstheme="minorHAnsi"/>
        </w:rPr>
        <w:t>ϕ</w:t>
      </w:r>
      <w:r>
        <w:rPr>
          <w:vertAlign w:val="subscript"/>
        </w:rPr>
        <w:t>thermal,max</w:t>
      </w:r>
      <w:proofErr w:type="spellEnd"/>
      <w:r>
        <w:t xml:space="preserve"> = 1.  It is important to note that the MCNP and KENO fluxes are axially averaged because averaging impacts the flux profile.  The two-group MCNP and KENO fluxes were calculated for specific regions since they are transport calculations whereas COMSOL calculated the fluxes at mesh intervals inside regions.  The MCNP and KENO fluxes in the FT were averaged over the entire length of a few targets (50.8 cm in length), the fluxes in the FEs were averaged over their active length (50.8 cm), and the fluxes in the reflector were averaged over their length of 60.96 cm.  Also, the MCNP input is specific to cycle 400 where no transuranic targets were loaded into the FT and the KENO input was set up for depleting the reflector for numerous cycles and therefore utilized smeared poisons in </w:t>
      </w:r>
      <w:r>
        <w:lastRenderedPageBreak/>
        <w:t>the CE channel rather than explicitly modeling the CEs in order to produce cycle-averaged fluxes in the beryllium reflector.</w:t>
      </w:r>
    </w:p>
    <w:p w:rsidR="00CF2AE2" w:rsidRDefault="00CF2AE2" w:rsidP="00CF2AE2">
      <w:r>
        <w:t xml:space="preserve">Although the three models were created for three unique analyses, the flux profiles are in good agreement with each other.  The thermal flux profiles for all three models are consistent with each other, but there are small discrepancies in the fast flux profiles.  These discrepancies can be attributed to diffusion theory approximations and because the COMSOL-generated fluxes are values for a plane along the axial centerline of the core but are being compared to the axially averaged fluxes generated in MCNP and KENO (see </w:t>
      </w:r>
      <w:r w:rsidR="007511FA">
        <w:fldChar w:fldCharType="begin"/>
      </w:r>
      <w:r w:rsidR="000C5E2C">
        <w:instrText xml:space="preserve"> REF _Ref285539915 \h </w:instrText>
      </w:r>
      <w:r w:rsidR="007511FA">
        <w:fldChar w:fldCharType="separate"/>
      </w:r>
      <w:r w:rsidR="00D5167B">
        <w:t xml:space="preserve">Figure </w:t>
      </w:r>
      <w:r w:rsidR="00D5167B">
        <w:rPr>
          <w:noProof/>
        </w:rPr>
        <w:t>9</w:t>
      </w:r>
      <w:r w:rsidR="00D5167B">
        <w:t>.</w:t>
      </w:r>
      <w:r w:rsidR="00D5167B">
        <w:rPr>
          <w:noProof/>
        </w:rPr>
        <w:t>5</w:t>
      </w:r>
      <w:r w:rsidR="007511FA">
        <w:fldChar w:fldCharType="end"/>
      </w:r>
      <w:r w:rsidR="000C5E2C">
        <w:t xml:space="preserve"> - </w:t>
      </w:r>
      <w:r w:rsidR="007511FA">
        <w:fldChar w:fldCharType="begin"/>
      </w:r>
      <w:r w:rsidR="000C5E2C">
        <w:instrText xml:space="preserve"> REF _Ref285539985 \h </w:instrText>
      </w:r>
      <w:r w:rsidR="007511FA">
        <w:fldChar w:fldCharType="separate"/>
      </w:r>
      <w:r w:rsidR="00D5167B">
        <w:t xml:space="preserve">Figure </w:t>
      </w:r>
      <w:r w:rsidR="00D5167B">
        <w:rPr>
          <w:noProof/>
        </w:rPr>
        <w:t>9</w:t>
      </w:r>
      <w:r w:rsidR="00D5167B">
        <w:t>.</w:t>
      </w:r>
      <w:r w:rsidR="00D5167B">
        <w:rPr>
          <w:noProof/>
        </w:rPr>
        <w:t>12</w:t>
      </w:r>
      <w:r w:rsidR="007511FA">
        <w:fldChar w:fldCharType="end"/>
      </w:r>
      <w:r>
        <w:t>).</w:t>
      </w:r>
    </w:p>
    <w:p w:rsidR="00CF2AE2" w:rsidRDefault="00CF2AE2" w:rsidP="00CF2AE2">
      <w:r>
        <w:t xml:space="preserve">Pertinent mesh data from the COMSOL simulations for the solution based on the initial “extremely course” mesh and each of the 5 iterative solutions are listed in </w:t>
      </w:r>
      <w:r w:rsidR="007511FA">
        <w:rPr>
          <w:highlight w:val="yellow"/>
        </w:rPr>
        <w:fldChar w:fldCharType="begin"/>
      </w:r>
      <w:r w:rsidR="000C5E2C">
        <w:instrText xml:space="preserve"> REF _Ref285540075 \h </w:instrText>
      </w:r>
      <w:r w:rsidR="007511FA">
        <w:rPr>
          <w:highlight w:val="yellow"/>
        </w:rPr>
      </w:r>
      <w:r w:rsidR="007511FA">
        <w:rPr>
          <w:highlight w:val="yellow"/>
        </w:rPr>
        <w:fldChar w:fldCharType="separate"/>
      </w:r>
      <w:r w:rsidR="00D5167B">
        <w:t xml:space="preserve">Table </w:t>
      </w:r>
      <w:r w:rsidR="00D5167B">
        <w:rPr>
          <w:noProof/>
        </w:rPr>
        <w:t>9</w:t>
      </w:r>
      <w:r w:rsidR="00D5167B">
        <w:t>.</w:t>
      </w:r>
      <w:r w:rsidR="00D5167B">
        <w:rPr>
          <w:noProof/>
        </w:rPr>
        <w:t>2</w:t>
      </w:r>
      <w:r w:rsidR="007511FA">
        <w:rPr>
          <w:highlight w:val="yellow"/>
        </w:rPr>
        <w:fldChar w:fldCharType="end"/>
      </w:r>
      <w:r>
        <w:t xml:space="preserve"> and include the number of DOF, the number of mesh points, the number of elements, the minimum element quality, the global error, the memory usage, and the solution time.  During the global adaptive-mesh outer iterations, the number of DOF, mesh points, and elements increased while the global error decreased, which shows that the accuracy of the solution is increasing as the mesh is adapting and the memory usage and solution time are increasing.  </w:t>
      </w:r>
      <w:r w:rsidRPr="00AA2903">
        <w:t>The mesh quality</w:t>
      </w:r>
      <w:r>
        <w:t xml:space="preserve"> associated with the initial mesh and the mesh used on the fifth (final) refinement cases</w:t>
      </w:r>
      <w:r w:rsidRPr="00AA2903">
        <w:t xml:space="preserve"> are shown in </w:t>
      </w:r>
      <w:r w:rsidR="007511FA">
        <w:rPr>
          <w:highlight w:val="yellow"/>
        </w:rPr>
        <w:fldChar w:fldCharType="begin"/>
      </w:r>
      <w:r w:rsidR="000C5E2C">
        <w:instrText xml:space="preserve"> REF _Ref285540046 \h </w:instrText>
      </w:r>
      <w:r w:rsidR="007511FA">
        <w:rPr>
          <w:highlight w:val="yellow"/>
        </w:rPr>
      </w:r>
      <w:r w:rsidR="007511FA">
        <w:rPr>
          <w:highlight w:val="yellow"/>
        </w:rPr>
        <w:fldChar w:fldCharType="separate"/>
      </w:r>
      <w:r w:rsidR="00D5167B">
        <w:t xml:space="preserve">Figure </w:t>
      </w:r>
      <w:r w:rsidR="00D5167B">
        <w:rPr>
          <w:noProof/>
        </w:rPr>
        <w:t>9</w:t>
      </w:r>
      <w:r w:rsidR="00D5167B">
        <w:t>.</w:t>
      </w:r>
      <w:r w:rsidR="00D5167B">
        <w:rPr>
          <w:noProof/>
        </w:rPr>
        <w:t>14</w:t>
      </w:r>
      <w:r w:rsidR="007511FA">
        <w:rPr>
          <w:highlight w:val="yellow"/>
        </w:rPr>
        <w:fldChar w:fldCharType="end"/>
      </w:r>
      <w:r w:rsidRPr="00AA2903">
        <w:t>.</w:t>
      </w:r>
      <w:r>
        <w:t xml:space="preserve">  The mesh quality is viewed by the color spectrum scale whereby the red color represents the highest quality and the blue represents the lowest </w:t>
      </w:r>
      <w:r w:rsidRPr="00144D21">
        <w:t xml:space="preserve">quality.  In the six cases studied here, the minimum element quality ranges from 0.438 to 0.529, which is in the green </w:t>
      </w:r>
      <w:r>
        <w:t xml:space="preserve">color </w:t>
      </w:r>
      <w:r w:rsidRPr="00144D21">
        <w:t>range.</w:t>
      </w:r>
    </w:p>
    <w:p w:rsidR="00E76B1D" w:rsidRDefault="00CF2AE2" w:rsidP="00CF2AE2">
      <w:r>
        <w:t xml:space="preserve">Compute nodes from an ORNL Research Reactors Division cluster (named Betty) operating on a Linux platform were used for the calculations described in previous paragraphs.  The compute nodes used for these calculations each have dual AMD </w:t>
      </w:r>
      <w:proofErr w:type="spellStart"/>
      <w:r>
        <w:t>Opteron</w:t>
      </w:r>
      <w:proofErr w:type="spellEnd"/>
      <w:r>
        <w:t xml:space="preserve"> 2350 (2.0 GHz) quad-core 64-bit processors (total of 8 processors per node) and contain 64 GB of ram on each node.  Through the utilization of only a single compute node of the cluster, the solution time for the COMSOL problem with 5 mesh updates was 17.6 minutes.  The solution time required to run NEWT to generate the cross sections was approximately 9 </w:t>
      </w:r>
      <w:r>
        <w:lastRenderedPageBreak/>
        <w:t xml:space="preserve">hours and this calculation was also executed on one of the compute nodes in serial mode.  The detailed, benchmarked, cycle 400 HFIR MCNP5 model (50 million neutron histories) requires approximately 4 hours when running in parallel and distributed over 14 processors (~2.5 days in serial).  In comparison, it takes approximately 4 hours of run time for the KENO </w:t>
      </w:r>
      <w:proofErr w:type="spellStart"/>
      <w:r>
        <w:t>V.a</w:t>
      </w:r>
      <w:proofErr w:type="spellEnd"/>
      <w:r>
        <w:t>/CSAS5 and KENO-VI/CSAS6 models of HFIR to complete when running in serial and simulating 50 million and 1 million neutron histories, respectively.  The SCALE 6.0 code system, including the NEWT and KENO codes, only run in serial mode, but future releases of SCALE will allow for parallel processing.</w:t>
      </w:r>
    </w:p>
    <w:p w:rsidR="006B5D42" w:rsidRDefault="000C5E2C" w:rsidP="000C5E2C">
      <w:r w:rsidRPr="000C5E2C">
        <w:t xml:space="preserve">After performing the calculations </w:t>
      </w:r>
      <w:r>
        <w:t>described in the previous paragraphs</w:t>
      </w:r>
      <w:r w:rsidRPr="000C5E2C">
        <w:t xml:space="preserve">, </w:t>
      </w:r>
      <w:r>
        <w:t xml:space="preserve">the </w:t>
      </w:r>
      <w:r w:rsidRPr="000C5E2C">
        <w:t>NEWT</w:t>
      </w:r>
      <w:r>
        <w:t xml:space="preserve"> and COMSOL models </w:t>
      </w:r>
      <w:r w:rsidR="006B5D42">
        <w:t>were modified to incorporate a g</w:t>
      </w:r>
      <w:r>
        <w:t xml:space="preserve">adolinium rabbit as discussed in Chapter 8 </w:t>
      </w:r>
      <w:r w:rsidR="006B5D42">
        <w:t xml:space="preserve">and </w:t>
      </w:r>
      <w:r w:rsidR="007511FA">
        <w:fldChar w:fldCharType="begin"/>
      </w:r>
      <w:r w:rsidR="006B5D42">
        <w:instrText xml:space="preserve"> REF _Ref285638292 \n \h </w:instrText>
      </w:r>
      <w:r w:rsidR="007511FA">
        <w:fldChar w:fldCharType="separate"/>
      </w:r>
      <w:r w:rsidR="00D5167B">
        <w:t>[99]</w:t>
      </w:r>
      <w:r w:rsidR="007511FA">
        <w:fldChar w:fldCharType="end"/>
      </w:r>
      <w:r w:rsidR="006B5D42">
        <w:t xml:space="preserve"> </w:t>
      </w:r>
      <w:r>
        <w:t>in the flux trap target region.  C</w:t>
      </w:r>
      <w:r w:rsidRPr="000C5E2C">
        <w:t>alculations were performed to obtain the cross sections associated with the annular gadolinium shielded</w:t>
      </w:r>
      <w:r>
        <w:t xml:space="preserve"> rabbit that will be ejected from the HT in the near future.  The gadolinium rabbit was inserted into the COMSOL diffusion model at different axial locations to observe the spatial impact it has on the neutron flux.  The thermal (E &lt; 3 </w:t>
      </w:r>
      <w:proofErr w:type="spellStart"/>
      <w:r>
        <w:t>eV</w:t>
      </w:r>
      <w:proofErr w:type="spellEnd"/>
      <w:r>
        <w:t xml:space="preserve">) flux distributions are shown in </w:t>
      </w:r>
      <w:r w:rsidR="007511FA">
        <w:rPr>
          <w:highlight w:val="yellow"/>
        </w:rPr>
        <w:fldChar w:fldCharType="begin"/>
      </w:r>
      <w:r>
        <w:instrText xml:space="preserve"> REF _Ref285540057 \h </w:instrText>
      </w:r>
      <w:r w:rsidR="007511FA">
        <w:rPr>
          <w:highlight w:val="yellow"/>
        </w:rPr>
      </w:r>
      <w:r w:rsidR="007511FA">
        <w:rPr>
          <w:highlight w:val="yellow"/>
        </w:rPr>
        <w:fldChar w:fldCharType="separate"/>
      </w:r>
      <w:r w:rsidR="00D5167B">
        <w:t xml:space="preserve">Figure </w:t>
      </w:r>
      <w:r w:rsidR="00D5167B">
        <w:rPr>
          <w:noProof/>
        </w:rPr>
        <w:t>9</w:t>
      </w:r>
      <w:r w:rsidR="00D5167B">
        <w:t>.</w:t>
      </w:r>
      <w:r w:rsidR="00D5167B">
        <w:rPr>
          <w:noProof/>
        </w:rPr>
        <w:t>15</w:t>
      </w:r>
      <w:r w:rsidR="007511FA">
        <w:rPr>
          <w:highlight w:val="yellow"/>
        </w:rPr>
        <w:fldChar w:fldCharType="end"/>
      </w:r>
      <w:r>
        <w:t xml:space="preserve"> for the rabbit at the fuel axial midplane, three quarters the way up the fuel, at the top of the active fuel, and removed from the core.</w:t>
      </w:r>
      <w:r w:rsidR="006B5D42">
        <w:t xml:space="preserve">  The presence of the gadolinium rabbit in the flux trap, as observed in </w:t>
      </w:r>
      <w:r w:rsidR="007511FA">
        <w:rPr>
          <w:highlight w:val="yellow"/>
        </w:rPr>
        <w:fldChar w:fldCharType="begin"/>
      </w:r>
      <w:r w:rsidR="006B5D42">
        <w:instrText xml:space="preserve"> REF _Ref285540057 \h </w:instrText>
      </w:r>
      <w:r w:rsidR="007511FA">
        <w:rPr>
          <w:highlight w:val="yellow"/>
        </w:rPr>
      </w:r>
      <w:r w:rsidR="007511FA">
        <w:rPr>
          <w:highlight w:val="yellow"/>
        </w:rPr>
        <w:fldChar w:fldCharType="separate"/>
      </w:r>
      <w:r w:rsidR="00D5167B">
        <w:t xml:space="preserve">Figure </w:t>
      </w:r>
      <w:r w:rsidR="00D5167B">
        <w:rPr>
          <w:noProof/>
        </w:rPr>
        <w:t>9</w:t>
      </w:r>
      <w:r w:rsidR="00D5167B">
        <w:t>.</w:t>
      </w:r>
      <w:r w:rsidR="00D5167B">
        <w:rPr>
          <w:noProof/>
        </w:rPr>
        <w:t>15</w:t>
      </w:r>
      <w:r w:rsidR="007511FA">
        <w:rPr>
          <w:highlight w:val="yellow"/>
        </w:rPr>
        <w:fldChar w:fldCharType="end"/>
      </w:r>
      <w:r w:rsidR="006B5D42">
        <w:t xml:space="preserve">, reduces the thermal flux in the surrounding area and thus shifting the slow neutrons into the OFE and the beryllium reflector.  As the rabbit is ejected, positive reactivity is </w:t>
      </w:r>
      <w:proofErr w:type="spellStart"/>
      <w:r w:rsidR="006B5D42">
        <w:t>nonuniformly</w:t>
      </w:r>
      <w:proofErr w:type="spellEnd"/>
      <w:r w:rsidR="006B5D42">
        <w:t xml:space="preserve"> introduced into the core as it is travels up the hydraulic tube and away from the core.  The time-dependent spatial flux distribution caused by the ejection is one of the key </w:t>
      </w:r>
      <w:r w:rsidR="006B5D42" w:rsidRPr="00956209">
        <w:t>focuses of Chapter 10.</w:t>
      </w:r>
    </w:p>
    <w:p w:rsidR="00633839" w:rsidRDefault="006B5D42" w:rsidP="000C5E2C">
      <w:r>
        <w:t xml:space="preserve"> </w:t>
      </w:r>
      <w:r w:rsidR="00633839">
        <w:br w:type="page"/>
      </w:r>
    </w:p>
    <w:p w:rsidR="00633839" w:rsidRDefault="00633839" w:rsidP="00D81F46">
      <w:pPr>
        <w:spacing w:line="240" w:lineRule="auto"/>
        <w:ind w:firstLine="0"/>
        <w:jc w:val="center"/>
      </w:pPr>
      <w:r>
        <w:rPr>
          <w:noProof/>
        </w:rPr>
        <w:lastRenderedPageBreak/>
        <w:drawing>
          <wp:inline distT="0" distB="0" distL="0" distR="0">
            <wp:extent cx="4390498" cy="5486400"/>
            <wp:effectExtent l="0" t="0" r="0" b="0"/>
            <wp:docPr id="31" name="Picture 4" descr="C:\Users\dcz\Desktop\final2D2G\NEWTtherm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cz\Desktop\final2D2G\NEWTthermal.png"/>
                    <pic:cNvPicPr>
                      <a:picLocks noChangeAspect="1" noChangeArrowheads="1"/>
                    </pic:cNvPicPr>
                  </pic:nvPicPr>
                  <pic:blipFill>
                    <a:blip r:embed="rId79" cstate="print"/>
                    <a:srcRect/>
                    <a:stretch>
                      <a:fillRect/>
                    </a:stretch>
                  </pic:blipFill>
                  <pic:spPr bwMode="auto">
                    <a:xfrm>
                      <a:off x="0" y="0"/>
                      <a:ext cx="4390498" cy="5486400"/>
                    </a:xfrm>
                    <a:prstGeom prst="rect">
                      <a:avLst/>
                    </a:prstGeom>
                    <a:noFill/>
                    <a:ln w="9525">
                      <a:noFill/>
                      <a:miter lim="800000"/>
                      <a:headEnd/>
                      <a:tailEnd/>
                    </a:ln>
                  </pic:spPr>
                </pic:pic>
              </a:graphicData>
            </a:graphic>
          </wp:inline>
        </w:drawing>
      </w:r>
    </w:p>
    <w:p w:rsidR="00633839" w:rsidRPr="000C5E2C" w:rsidRDefault="000C5E2C" w:rsidP="000C5E2C">
      <w:pPr>
        <w:pStyle w:val="Caption"/>
      </w:pPr>
      <w:bookmarkStart w:id="353" w:name="_Ref285539915"/>
      <w:bookmarkStart w:id="354" w:name="_Toc295818251"/>
      <w:proofErr w:type="gramStart"/>
      <w:r>
        <w:t xml:space="preserve">Figure </w:t>
      </w:r>
      <w:r w:rsidR="007511FA">
        <w:fldChar w:fldCharType="begin"/>
      </w:r>
      <w:r w:rsidR="00AE17F8">
        <w:instrText xml:space="preserve"> STYLEREF 1 \s </w:instrText>
      </w:r>
      <w:r w:rsidR="007511FA">
        <w:fldChar w:fldCharType="separate"/>
      </w:r>
      <w:r w:rsidR="00D5167B">
        <w:rPr>
          <w:noProof/>
        </w:rPr>
        <w:t>9</w:t>
      </w:r>
      <w:r w:rsidR="007511FA">
        <w:fldChar w:fldCharType="end"/>
      </w:r>
      <w:r>
        <w:t>.</w:t>
      </w:r>
      <w:proofErr w:type="gramEnd"/>
      <w:r w:rsidR="007511FA">
        <w:fldChar w:fldCharType="begin"/>
      </w:r>
      <w:r w:rsidR="00C43F40">
        <w:instrText xml:space="preserve"> SEQ Figure \* ARABIC \s 1 </w:instrText>
      </w:r>
      <w:r w:rsidR="007511FA">
        <w:fldChar w:fldCharType="separate"/>
      </w:r>
      <w:r w:rsidR="00D5167B">
        <w:rPr>
          <w:noProof/>
        </w:rPr>
        <w:t>5</w:t>
      </w:r>
      <w:r w:rsidR="007511FA">
        <w:fldChar w:fldCharType="end"/>
      </w:r>
      <w:bookmarkEnd w:id="353"/>
      <w:r w:rsidR="00633839" w:rsidRPr="000C5E2C">
        <w:t>.  NEWT half core thermal neutron flux distribution.</w:t>
      </w:r>
      <w:bookmarkEnd w:id="354"/>
    </w:p>
    <w:p w:rsidR="00633839" w:rsidRDefault="00633839" w:rsidP="007511BD">
      <w:pPr>
        <w:spacing w:before="0" w:after="200" w:line="276" w:lineRule="auto"/>
        <w:ind w:firstLine="0"/>
        <w:jc w:val="center"/>
        <w:rPr>
          <w:b/>
          <w:sz w:val="20"/>
          <w:szCs w:val="20"/>
        </w:rPr>
      </w:pPr>
      <w:r>
        <w:rPr>
          <w:b/>
          <w:sz w:val="20"/>
          <w:szCs w:val="20"/>
        </w:rPr>
        <w:br w:type="page"/>
      </w:r>
    </w:p>
    <w:p w:rsidR="00633839" w:rsidRDefault="00633839" w:rsidP="00D81F46">
      <w:pPr>
        <w:spacing w:line="240" w:lineRule="auto"/>
        <w:ind w:firstLine="0"/>
        <w:jc w:val="center"/>
        <w:rPr>
          <w:b/>
          <w:sz w:val="20"/>
          <w:szCs w:val="20"/>
        </w:rPr>
      </w:pPr>
      <w:r>
        <w:rPr>
          <w:b/>
          <w:noProof/>
          <w:sz w:val="20"/>
          <w:szCs w:val="20"/>
        </w:rPr>
        <w:lastRenderedPageBreak/>
        <w:drawing>
          <wp:inline distT="0" distB="0" distL="0" distR="0">
            <wp:extent cx="4418069" cy="5486400"/>
            <wp:effectExtent l="0" t="0" r="1531" b="0"/>
            <wp:docPr id="32" name="Picture 5" descr="C:\Users\dcz\Desktop\final2D2G\NEWTfa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cz\Desktop\final2D2G\NEWTfast.png"/>
                    <pic:cNvPicPr>
                      <a:picLocks noChangeAspect="1" noChangeArrowheads="1"/>
                    </pic:cNvPicPr>
                  </pic:nvPicPr>
                  <pic:blipFill>
                    <a:blip r:embed="rId80" cstate="print"/>
                    <a:srcRect/>
                    <a:stretch>
                      <a:fillRect/>
                    </a:stretch>
                  </pic:blipFill>
                  <pic:spPr bwMode="auto">
                    <a:xfrm>
                      <a:off x="0" y="0"/>
                      <a:ext cx="4418069" cy="5486400"/>
                    </a:xfrm>
                    <a:prstGeom prst="rect">
                      <a:avLst/>
                    </a:prstGeom>
                    <a:noFill/>
                    <a:ln w="9525">
                      <a:noFill/>
                      <a:miter lim="800000"/>
                      <a:headEnd/>
                      <a:tailEnd/>
                    </a:ln>
                  </pic:spPr>
                </pic:pic>
              </a:graphicData>
            </a:graphic>
          </wp:inline>
        </w:drawing>
      </w:r>
    </w:p>
    <w:p w:rsidR="00633839" w:rsidRPr="000C5E2C" w:rsidRDefault="000C5E2C" w:rsidP="000C5E2C">
      <w:pPr>
        <w:pStyle w:val="Caption"/>
      </w:pPr>
      <w:bookmarkStart w:id="355" w:name="_Ref285539919"/>
      <w:bookmarkStart w:id="356" w:name="_Toc295818252"/>
      <w:proofErr w:type="gramStart"/>
      <w:r>
        <w:t xml:space="preserve">Figure </w:t>
      </w:r>
      <w:r w:rsidR="007511FA">
        <w:fldChar w:fldCharType="begin"/>
      </w:r>
      <w:r w:rsidR="00AE17F8">
        <w:instrText xml:space="preserve"> STYLEREF 1 \s </w:instrText>
      </w:r>
      <w:r w:rsidR="007511FA">
        <w:fldChar w:fldCharType="separate"/>
      </w:r>
      <w:r w:rsidR="00D5167B">
        <w:rPr>
          <w:noProof/>
        </w:rPr>
        <w:t>9</w:t>
      </w:r>
      <w:r w:rsidR="007511FA">
        <w:fldChar w:fldCharType="end"/>
      </w:r>
      <w:r>
        <w:t>.</w:t>
      </w:r>
      <w:proofErr w:type="gramEnd"/>
      <w:r w:rsidR="007511FA">
        <w:fldChar w:fldCharType="begin"/>
      </w:r>
      <w:r w:rsidR="00C43F40">
        <w:instrText xml:space="preserve"> SEQ Figure \* ARABIC \s 1 </w:instrText>
      </w:r>
      <w:r w:rsidR="007511FA">
        <w:fldChar w:fldCharType="separate"/>
      </w:r>
      <w:r w:rsidR="00D5167B">
        <w:rPr>
          <w:noProof/>
        </w:rPr>
        <w:t>6</w:t>
      </w:r>
      <w:r w:rsidR="007511FA">
        <w:fldChar w:fldCharType="end"/>
      </w:r>
      <w:bookmarkEnd w:id="355"/>
      <w:r w:rsidR="00633839" w:rsidRPr="000C5E2C">
        <w:t>.  NEWT half core fast neutron flux distribution.</w:t>
      </w:r>
      <w:bookmarkEnd w:id="356"/>
    </w:p>
    <w:p w:rsidR="00633839" w:rsidRDefault="00633839" w:rsidP="007511BD">
      <w:pPr>
        <w:spacing w:before="0" w:after="200" w:line="276" w:lineRule="auto"/>
        <w:ind w:firstLine="0"/>
        <w:jc w:val="center"/>
      </w:pPr>
      <w:r>
        <w:br w:type="page"/>
      </w:r>
    </w:p>
    <w:p w:rsidR="00633839" w:rsidRPr="00222BC1" w:rsidRDefault="00633839" w:rsidP="00D81F46">
      <w:pPr>
        <w:spacing w:line="240" w:lineRule="auto"/>
        <w:ind w:firstLine="0"/>
        <w:jc w:val="center"/>
        <w:rPr>
          <w:b/>
        </w:rPr>
      </w:pPr>
      <w:r>
        <w:rPr>
          <w:noProof/>
        </w:rPr>
        <w:lastRenderedPageBreak/>
        <w:drawing>
          <wp:inline distT="0" distB="0" distL="0" distR="0">
            <wp:extent cx="4365394" cy="5486400"/>
            <wp:effectExtent l="0" t="0" r="0" b="0"/>
            <wp:docPr id="35" name="Picture 6" descr="C:\Users\dcz\Desktop\final2D2G\thermal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cz\Desktop\final2D2G\thermal2.png"/>
                    <pic:cNvPicPr>
                      <a:picLocks noChangeAspect="1" noChangeArrowheads="1"/>
                    </pic:cNvPicPr>
                  </pic:nvPicPr>
                  <pic:blipFill>
                    <a:blip r:embed="rId81" cstate="print"/>
                    <a:srcRect/>
                    <a:stretch>
                      <a:fillRect/>
                    </a:stretch>
                  </pic:blipFill>
                  <pic:spPr bwMode="auto">
                    <a:xfrm>
                      <a:off x="0" y="0"/>
                      <a:ext cx="4365394" cy="5486400"/>
                    </a:xfrm>
                    <a:prstGeom prst="rect">
                      <a:avLst/>
                    </a:prstGeom>
                    <a:noFill/>
                    <a:ln w="9525">
                      <a:noFill/>
                      <a:miter lim="800000"/>
                      <a:headEnd/>
                      <a:tailEnd/>
                    </a:ln>
                  </pic:spPr>
                </pic:pic>
              </a:graphicData>
            </a:graphic>
          </wp:inline>
        </w:drawing>
      </w:r>
    </w:p>
    <w:p w:rsidR="00633839" w:rsidRPr="000C5E2C" w:rsidRDefault="000C5E2C" w:rsidP="000C5E2C">
      <w:pPr>
        <w:pStyle w:val="Caption"/>
      </w:pPr>
      <w:bookmarkStart w:id="357" w:name="_Ref285539928"/>
      <w:bookmarkStart w:id="358" w:name="_Toc295818253"/>
      <w:proofErr w:type="gramStart"/>
      <w:r>
        <w:t xml:space="preserve">Figure </w:t>
      </w:r>
      <w:r w:rsidR="007511FA">
        <w:fldChar w:fldCharType="begin"/>
      </w:r>
      <w:r w:rsidR="00AE17F8">
        <w:instrText xml:space="preserve"> STYLEREF 1 \s </w:instrText>
      </w:r>
      <w:r w:rsidR="007511FA">
        <w:fldChar w:fldCharType="separate"/>
      </w:r>
      <w:r w:rsidR="00D5167B">
        <w:rPr>
          <w:noProof/>
        </w:rPr>
        <w:t>9</w:t>
      </w:r>
      <w:r w:rsidR="007511FA">
        <w:fldChar w:fldCharType="end"/>
      </w:r>
      <w:r>
        <w:t>.</w:t>
      </w:r>
      <w:proofErr w:type="gramEnd"/>
      <w:r w:rsidR="007511FA">
        <w:fldChar w:fldCharType="begin"/>
      </w:r>
      <w:r w:rsidR="00C43F40">
        <w:instrText xml:space="preserve"> SEQ Figure \* ARABIC \s 1 </w:instrText>
      </w:r>
      <w:r w:rsidR="007511FA">
        <w:fldChar w:fldCharType="separate"/>
      </w:r>
      <w:r w:rsidR="00D5167B">
        <w:rPr>
          <w:noProof/>
        </w:rPr>
        <w:t>7</w:t>
      </w:r>
      <w:r w:rsidR="007511FA">
        <w:fldChar w:fldCharType="end"/>
      </w:r>
      <w:bookmarkEnd w:id="357"/>
      <w:r w:rsidR="00633839" w:rsidRPr="000C5E2C">
        <w:t>.  COMSOL half core thermal neutron flux distribution.</w:t>
      </w:r>
      <w:bookmarkEnd w:id="358"/>
    </w:p>
    <w:p w:rsidR="00633839" w:rsidRDefault="00633839" w:rsidP="007511BD">
      <w:pPr>
        <w:pStyle w:val="Caption"/>
      </w:pPr>
      <w:r>
        <w:br w:type="page"/>
      </w:r>
    </w:p>
    <w:p w:rsidR="00633839" w:rsidRDefault="00633839" w:rsidP="00D81F46">
      <w:pPr>
        <w:spacing w:line="240" w:lineRule="auto"/>
        <w:ind w:firstLine="0"/>
        <w:jc w:val="center"/>
      </w:pPr>
      <w:r>
        <w:rPr>
          <w:noProof/>
        </w:rPr>
        <w:lastRenderedPageBreak/>
        <w:drawing>
          <wp:inline distT="0" distB="0" distL="0" distR="0">
            <wp:extent cx="4347305" cy="5486400"/>
            <wp:effectExtent l="0" t="0" r="0" b="0"/>
            <wp:docPr id="36" name="Picture 7" descr="C:\Users\dcz\Desktop\final2D2G\fast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cz\Desktop\final2D2G\fast2.png"/>
                    <pic:cNvPicPr>
                      <a:picLocks noChangeAspect="1" noChangeArrowheads="1"/>
                    </pic:cNvPicPr>
                  </pic:nvPicPr>
                  <pic:blipFill>
                    <a:blip r:embed="rId82" cstate="print"/>
                    <a:srcRect/>
                    <a:stretch>
                      <a:fillRect/>
                    </a:stretch>
                  </pic:blipFill>
                  <pic:spPr bwMode="auto">
                    <a:xfrm>
                      <a:off x="0" y="0"/>
                      <a:ext cx="4347305" cy="5486400"/>
                    </a:xfrm>
                    <a:prstGeom prst="rect">
                      <a:avLst/>
                    </a:prstGeom>
                    <a:noFill/>
                    <a:ln w="9525">
                      <a:noFill/>
                      <a:miter lim="800000"/>
                      <a:headEnd/>
                      <a:tailEnd/>
                    </a:ln>
                  </pic:spPr>
                </pic:pic>
              </a:graphicData>
            </a:graphic>
          </wp:inline>
        </w:drawing>
      </w:r>
    </w:p>
    <w:p w:rsidR="00633839" w:rsidRPr="000C5E2C" w:rsidRDefault="000C5E2C" w:rsidP="000C5E2C">
      <w:pPr>
        <w:pStyle w:val="Caption"/>
      </w:pPr>
      <w:bookmarkStart w:id="359" w:name="_Ref285539934"/>
      <w:bookmarkStart w:id="360" w:name="_Toc295818254"/>
      <w:proofErr w:type="gramStart"/>
      <w:r>
        <w:t xml:space="preserve">Figure </w:t>
      </w:r>
      <w:r w:rsidR="007511FA">
        <w:fldChar w:fldCharType="begin"/>
      </w:r>
      <w:r w:rsidR="00AE17F8">
        <w:instrText xml:space="preserve"> STYLEREF 1 \s </w:instrText>
      </w:r>
      <w:r w:rsidR="007511FA">
        <w:fldChar w:fldCharType="separate"/>
      </w:r>
      <w:r w:rsidR="00D5167B">
        <w:rPr>
          <w:noProof/>
        </w:rPr>
        <w:t>9</w:t>
      </w:r>
      <w:r w:rsidR="007511FA">
        <w:fldChar w:fldCharType="end"/>
      </w:r>
      <w:r>
        <w:t>.</w:t>
      </w:r>
      <w:proofErr w:type="gramEnd"/>
      <w:r w:rsidR="007511FA">
        <w:fldChar w:fldCharType="begin"/>
      </w:r>
      <w:r w:rsidR="00C43F40">
        <w:instrText xml:space="preserve"> SEQ Figure \* ARABIC \s 1 </w:instrText>
      </w:r>
      <w:r w:rsidR="007511FA">
        <w:fldChar w:fldCharType="separate"/>
      </w:r>
      <w:r w:rsidR="00D5167B">
        <w:rPr>
          <w:noProof/>
        </w:rPr>
        <w:t>8</w:t>
      </w:r>
      <w:r w:rsidR="007511FA">
        <w:fldChar w:fldCharType="end"/>
      </w:r>
      <w:bookmarkEnd w:id="359"/>
      <w:r w:rsidR="00633839" w:rsidRPr="000C5E2C">
        <w:t>.  COMSOL half core fast neutron flux distribution.</w:t>
      </w:r>
      <w:bookmarkEnd w:id="360"/>
    </w:p>
    <w:p w:rsidR="00633839" w:rsidRDefault="00633839" w:rsidP="007511BD">
      <w:pPr>
        <w:ind w:firstLine="0"/>
        <w:jc w:val="center"/>
        <w:rPr>
          <w:rFonts w:ascii="Times New Roman" w:hAnsi="Times New Roman"/>
          <w:sz w:val="20"/>
        </w:rPr>
      </w:pPr>
      <w:r>
        <w:br w:type="page"/>
      </w:r>
    </w:p>
    <w:p w:rsidR="00633839" w:rsidRDefault="00633839" w:rsidP="007511BD">
      <w:pPr>
        <w:pStyle w:val="Caption"/>
        <w:rPr>
          <w:szCs w:val="20"/>
        </w:rPr>
      </w:pPr>
      <w:r>
        <w:rPr>
          <w:noProof/>
          <w:szCs w:val="20"/>
        </w:rPr>
        <w:lastRenderedPageBreak/>
        <w:drawing>
          <wp:inline distT="0" distB="0" distL="0" distR="0">
            <wp:extent cx="1741230" cy="3474720"/>
            <wp:effectExtent l="0" t="0" r="0" b="0"/>
            <wp:docPr id="37" name="Picture 2" descr="C:\Users\dcz\Desktop\final2D2G\FluxTr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cz\Desktop\final2D2G\FluxTrap.png"/>
                    <pic:cNvPicPr>
                      <a:picLocks noChangeAspect="1" noChangeArrowheads="1"/>
                    </pic:cNvPicPr>
                  </pic:nvPicPr>
                  <pic:blipFill>
                    <a:blip r:embed="rId83" cstate="print"/>
                    <a:srcRect/>
                    <a:stretch>
                      <a:fillRect/>
                    </a:stretch>
                  </pic:blipFill>
                  <pic:spPr bwMode="auto">
                    <a:xfrm>
                      <a:off x="0" y="0"/>
                      <a:ext cx="1741230" cy="3474720"/>
                    </a:xfrm>
                    <a:prstGeom prst="rect">
                      <a:avLst/>
                    </a:prstGeom>
                    <a:noFill/>
                    <a:ln w="9525">
                      <a:noFill/>
                      <a:miter lim="800000"/>
                      <a:headEnd/>
                      <a:tailEnd/>
                    </a:ln>
                  </pic:spPr>
                </pic:pic>
              </a:graphicData>
            </a:graphic>
          </wp:inline>
        </w:drawing>
      </w:r>
    </w:p>
    <w:p w:rsidR="00633839" w:rsidRPr="000C5E2C" w:rsidRDefault="000C5E2C" w:rsidP="00D81F46">
      <w:pPr>
        <w:pStyle w:val="Caption"/>
        <w:spacing w:after="0"/>
      </w:pPr>
      <w:bookmarkStart w:id="361" w:name="_Ref285539979"/>
      <w:bookmarkStart w:id="362" w:name="_Toc295818255"/>
      <w:proofErr w:type="gramStart"/>
      <w:r>
        <w:t xml:space="preserve">Figure </w:t>
      </w:r>
      <w:r w:rsidR="007511FA">
        <w:fldChar w:fldCharType="begin"/>
      </w:r>
      <w:r w:rsidR="00AE17F8">
        <w:instrText xml:space="preserve"> STYLEREF 1 \s </w:instrText>
      </w:r>
      <w:r w:rsidR="007511FA">
        <w:fldChar w:fldCharType="separate"/>
      </w:r>
      <w:r w:rsidR="00D5167B">
        <w:rPr>
          <w:noProof/>
        </w:rPr>
        <w:t>9</w:t>
      </w:r>
      <w:r w:rsidR="007511FA">
        <w:fldChar w:fldCharType="end"/>
      </w:r>
      <w:r>
        <w:t>.</w:t>
      </w:r>
      <w:proofErr w:type="gramEnd"/>
      <w:r w:rsidR="007511FA">
        <w:fldChar w:fldCharType="begin"/>
      </w:r>
      <w:r w:rsidR="00C43F40">
        <w:instrText xml:space="preserve"> SEQ Figure \* ARABIC \s 1 </w:instrText>
      </w:r>
      <w:r w:rsidR="007511FA">
        <w:fldChar w:fldCharType="separate"/>
      </w:r>
      <w:r w:rsidR="00D5167B">
        <w:rPr>
          <w:noProof/>
        </w:rPr>
        <w:t>9</w:t>
      </w:r>
      <w:r w:rsidR="007511FA">
        <w:fldChar w:fldCharType="end"/>
      </w:r>
      <w:bookmarkEnd w:id="361"/>
      <w:r w:rsidR="00633839" w:rsidRPr="000C5E2C">
        <w:t>.  Thermal (middle) and fast (right) flux in the flux trap (h=60.96cm, r=6.4cm).</w:t>
      </w:r>
      <w:bookmarkEnd w:id="362"/>
    </w:p>
    <w:p w:rsidR="00D81F46" w:rsidRDefault="00D81F46" w:rsidP="00D81F46">
      <w:pPr>
        <w:spacing w:line="240" w:lineRule="auto"/>
      </w:pPr>
    </w:p>
    <w:p w:rsidR="00D81F46" w:rsidRPr="00D81F46" w:rsidRDefault="00D81F46" w:rsidP="00D81F46">
      <w:pPr>
        <w:spacing w:line="240" w:lineRule="auto"/>
      </w:pPr>
    </w:p>
    <w:p w:rsidR="00633839" w:rsidRDefault="00633839" w:rsidP="00D81F46">
      <w:pPr>
        <w:spacing w:line="240" w:lineRule="auto"/>
        <w:ind w:firstLine="0"/>
        <w:jc w:val="center"/>
      </w:pPr>
      <w:r>
        <w:rPr>
          <w:noProof/>
        </w:rPr>
        <w:drawing>
          <wp:inline distT="0" distB="0" distL="0" distR="0">
            <wp:extent cx="3030249" cy="3474720"/>
            <wp:effectExtent l="19050" t="0" r="0" b="0"/>
            <wp:docPr id="38" name="Picture 8" descr="C:\Users\dcz\Desktop\final2D2G\F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cz\Desktop\final2D2G\FEs.png"/>
                    <pic:cNvPicPr>
                      <a:picLocks noChangeAspect="1" noChangeArrowheads="1"/>
                    </pic:cNvPicPr>
                  </pic:nvPicPr>
                  <pic:blipFill>
                    <a:blip r:embed="rId84" cstate="print"/>
                    <a:srcRect/>
                    <a:stretch>
                      <a:fillRect/>
                    </a:stretch>
                  </pic:blipFill>
                  <pic:spPr bwMode="auto">
                    <a:xfrm>
                      <a:off x="0" y="0"/>
                      <a:ext cx="3030249" cy="3474720"/>
                    </a:xfrm>
                    <a:prstGeom prst="rect">
                      <a:avLst/>
                    </a:prstGeom>
                    <a:noFill/>
                    <a:ln w="9525">
                      <a:noFill/>
                      <a:miter lim="800000"/>
                      <a:headEnd/>
                      <a:tailEnd/>
                    </a:ln>
                  </pic:spPr>
                </pic:pic>
              </a:graphicData>
            </a:graphic>
          </wp:inline>
        </w:drawing>
      </w:r>
    </w:p>
    <w:p w:rsidR="00633839" w:rsidRDefault="000C5E2C" w:rsidP="00D81F46">
      <w:pPr>
        <w:pStyle w:val="Caption"/>
        <w:spacing w:after="0"/>
      </w:pPr>
      <w:bookmarkStart w:id="363" w:name="_Toc295818256"/>
      <w:proofErr w:type="gramStart"/>
      <w:r>
        <w:t xml:space="preserve">Figure </w:t>
      </w:r>
      <w:r w:rsidR="007511FA">
        <w:fldChar w:fldCharType="begin"/>
      </w:r>
      <w:r w:rsidR="00AE17F8">
        <w:instrText xml:space="preserve"> STYLEREF 1 \s </w:instrText>
      </w:r>
      <w:r w:rsidR="007511FA">
        <w:fldChar w:fldCharType="separate"/>
      </w:r>
      <w:r w:rsidR="00D5167B">
        <w:rPr>
          <w:noProof/>
        </w:rPr>
        <w:t>9</w:t>
      </w:r>
      <w:r w:rsidR="007511FA">
        <w:fldChar w:fldCharType="end"/>
      </w:r>
      <w:r>
        <w:t>.</w:t>
      </w:r>
      <w:proofErr w:type="gramEnd"/>
      <w:r w:rsidR="007511FA">
        <w:fldChar w:fldCharType="begin"/>
      </w:r>
      <w:r w:rsidR="00C43F40">
        <w:instrText xml:space="preserve"> SEQ Figure \* ARABIC \s 1 </w:instrText>
      </w:r>
      <w:r w:rsidR="007511FA">
        <w:fldChar w:fldCharType="separate"/>
      </w:r>
      <w:r w:rsidR="00D5167B">
        <w:rPr>
          <w:noProof/>
        </w:rPr>
        <w:t>10</w:t>
      </w:r>
      <w:r w:rsidR="007511FA">
        <w:fldChar w:fldCharType="end"/>
      </w:r>
      <w:r w:rsidR="00633839" w:rsidRPr="000C5E2C">
        <w:t>.  Thermal (middle) and fast (right) flux in the fuel regions (active fuel h=50.8cm).</w:t>
      </w:r>
      <w:bookmarkEnd w:id="363"/>
      <w:r w:rsidR="00633839">
        <w:br w:type="page"/>
      </w:r>
    </w:p>
    <w:p w:rsidR="00633839" w:rsidRDefault="00633839" w:rsidP="00D81F46">
      <w:pPr>
        <w:spacing w:before="0" w:after="200" w:line="240" w:lineRule="auto"/>
        <w:ind w:firstLine="0"/>
        <w:jc w:val="center"/>
      </w:pPr>
      <w:r>
        <w:rPr>
          <w:noProof/>
        </w:rPr>
        <w:lastRenderedPageBreak/>
        <w:drawing>
          <wp:inline distT="0" distB="0" distL="0" distR="0">
            <wp:extent cx="1189904" cy="3474720"/>
            <wp:effectExtent l="19050" t="0" r="0" b="0"/>
            <wp:docPr id="39" name="Picture 1" descr="C:\Users\dcz\Desktop\2D2Gcomsol\controlelemen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cz\Desktop\2D2Gcomsol\controlelements.png"/>
                    <pic:cNvPicPr>
                      <a:picLocks noChangeAspect="1" noChangeArrowheads="1"/>
                    </pic:cNvPicPr>
                  </pic:nvPicPr>
                  <pic:blipFill>
                    <a:blip r:embed="rId85" cstate="print"/>
                    <a:srcRect/>
                    <a:stretch>
                      <a:fillRect/>
                    </a:stretch>
                  </pic:blipFill>
                  <pic:spPr bwMode="auto">
                    <a:xfrm>
                      <a:off x="0" y="0"/>
                      <a:ext cx="1189904" cy="3474720"/>
                    </a:xfrm>
                    <a:prstGeom prst="rect">
                      <a:avLst/>
                    </a:prstGeom>
                    <a:noFill/>
                    <a:ln w="9525">
                      <a:noFill/>
                      <a:miter lim="800000"/>
                      <a:headEnd/>
                      <a:tailEnd/>
                    </a:ln>
                  </pic:spPr>
                </pic:pic>
              </a:graphicData>
            </a:graphic>
          </wp:inline>
        </w:drawing>
      </w:r>
    </w:p>
    <w:p w:rsidR="00633839" w:rsidRPr="000C5E2C" w:rsidRDefault="000C5E2C" w:rsidP="000C5E2C">
      <w:pPr>
        <w:pStyle w:val="Caption"/>
      </w:pPr>
      <w:bookmarkStart w:id="364" w:name="_Toc295818257"/>
      <w:proofErr w:type="gramStart"/>
      <w:r>
        <w:t xml:space="preserve">Figure </w:t>
      </w:r>
      <w:r w:rsidR="007511FA">
        <w:fldChar w:fldCharType="begin"/>
      </w:r>
      <w:r w:rsidR="00AE17F8">
        <w:instrText xml:space="preserve"> STYLEREF 1 \s </w:instrText>
      </w:r>
      <w:r w:rsidR="007511FA">
        <w:fldChar w:fldCharType="separate"/>
      </w:r>
      <w:r w:rsidR="00D5167B">
        <w:rPr>
          <w:noProof/>
        </w:rPr>
        <w:t>9</w:t>
      </w:r>
      <w:r w:rsidR="007511FA">
        <w:fldChar w:fldCharType="end"/>
      </w:r>
      <w:r>
        <w:t>.</w:t>
      </w:r>
      <w:proofErr w:type="gramEnd"/>
      <w:r w:rsidR="007511FA">
        <w:fldChar w:fldCharType="begin"/>
      </w:r>
      <w:r w:rsidR="00C43F40">
        <w:instrText xml:space="preserve"> SEQ Figure \* ARABIC \s 1 </w:instrText>
      </w:r>
      <w:r w:rsidR="007511FA">
        <w:fldChar w:fldCharType="separate"/>
      </w:r>
      <w:r w:rsidR="00D5167B">
        <w:rPr>
          <w:noProof/>
        </w:rPr>
        <w:t>11</w:t>
      </w:r>
      <w:r w:rsidR="007511FA">
        <w:fldChar w:fldCharType="end"/>
      </w:r>
      <w:r w:rsidR="00633839" w:rsidRPr="000C5E2C">
        <w:t>.  Thermal (left) and fast (right) flux in the control elements (h=102cm, w=0.635cm).</w:t>
      </w:r>
      <w:bookmarkEnd w:id="364"/>
    </w:p>
    <w:p w:rsidR="00633839" w:rsidRDefault="00633839" w:rsidP="00D81F46">
      <w:pPr>
        <w:spacing w:before="0" w:after="0" w:line="276" w:lineRule="auto"/>
        <w:ind w:firstLine="0"/>
        <w:jc w:val="center"/>
      </w:pPr>
    </w:p>
    <w:p w:rsidR="00D81F46" w:rsidRDefault="00D81F46" w:rsidP="00D81F46">
      <w:pPr>
        <w:spacing w:before="0" w:after="0" w:line="276" w:lineRule="auto"/>
        <w:ind w:firstLine="0"/>
        <w:jc w:val="center"/>
      </w:pPr>
    </w:p>
    <w:p w:rsidR="00633839" w:rsidRDefault="00633839" w:rsidP="00D81F46">
      <w:pPr>
        <w:spacing w:before="0" w:after="200" w:line="240" w:lineRule="auto"/>
        <w:ind w:firstLine="0"/>
        <w:jc w:val="center"/>
      </w:pPr>
      <w:r>
        <w:rPr>
          <w:noProof/>
        </w:rPr>
        <w:drawing>
          <wp:inline distT="0" distB="0" distL="0" distR="0">
            <wp:extent cx="3978124" cy="3474720"/>
            <wp:effectExtent l="19050" t="0" r="3326" b="0"/>
            <wp:docPr id="40" name="Picture 3" descr="C:\Users\dcz\Desktop\reflect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cz\Desktop\reflector.png"/>
                    <pic:cNvPicPr>
                      <a:picLocks noChangeAspect="1" noChangeArrowheads="1"/>
                    </pic:cNvPicPr>
                  </pic:nvPicPr>
                  <pic:blipFill>
                    <a:blip r:embed="rId86" cstate="print"/>
                    <a:srcRect/>
                    <a:stretch>
                      <a:fillRect/>
                    </a:stretch>
                  </pic:blipFill>
                  <pic:spPr bwMode="auto">
                    <a:xfrm>
                      <a:off x="0" y="0"/>
                      <a:ext cx="3978124" cy="3474720"/>
                    </a:xfrm>
                    <a:prstGeom prst="rect">
                      <a:avLst/>
                    </a:prstGeom>
                    <a:noFill/>
                    <a:ln w="9525">
                      <a:noFill/>
                      <a:miter lim="800000"/>
                      <a:headEnd/>
                      <a:tailEnd/>
                    </a:ln>
                  </pic:spPr>
                </pic:pic>
              </a:graphicData>
            </a:graphic>
          </wp:inline>
        </w:drawing>
      </w:r>
    </w:p>
    <w:p w:rsidR="00633839" w:rsidRDefault="000C5E2C" w:rsidP="00D81F46">
      <w:pPr>
        <w:pStyle w:val="Caption"/>
      </w:pPr>
      <w:bookmarkStart w:id="365" w:name="_Ref285539985"/>
      <w:bookmarkStart w:id="366" w:name="_Toc295818258"/>
      <w:proofErr w:type="gramStart"/>
      <w:r>
        <w:t xml:space="preserve">Figure </w:t>
      </w:r>
      <w:r w:rsidR="007511FA">
        <w:fldChar w:fldCharType="begin"/>
      </w:r>
      <w:r w:rsidR="00AE17F8">
        <w:instrText xml:space="preserve"> STYLEREF 1 \s </w:instrText>
      </w:r>
      <w:r w:rsidR="007511FA">
        <w:fldChar w:fldCharType="separate"/>
      </w:r>
      <w:r w:rsidR="00D5167B">
        <w:rPr>
          <w:noProof/>
        </w:rPr>
        <w:t>9</w:t>
      </w:r>
      <w:r w:rsidR="007511FA">
        <w:fldChar w:fldCharType="end"/>
      </w:r>
      <w:r>
        <w:t>.</w:t>
      </w:r>
      <w:proofErr w:type="gramEnd"/>
      <w:r w:rsidR="007511FA">
        <w:fldChar w:fldCharType="begin"/>
      </w:r>
      <w:r w:rsidR="00C43F40">
        <w:instrText xml:space="preserve"> SEQ Figure \* ARABIC \s 1 </w:instrText>
      </w:r>
      <w:r w:rsidR="007511FA">
        <w:fldChar w:fldCharType="separate"/>
      </w:r>
      <w:r w:rsidR="00D5167B">
        <w:rPr>
          <w:noProof/>
        </w:rPr>
        <w:t>12</w:t>
      </w:r>
      <w:r w:rsidR="007511FA">
        <w:fldChar w:fldCharType="end"/>
      </w:r>
      <w:bookmarkEnd w:id="365"/>
      <w:r w:rsidR="00633839" w:rsidRPr="000C5E2C">
        <w:t>.  Thermal (left) and fast (right) flux in the beryllium reflector (h=60.96cm, w=30.80cm).</w:t>
      </w:r>
      <w:bookmarkEnd w:id="366"/>
      <w:r w:rsidR="00633839">
        <w:br w:type="page"/>
      </w:r>
    </w:p>
    <w:p w:rsidR="00633839" w:rsidRPr="00A27A1E" w:rsidRDefault="007511FA" w:rsidP="00D81F46">
      <w:pPr>
        <w:spacing w:line="240" w:lineRule="auto"/>
        <w:ind w:firstLine="0"/>
        <w:jc w:val="center"/>
      </w:pPr>
      <w:r>
        <w:rPr>
          <w:noProof/>
        </w:rPr>
        <w:lastRenderedPageBreak/>
        <w:pict>
          <v:shape id="_x0000_s1045" type="#_x0000_t202" style="position:absolute;left:0;text-align:left;margin-left:427.5pt;margin-top:184.1pt;width:26.25pt;height:115.2pt;z-index:251660288;mso-width-relative:margin;mso-height-relative:margin">
            <v:textbox style="layout-flow:vertical;mso-layout-flow-alt:bottom-to-top;mso-next-textbox:#_x0000_s1045">
              <w:txbxContent>
                <w:p w:rsidR="00F236B9" w:rsidRPr="00A432F5" w:rsidRDefault="00F236B9" w:rsidP="007511BD">
                  <w:pPr>
                    <w:spacing w:before="0" w:after="0" w:line="240" w:lineRule="auto"/>
                    <w:ind w:firstLine="0"/>
                    <w:jc w:val="center"/>
                    <w:rPr>
                      <w:sz w:val="20"/>
                      <w:szCs w:val="20"/>
                    </w:rPr>
                  </w:pPr>
                  <w:r>
                    <w:rPr>
                      <w:sz w:val="20"/>
                      <w:szCs w:val="20"/>
                    </w:rPr>
                    <w:t>Water Reflector</w:t>
                  </w:r>
                </w:p>
              </w:txbxContent>
            </v:textbox>
          </v:shape>
        </w:pict>
      </w:r>
      <w:r>
        <w:rPr>
          <w:noProof/>
        </w:rPr>
        <w:pict>
          <v:shape id="_x0000_s1043" type="#_x0000_t202" style="position:absolute;left:0;text-align:left;margin-left:52.75pt;margin-top:7.5pt;width:41pt;height:17.25pt;z-index:251658240;mso-width-relative:margin;mso-height-relative:margin">
            <v:textbox style="mso-next-textbox:#_x0000_s1043">
              <w:txbxContent>
                <w:p w:rsidR="00F236B9" w:rsidRPr="00A432F5" w:rsidRDefault="00F236B9" w:rsidP="007511BD">
                  <w:pPr>
                    <w:spacing w:before="0" w:after="0" w:line="240" w:lineRule="auto"/>
                    <w:ind w:firstLine="0"/>
                    <w:jc w:val="center"/>
                    <w:rPr>
                      <w:sz w:val="20"/>
                      <w:szCs w:val="20"/>
                    </w:rPr>
                  </w:pPr>
                  <w:r>
                    <w:rPr>
                      <w:sz w:val="20"/>
                      <w:szCs w:val="20"/>
                    </w:rPr>
                    <w:t>FT</w:t>
                  </w:r>
                </w:p>
              </w:txbxContent>
            </v:textbox>
          </v:shape>
        </w:pict>
      </w:r>
      <w:r w:rsidRPr="007511FA">
        <w:rPr>
          <w:b/>
          <w:noProof/>
          <w:sz w:val="20"/>
          <w:szCs w:val="20"/>
        </w:rPr>
        <w:pict>
          <v:shape id="_x0000_s1042" type="#_x0000_t202" style="position:absolute;left:0;text-align:left;margin-left:101.5pt;margin-top:7.5pt;width:34.25pt;height:17.25pt;z-index:251655168;mso-width-relative:margin;mso-height-relative:margin">
            <v:textbox style="mso-next-textbox:#_x0000_s1042">
              <w:txbxContent>
                <w:p w:rsidR="00F236B9" w:rsidRPr="00A432F5" w:rsidRDefault="00F236B9" w:rsidP="007511BD">
                  <w:pPr>
                    <w:spacing w:before="0" w:after="0" w:line="240" w:lineRule="auto"/>
                    <w:ind w:firstLine="0"/>
                    <w:jc w:val="center"/>
                    <w:rPr>
                      <w:sz w:val="20"/>
                      <w:szCs w:val="20"/>
                    </w:rPr>
                  </w:pPr>
                  <w:r w:rsidRPr="00A432F5">
                    <w:rPr>
                      <w:sz w:val="20"/>
                      <w:szCs w:val="20"/>
                    </w:rPr>
                    <w:t>IFE</w:t>
                  </w:r>
                </w:p>
              </w:txbxContent>
            </v:textbox>
          </v:shape>
        </w:pict>
      </w:r>
      <w:r w:rsidRPr="007511FA">
        <w:rPr>
          <w:rFonts w:eastAsiaTheme="minorEastAsia"/>
          <w:noProof/>
        </w:rPr>
        <w:pict>
          <v:shape id="_x0000_s1041" type="#_x0000_t202" style="position:absolute;left:0;text-align:left;margin-left:155.25pt;margin-top:6.75pt;width:37.5pt;height:18pt;z-index:251656192;mso-width-relative:margin;mso-height-relative:margin">
            <v:textbox style="mso-next-textbox:#_x0000_s1041">
              <w:txbxContent>
                <w:p w:rsidR="00F236B9" w:rsidRPr="00A432F5" w:rsidRDefault="00F236B9" w:rsidP="007511BD">
                  <w:pPr>
                    <w:spacing w:before="0" w:after="0" w:line="240" w:lineRule="auto"/>
                    <w:ind w:firstLine="0"/>
                    <w:jc w:val="center"/>
                    <w:rPr>
                      <w:sz w:val="20"/>
                      <w:szCs w:val="20"/>
                    </w:rPr>
                  </w:pPr>
                  <w:r w:rsidRPr="00A432F5">
                    <w:rPr>
                      <w:sz w:val="20"/>
                      <w:szCs w:val="20"/>
                    </w:rPr>
                    <w:t>OFE</w:t>
                  </w:r>
                </w:p>
              </w:txbxContent>
            </v:textbox>
          </v:shape>
        </w:pict>
      </w:r>
      <w:r w:rsidRPr="007511FA">
        <w:rPr>
          <w:b/>
          <w:noProof/>
          <w:sz w:val="20"/>
          <w:szCs w:val="20"/>
          <w:lang w:eastAsia="zh-TW"/>
        </w:rPr>
        <w:pict>
          <v:shape id="_x0000_s1040" type="#_x0000_t202" style="position:absolute;left:0;text-align:left;margin-left:214.5pt;margin-top:150pt;width:205.5pt;height:22.5pt;z-index:251657216;mso-width-relative:margin;mso-height-relative:margin">
            <v:textbox style="mso-next-textbox:#_x0000_s1040">
              <w:txbxContent>
                <w:p w:rsidR="00F236B9" w:rsidRPr="00A432F5" w:rsidRDefault="00F236B9" w:rsidP="007511BD">
                  <w:pPr>
                    <w:spacing w:before="0" w:after="0" w:line="240" w:lineRule="auto"/>
                    <w:ind w:firstLine="0"/>
                    <w:jc w:val="center"/>
                    <w:rPr>
                      <w:sz w:val="20"/>
                      <w:szCs w:val="20"/>
                    </w:rPr>
                  </w:pPr>
                  <w:r w:rsidRPr="00A432F5">
                    <w:rPr>
                      <w:sz w:val="20"/>
                      <w:szCs w:val="20"/>
                    </w:rPr>
                    <w:t>Beryllium Reflector</w:t>
                  </w:r>
                </w:p>
              </w:txbxContent>
            </v:textbox>
          </v:shape>
        </w:pict>
      </w:r>
      <w:r>
        <w:rPr>
          <w:noProof/>
        </w:rPr>
        <w:pict>
          <v:shape id="_x0000_s1044" type="#_x0000_t202" style="position:absolute;left:0;text-align:left;margin-left:245.25pt;margin-top:96pt;width:212.25pt;height:53.25pt;z-index:251659264;mso-width-relative:margin;mso-height-relative:margin">
            <v:textbox style="mso-next-textbox:#_x0000_s1044">
              <w:txbxContent>
                <w:p w:rsidR="00F236B9" w:rsidRPr="00807F4A" w:rsidRDefault="00F236B9" w:rsidP="007511BD">
                  <w:pPr>
                    <w:spacing w:before="0" w:after="0" w:line="240" w:lineRule="auto"/>
                    <w:ind w:firstLine="0"/>
                    <w:rPr>
                      <w:b/>
                      <w:sz w:val="20"/>
                      <w:szCs w:val="20"/>
                    </w:rPr>
                  </w:pPr>
                  <w:r w:rsidRPr="00807F4A">
                    <w:rPr>
                      <w:b/>
                      <w:sz w:val="20"/>
                      <w:szCs w:val="20"/>
                    </w:rPr>
                    <w:t>Note: flux trap in MCNP model has no transuranic targets and MCNP</w:t>
                  </w:r>
                  <w:r>
                    <w:rPr>
                      <w:b/>
                      <w:sz w:val="20"/>
                      <w:szCs w:val="20"/>
                    </w:rPr>
                    <w:t>/KENO</w:t>
                  </w:r>
                  <w:r w:rsidRPr="00807F4A">
                    <w:rPr>
                      <w:b/>
                      <w:sz w:val="20"/>
                      <w:szCs w:val="20"/>
                    </w:rPr>
                    <w:t xml:space="preserve"> fluxes are axially averaged whereas COMSOL fluxes are at the core horizontal midplane.</w:t>
                  </w:r>
                </w:p>
              </w:txbxContent>
            </v:textbox>
          </v:shape>
        </w:pict>
      </w:r>
      <w:r w:rsidR="00633839" w:rsidRPr="00FA658C">
        <w:rPr>
          <w:noProof/>
        </w:rPr>
        <w:drawing>
          <wp:inline distT="0" distB="0" distL="0" distR="0">
            <wp:extent cx="5943600" cy="5029200"/>
            <wp:effectExtent l="19050" t="0" r="19050" b="0"/>
            <wp:docPr id="41"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rsidR="00633839" w:rsidRPr="000C5E2C" w:rsidRDefault="000C5E2C" w:rsidP="000C5E2C">
      <w:pPr>
        <w:pStyle w:val="Caption"/>
      </w:pPr>
      <w:bookmarkStart w:id="367" w:name="_Ref285540004"/>
      <w:bookmarkStart w:id="368" w:name="_Toc295818259"/>
      <w:proofErr w:type="gramStart"/>
      <w:r>
        <w:t xml:space="preserve">Figure </w:t>
      </w:r>
      <w:r w:rsidR="007511FA">
        <w:fldChar w:fldCharType="begin"/>
      </w:r>
      <w:r w:rsidR="00AE17F8">
        <w:instrText xml:space="preserve"> STYLEREF 1 \s </w:instrText>
      </w:r>
      <w:r w:rsidR="007511FA">
        <w:fldChar w:fldCharType="separate"/>
      </w:r>
      <w:r w:rsidR="00D5167B">
        <w:rPr>
          <w:noProof/>
        </w:rPr>
        <w:t>9</w:t>
      </w:r>
      <w:r w:rsidR="007511FA">
        <w:fldChar w:fldCharType="end"/>
      </w:r>
      <w:r>
        <w:t>.</w:t>
      </w:r>
      <w:proofErr w:type="gramEnd"/>
      <w:r w:rsidR="007511FA">
        <w:fldChar w:fldCharType="begin"/>
      </w:r>
      <w:r w:rsidR="00C43F40">
        <w:instrText xml:space="preserve"> SEQ Figure \* ARABIC \s 1 </w:instrText>
      </w:r>
      <w:r w:rsidR="007511FA">
        <w:fldChar w:fldCharType="separate"/>
      </w:r>
      <w:r w:rsidR="00D5167B">
        <w:rPr>
          <w:noProof/>
        </w:rPr>
        <w:t>13</w:t>
      </w:r>
      <w:r w:rsidR="007511FA">
        <w:fldChar w:fldCharType="end"/>
      </w:r>
      <w:bookmarkEnd w:id="367"/>
      <w:r w:rsidR="00633839" w:rsidRPr="000C5E2C">
        <w:t>.  Normalized two-group flux profiles.</w:t>
      </w:r>
      <w:bookmarkEnd w:id="368"/>
    </w:p>
    <w:p w:rsidR="00633839" w:rsidRDefault="00633839" w:rsidP="007511BD">
      <w:pPr>
        <w:spacing w:before="0" w:after="200" w:line="276" w:lineRule="auto"/>
        <w:ind w:firstLine="0"/>
        <w:jc w:val="center"/>
        <w:rPr>
          <w:rFonts w:eastAsiaTheme="minorEastAsia"/>
        </w:rPr>
      </w:pPr>
      <w:r>
        <w:rPr>
          <w:rFonts w:eastAsiaTheme="minorEastAsia"/>
        </w:rPr>
        <w:br w:type="page"/>
      </w:r>
    </w:p>
    <w:p w:rsidR="00E621C3" w:rsidRPr="000C5E2C" w:rsidRDefault="000C5E2C" w:rsidP="000C5E2C">
      <w:pPr>
        <w:pStyle w:val="Caption"/>
      </w:pPr>
      <w:bookmarkStart w:id="369" w:name="_Ref285540075"/>
      <w:bookmarkStart w:id="370" w:name="_Toc295818283"/>
      <w:proofErr w:type="gramStart"/>
      <w:r>
        <w:lastRenderedPageBreak/>
        <w:t xml:space="preserve">Table </w:t>
      </w:r>
      <w:r w:rsidR="007511FA">
        <w:fldChar w:fldCharType="begin"/>
      </w:r>
      <w:r w:rsidR="00AE17F8">
        <w:instrText xml:space="preserve"> STYLEREF 1 \s </w:instrText>
      </w:r>
      <w:r w:rsidR="007511FA">
        <w:fldChar w:fldCharType="separate"/>
      </w:r>
      <w:r w:rsidR="00D5167B">
        <w:rPr>
          <w:noProof/>
        </w:rPr>
        <w:t>9</w:t>
      </w:r>
      <w:r w:rsidR="007511FA">
        <w:fldChar w:fldCharType="end"/>
      </w:r>
      <w:r w:rsidR="00DE5151">
        <w:t>.</w:t>
      </w:r>
      <w:proofErr w:type="gramEnd"/>
      <w:r w:rsidR="007511FA">
        <w:fldChar w:fldCharType="begin"/>
      </w:r>
      <w:r w:rsidR="00C43F40">
        <w:instrText xml:space="preserve"> SEQ Table \* ARABIC \s 1 </w:instrText>
      </w:r>
      <w:r w:rsidR="007511FA">
        <w:fldChar w:fldCharType="separate"/>
      </w:r>
      <w:r w:rsidR="00D5167B">
        <w:rPr>
          <w:noProof/>
        </w:rPr>
        <w:t>2</w:t>
      </w:r>
      <w:r w:rsidR="007511FA">
        <w:fldChar w:fldCharType="end"/>
      </w:r>
      <w:bookmarkEnd w:id="369"/>
      <w:r w:rsidR="00E621C3" w:rsidRPr="000C5E2C">
        <w:t xml:space="preserve">.  </w:t>
      </w:r>
      <w:proofErr w:type="gramStart"/>
      <w:r w:rsidR="00E621C3" w:rsidRPr="000C5E2C">
        <w:t>Automatic mesh refinement statistics/parameters.</w:t>
      </w:r>
      <w:bookmarkEnd w:id="370"/>
      <w:proofErr w:type="gramEnd"/>
    </w:p>
    <w:tbl>
      <w:tblPr>
        <w:tblW w:w="9554" w:type="dxa"/>
        <w:tblInd w:w="94" w:type="dxa"/>
        <w:tblLook w:val="04A0"/>
      </w:tblPr>
      <w:tblGrid>
        <w:gridCol w:w="1205"/>
        <w:gridCol w:w="1101"/>
        <w:gridCol w:w="1101"/>
        <w:gridCol w:w="1101"/>
        <w:gridCol w:w="927"/>
        <w:gridCol w:w="1149"/>
        <w:gridCol w:w="949"/>
        <w:gridCol w:w="1216"/>
        <w:gridCol w:w="928"/>
      </w:tblGrid>
      <w:tr w:rsidR="00E621C3" w:rsidRPr="00A4526D" w:rsidTr="0095569A">
        <w:trPr>
          <w:trHeight w:val="300"/>
        </w:trPr>
        <w:tc>
          <w:tcPr>
            <w:tcW w:w="120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b/>
                <w:bCs/>
                <w:color w:val="000000"/>
                <w:sz w:val="20"/>
                <w:szCs w:val="20"/>
              </w:rPr>
            </w:pPr>
            <w:r w:rsidRPr="0095569A">
              <w:rPr>
                <w:rFonts w:eastAsia="Times New Roman" w:cstheme="minorHAnsi"/>
                <w:b/>
                <w:bCs/>
                <w:color w:val="000000"/>
                <w:sz w:val="20"/>
                <w:szCs w:val="20"/>
              </w:rPr>
              <w:t>Mesh Refinement</w:t>
            </w:r>
          </w:p>
        </w:tc>
        <w:tc>
          <w:tcPr>
            <w:tcW w:w="110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b/>
                <w:bCs/>
                <w:color w:val="000000"/>
                <w:sz w:val="20"/>
                <w:szCs w:val="20"/>
              </w:rPr>
            </w:pPr>
            <w:r w:rsidRPr="0095569A">
              <w:rPr>
                <w:rFonts w:eastAsia="Times New Roman" w:cstheme="minorHAnsi"/>
                <w:b/>
                <w:bCs/>
                <w:color w:val="000000"/>
                <w:sz w:val="20"/>
                <w:szCs w:val="20"/>
              </w:rPr>
              <w:t>DOF</w:t>
            </w:r>
          </w:p>
        </w:tc>
        <w:tc>
          <w:tcPr>
            <w:tcW w:w="110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b/>
                <w:bCs/>
                <w:color w:val="000000"/>
                <w:sz w:val="20"/>
                <w:szCs w:val="20"/>
              </w:rPr>
            </w:pPr>
            <w:r w:rsidRPr="0095569A">
              <w:rPr>
                <w:rFonts w:eastAsia="Times New Roman" w:cstheme="minorHAnsi"/>
                <w:b/>
                <w:bCs/>
                <w:color w:val="000000"/>
                <w:sz w:val="20"/>
                <w:szCs w:val="20"/>
              </w:rPr>
              <w:t>Mesh Points</w:t>
            </w:r>
          </w:p>
        </w:tc>
        <w:tc>
          <w:tcPr>
            <w:tcW w:w="110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b/>
                <w:bCs/>
                <w:color w:val="000000"/>
                <w:sz w:val="20"/>
                <w:szCs w:val="20"/>
              </w:rPr>
            </w:pPr>
            <w:r w:rsidRPr="0095569A">
              <w:rPr>
                <w:rFonts w:eastAsia="Times New Roman" w:cstheme="minorHAnsi"/>
                <w:b/>
                <w:bCs/>
                <w:color w:val="000000"/>
                <w:sz w:val="20"/>
                <w:szCs w:val="20"/>
              </w:rPr>
              <w:t>Elements</w:t>
            </w:r>
          </w:p>
        </w:tc>
        <w:tc>
          <w:tcPr>
            <w:tcW w:w="92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b/>
                <w:bCs/>
                <w:color w:val="000000"/>
                <w:sz w:val="20"/>
                <w:szCs w:val="20"/>
              </w:rPr>
            </w:pPr>
            <w:r w:rsidRPr="0095569A">
              <w:rPr>
                <w:rFonts w:eastAsia="Times New Roman" w:cstheme="minorHAnsi"/>
                <w:b/>
                <w:bCs/>
                <w:color w:val="000000"/>
                <w:sz w:val="20"/>
                <w:szCs w:val="20"/>
              </w:rPr>
              <w:t>Min. Element Quality</w:t>
            </w:r>
          </w:p>
        </w:tc>
        <w:tc>
          <w:tcPr>
            <w:tcW w:w="114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b/>
                <w:bCs/>
                <w:color w:val="000000"/>
                <w:sz w:val="20"/>
                <w:szCs w:val="20"/>
              </w:rPr>
            </w:pPr>
            <w:r w:rsidRPr="0095569A">
              <w:rPr>
                <w:rFonts w:eastAsia="Times New Roman" w:cstheme="minorHAnsi"/>
                <w:b/>
                <w:bCs/>
                <w:color w:val="000000"/>
                <w:sz w:val="20"/>
                <w:szCs w:val="20"/>
              </w:rPr>
              <w:t>Global Error</w:t>
            </w:r>
          </w:p>
        </w:tc>
        <w:tc>
          <w:tcPr>
            <w:tcW w:w="94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b/>
                <w:bCs/>
                <w:color w:val="000000"/>
                <w:sz w:val="20"/>
                <w:szCs w:val="20"/>
              </w:rPr>
            </w:pPr>
            <w:r w:rsidRPr="0095569A">
              <w:rPr>
                <w:rFonts w:eastAsia="Times New Roman" w:cstheme="minorHAnsi"/>
                <w:b/>
                <w:bCs/>
                <w:color w:val="000000"/>
                <w:sz w:val="20"/>
                <w:szCs w:val="20"/>
              </w:rPr>
              <w:t>Memory (GB)</w:t>
            </w:r>
          </w:p>
        </w:tc>
        <w:tc>
          <w:tcPr>
            <w:tcW w:w="121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b/>
                <w:bCs/>
                <w:color w:val="000000"/>
                <w:sz w:val="20"/>
                <w:szCs w:val="20"/>
              </w:rPr>
            </w:pPr>
            <w:r w:rsidRPr="0095569A">
              <w:rPr>
                <w:rFonts w:eastAsia="Times New Roman" w:cstheme="minorHAnsi"/>
                <w:b/>
                <w:bCs/>
                <w:color w:val="000000"/>
                <w:sz w:val="20"/>
                <w:szCs w:val="20"/>
              </w:rPr>
              <w:t>Cumulative Solution Time (s)</w:t>
            </w:r>
          </w:p>
        </w:tc>
        <w:tc>
          <w:tcPr>
            <w:tcW w:w="80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b/>
                <w:bCs/>
                <w:color w:val="000000"/>
                <w:sz w:val="20"/>
                <w:szCs w:val="20"/>
              </w:rPr>
            </w:pPr>
            <w:r w:rsidRPr="0095569A">
              <w:rPr>
                <w:rFonts w:eastAsia="Times New Roman" w:cstheme="minorHAnsi"/>
                <w:b/>
                <w:bCs/>
                <w:color w:val="000000"/>
                <w:sz w:val="20"/>
                <w:szCs w:val="20"/>
              </w:rPr>
              <w:t>Solution Time (s)</w:t>
            </w:r>
          </w:p>
        </w:tc>
      </w:tr>
      <w:tr w:rsidR="00E621C3" w:rsidRPr="00A4526D" w:rsidTr="0095569A">
        <w:trPr>
          <w:trHeight w:val="300"/>
        </w:trPr>
        <w:tc>
          <w:tcPr>
            <w:tcW w:w="1205" w:type="dxa"/>
            <w:vMerge/>
            <w:tcBorders>
              <w:top w:val="single" w:sz="4" w:space="0" w:color="auto"/>
              <w:left w:val="single" w:sz="4" w:space="0" w:color="auto"/>
              <w:bottom w:val="single" w:sz="4" w:space="0" w:color="auto"/>
              <w:right w:val="single" w:sz="4" w:space="0" w:color="auto"/>
            </w:tcBorders>
            <w:vAlign w:val="center"/>
            <w:hideMark/>
          </w:tcPr>
          <w:p w:rsidR="00E621C3" w:rsidRPr="0095569A" w:rsidRDefault="00E621C3" w:rsidP="007511BD">
            <w:pPr>
              <w:spacing w:before="0" w:after="0" w:line="240" w:lineRule="auto"/>
              <w:ind w:firstLine="0"/>
              <w:jc w:val="center"/>
              <w:rPr>
                <w:rFonts w:eastAsia="Times New Roman" w:cstheme="minorHAnsi"/>
                <w:b/>
                <w:bCs/>
                <w:color w:val="000000"/>
                <w:sz w:val="20"/>
                <w:szCs w:val="20"/>
              </w:rPr>
            </w:pPr>
          </w:p>
        </w:tc>
        <w:tc>
          <w:tcPr>
            <w:tcW w:w="1101" w:type="dxa"/>
            <w:vMerge/>
            <w:tcBorders>
              <w:top w:val="single" w:sz="4" w:space="0" w:color="auto"/>
              <w:left w:val="single" w:sz="4" w:space="0" w:color="auto"/>
              <w:bottom w:val="single" w:sz="4" w:space="0" w:color="000000"/>
              <w:right w:val="single" w:sz="4" w:space="0" w:color="auto"/>
            </w:tcBorders>
            <w:vAlign w:val="center"/>
            <w:hideMark/>
          </w:tcPr>
          <w:p w:rsidR="00E621C3" w:rsidRPr="0095569A" w:rsidRDefault="00E621C3" w:rsidP="007511BD">
            <w:pPr>
              <w:spacing w:before="0" w:after="0" w:line="240" w:lineRule="auto"/>
              <w:ind w:firstLine="0"/>
              <w:jc w:val="center"/>
              <w:rPr>
                <w:rFonts w:eastAsia="Times New Roman" w:cstheme="minorHAnsi"/>
                <w:b/>
                <w:bCs/>
                <w:color w:val="000000"/>
                <w:sz w:val="20"/>
                <w:szCs w:val="20"/>
              </w:rPr>
            </w:pPr>
          </w:p>
        </w:tc>
        <w:tc>
          <w:tcPr>
            <w:tcW w:w="1101" w:type="dxa"/>
            <w:vMerge/>
            <w:tcBorders>
              <w:top w:val="single" w:sz="4" w:space="0" w:color="auto"/>
              <w:left w:val="single" w:sz="4" w:space="0" w:color="auto"/>
              <w:bottom w:val="single" w:sz="4" w:space="0" w:color="auto"/>
              <w:right w:val="single" w:sz="4" w:space="0" w:color="auto"/>
            </w:tcBorders>
            <w:vAlign w:val="center"/>
            <w:hideMark/>
          </w:tcPr>
          <w:p w:rsidR="00E621C3" w:rsidRPr="0095569A" w:rsidRDefault="00E621C3" w:rsidP="007511BD">
            <w:pPr>
              <w:spacing w:before="0" w:after="0" w:line="240" w:lineRule="auto"/>
              <w:ind w:firstLine="0"/>
              <w:jc w:val="center"/>
              <w:rPr>
                <w:rFonts w:eastAsia="Times New Roman" w:cstheme="minorHAnsi"/>
                <w:b/>
                <w:bCs/>
                <w:color w:val="000000"/>
                <w:sz w:val="20"/>
                <w:szCs w:val="20"/>
              </w:rPr>
            </w:pPr>
          </w:p>
        </w:tc>
        <w:tc>
          <w:tcPr>
            <w:tcW w:w="1101" w:type="dxa"/>
            <w:vMerge/>
            <w:tcBorders>
              <w:top w:val="single" w:sz="4" w:space="0" w:color="auto"/>
              <w:left w:val="single" w:sz="4" w:space="0" w:color="auto"/>
              <w:bottom w:val="single" w:sz="4" w:space="0" w:color="000000"/>
              <w:right w:val="single" w:sz="4" w:space="0" w:color="auto"/>
            </w:tcBorders>
            <w:vAlign w:val="center"/>
            <w:hideMark/>
          </w:tcPr>
          <w:p w:rsidR="00E621C3" w:rsidRPr="0095569A" w:rsidRDefault="00E621C3" w:rsidP="007511BD">
            <w:pPr>
              <w:spacing w:before="0" w:after="0" w:line="240" w:lineRule="auto"/>
              <w:ind w:firstLine="0"/>
              <w:jc w:val="center"/>
              <w:rPr>
                <w:rFonts w:eastAsia="Times New Roman" w:cstheme="minorHAnsi"/>
                <w:b/>
                <w:bCs/>
                <w:color w:val="000000"/>
                <w:sz w:val="20"/>
                <w:szCs w:val="20"/>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E621C3" w:rsidRPr="0095569A" w:rsidRDefault="00E621C3" w:rsidP="007511BD">
            <w:pPr>
              <w:spacing w:before="0" w:after="0" w:line="240" w:lineRule="auto"/>
              <w:ind w:firstLine="0"/>
              <w:jc w:val="center"/>
              <w:rPr>
                <w:rFonts w:eastAsia="Times New Roman" w:cstheme="minorHAnsi"/>
                <w:b/>
                <w:bCs/>
                <w:color w:val="000000"/>
                <w:sz w:val="20"/>
                <w:szCs w:val="20"/>
              </w:rPr>
            </w:pPr>
          </w:p>
        </w:tc>
        <w:tc>
          <w:tcPr>
            <w:tcW w:w="1149" w:type="dxa"/>
            <w:vMerge/>
            <w:tcBorders>
              <w:top w:val="single" w:sz="4" w:space="0" w:color="auto"/>
              <w:left w:val="single" w:sz="4" w:space="0" w:color="auto"/>
              <w:bottom w:val="single" w:sz="4" w:space="0" w:color="auto"/>
              <w:right w:val="single" w:sz="4" w:space="0" w:color="auto"/>
            </w:tcBorders>
            <w:vAlign w:val="center"/>
            <w:hideMark/>
          </w:tcPr>
          <w:p w:rsidR="00E621C3" w:rsidRPr="0095569A" w:rsidRDefault="00E621C3" w:rsidP="007511BD">
            <w:pPr>
              <w:spacing w:before="0" w:after="0" w:line="240" w:lineRule="auto"/>
              <w:ind w:firstLine="0"/>
              <w:jc w:val="center"/>
              <w:rPr>
                <w:rFonts w:eastAsia="Times New Roman" w:cstheme="minorHAnsi"/>
                <w:b/>
                <w:bCs/>
                <w:color w:val="000000"/>
                <w:sz w:val="20"/>
                <w:szCs w:val="20"/>
              </w:rPr>
            </w:pPr>
          </w:p>
        </w:tc>
        <w:tc>
          <w:tcPr>
            <w:tcW w:w="949" w:type="dxa"/>
            <w:vMerge/>
            <w:tcBorders>
              <w:top w:val="single" w:sz="4" w:space="0" w:color="auto"/>
              <w:left w:val="single" w:sz="4" w:space="0" w:color="auto"/>
              <w:bottom w:val="single" w:sz="4" w:space="0" w:color="auto"/>
              <w:right w:val="single" w:sz="4" w:space="0" w:color="auto"/>
            </w:tcBorders>
            <w:vAlign w:val="center"/>
            <w:hideMark/>
          </w:tcPr>
          <w:p w:rsidR="00E621C3" w:rsidRPr="0095569A" w:rsidRDefault="00E621C3" w:rsidP="007511BD">
            <w:pPr>
              <w:spacing w:before="0" w:after="0" w:line="240" w:lineRule="auto"/>
              <w:ind w:firstLine="0"/>
              <w:jc w:val="center"/>
              <w:rPr>
                <w:rFonts w:eastAsia="Times New Roman" w:cstheme="minorHAnsi"/>
                <w:b/>
                <w:bCs/>
                <w:color w:val="000000"/>
                <w:sz w:val="20"/>
                <w:szCs w:val="20"/>
              </w:rPr>
            </w:pPr>
          </w:p>
        </w:tc>
        <w:tc>
          <w:tcPr>
            <w:tcW w:w="1216" w:type="dxa"/>
            <w:vMerge/>
            <w:tcBorders>
              <w:top w:val="single" w:sz="4" w:space="0" w:color="auto"/>
              <w:left w:val="single" w:sz="4" w:space="0" w:color="auto"/>
              <w:bottom w:val="single" w:sz="4" w:space="0" w:color="auto"/>
              <w:right w:val="single" w:sz="4" w:space="0" w:color="auto"/>
            </w:tcBorders>
            <w:vAlign w:val="center"/>
            <w:hideMark/>
          </w:tcPr>
          <w:p w:rsidR="00E621C3" w:rsidRPr="0095569A" w:rsidRDefault="00E621C3" w:rsidP="007511BD">
            <w:pPr>
              <w:spacing w:before="0" w:after="0" w:line="240" w:lineRule="auto"/>
              <w:ind w:firstLine="0"/>
              <w:jc w:val="center"/>
              <w:rPr>
                <w:rFonts w:eastAsia="Times New Roman" w:cstheme="minorHAnsi"/>
                <w:b/>
                <w:bCs/>
                <w:color w:val="000000"/>
                <w:sz w:val="20"/>
                <w:szCs w:val="20"/>
              </w:rPr>
            </w:pPr>
          </w:p>
        </w:tc>
        <w:tc>
          <w:tcPr>
            <w:tcW w:w="805" w:type="dxa"/>
            <w:vMerge/>
            <w:tcBorders>
              <w:top w:val="single" w:sz="4" w:space="0" w:color="auto"/>
              <w:left w:val="single" w:sz="4" w:space="0" w:color="auto"/>
              <w:bottom w:val="single" w:sz="4" w:space="0" w:color="auto"/>
              <w:right w:val="single" w:sz="4" w:space="0" w:color="auto"/>
            </w:tcBorders>
            <w:vAlign w:val="center"/>
            <w:hideMark/>
          </w:tcPr>
          <w:p w:rsidR="00E621C3" w:rsidRPr="0095569A" w:rsidRDefault="00E621C3" w:rsidP="007511BD">
            <w:pPr>
              <w:spacing w:before="0" w:after="0" w:line="240" w:lineRule="auto"/>
              <w:ind w:firstLine="0"/>
              <w:jc w:val="center"/>
              <w:rPr>
                <w:rFonts w:eastAsia="Times New Roman" w:cstheme="minorHAnsi"/>
                <w:b/>
                <w:bCs/>
                <w:color w:val="000000"/>
                <w:sz w:val="20"/>
                <w:szCs w:val="20"/>
              </w:rPr>
            </w:pPr>
          </w:p>
        </w:tc>
      </w:tr>
      <w:tr w:rsidR="00E621C3" w:rsidRPr="00A4526D" w:rsidTr="0095569A">
        <w:trPr>
          <w:trHeight w:val="300"/>
        </w:trPr>
        <w:tc>
          <w:tcPr>
            <w:tcW w:w="1205" w:type="dxa"/>
            <w:tcBorders>
              <w:top w:val="nil"/>
              <w:left w:val="single" w:sz="4" w:space="0" w:color="auto"/>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0</w:t>
            </w:r>
          </w:p>
        </w:tc>
        <w:tc>
          <w:tcPr>
            <w:tcW w:w="1101" w:type="dxa"/>
            <w:tcBorders>
              <w:top w:val="nil"/>
              <w:left w:val="nil"/>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5.016E+04</w:t>
            </w:r>
          </w:p>
        </w:tc>
        <w:tc>
          <w:tcPr>
            <w:tcW w:w="1101" w:type="dxa"/>
            <w:tcBorders>
              <w:top w:val="nil"/>
              <w:left w:val="nil"/>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6.293E+03</w:t>
            </w:r>
          </w:p>
        </w:tc>
        <w:tc>
          <w:tcPr>
            <w:tcW w:w="1101" w:type="dxa"/>
            <w:tcBorders>
              <w:top w:val="nil"/>
              <w:left w:val="nil"/>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1.250E+04</w:t>
            </w:r>
          </w:p>
        </w:tc>
        <w:tc>
          <w:tcPr>
            <w:tcW w:w="927" w:type="dxa"/>
            <w:tcBorders>
              <w:top w:val="nil"/>
              <w:left w:val="nil"/>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0.529</w:t>
            </w:r>
          </w:p>
        </w:tc>
        <w:tc>
          <w:tcPr>
            <w:tcW w:w="1149" w:type="dxa"/>
            <w:tcBorders>
              <w:top w:val="nil"/>
              <w:left w:val="nil"/>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3.024E-01</w:t>
            </w:r>
          </w:p>
        </w:tc>
        <w:tc>
          <w:tcPr>
            <w:tcW w:w="949" w:type="dxa"/>
            <w:tcBorders>
              <w:top w:val="nil"/>
              <w:left w:val="nil"/>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4.7</w:t>
            </w:r>
          </w:p>
        </w:tc>
        <w:tc>
          <w:tcPr>
            <w:tcW w:w="1216" w:type="dxa"/>
            <w:tcBorders>
              <w:top w:val="nil"/>
              <w:left w:val="nil"/>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5.2</w:t>
            </w:r>
          </w:p>
        </w:tc>
        <w:tc>
          <w:tcPr>
            <w:tcW w:w="805" w:type="dxa"/>
            <w:tcBorders>
              <w:top w:val="nil"/>
              <w:left w:val="nil"/>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5.2</w:t>
            </w:r>
          </w:p>
        </w:tc>
      </w:tr>
      <w:tr w:rsidR="00E621C3" w:rsidRPr="00A4526D" w:rsidTr="0095569A">
        <w:trPr>
          <w:trHeight w:val="300"/>
        </w:trPr>
        <w:tc>
          <w:tcPr>
            <w:tcW w:w="1205" w:type="dxa"/>
            <w:tcBorders>
              <w:top w:val="nil"/>
              <w:left w:val="single" w:sz="4" w:space="0" w:color="auto"/>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1</w:t>
            </w:r>
          </w:p>
        </w:tc>
        <w:tc>
          <w:tcPr>
            <w:tcW w:w="1101" w:type="dxa"/>
            <w:tcBorders>
              <w:top w:val="nil"/>
              <w:left w:val="nil"/>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1.615E+05</w:t>
            </w:r>
          </w:p>
        </w:tc>
        <w:tc>
          <w:tcPr>
            <w:tcW w:w="1101" w:type="dxa"/>
            <w:tcBorders>
              <w:top w:val="nil"/>
              <w:left w:val="nil"/>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2.024E+04</w:t>
            </w:r>
          </w:p>
        </w:tc>
        <w:tc>
          <w:tcPr>
            <w:tcW w:w="1101" w:type="dxa"/>
            <w:tcBorders>
              <w:top w:val="nil"/>
              <w:left w:val="nil"/>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4.025E+04</w:t>
            </w:r>
          </w:p>
        </w:tc>
        <w:tc>
          <w:tcPr>
            <w:tcW w:w="927" w:type="dxa"/>
            <w:tcBorders>
              <w:top w:val="nil"/>
              <w:left w:val="nil"/>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0.438</w:t>
            </w:r>
          </w:p>
        </w:tc>
        <w:tc>
          <w:tcPr>
            <w:tcW w:w="1149" w:type="dxa"/>
            <w:tcBorders>
              <w:top w:val="nil"/>
              <w:left w:val="nil"/>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5.147E-03</w:t>
            </w:r>
          </w:p>
        </w:tc>
        <w:tc>
          <w:tcPr>
            <w:tcW w:w="949" w:type="dxa"/>
            <w:tcBorders>
              <w:top w:val="nil"/>
              <w:left w:val="nil"/>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5.0</w:t>
            </w:r>
          </w:p>
        </w:tc>
        <w:tc>
          <w:tcPr>
            <w:tcW w:w="1216" w:type="dxa"/>
            <w:tcBorders>
              <w:top w:val="nil"/>
              <w:left w:val="nil"/>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31.4</w:t>
            </w:r>
          </w:p>
        </w:tc>
        <w:tc>
          <w:tcPr>
            <w:tcW w:w="805" w:type="dxa"/>
            <w:tcBorders>
              <w:top w:val="nil"/>
              <w:left w:val="nil"/>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26.2</w:t>
            </w:r>
          </w:p>
        </w:tc>
      </w:tr>
      <w:tr w:rsidR="00E621C3" w:rsidRPr="00A4526D" w:rsidTr="0095569A">
        <w:trPr>
          <w:trHeight w:val="300"/>
        </w:trPr>
        <w:tc>
          <w:tcPr>
            <w:tcW w:w="1205" w:type="dxa"/>
            <w:tcBorders>
              <w:top w:val="nil"/>
              <w:left w:val="single" w:sz="4" w:space="0" w:color="auto"/>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2</w:t>
            </w:r>
          </w:p>
        </w:tc>
        <w:tc>
          <w:tcPr>
            <w:tcW w:w="1101" w:type="dxa"/>
            <w:tcBorders>
              <w:top w:val="nil"/>
              <w:left w:val="nil"/>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3.510E+05</w:t>
            </w:r>
          </w:p>
        </w:tc>
        <w:tc>
          <w:tcPr>
            <w:tcW w:w="1101" w:type="dxa"/>
            <w:tcBorders>
              <w:top w:val="nil"/>
              <w:left w:val="nil"/>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4.398E+04</w:t>
            </w:r>
          </w:p>
        </w:tc>
        <w:tc>
          <w:tcPr>
            <w:tcW w:w="1101" w:type="dxa"/>
            <w:tcBorders>
              <w:top w:val="nil"/>
              <w:left w:val="nil"/>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8.757E+04</w:t>
            </w:r>
          </w:p>
        </w:tc>
        <w:tc>
          <w:tcPr>
            <w:tcW w:w="927" w:type="dxa"/>
            <w:tcBorders>
              <w:top w:val="nil"/>
              <w:left w:val="nil"/>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0.438</w:t>
            </w:r>
          </w:p>
        </w:tc>
        <w:tc>
          <w:tcPr>
            <w:tcW w:w="1149" w:type="dxa"/>
            <w:tcBorders>
              <w:top w:val="nil"/>
              <w:left w:val="nil"/>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1.591E-03</w:t>
            </w:r>
          </w:p>
        </w:tc>
        <w:tc>
          <w:tcPr>
            <w:tcW w:w="949" w:type="dxa"/>
            <w:tcBorders>
              <w:top w:val="nil"/>
              <w:left w:val="nil"/>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5.4</w:t>
            </w:r>
          </w:p>
        </w:tc>
        <w:tc>
          <w:tcPr>
            <w:tcW w:w="1216" w:type="dxa"/>
            <w:tcBorders>
              <w:top w:val="nil"/>
              <w:left w:val="nil"/>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82.6</w:t>
            </w:r>
          </w:p>
        </w:tc>
        <w:tc>
          <w:tcPr>
            <w:tcW w:w="805" w:type="dxa"/>
            <w:tcBorders>
              <w:top w:val="nil"/>
              <w:left w:val="nil"/>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51.1</w:t>
            </w:r>
          </w:p>
        </w:tc>
      </w:tr>
      <w:tr w:rsidR="00E621C3" w:rsidRPr="00A4526D" w:rsidTr="0095569A">
        <w:trPr>
          <w:trHeight w:val="300"/>
        </w:trPr>
        <w:tc>
          <w:tcPr>
            <w:tcW w:w="1205" w:type="dxa"/>
            <w:tcBorders>
              <w:top w:val="nil"/>
              <w:left w:val="single" w:sz="4" w:space="0" w:color="auto"/>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3</w:t>
            </w:r>
          </w:p>
        </w:tc>
        <w:tc>
          <w:tcPr>
            <w:tcW w:w="1101" w:type="dxa"/>
            <w:tcBorders>
              <w:top w:val="nil"/>
              <w:left w:val="nil"/>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7.010E+05</w:t>
            </w:r>
          </w:p>
        </w:tc>
        <w:tc>
          <w:tcPr>
            <w:tcW w:w="1101" w:type="dxa"/>
            <w:tcBorders>
              <w:top w:val="nil"/>
              <w:left w:val="nil"/>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8.778E+04</w:t>
            </w:r>
          </w:p>
        </w:tc>
        <w:tc>
          <w:tcPr>
            <w:tcW w:w="1101" w:type="dxa"/>
            <w:tcBorders>
              <w:top w:val="nil"/>
              <w:left w:val="nil"/>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1.749E+05</w:t>
            </w:r>
          </w:p>
        </w:tc>
        <w:tc>
          <w:tcPr>
            <w:tcW w:w="927" w:type="dxa"/>
            <w:tcBorders>
              <w:top w:val="nil"/>
              <w:left w:val="nil"/>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0.438</w:t>
            </w:r>
          </w:p>
        </w:tc>
        <w:tc>
          <w:tcPr>
            <w:tcW w:w="1149" w:type="dxa"/>
            <w:tcBorders>
              <w:top w:val="nil"/>
              <w:left w:val="nil"/>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6.924E-04</w:t>
            </w:r>
          </w:p>
        </w:tc>
        <w:tc>
          <w:tcPr>
            <w:tcW w:w="949" w:type="dxa"/>
            <w:tcBorders>
              <w:top w:val="nil"/>
              <w:left w:val="nil"/>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6.4</w:t>
            </w:r>
          </w:p>
        </w:tc>
        <w:tc>
          <w:tcPr>
            <w:tcW w:w="1216" w:type="dxa"/>
            <w:tcBorders>
              <w:top w:val="nil"/>
              <w:left w:val="nil"/>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185.6</w:t>
            </w:r>
          </w:p>
        </w:tc>
        <w:tc>
          <w:tcPr>
            <w:tcW w:w="805" w:type="dxa"/>
            <w:tcBorders>
              <w:top w:val="nil"/>
              <w:left w:val="nil"/>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103.0</w:t>
            </w:r>
          </w:p>
        </w:tc>
      </w:tr>
      <w:tr w:rsidR="00E621C3" w:rsidRPr="00A4526D" w:rsidTr="0095569A">
        <w:trPr>
          <w:trHeight w:val="300"/>
        </w:trPr>
        <w:tc>
          <w:tcPr>
            <w:tcW w:w="1205" w:type="dxa"/>
            <w:tcBorders>
              <w:top w:val="nil"/>
              <w:left w:val="single" w:sz="4" w:space="0" w:color="auto"/>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4</w:t>
            </w:r>
          </w:p>
        </w:tc>
        <w:tc>
          <w:tcPr>
            <w:tcW w:w="1101" w:type="dxa"/>
            <w:tcBorders>
              <w:top w:val="nil"/>
              <w:left w:val="nil"/>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1.335E+06</w:t>
            </w:r>
          </w:p>
        </w:tc>
        <w:tc>
          <w:tcPr>
            <w:tcW w:w="1101" w:type="dxa"/>
            <w:tcBorders>
              <w:top w:val="nil"/>
              <w:left w:val="nil"/>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1.671E+05</w:t>
            </w:r>
          </w:p>
        </w:tc>
        <w:tc>
          <w:tcPr>
            <w:tcW w:w="1101" w:type="dxa"/>
            <w:tcBorders>
              <w:top w:val="nil"/>
              <w:left w:val="nil"/>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3.331E+05</w:t>
            </w:r>
          </w:p>
        </w:tc>
        <w:tc>
          <w:tcPr>
            <w:tcW w:w="927" w:type="dxa"/>
            <w:tcBorders>
              <w:top w:val="nil"/>
              <w:left w:val="nil"/>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0.464</w:t>
            </w:r>
          </w:p>
        </w:tc>
        <w:tc>
          <w:tcPr>
            <w:tcW w:w="1149" w:type="dxa"/>
            <w:tcBorders>
              <w:top w:val="nil"/>
              <w:left w:val="nil"/>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3.229E-04</w:t>
            </w:r>
          </w:p>
        </w:tc>
        <w:tc>
          <w:tcPr>
            <w:tcW w:w="949" w:type="dxa"/>
            <w:tcBorders>
              <w:top w:val="nil"/>
              <w:left w:val="nil"/>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8.2</w:t>
            </w:r>
          </w:p>
        </w:tc>
        <w:tc>
          <w:tcPr>
            <w:tcW w:w="1216" w:type="dxa"/>
            <w:tcBorders>
              <w:top w:val="nil"/>
              <w:left w:val="nil"/>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392.0</w:t>
            </w:r>
          </w:p>
        </w:tc>
        <w:tc>
          <w:tcPr>
            <w:tcW w:w="805" w:type="dxa"/>
            <w:tcBorders>
              <w:top w:val="nil"/>
              <w:left w:val="nil"/>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206.5</w:t>
            </w:r>
          </w:p>
        </w:tc>
      </w:tr>
      <w:tr w:rsidR="00E621C3" w:rsidRPr="00A4526D" w:rsidTr="0095569A">
        <w:trPr>
          <w:trHeight w:val="300"/>
        </w:trPr>
        <w:tc>
          <w:tcPr>
            <w:tcW w:w="1205" w:type="dxa"/>
            <w:tcBorders>
              <w:top w:val="nil"/>
              <w:left w:val="single" w:sz="4" w:space="0" w:color="auto"/>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5</w:t>
            </w:r>
          </w:p>
        </w:tc>
        <w:tc>
          <w:tcPr>
            <w:tcW w:w="1101" w:type="dxa"/>
            <w:tcBorders>
              <w:top w:val="nil"/>
              <w:left w:val="nil"/>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2.501E+06</w:t>
            </w:r>
          </w:p>
        </w:tc>
        <w:tc>
          <w:tcPr>
            <w:tcW w:w="1101" w:type="dxa"/>
            <w:tcBorders>
              <w:top w:val="nil"/>
              <w:left w:val="nil"/>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3.129E+05</w:t>
            </w:r>
          </w:p>
        </w:tc>
        <w:tc>
          <w:tcPr>
            <w:tcW w:w="1101" w:type="dxa"/>
            <w:tcBorders>
              <w:top w:val="nil"/>
              <w:left w:val="nil"/>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6.244E+05</w:t>
            </w:r>
          </w:p>
        </w:tc>
        <w:tc>
          <w:tcPr>
            <w:tcW w:w="927" w:type="dxa"/>
            <w:tcBorders>
              <w:top w:val="nil"/>
              <w:left w:val="nil"/>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0.438</w:t>
            </w:r>
          </w:p>
        </w:tc>
        <w:tc>
          <w:tcPr>
            <w:tcW w:w="1149" w:type="dxa"/>
            <w:tcBorders>
              <w:top w:val="nil"/>
              <w:left w:val="nil"/>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1.646E-04</w:t>
            </w:r>
          </w:p>
        </w:tc>
        <w:tc>
          <w:tcPr>
            <w:tcW w:w="949" w:type="dxa"/>
            <w:tcBorders>
              <w:top w:val="nil"/>
              <w:left w:val="nil"/>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11.0</w:t>
            </w:r>
          </w:p>
        </w:tc>
        <w:tc>
          <w:tcPr>
            <w:tcW w:w="1216" w:type="dxa"/>
            <w:tcBorders>
              <w:top w:val="nil"/>
              <w:left w:val="nil"/>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1054.0</w:t>
            </w:r>
          </w:p>
        </w:tc>
        <w:tc>
          <w:tcPr>
            <w:tcW w:w="805" w:type="dxa"/>
            <w:tcBorders>
              <w:top w:val="nil"/>
              <w:left w:val="nil"/>
              <w:bottom w:val="single" w:sz="4" w:space="0" w:color="auto"/>
              <w:right w:val="single" w:sz="4" w:space="0" w:color="auto"/>
            </w:tcBorders>
            <w:shd w:val="clear" w:color="auto" w:fill="auto"/>
            <w:noWrap/>
            <w:vAlign w:val="center"/>
            <w:hideMark/>
          </w:tcPr>
          <w:p w:rsidR="00E621C3" w:rsidRPr="0095569A" w:rsidRDefault="00E621C3" w:rsidP="007511BD">
            <w:pPr>
              <w:spacing w:before="0" w:after="0" w:line="240" w:lineRule="auto"/>
              <w:ind w:firstLine="0"/>
              <w:jc w:val="center"/>
              <w:rPr>
                <w:rFonts w:eastAsia="Times New Roman" w:cstheme="minorHAnsi"/>
                <w:color w:val="000000"/>
                <w:sz w:val="20"/>
                <w:szCs w:val="20"/>
              </w:rPr>
            </w:pPr>
            <w:r w:rsidRPr="0095569A">
              <w:rPr>
                <w:rFonts w:eastAsia="Times New Roman" w:cstheme="minorHAnsi"/>
                <w:color w:val="000000"/>
                <w:sz w:val="20"/>
                <w:szCs w:val="20"/>
              </w:rPr>
              <w:t>662.0</w:t>
            </w:r>
          </w:p>
        </w:tc>
      </w:tr>
    </w:tbl>
    <w:p w:rsidR="00E621C3" w:rsidRDefault="00E621C3" w:rsidP="007511BD">
      <w:pPr>
        <w:ind w:firstLine="0"/>
        <w:jc w:val="center"/>
      </w:pPr>
    </w:p>
    <w:p w:rsidR="00D81F46" w:rsidRDefault="00D81F46" w:rsidP="007511BD">
      <w:pPr>
        <w:ind w:firstLine="0"/>
        <w:jc w:val="center"/>
      </w:pPr>
    </w:p>
    <w:p w:rsidR="00D81F46" w:rsidRDefault="00D81F46" w:rsidP="007511BD">
      <w:pPr>
        <w:ind w:firstLine="0"/>
        <w:jc w:val="center"/>
      </w:pPr>
    </w:p>
    <w:p w:rsidR="00E621C3" w:rsidRDefault="00E621C3" w:rsidP="007511BD">
      <w:pPr>
        <w:spacing w:before="0" w:after="200" w:line="276" w:lineRule="auto"/>
        <w:ind w:firstLine="0"/>
        <w:jc w:val="center"/>
      </w:pPr>
    </w:p>
    <w:p w:rsidR="00E621C3" w:rsidRDefault="00E621C3" w:rsidP="00D81F46">
      <w:pPr>
        <w:spacing w:line="240" w:lineRule="auto"/>
        <w:ind w:firstLine="0"/>
        <w:jc w:val="center"/>
      </w:pPr>
      <w:r>
        <w:rPr>
          <w:noProof/>
        </w:rPr>
        <w:drawing>
          <wp:inline distT="0" distB="0" distL="0" distR="0">
            <wp:extent cx="5683258" cy="3840480"/>
            <wp:effectExtent l="0" t="0" r="0" b="0"/>
            <wp:docPr id="43" name="Picture 1" descr="C:\Users\dcz\Desktop\final2D2G\BmeshqEmeshq.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cz\Desktop\final2D2G\BmeshqEmeshq.png"/>
                    <pic:cNvPicPr>
                      <a:picLocks noChangeAspect="1" noChangeArrowheads="1"/>
                    </pic:cNvPicPr>
                  </pic:nvPicPr>
                  <pic:blipFill>
                    <a:blip r:embed="rId88" cstate="print"/>
                    <a:srcRect r="668"/>
                    <a:stretch>
                      <a:fillRect/>
                    </a:stretch>
                  </pic:blipFill>
                  <pic:spPr bwMode="auto">
                    <a:xfrm>
                      <a:off x="0" y="0"/>
                      <a:ext cx="5683258" cy="3840480"/>
                    </a:xfrm>
                    <a:prstGeom prst="rect">
                      <a:avLst/>
                    </a:prstGeom>
                    <a:noFill/>
                    <a:ln w="9525">
                      <a:noFill/>
                      <a:miter lim="800000"/>
                      <a:headEnd/>
                      <a:tailEnd/>
                    </a:ln>
                  </pic:spPr>
                </pic:pic>
              </a:graphicData>
            </a:graphic>
          </wp:inline>
        </w:drawing>
      </w:r>
    </w:p>
    <w:p w:rsidR="00E37054" w:rsidRDefault="000C5E2C" w:rsidP="00D81F46">
      <w:pPr>
        <w:pStyle w:val="Caption"/>
      </w:pPr>
      <w:bookmarkStart w:id="371" w:name="_Ref285540046"/>
      <w:bookmarkStart w:id="372" w:name="_Toc295818260"/>
      <w:proofErr w:type="gramStart"/>
      <w:r>
        <w:t xml:space="preserve">Figure </w:t>
      </w:r>
      <w:r w:rsidR="007511FA">
        <w:fldChar w:fldCharType="begin"/>
      </w:r>
      <w:r w:rsidR="00AE17F8">
        <w:instrText xml:space="preserve"> STYLEREF 1 \s </w:instrText>
      </w:r>
      <w:r w:rsidR="007511FA">
        <w:fldChar w:fldCharType="separate"/>
      </w:r>
      <w:r w:rsidR="00D5167B">
        <w:rPr>
          <w:noProof/>
        </w:rPr>
        <w:t>9</w:t>
      </w:r>
      <w:r w:rsidR="007511FA">
        <w:fldChar w:fldCharType="end"/>
      </w:r>
      <w:r>
        <w:t>.</w:t>
      </w:r>
      <w:proofErr w:type="gramEnd"/>
      <w:r w:rsidR="007511FA">
        <w:fldChar w:fldCharType="begin"/>
      </w:r>
      <w:r w:rsidR="00C43F40">
        <w:instrText xml:space="preserve"> SEQ Figure \* ARABIC \s 1 </w:instrText>
      </w:r>
      <w:r w:rsidR="007511FA">
        <w:fldChar w:fldCharType="separate"/>
      </w:r>
      <w:r w:rsidR="00D5167B">
        <w:rPr>
          <w:noProof/>
        </w:rPr>
        <w:t>14</w:t>
      </w:r>
      <w:r w:rsidR="007511FA">
        <w:fldChar w:fldCharType="end"/>
      </w:r>
      <w:bookmarkEnd w:id="371"/>
      <w:r w:rsidR="00E621C3" w:rsidRPr="000C5E2C">
        <w:t>.  COMSOL mesh quality (mesh refinement 0 on left, mesh refinement 5 on right).</w:t>
      </w:r>
      <w:bookmarkEnd w:id="372"/>
      <w:r w:rsidR="00E37054">
        <w:br w:type="page"/>
      </w:r>
    </w:p>
    <w:p w:rsidR="000C5E2C" w:rsidRDefault="007511FA" w:rsidP="00D81F46">
      <w:pPr>
        <w:widowControl w:val="0"/>
        <w:spacing w:line="240" w:lineRule="auto"/>
        <w:ind w:firstLine="0"/>
        <w:jc w:val="center"/>
      </w:pPr>
      <w:r>
        <w:rPr>
          <w:noProof/>
        </w:rPr>
        <w:lastRenderedPageBreak/>
        <w:pict>
          <v:oval id="_x0000_s1070" style="position:absolute;left:0;text-align:left;margin-left:245.55pt;margin-top:41.7pt;width:9.35pt;height:17.85pt;z-index:251680768" o:regroupid="1" filled="f" strokeweight="2.25pt"/>
        </w:pict>
      </w:r>
      <w:r>
        <w:rPr>
          <w:noProof/>
        </w:rPr>
        <w:pict>
          <v:oval id="_x0000_s1069" style="position:absolute;left:0;text-align:left;margin-left:138.15pt;margin-top:60.95pt;width:9.35pt;height:17.85pt;z-index:251679744" o:regroupid="1" filled="f" strokeweight="2.25pt"/>
        </w:pict>
      </w:r>
      <w:r>
        <w:rPr>
          <w:noProof/>
        </w:rPr>
        <w:pict>
          <v:oval id="_x0000_s1068" style="position:absolute;left:0;text-align:left;margin-left:30.55pt;margin-top:81.05pt;width:9.35pt;height:17.85pt;z-index:251678720" o:regroupid="1" filled="f" strokeweight="2.25pt"/>
        </w:pict>
      </w:r>
      <w:r w:rsidR="000C5E2C">
        <w:rPr>
          <w:noProof/>
        </w:rPr>
        <w:drawing>
          <wp:inline distT="0" distB="0" distL="0" distR="0">
            <wp:extent cx="5943600" cy="2621145"/>
            <wp:effectExtent l="0" t="0" r="0" b="0"/>
            <wp:docPr id="93" name="Picture 2" descr="C:\Users\Owner\Desktop\Pictur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wner\Desktop\Picture2.png"/>
                    <pic:cNvPicPr>
                      <a:picLocks noChangeAspect="1" noChangeArrowheads="1"/>
                    </pic:cNvPicPr>
                  </pic:nvPicPr>
                  <pic:blipFill>
                    <a:blip r:embed="rId89" cstate="print"/>
                    <a:srcRect/>
                    <a:stretch>
                      <a:fillRect/>
                    </a:stretch>
                  </pic:blipFill>
                  <pic:spPr bwMode="auto">
                    <a:xfrm>
                      <a:off x="0" y="0"/>
                      <a:ext cx="5943600" cy="2621145"/>
                    </a:xfrm>
                    <a:prstGeom prst="rect">
                      <a:avLst/>
                    </a:prstGeom>
                    <a:noFill/>
                    <a:ln w="9525">
                      <a:noFill/>
                      <a:miter lim="800000"/>
                      <a:headEnd/>
                      <a:tailEnd/>
                    </a:ln>
                  </pic:spPr>
                </pic:pic>
              </a:graphicData>
            </a:graphic>
          </wp:inline>
        </w:drawing>
      </w:r>
    </w:p>
    <w:p w:rsidR="000C5E2C" w:rsidRDefault="000C5E2C" w:rsidP="000C5E2C">
      <w:pPr>
        <w:pStyle w:val="Caption"/>
      </w:pPr>
      <w:bookmarkStart w:id="373" w:name="_Ref285540057"/>
      <w:bookmarkStart w:id="374" w:name="_Toc295818261"/>
      <w:proofErr w:type="gramStart"/>
      <w:r>
        <w:t xml:space="preserve">Figure </w:t>
      </w:r>
      <w:r w:rsidR="007511FA">
        <w:fldChar w:fldCharType="begin"/>
      </w:r>
      <w:r w:rsidR="00AE17F8">
        <w:instrText xml:space="preserve"> STYLEREF 1 \s </w:instrText>
      </w:r>
      <w:r w:rsidR="007511FA">
        <w:fldChar w:fldCharType="separate"/>
      </w:r>
      <w:r w:rsidR="00D5167B">
        <w:rPr>
          <w:noProof/>
        </w:rPr>
        <w:t>9</w:t>
      </w:r>
      <w:r w:rsidR="007511FA">
        <w:fldChar w:fldCharType="end"/>
      </w:r>
      <w:r>
        <w:t>.</w:t>
      </w:r>
      <w:proofErr w:type="gramEnd"/>
      <w:r w:rsidR="007511FA">
        <w:fldChar w:fldCharType="begin"/>
      </w:r>
      <w:r w:rsidR="00C43F40">
        <w:instrText xml:space="preserve"> SEQ Figure \* ARABIC \s 1 </w:instrText>
      </w:r>
      <w:r w:rsidR="007511FA">
        <w:fldChar w:fldCharType="separate"/>
      </w:r>
      <w:r w:rsidR="00D5167B">
        <w:rPr>
          <w:noProof/>
        </w:rPr>
        <w:t>15</w:t>
      </w:r>
      <w:r w:rsidR="007511FA">
        <w:fldChar w:fldCharType="end"/>
      </w:r>
      <w:bookmarkEnd w:id="373"/>
      <w:r w:rsidRPr="005E73E4">
        <w:t xml:space="preserve">.  Thermal Flux (E &lt; 3 </w:t>
      </w:r>
      <w:proofErr w:type="spellStart"/>
      <w:r w:rsidRPr="005E73E4">
        <w:t>eV</w:t>
      </w:r>
      <w:proofErr w:type="spellEnd"/>
      <w:r w:rsidRPr="005E73E4">
        <w:t>) Contour Plots During Gadolinium Rabbit Ejection.</w:t>
      </w:r>
      <w:bookmarkEnd w:id="374"/>
    </w:p>
    <w:p w:rsidR="000C5E2C" w:rsidRDefault="000C5E2C">
      <w:pPr>
        <w:spacing w:before="0" w:after="200" w:line="276" w:lineRule="auto"/>
        <w:ind w:firstLine="0"/>
        <w:jc w:val="left"/>
      </w:pPr>
      <w:r>
        <w:br w:type="page"/>
      </w:r>
    </w:p>
    <w:p w:rsidR="00E37054" w:rsidRDefault="00E37054" w:rsidP="00AA149C">
      <w:pPr>
        <w:pStyle w:val="Heading1"/>
      </w:pPr>
      <w:bookmarkStart w:id="375" w:name="_Toc295818165"/>
      <w:r>
        <w:lastRenderedPageBreak/>
        <w:t>Spatial</w:t>
      </w:r>
      <w:r w:rsidR="007511BD">
        <w:t>ly</w:t>
      </w:r>
      <w:r>
        <w:t xml:space="preserve">-Dependent </w:t>
      </w:r>
      <w:r w:rsidR="007511BD">
        <w:t xml:space="preserve">Reactor </w:t>
      </w:r>
      <w:r>
        <w:t>Kinetics</w:t>
      </w:r>
      <w:bookmarkEnd w:id="375"/>
    </w:p>
    <w:p w:rsidR="00556F68" w:rsidRDefault="00556F68" w:rsidP="00E17381">
      <w:r>
        <w:t xml:space="preserve">In this chapter, the </w:t>
      </w:r>
      <w:r w:rsidR="00F111CB">
        <w:t>development of COMSOL spatially-dependent reactor kinetics models is</w:t>
      </w:r>
      <w:r w:rsidR="004918D8">
        <w:t xml:space="preserve"> discusse</w:t>
      </w:r>
      <w:r w:rsidR="009265BB">
        <w:t xml:space="preserve">d, as well as the </w:t>
      </w:r>
      <w:r w:rsidR="008523F6">
        <w:t xml:space="preserve">response during certain reactivity-induced transients. </w:t>
      </w:r>
      <w:r w:rsidR="0015404B">
        <w:t xml:space="preserve"> The models presented in this chapter were developed for the purpose of studying the spatially-dependent flux/power distribution in the HFIR core during tr</w:t>
      </w:r>
      <w:r w:rsidR="00F111CB">
        <w:t xml:space="preserve">ansients caused by introducing </w:t>
      </w:r>
      <w:r w:rsidR="0015404B">
        <w:t xml:space="preserve">reactivity </w:t>
      </w:r>
      <w:proofErr w:type="spellStart"/>
      <w:r w:rsidR="0015404B">
        <w:t>nonuniformly</w:t>
      </w:r>
      <w:proofErr w:type="spellEnd"/>
      <w:r w:rsidR="0015404B">
        <w:t xml:space="preserve"> into the core such that the spatial distribution of the neutron flux changes during the transient.  All previous HFIR kinetics studies have employed the spatially-independent point kinetics equations which assume that the </w:t>
      </w:r>
      <w:r w:rsidR="0044255E">
        <w:t>spatial distribution of the flux remains unchanged during a transient, but the amplitude of the flux is time-dependent and therefore changes during a transient.</w:t>
      </w:r>
    </w:p>
    <w:p w:rsidR="0044255E" w:rsidRDefault="0044255E" w:rsidP="00E17381">
      <w:r>
        <w:t>Th</w:t>
      </w:r>
      <w:r w:rsidR="00E52A16">
        <w:t>e</w:t>
      </w:r>
      <w:r>
        <w:t xml:space="preserve"> </w:t>
      </w:r>
      <w:r w:rsidR="00E52A16">
        <w:t>models and results presented in this chapter consider the neutronics behavior only and therefore fluid flow and heat transfer physics are not modeled.  Parallel studies utilizing COMSOL for fluid flow and heat transfer analyses are curr</w:t>
      </w:r>
      <w:r w:rsidR="00F111CB">
        <w:t>ently being conducted at HFIR and i</w:t>
      </w:r>
      <w:r w:rsidR="00E52A16">
        <w:t>t is expected that these models will be merged with a neutronics model in the future in order to create a COMSOL</w:t>
      </w:r>
      <w:r w:rsidR="00F111CB">
        <w:t>-based</w:t>
      </w:r>
      <w:r w:rsidR="00E52A16">
        <w:t xml:space="preserve"> </w:t>
      </w:r>
      <w:proofErr w:type="spellStart"/>
      <w:r w:rsidR="00E52A16">
        <w:t>multiphysics</w:t>
      </w:r>
      <w:proofErr w:type="spellEnd"/>
      <w:r w:rsidR="00E52A16">
        <w:t xml:space="preserve"> model of HFIR to examine the core behavior during transient accidents.  The neutronics models are constructed primarily to examine the spatial distribution of the neutron flux during reactivity-induced transients and to determine whether the point kinetics approximation is valid for HFIR.  Thus,</w:t>
      </w:r>
      <w:r w:rsidR="00F111CB">
        <w:t xml:space="preserve"> at this point,</w:t>
      </w:r>
      <w:r w:rsidR="00E52A16">
        <w:t xml:space="preserve"> the </w:t>
      </w:r>
      <w:r w:rsidR="00110A5C">
        <w:t>purpose of these studies is</w:t>
      </w:r>
      <w:r w:rsidR="00E52A16">
        <w:t xml:space="preserve"> not to u</w:t>
      </w:r>
      <w:r w:rsidR="00110A5C">
        <w:t>pdate the Safety Analysis Report.</w:t>
      </w:r>
    </w:p>
    <w:p w:rsidR="00F111CB" w:rsidRDefault="00110A5C" w:rsidP="00F111CB">
      <w:r>
        <w:t>Sin</w:t>
      </w:r>
      <w:r w:rsidR="00F111CB">
        <w:t>c</w:t>
      </w:r>
      <w:r>
        <w:t>e heat transfer and</w:t>
      </w:r>
      <w:r w:rsidR="0044255E">
        <w:t xml:space="preserve"> fluid flow </w:t>
      </w:r>
      <w:r>
        <w:t>physics are not being implemented, thermal-hydraulic reactivity feedback contributions are not applied.  The main reactivity feedback mechanisms include</w:t>
      </w:r>
      <w:r w:rsidR="00966721">
        <w:t xml:space="preserve"> changes in fuel and coolant/moderator temperature, void formation, fuel plate deflection,</w:t>
      </w:r>
      <w:r w:rsidR="00F111CB">
        <w:t xml:space="preserve"> and changes in coolant flow.  </w:t>
      </w:r>
      <w:r w:rsidR="008523F6">
        <w:t xml:space="preserve">Reactivity feedback from coolant/moderator temperature [Moderator Temperature Coefficient (MTC)] and fuel temperature [Doppler Temperature Coefficient (DTC)] have a </w:t>
      </w:r>
      <w:r w:rsidR="00F111CB">
        <w:t>notable</w:t>
      </w:r>
      <w:r w:rsidR="008523F6">
        <w:t xml:space="preserve"> effect on the reactor power during a reactivity insertion accident.  HFIR was designed with negative MTCs and DTCs and thus negative reactivity is introduced into the core when the temperature of the wa</w:t>
      </w:r>
      <w:r w:rsidR="00F111CB">
        <w:t>ter coolant and fuel increases.</w:t>
      </w:r>
    </w:p>
    <w:p w:rsidR="00BC658C" w:rsidRDefault="00BC658C" w:rsidP="00F111CB">
      <w:r>
        <w:lastRenderedPageBreak/>
        <w:t xml:space="preserve">The purpose of this work is not to study every possible accident, but to study the spatially-dependent neutron fluxes in HFIR’s core during </w:t>
      </w:r>
      <w:proofErr w:type="spellStart"/>
      <w:r>
        <w:t>nonuniform</w:t>
      </w:r>
      <w:proofErr w:type="spellEnd"/>
      <w:r>
        <w:t xml:space="preserve"> reactivity insertion events.  Thus, only a few of the possible transient events are being studied</w:t>
      </w:r>
      <w:r w:rsidR="009265BB">
        <w:t xml:space="preserve"> and are briefly discussed here</w:t>
      </w:r>
      <w:r>
        <w:t>.</w:t>
      </w:r>
    </w:p>
    <w:p w:rsidR="006850F2" w:rsidRDefault="006850F2">
      <w:pPr>
        <w:spacing w:before="0" w:after="200" w:line="276" w:lineRule="auto"/>
        <w:ind w:firstLine="0"/>
        <w:jc w:val="left"/>
      </w:pPr>
    </w:p>
    <w:p w:rsidR="006850F2" w:rsidRDefault="006850F2" w:rsidP="006850F2">
      <w:pPr>
        <w:pStyle w:val="Heading2"/>
      </w:pPr>
      <w:bookmarkStart w:id="376" w:name="_Toc295818166"/>
      <w:r>
        <w:t>Computational Methodology</w:t>
      </w:r>
      <w:bookmarkEnd w:id="376"/>
    </w:p>
    <w:p w:rsidR="006850F2" w:rsidRDefault="006850F2" w:rsidP="00436A3A"/>
    <w:p w:rsidR="006850F2" w:rsidRDefault="00F111CB" w:rsidP="006850F2">
      <w:pPr>
        <w:pStyle w:val="Heading2"/>
      </w:pPr>
      <w:bookmarkStart w:id="377" w:name="_Toc295818167"/>
      <w:r>
        <w:t>Control Cylinder Ejection Accident</w:t>
      </w:r>
      <w:bookmarkEnd w:id="377"/>
    </w:p>
    <w:p w:rsidR="006850F2" w:rsidRDefault="006850F2" w:rsidP="00436A3A"/>
    <w:p w:rsidR="00F111CB" w:rsidRDefault="00436A3A" w:rsidP="00436A3A">
      <w:pPr>
        <w:pStyle w:val="Heading3"/>
      </w:pPr>
      <w:bookmarkStart w:id="378" w:name="_Toc295818168"/>
      <w:r>
        <w:t>Control Cylinder Ejection Methodology</w:t>
      </w:r>
      <w:bookmarkEnd w:id="378"/>
    </w:p>
    <w:p w:rsidR="00436A3A" w:rsidRDefault="00436A3A" w:rsidP="00436A3A"/>
    <w:p w:rsidR="00436A3A" w:rsidRPr="00436A3A" w:rsidRDefault="00436A3A" w:rsidP="00436A3A">
      <w:pPr>
        <w:pStyle w:val="Heading3"/>
      </w:pPr>
      <w:bookmarkStart w:id="379" w:name="_Toc295818169"/>
      <w:r>
        <w:t>Control Cylinder Ejection Results</w:t>
      </w:r>
      <w:bookmarkEnd w:id="379"/>
    </w:p>
    <w:p w:rsidR="00436A3A" w:rsidRDefault="00436A3A" w:rsidP="00436A3A"/>
    <w:p w:rsidR="006850F2" w:rsidRDefault="006850F2" w:rsidP="00436A3A">
      <w:pPr>
        <w:pStyle w:val="Heading2"/>
      </w:pPr>
      <w:bookmarkStart w:id="380" w:name="_Toc295818170"/>
      <w:r>
        <w:t>Black Rabbit Ejection</w:t>
      </w:r>
      <w:bookmarkEnd w:id="380"/>
      <w:r>
        <w:t xml:space="preserve"> </w:t>
      </w:r>
    </w:p>
    <w:p w:rsidR="00436A3A" w:rsidRDefault="00436A3A" w:rsidP="00436A3A"/>
    <w:p w:rsidR="00436A3A" w:rsidRDefault="00436A3A" w:rsidP="00436A3A">
      <w:pPr>
        <w:pStyle w:val="Heading3"/>
      </w:pPr>
      <w:bookmarkStart w:id="381" w:name="_Toc295818171"/>
      <w:r>
        <w:t>Black Rabbit Ejection Methodology</w:t>
      </w:r>
      <w:bookmarkEnd w:id="381"/>
    </w:p>
    <w:p w:rsidR="00436A3A" w:rsidRDefault="00436A3A" w:rsidP="00436A3A"/>
    <w:p w:rsidR="00436A3A" w:rsidRDefault="00436A3A" w:rsidP="00436A3A">
      <w:pPr>
        <w:pStyle w:val="Heading3"/>
      </w:pPr>
      <w:bookmarkStart w:id="382" w:name="_Toc295818172"/>
      <w:r>
        <w:t>Black Rabbit Ejection Results</w:t>
      </w:r>
      <w:bookmarkEnd w:id="382"/>
    </w:p>
    <w:p w:rsidR="00436A3A" w:rsidRDefault="00436A3A" w:rsidP="00436A3A"/>
    <w:p w:rsidR="00436A3A" w:rsidRDefault="00436A3A" w:rsidP="00436A3A">
      <w:pPr>
        <w:pStyle w:val="Heading2"/>
      </w:pPr>
      <w:bookmarkStart w:id="383" w:name="_Toc295818173"/>
      <w:r>
        <w:t>Space-Time Kinetics Summary</w:t>
      </w:r>
      <w:bookmarkEnd w:id="383"/>
    </w:p>
    <w:p w:rsidR="006850F2" w:rsidRDefault="006850F2">
      <w:pPr>
        <w:spacing w:before="0" w:after="200" w:line="276" w:lineRule="auto"/>
        <w:ind w:firstLine="0"/>
        <w:jc w:val="left"/>
      </w:pPr>
      <w:r>
        <w:br w:type="page"/>
      </w:r>
    </w:p>
    <w:p w:rsidR="00B91C24" w:rsidRPr="00B91C24" w:rsidRDefault="00B91C24" w:rsidP="00B91C24">
      <w:pPr>
        <w:pStyle w:val="Heading1"/>
      </w:pPr>
      <w:bookmarkStart w:id="384" w:name="_Toc295818174"/>
      <w:r>
        <w:lastRenderedPageBreak/>
        <w:t xml:space="preserve">Summary of </w:t>
      </w:r>
      <w:r w:rsidRPr="00B91C24">
        <w:t>Conclusions and Suggestions for Future Work</w:t>
      </w:r>
      <w:bookmarkEnd w:id="384"/>
    </w:p>
    <w:p w:rsidR="00B91C24" w:rsidRDefault="00B91C24" w:rsidP="00436A3A"/>
    <w:p w:rsidR="00B91C24" w:rsidRDefault="00B91C24" w:rsidP="006850F2"/>
    <w:p w:rsidR="00B91C24" w:rsidRDefault="00B91C24" w:rsidP="006850F2"/>
    <w:p w:rsidR="00E37054" w:rsidRDefault="00E37054" w:rsidP="006850F2">
      <w:r>
        <w:br w:type="page"/>
      </w:r>
    </w:p>
    <w:p w:rsidR="00E37054" w:rsidRDefault="00E37054">
      <w:pPr>
        <w:spacing w:before="0" w:after="200" w:line="276" w:lineRule="auto"/>
        <w:ind w:firstLine="0"/>
        <w:jc w:val="left"/>
      </w:pPr>
    </w:p>
    <w:p w:rsidR="00DE5151" w:rsidRDefault="00DE5151" w:rsidP="00DE5151"/>
    <w:p w:rsidR="00DE5151" w:rsidRDefault="00DE5151" w:rsidP="00DE5151"/>
    <w:p w:rsidR="00DE5151" w:rsidRDefault="00DE5151" w:rsidP="00DE5151"/>
    <w:p w:rsidR="00DE5151" w:rsidRDefault="00DE5151" w:rsidP="00DE5151"/>
    <w:p w:rsidR="00DE5151" w:rsidRDefault="00DE5151" w:rsidP="00DE5151"/>
    <w:p w:rsidR="00DE5151" w:rsidRDefault="00DE5151" w:rsidP="00DE5151"/>
    <w:p w:rsidR="00DE5151" w:rsidRDefault="00DE5151" w:rsidP="00DE5151"/>
    <w:p w:rsidR="00DE5151" w:rsidRDefault="00DE5151" w:rsidP="00DE5151"/>
    <w:p w:rsidR="00E37054" w:rsidRPr="003F1F77" w:rsidRDefault="00E37054" w:rsidP="00DE5151">
      <w:pPr>
        <w:pStyle w:val="Title"/>
        <w:jc w:val="center"/>
      </w:pPr>
      <w:r>
        <w:t>References</w:t>
      </w:r>
    </w:p>
    <w:p w:rsidR="00DE5151" w:rsidRDefault="00DE5151">
      <w:pPr>
        <w:spacing w:before="0" w:after="200" w:line="276" w:lineRule="auto"/>
        <w:ind w:firstLine="0"/>
        <w:jc w:val="left"/>
        <w:rPr>
          <w:b/>
        </w:rPr>
      </w:pPr>
      <w:r>
        <w:rPr>
          <w:b/>
        </w:rPr>
        <w:br w:type="page"/>
      </w:r>
    </w:p>
    <w:p w:rsidR="00DE5151" w:rsidRDefault="00DE5151" w:rsidP="00DE5151">
      <w:pPr>
        <w:pStyle w:val="Heading1"/>
        <w:numPr>
          <w:ilvl w:val="0"/>
          <w:numId w:val="0"/>
        </w:numPr>
        <w:ind w:left="432" w:hanging="432"/>
      </w:pPr>
      <w:bookmarkStart w:id="385" w:name="_Toc295818175"/>
      <w:r>
        <w:lastRenderedPageBreak/>
        <w:t>References</w:t>
      </w:r>
      <w:bookmarkEnd w:id="385"/>
    </w:p>
    <w:p w:rsidR="00C67546" w:rsidRDefault="00C67546" w:rsidP="0055602F">
      <w:pPr>
        <w:pStyle w:val="ListParagraph"/>
        <w:numPr>
          <w:ilvl w:val="0"/>
          <w:numId w:val="35"/>
        </w:numPr>
        <w:spacing w:before="0" w:after="200" w:line="360" w:lineRule="auto"/>
        <w:ind w:left="720" w:hanging="720"/>
        <w:contextualSpacing w:val="0"/>
      </w:pPr>
      <w:bookmarkStart w:id="386" w:name="_Ref285635892"/>
      <w:r>
        <w:t>D.</w:t>
      </w:r>
      <w:r w:rsidRPr="005D6750">
        <w:t xml:space="preserve"> Chandler, R. T. Primm, III, G. I. Maldonado, “Power Distribution Analysis for the High Flux Isotope Reactor Critical Experiment 3,” Nuclear Science and Engineering, </w:t>
      </w:r>
      <w:r>
        <w:t xml:space="preserve">Vol. </w:t>
      </w:r>
      <w:r w:rsidRPr="00236B35">
        <w:t>164</w:t>
      </w:r>
      <w:r>
        <w:t xml:space="preserve">, January </w:t>
      </w:r>
      <w:r w:rsidRPr="005D6750">
        <w:t>20</w:t>
      </w:r>
      <w:r>
        <w:t>10</w:t>
      </w:r>
      <w:r w:rsidRPr="005D6750">
        <w:t>.</w:t>
      </w:r>
      <w:bookmarkEnd w:id="386"/>
    </w:p>
    <w:p w:rsidR="00C67546" w:rsidRDefault="00C67546" w:rsidP="0055602F">
      <w:pPr>
        <w:pStyle w:val="ListParagraph"/>
        <w:numPr>
          <w:ilvl w:val="0"/>
          <w:numId w:val="35"/>
        </w:numPr>
        <w:spacing w:before="0" w:after="200" w:line="360" w:lineRule="auto"/>
        <w:ind w:left="720" w:hanging="720"/>
        <w:contextualSpacing w:val="0"/>
      </w:pPr>
      <w:bookmarkStart w:id="387" w:name="_Ref285635901"/>
      <w:r>
        <w:t xml:space="preserve">D. </w:t>
      </w:r>
      <w:r w:rsidRPr="005D6750">
        <w:t xml:space="preserve">Chandler, R. T. Primm, III, G. I. Maldonado, “Power Distribution Analysis for the High Flux Isotope Reactor Critical Experiment 3,” </w:t>
      </w:r>
      <w:r>
        <w:t>Transaction American</w:t>
      </w:r>
      <w:r w:rsidRPr="005D6750">
        <w:t xml:space="preserve"> Nucl</w:t>
      </w:r>
      <w:r>
        <w:t>ear Society</w:t>
      </w:r>
      <w:r w:rsidRPr="005D6750">
        <w:t xml:space="preserve">, </w:t>
      </w:r>
      <w:r>
        <w:t>Vol</w:t>
      </w:r>
      <w:r w:rsidR="006330E2">
        <w:t>.</w:t>
      </w:r>
      <w:r>
        <w:t xml:space="preserve"> </w:t>
      </w:r>
      <w:r w:rsidRPr="00236B35">
        <w:t>100</w:t>
      </w:r>
      <w:r w:rsidRPr="005D6750">
        <w:t xml:space="preserve">, </w:t>
      </w:r>
      <w:r>
        <w:t>603</w:t>
      </w:r>
      <w:r w:rsidRPr="005D6750">
        <w:t xml:space="preserve"> – </w:t>
      </w:r>
      <w:r>
        <w:t>604</w:t>
      </w:r>
      <w:r w:rsidRPr="005D6750">
        <w:t>,</w:t>
      </w:r>
      <w:r>
        <w:t xml:space="preserve"> ANS</w:t>
      </w:r>
      <w:r w:rsidRPr="005D6750">
        <w:t xml:space="preserve"> 2010 Annual </w:t>
      </w:r>
      <w:r>
        <w:t>Meeting, Atlanta, GA, June</w:t>
      </w:r>
      <w:r w:rsidRPr="005D6750">
        <w:t xml:space="preserve"> 2009.</w:t>
      </w:r>
      <w:bookmarkEnd w:id="387"/>
    </w:p>
    <w:p w:rsidR="00C67546" w:rsidRDefault="00C67546" w:rsidP="0055602F">
      <w:pPr>
        <w:pStyle w:val="ListParagraph"/>
        <w:numPr>
          <w:ilvl w:val="0"/>
          <w:numId w:val="35"/>
        </w:numPr>
        <w:spacing w:before="0" w:after="200" w:line="360" w:lineRule="auto"/>
        <w:ind w:left="720" w:hanging="720"/>
        <w:contextualSpacing w:val="0"/>
      </w:pPr>
      <w:bookmarkStart w:id="388" w:name="_Ref285635913"/>
      <w:r>
        <w:t xml:space="preserve">D. </w:t>
      </w:r>
      <w:r w:rsidRPr="006B4619">
        <w:t>Chandler, R. T. Primm, III, G. I. Maldonado, “Validating MCNP for LEU Fuel Design via Power Distribution Comparisons,” ORNL/TM-2008/126, November 2008.</w:t>
      </w:r>
      <w:bookmarkEnd w:id="388"/>
    </w:p>
    <w:p w:rsidR="00C67546" w:rsidRDefault="00C67546" w:rsidP="0055602F">
      <w:pPr>
        <w:pStyle w:val="ListParagraph"/>
        <w:numPr>
          <w:ilvl w:val="0"/>
          <w:numId w:val="35"/>
        </w:numPr>
        <w:spacing w:before="0" w:after="200" w:line="360" w:lineRule="auto"/>
        <w:ind w:left="720" w:hanging="720"/>
        <w:contextualSpacing w:val="0"/>
      </w:pPr>
      <w:bookmarkStart w:id="389" w:name="_Ref285635929"/>
      <w:r>
        <w:t xml:space="preserve">D. </w:t>
      </w:r>
      <w:r w:rsidRPr="005D6750">
        <w:t>Chandler, R. T. Primm, III, G. I. Maldonado, “</w:t>
      </w:r>
      <w:r>
        <w:t>Burnup and Spatially Dependent Uranium Isotopic Calculations for the High Flux Isotope Reactor</w:t>
      </w:r>
      <w:r w:rsidRPr="005D6750">
        <w:t>,”</w:t>
      </w:r>
      <w:r w:rsidRPr="00556007">
        <w:rPr>
          <w:b/>
        </w:rPr>
        <w:t xml:space="preserve"> </w:t>
      </w:r>
      <w:r w:rsidR="006330E2" w:rsidRPr="00F764F6">
        <w:t>Transaction American Nuclear Society,</w:t>
      </w:r>
      <w:r w:rsidR="006330E2">
        <w:t xml:space="preserve"> </w:t>
      </w:r>
      <w:r w:rsidRPr="00236B35">
        <w:t>Vol. 103</w:t>
      </w:r>
      <w:r w:rsidRPr="005D6750">
        <w:t xml:space="preserve">, </w:t>
      </w:r>
      <w:r>
        <w:t>768</w:t>
      </w:r>
      <w:r w:rsidRPr="005D6750">
        <w:t xml:space="preserve"> – </w:t>
      </w:r>
      <w:r>
        <w:t xml:space="preserve">769, </w:t>
      </w:r>
      <w:r w:rsidRPr="005D6750">
        <w:t xml:space="preserve"> </w:t>
      </w:r>
      <w:r>
        <w:t xml:space="preserve">ANS </w:t>
      </w:r>
      <w:r w:rsidRPr="005D6750">
        <w:t xml:space="preserve">2010 </w:t>
      </w:r>
      <w:r>
        <w:t>Winter Meeting, Las Vegas, NV, November</w:t>
      </w:r>
      <w:r w:rsidRPr="005D6750">
        <w:t xml:space="preserve"> 2010.</w:t>
      </w:r>
      <w:bookmarkEnd w:id="389"/>
    </w:p>
    <w:p w:rsidR="00C67546" w:rsidRPr="00556007" w:rsidRDefault="00C67546" w:rsidP="0055602F">
      <w:pPr>
        <w:pStyle w:val="ListParagraph"/>
        <w:numPr>
          <w:ilvl w:val="0"/>
          <w:numId w:val="35"/>
        </w:numPr>
        <w:spacing w:before="0" w:after="200" w:line="360" w:lineRule="auto"/>
        <w:ind w:left="720" w:hanging="720"/>
        <w:contextualSpacing w:val="0"/>
        <w:rPr>
          <w:b/>
          <w:u w:val="single"/>
        </w:rPr>
      </w:pPr>
      <w:bookmarkStart w:id="390" w:name="_Ref285635937"/>
      <w:r w:rsidRPr="005D6750">
        <w:t>D. Chandler, R. T. Primm, III, G. I. Maldonado, “Validation of a Monte Carlo Based Depletion Methodology via High Flux Isotope Reactor HEU Post-Irradiation Examination Measurements,” Nuclear Engineering and Design,</w:t>
      </w:r>
      <w:r>
        <w:t xml:space="preserve"> Vol. </w:t>
      </w:r>
      <w:r w:rsidRPr="00236B35">
        <w:t>240</w:t>
      </w:r>
      <w:r>
        <w:t>,</w:t>
      </w:r>
      <w:r w:rsidRPr="005D6750">
        <w:t xml:space="preserve"> </w:t>
      </w:r>
      <w:r>
        <w:t xml:space="preserve">May </w:t>
      </w:r>
      <w:r w:rsidRPr="005D6750">
        <w:t>20</w:t>
      </w:r>
      <w:r>
        <w:t>10</w:t>
      </w:r>
      <w:r w:rsidRPr="005D6750">
        <w:t>.</w:t>
      </w:r>
      <w:bookmarkEnd w:id="390"/>
    </w:p>
    <w:p w:rsidR="00C67546" w:rsidRDefault="00C67546" w:rsidP="0055602F">
      <w:pPr>
        <w:pStyle w:val="ListParagraph"/>
        <w:numPr>
          <w:ilvl w:val="0"/>
          <w:numId w:val="35"/>
        </w:numPr>
        <w:spacing w:before="0" w:after="200" w:line="360" w:lineRule="auto"/>
        <w:ind w:left="720" w:hanging="720"/>
        <w:contextualSpacing w:val="0"/>
      </w:pPr>
      <w:bookmarkStart w:id="391" w:name="_Ref285635943"/>
      <w:r w:rsidRPr="005D6750">
        <w:t xml:space="preserve">D. Chandler, R. T. Primm, III, G. I. Maldonado, “Validation of a Monte Carlo Based Depletion Methodology Using HFIR Post-Irradiation Measurements,” </w:t>
      </w:r>
      <w:r>
        <w:t>Transaction American</w:t>
      </w:r>
      <w:r w:rsidRPr="005D6750">
        <w:t xml:space="preserve"> Nucl</w:t>
      </w:r>
      <w:r>
        <w:t>ear Society,</w:t>
      </w:r>
      <w:r w:rsidRPr="00556007">
        <w:rPr>
          <w:b/>
        </w:rPr>
        <w:t xml:space="preserve"> </w:t>
      </w:r>
      <w:r w:rsidRPr="00236B35">
        <w:t>Vol. 101</w:t>
      </w:r>
      <w:r>
        <w:t>, 696</w:t>
      </w:r>
      <w:r w:rsidRPr="005D6750">
        <w:t xml:space="preserve"> – </w:t>
      </w:r>
      <w:r>
        <w:t>698</w:t>
      </w:r>
      <w:r w:rsidRPr="005D6750">
        <w:t xml:space="preserve">, </w:t>
      </w:r>
      <w:r>
        <w:t xml:space="preserve">ANS </w:t>
      </w:r>
      <w:r w:rsidRPr="005D6750">
        <w:t xml:space="preserve">2010 </w:t>
      </w:r>
      <w:r>
        <w:t xml:space="preserve">Winter Meeting, Washington, D. C., November </w:t>
      </w:r>
      <w:r w:rsidRPr="005D6750">
        <w:t>2009.</w:t>
      </w:r>
      <w:bookmarkEnd w:id="391"/>
    </w:p>
    <w:p w:rsidR="00C67546" w:rsidRPr="005D6750" w:rsidRDefault="00C67546" w:rsidP="0055602F">
      <w:pPr>
        <w:pStyle w:val="ListParagraph"/>
        <w:numPr>
          <w:ilvl w:val="0"/>
          <w:numId w:val="35"/>
        </w:numPr>
        <w:spacing w:before="0" w:after="200" w:line="360" w:lineRule="auto"/>
        <w:ind w:left="720" w:hanging="720"/>
        <w:contextualSpacing w:val="0"/>
      </w:pPr>
      <w:bookmarkStart w:id="392" w:name="_Ref285635951"/>
      <w:r w:rsidRPr="005D6750">
        <w:t>D. Chandler, R. T. Primm, III, G. I. Maldonado, “Validation of a Monte Carlo Based Depletion Methodology with HFIR Post-Irradiation Examination Data,” ORNL/TM-2009/123, July 2009.</w:t>
      </w:r>
      <w:bookmarkEnd w:id="392"/>
    </w:p>
    <w:p w:rsidR="00C67546" w:rsidRPr="00887795" w:rsidRDefault="00C67546" w:rsidP="0055602F">
      <w:pPr>
        <w:pStyle w:val="ListParagraph"/>
        <w:numPr>
          <w:ilvl w:val="0"/>
          <w:numId w:val="35"/>
        </w:numPr>
        <w:spacing w:before="0" w:after="200" w:line="360" w:lineRule="auto"/>
        <w:ind w:left="720" w:hanging="720"/>
        <w:contextualSpacing w:val="0"/>
        <w:rPr>
          <w:b/>
          <w:u w:val="single"/>
        </w:rPr>
      </w:pPr>
      <w:bookmarkStart w:id="393" w:name="_Ref285636033"/>
      <w:r w:rsidRPr="005D6750">
        <w:t>D. Chandler, R. T. Primm, III, G. I. Maldonado,</w:t>
      </w:r>
      <w:r>
        <w:t xml:space="preserve"> and L. D. Proctor,</w:t>
      </w:r>
      <w:r w:rsidRPr="005D6750">
        <w:t xml:space="preserve"> “</w:t>
      </w:r>
      <w:r>
        <w:t>Nuclear Transmutations in HFIR’s Beryllium Reflector and Their Impact on Reactor Operation and Reflector Disposal</w:t>
      </w:r>
      <w:r w:rsidRPr="005D6750">
        <w:t xml:space="preserve">,” </w:t>
      </w:r>
      <w:r w:rsidRPr="00956209">
        <w:rPr>
          <w:u w:val="single"/>
        </w:rPr>
        <w:t>Under Review</w:t>
      </w:r>
      <w:r w:rsidRPr="00956209">
        <w:t>: Nuclear Technology.</w:t>
      </w:r>
      <w:bookmarkEnd w:id="393"/>
    </w:p>
    <w:p w:rsidR="00C67546" w:rsidRDefault="00C67546" w:rsidP="0055602F">
      <w:pPr>
        <w:pStyle w:val="ListParagraph"/>
        <w:numPr>
          <w:ilvl w:val="0"/>
          <w:numId w:val="35"/>
        </w:numPr>
        <w:spacing w:before="0" w:after="200" w:line="360" w:lineRule="auto"/>
        <w:ind w:left="720" w:hanging="720"/>
        <w:contextualSpacing w:val="0"/>
      </w:pPr>
      <w:bookmarkStart w:id="394" w:name="_Ref285636040"/>
      <w:r w:rsidRPr="005D6750">
        <w:t>D. Chandler, R. T. Primm, III, G. I. Maldonado, “</w:t>
      </w:r>
      <w:r>
        <w:t>Classification Calculations for the ORNL HFIR’s Beryllium Reflector Number 3</w:t>
      </w:r>
      <w:r w:rsidRPr="005D6750">
        <w:t xml:space="preserve">,” </w:t>
      </w:r>
      <w:r>
        <w:t xml:space="preserve">Vol. </w:t>
      </w:r>
      <w:r w:rsidRPr="00567A1D">
        <w:t>103</w:t>
      </w:r>
      <w:r w:rsidRPr="005D6750">
        <w:t xml:space="preserve">, </w:t>
      </w:r>
      <w:r>
        <w:t>676</w:t>
      </w:r>
      <w:r w:rsidRPr="005D6750">
        <w:t xml:space="preserve"> – </w:t>
      </w:r>
      <w:r>
        <w:t xml:space="preserve">678, ANS </w:t>
      </w:r>
      <w:r w:rsidRPr="005D6750">
        <w:t xml:space="preserve">2010 </w:t>
      </w:r>
      <w:r>
        <w:t>Winter Meeting, Las Vegas, NV, November</w:t>
      </w:r>
      <w:r w:rsidRPr="005D6750">
        <w:t xml:space="preserve"> 2010.</w:t>
      </w:r>
      <w:bookmarkEnd w:id="394"/>
    </w:p>
    <w:p w:rsidR="00C67546" w:rsidRPr="005D6750" w:rsidRDefault="00C67546" w:rsidP="0055602F">
      <w:pPr>
        <w:pStyle w:val="ListParagraph"/>
        <w:numPr>
          <w:ilvl w:val="0"/>
          <w:numId w:val="35"/>
        </w:numPr>
        <w:spacing w:before="0" w:after="200" w:line="360" w:lineRule="auto"/>
        <w:ind w:left="720" w:hanging="720"/>
        <w:contextualSpacing w:val="0"/>
      </w:pPr>
      <w:bookmarkStart w:id="395" w:name="_Ref285636046"/>
      <w:r w:rsidRPr="005D6750">
        <w:t>D. Chandler, R. T. Primm, III, G. I. Maldonado, “Startup Reactivity Accountability Attributed to Isotopic Transmutations in the Irradiated Beryllium Reflector of the</w:t>
      </w:r>
      <w:r>
        <w:t xml:space="preserve"> High Flux Isotope Reactor,” </w:t>
      </w:r>
      <w:r w:rsidRPr="005D6750">
        <w:lastRenderedPageBreak/>
        <w:t>PHYSOR-2010, ANS Topical Meeting on Advances in Reactor Physics to Power the Nuclear Renaissance</w:t>
      </w:r>
      <w:r>
        <w:t>, Pittsburgh, PA, May 2010</w:t>
      </w:r>
      <w:r w:rsidRPr="005D6750">
        <w:t>.</w:t>
      </w:r>
      <w:bookmarkEnd w:id="395"/>
    </w:p>
    <w:p w:rsidR="00C67546" w:rsidRPr="00556007" w:rsidRDefault="00C67546" w:rsidP="0055602F">
      <w:pPr>
        <w:pStyle w:val="ListParagraph"/>
        <w:numPr>
          <w:ilvl w:val="0"/>
          <w:numId w:val="35"/>
        </w:numPr>
        <w:spacing w:before="0" w:after="200" w:line="360" w:lineRule="auto"/>
        <w:ind w:left="720" w:hanging="720"/>
        <w:contextualSpacing w:val="0"/>
      </w:pPr>
      <w:bookmarkStart w:id="396" w:name="_Ref285636054"/>
      <w:r>
        <w:t>D. Chandler, R</w:t>
      </w:r>
      <w:r w:rsidRPr="005D6750">
        <w:t xml:space="preserve">. T. Primm, III, G. I. Maldonado, “Reactivity Accountability Attributed to Beryllium Reflector Poisons in the High Flux Isotope Reactor,” ORNL/TM-2009/188, </w:t>
      </w:r>
      <w:r>
        <w:t>December 2009.</w:t>
      </w:r>
      <w:bookmarkEnd w:id="396"/>
    </w:p>
    <w:p w:rsidR="00C67546" w:rsidRDefault="00C67546" w:rsidP="0055602F">
      <w:pPr>
        <w:pStyle w:val="ListParagraph"/>
        <w:numPr>
          <w:ilvl w:val="0"/>
          <w:numId w:val="35"/>
        </w:numPr>
        <w:spacing w:before="0" w:after="200" w:line="360" w:lineRule="auto"/>
        <w:ind w:left="720" w:hanging="720"/>
        <w:contextualSpacing w:val="0"/>
      </w:pPr>
      <w:bookmarkStart w:id="397" w:name="_Ref285636077"/>
      <w:r w:rsidRPr="005D6750">
        <w:t>D. Chandler, R. T. Primm, III, G. I. Maldonado, “HFIR Post-Ir</w:t>
      </w:r>
      <w:r>
        <w:t xml:space="preserve">radiation Curium Target Rod </w:t>
      </w:r>
      <w:r w:rsidRPr="005D6750">
        <w:t xml:space="preserve">Nuclide Inventory Calculations,” </w:t>
      </w:r>
      <w:r>
        <w:t>Transaction American</w:t>
      </w:r>
      <w:r w:rsidRPr="005D6750">
        <w:t xml:space="preserve"> Nucl</w:t>
      </w:r>
      <w:r>
        <w:t>ear Society</w:t>
      </w:r>
      <w:r w:rsidRPr="005D6750">
        <w:t xml:space="preserve">, </w:t>
      </w:r>
      <w:r>
        <w:t xml:space="preserve">Vol. </w:t>
      </w:r>
      <w:r w:rsidRPr="00567A1D">
        <w:t>102</w:t>
      </w:r>
      <w:r w:rsidRPr="005D6750">
        <w:t xml:space="preserve">, </w:t>
      </w:r>
      <w:r>
        <w:t>560</w:t>
      </w:r>
      <w:r w:rsidRPr="005D6750">
        <w:t xml:space="preserve"> – </w:t>
      </w:r>
      <w:r>
        <w:t>561, ANS</w:t>
      </w:r>
      <w:r w:rsidRPr="005D6750">
        <w:t xml:space="preserve"> 2010 Annual </w:t>
      </w:r>
      <w:r>
        <w:t>Meeting, San Diego, CA, June</w:t>
      </w:r>
      <w:r w:rsidRPr="005D6750">
        <w:t xml:space="preserve"> 2010.</w:t>
      </w:r>
      <w:bookmarkEnd w:id="397"/>
    </w:p>
    <w:p w:rsidR="00C67546" w:rsidRPr="00956209" w:rsidRDefault="00C67546" w:rsidP="0055602F">
      <w:pPr>
        <w:pStyle w:val="ListParagraph"/>
        <w:numPr>
          <w:ilvl w:val="0"/>
          <w:numId w:val="35"/>
        </w:numPr>
        <w:spacing w:before="0" w:after="200" w:line="360" w:lineRule="auto"/>
        <w:ind w:left="720" w:hanging="720"/>
        <w:contextualSpacing w:val="0"/>
      </w:pPr>
      <w:bookmarkStart w:id="398" w:name="_Ref285636097"/>
      <w:r w:rsidRPr="005D6750">
        <w:t>D. Chandler, R. T. Primm, III, G. I. Maldonado,</w:t>
      </w:r>
      <w:r>
        <w:t xml:space="preserve"> R. W. Hobbs,</w:t>
      </w:r>
      <w:r w:rsidRPr="005D6750">
        <w:t xml:space="preserve"> “</w:t>
      </w:r>
      <w:r>
        <w:t xml:space="preserve">Black Rabbit Ejection Studies and COMSOL </w:t>
      </w:r>
      <w:r w:rsidRPr="00956209">
        <w:t>Kinetics Modeling Development at HFIR,” Transaction American Nuclear Society, Vol. 104, ANS 2011 Annual Meeting, Hollywood, FL, June 201</w:t>
      </w:r>
      <w:r w:rsidR="006330E2">
        <w:t>1</w:t>
      </w:r>
      <w:r w:rsidRPr="00956209">
        <w:t>.</w:t>
      </w:r>
      <w:bookmarkEnd w:id="398"/>
    </w:p>
    <w:p w:rsidR="00C67546" w:rsidRPr="00956209" w:rsidRDefault="00C67546" w:rsidP="0055602F">
      <w:pPr>
        <w:pStyle w:val="ListParagraph"/>
        <w:numPr>
          <w:ilvl w:val="0"/>
          <w:numId w:val="35"/>
        </w:numPr>
        <w:spacing w:before="0" w:after="200" w:line="360" w:lineRule="auto"/>
        <w:ind w:left="720" w:hanging="720"/>
        <w:contextualSpacing w:val="0"/>
      </w:pPr>
      <w:bookmarkStart w:id="399" w:name="_Ref285636123"/>
      <w:r w:rsidRPr="00956209">
        <w:t xml:space="preserve">D. Chandler, R. T. Primm, III, and G. I. Maldonado, J. D. Freels, “Neutronics Modeling of the High Flux Isotope Reactor using COMSOL,” </w:t>
      </w:r>
      <w:r w:rsidR="004C3625" w:rsidRPr="00956209">
        <w:rPr>
          <w:u w:val="single"/>
        </w:rPr>
        <w:t>Under Review:</w:t>
      </w:r>
      <w:r w:rsidR="006330E2">
        <w:rPr>
          <w:u w:val="single"/>
        </w:rPr>
        <w:t xml:space="preserve"> </w:t>
      </w:r>
      <w:r w:rsidRPr="00956209">
        <w:t>Annals of Nuclear Energy.</w:t>
      </w:r>
      <w:bookmarkEnd w:id="399"/>
    </w:p>
    <w:p w:rsidR="00C67546" w:rsidRPr="00962B8C" w:rsidRDefault="00C67546" w:rsidP="0055602F">
      <w:pPr>
        <w:pStyle w:val="ListParagraph"/>
        <w:numPr>
          <w:ilvl w:val="0"/>
          <w:numId w:val="35"/>
        </w:numPr>
        <w:spacing w:before="0" w:after="200" w:line="360" w:lineRule="auto"/>
        <w:ind w:left="720" w:hanging="720"/>
        <w:contextualSpacing w:val="0"/>
      </w:pPr>
      <w:bookmarkStart w:id="400" w:name="_Ref285636142"/>
      <w:r w:rsidRPr="00956209">
        <w:t>“Office of Global Threat Reduction,” National Nuclear Security Administration</w:t>
      </w:r>
      <w:r>
        <w:t>,</w:t>
      </w:r>
      <w:r w:rsidRPr="00962B8C">
        <w:t xml:space="preserve"> &lt;http://nnsa.energy.gov/gtri&gt;.</w:t>
      </w:r>
      <w:bookmarkEnd w:id="400"/>
    </w:p>
    <w:p w:rsidR="00C67546" w:rsidRPr="00962B8C" w:rsidRDefault="00C67546" w:rsidP="0055602F">
      <w:pPr>
        <w:pStyle w:val="ListParagraph"/>
        <w:numPr>
          <w:ilvl w:val="0"/>
          <w:numId w:val="35"/>
        </w:numPr>
        <w:spacing w:before="0" w:after="200" w:line="360" w:lineRule="auto"/>
        <w:ind w:left="720" w:hanging="720"/>
        <w:contextualSpacing w:val="0"/>
      </w:pPr>
      <w:bookmarkStart w:id="401" w:name="_Ref285636153"/>
      <w:r>
        <w:t>“Reduced Enrichment for Research and Test Reactors (RERTR),” Office of Nuclear Material Threat Reduction in the National Nuclear Security Administration, &lt;http://www.rertr.anl.gov&gt;.</w:t>
      </w:r>
      <w:bookmarkEnd w:id="401"/>
    </w:p>
    <w:p w:rsidR="00C67546" w:rsidRPr="00962B8C" w:rsidRDefault="00C67546" w:rsidP="0055602F">
      <w:pPr>
        <w:pStyle w:val="ListParagraph"/>
        <w:numPr>
          <w:ilvl w:val="0"/>
          <w:numId w:val="35"/>
        </w:numPr>
        <w:spacing w:before="0" w:after="200" w:line="360" w:lineRule="auto"/>
        <w:ind w:left="720" w:hanging="720"/>
        <w:contextualSpacing w:val="0"/>
      </w:pPr>
      <w:bookmarkStart w:id="402" w:name="_Ref285636160"/>
      <w:r>
        <w:t>“The National Organization of Test, Research, and Training Reactors (</w:t>
      </w:r>
      <w:r w:rsidRPr="00962B8C">
        <w:t>TRTR</w:t>
      </w:r>
      <w:r>
        <w:t>),” The National Organization of Test, Research, and Training Reactors, &lt;http://www.trtr.org&gt;.</w:t>
      </w:r>
      <w:bookmarkEnd w:id="402"/>
    </w:p>
    <w:p w:rsidR="00C67546" w:rsidRDefault="00C67546" w:rsidP="0055602F">
      <w:pPr>
        <w:pStyle w:val="ListParagraph"/>
        <w:numPr>
          <w:ilvl w:val="0"/>
          <w:numId w:val="35"/>
        </w:numPr>
        <w:spacing w:before="0" w:after="200" w:line="360" w:lineRule="auto"/>
        <w:ind w:left="720" w:hanging="720"/>
        <w:contextualSpacing w:val="0"/>
      </w:pPr>
      <w:bookmarkStart w:id="403" w:name="_Ref285636182"/>
      <w:r>
        <w:t xml:space="preserve">S. </w:t>
      </w:r>
      <w:r w:rsidRPr="009860AE">
        <w:t>C. Mo and J. E. Matos,</w:t>
      </w:r>
      <w:r w:rsidRPr="00507C76">
        <w:t xml:space="preserve"> </w:t>
      </w:r>
      <w:r>
        <w:t>“</w:t>
      </w:r>
      <w:r w:rsidRPr="00507C76">
        <w:t>A Neutronic Feasibility Study for LEU Conversion of the High Flux Isotope Reactor (HFIR),</w:t>
      </w:r>
      <w:r>
        <w:t>”</w:t>
      </w:r>
      <w:r w:rsidRPr="009860AE">
        <w:t xml:space="preserve"> Proc. 1997 International Meeting on Reduced Enrichment for Research &amp; Test Reactors, Jackson Hole, Wyoming, USA, October 1997.</w:t>
      </w:r>
      <w:bookmarkEnd w:id="403"/>
    </w:p>
    <w:p w:rsidR="00C67546" w:rsidRDefault="00C67546" w:rsidP="0055602F">
      <w:pPr>
        <w:pStyle w:val="ListParagraph"/>
        <w:numPr>
          <w:ilvl w:val="0"/>
          <w:numId w:val="35"/>
        </w:numPr>
        <w:spacing w:before="0" w:after="200" w:line="360" w:lineRule="auto"/>
        <w:ind w:left="720" w:hanging="720"/>
        <w:contextualSpacing w:val="0"/>
      </w:pPr>
      <w:bookmarkStart w:id="404" w:name="_Ref285636191"/>
      <w:r>
        <w:t xml:space="preserve">R. T. </w:t>
      </w:r>
      <w:r w:rsidRPr="009860AE">
        <w:t xml:space="preserve">Primm, III and David Chandler, </w:t>
      </w:r>
      <w:r>
        <w:t>“</w:t>
      </w:r>
      <w:r w:rsidRPr="00507C76">
        <w:t>Preparing the High Flux Isotope Reactor For Conversion to Low Enriched Uranium Fuel – Extending Cycle Burnup,</w:t>
      </w:r>
      <w:r>
        <w:t>”</w:t>
      </w:r>
      <w:r w:rsidRPr="009860AE">
        <w:t xml:space="preserve"> Advances in Nuclear Fuel Management IV, Hilton Head Island, SC, USA, April 2009.</w:t>
      </w:r>
      <w:bookmarkEnd w:id="404"/>
    </w:p>
    <w:p w:rsidR="00050B54" w:rsidRDefault="00050B54" w:rsidP="00050B54">
      <w:pPr>
        <w:pStyle w:val="ListParagraph"/>
        <w:numPr>
          <w:ilvl w:val="0"/>
          <w:numId w:val="35"/>
        </w:numPr>
        <w:spacing w:before="0" w:after="200" w:line="360" w:lineRule="auto"/>
        <w:ind w:left="720" w:hanging="720"/>
        <w:contextualSpacing w:val="0"/>
      </w:pPr>
      <w:bookmarkStart w:id="405" w:name="_Ref285636343"/>
      <w:r>
        <w:t xml:space="preserve">J. D. Freels, “Reactor Point Kinetics Model for HFIR Analysis,” C-HFIR-1992-024, Rev. 0, September 1993, </w:t>
      </w:r>
      <w:r w:rsidRPr="00FB6DBE">
        <w:t>internal, archived publication at the Oak Ridge National Laboratory, contact Division Director, Research Reactors Division for distribution.</w:t>
      </w:r>
      <w:bookmarkEnd w:id="405"/>
    </w:p>
    <w:p w:rsidR="00C67546" w:rsidRPr="00507C76" w:rsidRDefault="00C67546" w:rsidP="0055602F">
      <w:pPr>
        <w:pStyle w:val="ListParagraph"/>
        <w:numPr>
          <w:ilvl w:val="0"/>
          <w:numId w:val="35"/>
        </w:numPr>
        <w:spacing w:before="0" w:after="200" w:line="360" w:lineRule="auto"/>
        <w:ind w:left="720" w:hanging="720"/>
        <w:contextualSpacing w:val="0"/>
      </w:pPr>
      <w:bookmarkStart w:id="406" w:name="_Ref285636237"/>
      <w:r>
        <w:lastRenderedPageBreak/>
        <w:t xml:space="preserve">L. </w:t>
      </w:r>
      <w:proofErr w:type="spellStart"/>
      <w:r w:rsidRPr="009860AE">
        <w:rPr>
          <w:rFonts w:cstheme="minorHAnsi"/>
        </w:rPr>
        <w:t>Tschaepe</w:t>
      </w:r>
      <w:proofErr w:type="spellEnd"/>
      <w:r w:rsidRPr="009860AE">
        <w:rPr>
          <w:rFonts w:cstheme="minorHAnsi"/>
        </w:rPr>
        <w:t xml:space="preserve">, </w:t>
      </w:r>
      <w:proofErr w:type="gramStart"/>
      <w:r w:rsidRPr="009860AE">
        <w:rPr>
          <w:rFonts w:cstheme="minorHAnsi"/>
        </w:rPr>
        <w:t>et</w:t>
      </w:r>
      <w:proofErr w:type="gramEnd"/>
      <w:r w:rsidRPr="009860AE">
        <w:rPr>
          <w:rFonts w:cstheme="minorHAnsi"/>
        </w:rPr>
        <w:t xml:space="preserve">. al., </w:t>
      </w:r>
      <w:r>
        <w:rPr>
          <w:rFonts w:cstheme="minorHAnsi"/>
        </w:rPr>
        <w:t>“</w:t>
      </w:r>
      <w:r w:rsidRPr="00507C76">
        <w:rPr>
          <w:rFonts w:cstheme="minorHAnsi"/>
        </w:rPr>
        <w:t>Evaluation of HFIR LEU Fuel Using the COMSOL Multiphysics Platform,</w:t>
      </w:r>
      <w:r>
        <w:rPr>
          <w:rFonts w:cstheme="minorHAnsi"/>
        </w:rPr>
        <w:t>”</w:t>
      </w:r>
      <w:r w:rsidRPr="009860AE">
        <w:rPr>
          <w:rFonts w:cstheme="minorHAnsi"/>
        </w:rPr>
        <w:t xml:space="preserve"> ORNL/TM-2008/188, Oak Ridge National Laboratory, March 2009.</w:t>
      </w:r>
      <w:bookmarkEnd w:id="406"/>
    </w:p>
    <w:p w:rsidR="00C67546" w:rsidRDefault="00C67546" w:rsidP="0055602F">
      <w:pPr>
        <w:pStyle w:val="ListParagraph"/>
        <w:numPr>
          <w:ilvl w:val="0"/>
          <w:numId w:val="35"/>
        </w:numPr>
        <w:spacing w:before="0" w:after="200" w:line="360" w:lineRule="auto"/>
        <w:ind w:left="720" w:hanging="720"/>
        <w:contextualSpacing w:val="0"/>
      </w:pPr>
      <w:bookmarkStart w:id="407" w:name="_Ref285636258"/>
      <w:r>
        <w:t xml:space="preserve">N. </w:t>
      </w:r>
      <w:proofErr w:type="spellStart"/>
      <w:r>
        <w:t>Xoubi</w:t>
      </w:r>
      <w:proofErr w:type="spellEnd"/>
      <w:r>
        <w:t>, “Characterization of Exposure-Dependent Eigenvalue Drift Using Monte Carlo Based Nuclear Fuel Management,” A Dissertation Presented for the Doctor of Philosophy Degree, University of Cincinnati, 2005.</w:t>
      </w:r>
      <w:bookmarkEnd w:id="407"/>
    </w:p>
    <w:p w:rsidR="00C67546" w:rsidRPr="00E409A4" w:rsidRDefault="00C67546" w:rsidP="0055602F">
      <w:pPr>
        <w:numPr>
          <w:ilvl w:val="0"/>
          <w:numId w:val="35"/>
        </w:numPr>
        <w:spacing w:before="0" w:after="200" w:line="360" w:lineRule="auto"/>
        <w:ind w:left="720" w:hanging="720"/>
      </w:pPr>
      <w:bookmarkStart w:id="408" w:name="_Ref285636274"/>
      <w:r w:rsidRPr="00E409A4">
        <w:rPr>
          <w:bCs/>
        </w:rPr>
        <w:t xml:space="preserve">R. T. Primm III and N. </w:t>
      </w:r>
      <w:proofErr w:type="spellStart"/>
      <w:r w:rsidRPr="00E409A4">
        <w:rPr>
          <w:bCs/>
        </w:rPr>
        <w:t>Xoubi</w:t>
      </w:r>
      <w:proofErr w:type="spellEnd"/>
      <w:r w:rsidRPr="00E409A4">
        <w:rPr>
          <w:bCs/>
        </w:rPr>
        <w:t xml:space="preserve">, </w:t>
      </w:r>
      <w:r>
        <w:rPr>
          <w:bCs/>
        </w:rPr>
        <w:t>“</w:t>
      </w:r>
      <w:r w:rsidRPr="0022386A">
        <w:rPr>
          <w:bCs/>
        </w:rPr>
        <w:t>Modeling of the High Flux Isotope Reactor Cycle 400</w:t>
      </w:r>
      <w:r w:rsidRPr="00E409A4">
        <w:rPr>
          <w:bCs/>
        </w:rPr>
        <w:t>,</w:t>
      </w:r>
      <w:r>
        <w:rPr>
          <w:bCs/>
        </w:rPr>
        <w:t>”</w:t>
      </w:r>
      <w:r w:rsidRPr="00E409A4">
        <w:rPr>
          <w:bCs/>
        </w:rPr>
        <w:t xml:space="preserve"> ORNL/TM</w:t>
      </w:r>
      <w:r>
        <w:rPr>
          <w:bCs/>
        </w:rPr>
        <w:t>-</w:t>
      </w:r>
      <w:r w:rsidRPr="00E409A4">
        <w:rPr>
          <w:bCs/>
        </w:rPr>
        <w:t>2004</w:t>
      </w:r>
      <w:r>
        <w:rPr>
          <w:bCs/>
        </w:rPr>
        <w:t>/</w:t>
      </w:r>
      <w:r w:rsidRPr="00E409A4">
        <w:rPr>
          <w:bCs/>
        </w:rPr>
        <w:t xml:space="preserve">251, </w:t>
      </w:r>
      <w:r>
        <w:rPr>
          <w:bCs/>
        </w:rPr>
        <w:t xml:space="preserve">Oak Ridge National Laboratory, </w:t>
      </w:r>
      <w:r w:rsidRPr="00E409A4">
        <w:rPr>
          <w:bCs/>
        </w:rPr>
        <w:t>August 2005.</w:t>
      </w:r>
      <w:bookmarkEnd w:id="408"/>
    </w:p>
    <w:p w:rsidR="00C67546" w:rsidRDefault="00C67546" w:rsidP="0055602F">
      <w:pPr>
        <w:pStyle w:val="ListParagraph"/>
        <w:numPr>
          <w:ilvl w:val="0"/>
          <w:numId w:val="35"/>
        </w:numPr>
        <w:spacing w:before="0" w:after="200" w:line="360" w:lineRule="auto"/>
        <w:ind w:left="720" w:hanging="720"/>
        <w:contextualSpacing w:val="0"/>
      </w:pPr>
      <w:bookmarkStart w:id="409" w:name="_Ref285636297"/>
      <w:r>
        <w:t>G. Ilas and R. T. Primm, III</w:t>
      </w:r>
      <w:r w:rsidRPr="005D6750">
        <w:t>, “</w:t>
      </w:r>
      <w:r>
        <w:t>Methodology for Simulating the Irradiation of the Control Elements in HFIR</w:t>
      </w:r>
      <w:r w:rsidRPr="007A0D7B">
        <w:t xml:space="preserve">,” </w:t>
      </w:r>
      <w:r>
        <w:t xml:space="preserve">Vol. </w:t>
      </w:r>
      <w:r w:rsidRPr="007A0D7B">
        <w:t xml:space="preserve">103, </w:t>
      </w:r>
      <w:r>
        <w:t>696</w:t>
      </w:r>
      <w:r w:rsidRPr="005D6750">
        <w:t xml:space="preserve"> – </w:t>
      </w:r>
      <w:r>
        <w:t xml:space="preserve">698, ANS </w:t>
      </w:r>
      <w:r w:rsidRPr="005D6750">
        <w:t xml:space="preserve">2010 </w:t>
      </w:r>
      <w:r>
        <w:t>Winter Meeting, Las Vegas, NV, November</w:t>
      </w:r>
      <w:r w:rsidRPr="005D6750">
        <w:t xml:space="preserve"> 2010.</w:t>
      </w:r>
      <w:bookmarkEnd w:id="409"/>
    </w:p>
    <w:p w:rsidR="00C67546" w:rsidRPr="00146DD3" w:rsidRDefault="00C67546" w:rsidP="0055602F">
      <w:pPr>
        <w:pStyle w:val="ListParagraph"/>
        <w:numPr>
          <w:ilvl w:val="0"/>
          <w:numId w:val="35"/>
        </w:numPr>
        <w:spacing w:before="0" w:after="200" w:line="360" w:lineRule="auto"/>
        <w:ind w:left="720" w:hanging="720"/>
        <w:contextualSpacing w:val="0"/>
      </w:pPr>
      <w:bookmarkStart w:id="410" w:name="_Ref285636307"/>
      <w:r>
        <w:rPr>
          <w:bCs/>
        </w:rPr>
        <w:t>G. Ilas, J. C. Gehin, and R. T. Primm, III, “New Cross Section Processing Methodology for HFIR Core Analysis,” Proc. PHYSOR-2008, International Conference on the Physics of Reactors, Interlaken, Switzerland, (2008).</w:t>
      </w:r>
      <w:bookmarkEnd w:id="410"/>
    </w:p>
    <w:p w:rsidR="00C67546" w:rsidRDefault="00C67546" w:rsidP="0055602F">
      <w:pPr>
        <w:pStyle w:val="ListParagraph"/>
        <w:numPr>
          <w:ilvl w:val="0"/>
          <w:numId w:val="35"/>
        </w:numPr>
        <w:spacing w:before="0" w:after="200" w:line="360" w:lineRule="auto"/>
        <w:ind w:left="720" w:hanging="720"/>
        <w:contextualSpacing w:val="0"/>
      </w:pPr>
      <w:bookmarkStart w:id="411" w:name="_Ref285636322"/>
      <w:r>
        <w:t>R. T. Primm, III, “Reactor Physics Input to the Safety Analysis Report for the High Flux Isotope Reactor,” ORNL/TM-11956, Oak Ridge National Laboratory, March 1992.</w:t>
      </w:r>
      <w:bookmarkEnd w:id="411"/>
    </w:p>
    <w:p w:rsidR="00C67546" w:rsidRPr="00FB6DBE" w:rsidRDefault="00C67546" w:rsidP="0055602F">
      <w:pPr>
        <w:pStyle w:val="ListParagraph"/>
        <w:numPr>
          <w:ilvl w:val="0"/>
          <w:numId w:val="35"/>
        </w:numPr>
        <w:spacing w:before="0" w:after="200" w:line="360" w:lineRule="auto"/>
        <w:ind w:left="720" w:hanging="720"/>
        <w:contextualSpacing w:val="0"/>
      </w:pPr>
      <w:bookmarkStart w:id="412" w:name="_Ref285636331"/>
      <w:r>
        <w:t xml:space="preserve">D. G. Morris, M. W. </w:t>
      </w:r>
      <w:proofErr w:type="spellStart"/>
      <w:r>
        <w:t>Wendel</w:t>
      </w:r>
      <w:proofErr w:type="spellEnd"/>
      <w:r>
        <w:t>,</w:t>
      </w:r>
      <w:r w:rsidRPr="00FB6DBE">
        <w:rPr>
          <w:rFonts w:eastAsia="Calibri" w:cs="Times New Roman"/>
        </w:rPr>
        <w:t xml:space="preserve"> </w:t>
      </w:r>
      <w:r>
        <w:t>“</w:t>
      </w:r>
      <w:r w:rsidRPr="00FB6DBE">
        <w:rPr>
          <w:rFonts w:eastAsia="Calibri" w:cs="Times New Roman"/>
        </w:rPr>
        <w:t>High Flux Isotope Reactor System RELAP5 Input Model,</w:t>
      </w:r>
      <w:r>
        <w:t>”</w:t>
      </w:r>
      <w:r w:rsidRPr="00FB6DBE">
        <w:rPr>
          <w:rFonts w:eastAsia="Calibri" w:cs="Times New Roman"/>
        </w:rPr>
        <w:t xml:space="preserve"> ORNL/TM-11647</w:t>
      </w:r>
      <w:r>
        <w:t>, Oak Ridge National Laboratory,</w:t>
      </w:r>
      <w:r w:rsidRPr="00FB6DBE">
        <w:rPr>
          <w:rFonts w:eastAsia="Calibri" w:cs="Times New Roman"/>
        </w:rPr>
        <w:t xml:space="preserve"> February 1993.</w:t>
      </w:r>
      <w:bookmarkEnd w:id="412"/>
    </w:p>
    <w:p w:rsidR="00C67546" w:rsidRDefault="00C67546" w:rsidP="0055602F">
      <w:pPr>
        <w:pStyle w:val="ListParagraph"/>
        <w:numPr>
          <w:ilvl w:val="0"/>
          <w:numId w:val="35"/>
        </w:numPr>
        <w:spacing w:before="0" w:after="200" w:line="360" w:lineRule="auto"/>
        <w:ind w:left="720" w:hanging="720"/>
        <w:contextualSpacing w:val="0"/>
      </w:pPr>
      <w:bookmarkStart w:id="413" w:name="_Ref285636356"/>
      <w:r>
        <w:t xml:space="preserve">C. G. </w:t>
      </w:r>
      <w:proofErr w:type="spellStart"/>
      <w:r>
        <w:t>Velit</w:t>
      </w:r>
      <w:proofErr w:type="spellEnd"/>
      <w:r>
        <w:t>, R. T. Primm, III, and J. C. Gehin, “Partial Analysis for a Reduced Uranium Enrichment Core for the High Flux Isotope Reactor,” ORNL/TM-2007/226, Oak Ridge National Lab</w:t>
      </w:r>
      <w:r w:rsidRPr="00121B16">
        <w:rPr>
          <w:color w:val="000000"/>
        </w:rPr>
        <w:t>oratory</w:t>
      </w:r>
      <w:r>
        <w:t>, (2009).</w:t>
      </w:r>
      <w:bookmarkEnd w:id="413"/>
    </w:p>
    <w:p w:rsidR="00C67546" w:rsidRDefault="00C67546" w:rsidP="0055602F">
      <w:pPr>
        <w:pStyle w:val="ListParagraph"/>
        <w:numPr>
          <w:ilvl w:val="0"/>
          <w:numId w:val="35"/>
        </w:numPr>
        <w:spacing w:before="0" w:after="200" w:line="360" w:lineRule="auto"/>
        <w:ind w:left="720" w:hanging="720"/>
        <w:contextualSpacing w:val="0"/>
      </w:pPr>
      <w:bookmarkStart w:id="414" w:name="_Ref285636365"/>
      <w:r>
        <w:t xml:space="preserve">T. </w:t>
      </w:r>
      <w:proofErr w:type="spellStart"/>
      <w:r>
        <w:t>Sofu</w:t>
      </w:r>
      <w:proofErr w:type="spellEnd"/>
      <w:r>
        <w:t>, “A Model for the Analysis of HFIR Reactivity Transients and Fuel Damage Propagation,” A Dissertation Presented for the Doctor of Philosophy Degree, University of Tennessee, December 1992.</w:t>
      </w:r>
      <w:bookmarkEnd w:id="414"/>
    </w:p>
    <w:p w:rsidR="00C67546" w:rsidRDefault="00C67546" w:rsidP="0055602F">
      <w:pPr>
        <w:pStyle w:val="ListParagraph"/>
        <w:numPr>
          <w:ilvl w:val="0"/>
          <w:numId w:val="35"/>
        </w:numPr>
        <w:spacing w:before="0" w:after="200" w:line="360" w:lineRule="auto"/>
        <w:ind w:left="720" w:hanging="720"/>
        <w:contextualSpacing w:val="0"/>
      </w:pPr>
      <w:bookmarkStart w:id="415" w:name="_Ref285636397"/>
      <w:r>
        <w:t xml:space="preserve">F. T. </w:t>
      </w:r>
      <w:proofErr w:type="spellStart"/>
      <w:r>
        <w:t>Binford</w:t>
      </w:r>
      <w:proofErr w:type="spellEnd"/>
      <w:r>
        <w:t>, T. E. Cole, E. N. Cramer, “The High Flux Isotope Reactor Accident Analysis,” ORNL/TM-3573, Oak Ridge National Laboratory, April 1967.</w:t>
      </w:r>
      <w:bookmarkEnd w:id="415"/>
    </w:p>
    <w:p w:rsidR="00C67546" w:rsidRDefault="00C67546" w:rsidP="0055602F">
      <w:pPr>
        <w:pStyle w:val="ListParagraph"/>
        <w:numPr>
          <w:ilvl w:val="0"/>
          <w:numId w:val="35"/>
        </w:numPr>
        <w:spacing w:before="0" w:after="200" w:line="360" w:lineRule="auto"/>
        <w:ind w:left="720" w:hanging="720"/>
        <w:contextualSpacing w:val="0"/>
      </w:pPr>
      <w:r>
        <w:t xml:space="preserve">R. D. </w:t>
      </w:r>
      <w:proofErr w:type="spellStart"/>
      <w:r>
        <w:t>Cheverton</w:t>
      </w:r>
      <w:proofErr w:type="spellEnd"/>
      <w:r>
        <w:t>, O. W. Burke, T. E. Cole, “HFIR Transients and Reactivity Accountability,” ORNL/TM-1747, Oak Ridge National Laboratory, January 1967.</w:t>
      </w:r>
    </w:p>
    <w:p w:rsidR="00C67546" w:rsidRDefault="00C67546" w:rsidP="0055602F">
      <w:pPr>
        <w:pStyle w:val="ListParagraph"/>
        <w:numPr>
          <w:ilvl w:val="0"/>
          <w:numId w:val="35"/>
        </w:numPr>
        <w:spacing w:before="0" w:after="200" w:line="360" w:lineRule="auto"/>
        <w:ind w:left="720" w:hanging="720"/>
        <w:contextualSpacing w:val="0"/>
      </w:pPr>
      <w:bookmarkStart w:id="416" w:name="_Ref285636435"/>
      <w:r>
        <w:lastRenderedPageBreak/>
        <w:t xml:space="preserve">H. L. Dodds, Jr., “A New </w:t>
      </w:r>
      <w:proofErr w:type="spellStart"/>
      <w:r>
        <w:t>Calculational</w:t>
      </w:r>
      <w:proofErr w:type="spellEnd"/>
      <w:r>
        <w:t xml:space="preserve"> Method for Space-Energy-Angular Dependent Reactor Kinetics,” ORNL/TM-3136, Oak Ridge National Laboratory, A Dissertation Presented for the Doctor of Philosophy Degree, University of Tennessee, January 1971.</w:t>
      </w:r>
      <w:bookmarkEnd w:id="416"/>
    </w:p>
    <w:p w:rsidR="00C67546" w:rsidRDefault="00C67546" w:rsidP="0055602F">
      <w:pPr>
        <w:pStyle w:val="ListParagraph"/>
        <w:numPr>
          <w:ilvl w:val="0"/>
          <w:numId w:val="35"/>
        </w:numPr>
        <w:spacing w:before="0" w:after="200" w:line="360" w:lineRule="auto"/>
        <w:ind w:left="720" w:hanging="720"/>
        <w:contextualSpacing w:val="0"/>
      </w:pPr>
      <w:r>
        <w:t>N. J. Ackermann, Jr., “An Analytical and Experimental Investigation of the Neutron Energy Effects on Reactor Fluctuation Spectra,” ORNL/TM-3245, Oak Ridge National Laboratory, A Dissertation Presented for the Doctor of Philosophy Degree, University of Tennessee, February 1971.</w:t>
      </w:r>
    </w:p>
    <w:p w:rsidR="00C67546" w:rsidRDefault="00C67546" w:rsidP="0055602F">
      <w:pPr>
        <w:pStyle w:val="ListParagraph"/>
        <w:numPr>
          <w:ilvl w:val="0"/>
          <w:numId w:val="35"/>
        </w:numPr>
        <w:spacing w:before="0" w:after="200" w:line="360" w:lineRule="auto"/>
        <w:ind w:left="720" w:hanging="720"/>
        <w:contextualSpacing w:val="0"/>
      </w:pPr>
      <w:r>
        <w:t xml:space="preserve">J. R. </w:t>
      </w:r>
      <w:proofErr w:type="spellStart"/>
      <w:r>
        <w:t>Penland</w:t>
      </w:r>
      <w:proofErr w:type="spellEnd"/>
      <w:r>
        <w:t>, “Space and Energy Dependence of Reactor Fluctuation Spectra,” ORNL/TM-3372, Oak Ridge National Laboratory,</w:t>
      </w:r>
      <w:r w:rsidRPr="00524908">
        <w:t xml:space="preserve"> </w:t>
      </w:r>
      <w:r>
        <w:t xml:space="preserve">A Dissertation Presented for the Doctor of Philosophy Degree, University of Tennessee, November 1972. </w:t>
      </w:r>
    </w:p>
    <w:p w:rsidR="00C67546" w:rsidRDefault="00C67546" w:rsidP="0055602F">
      <w:pPr>
        <w:pStyle w:val="ListParagraph"/>
        <w:numPr>
          <w:ilvl w:val="0"/>
          <w:numId w:val="35"/>
        </w:numPr>
        <w:spacing w:before="0" w:after="200" w:line="360" w:lineRule="auto"/>
        <w:ind w:left="720" w:hanging="720"/>
        <w:contextualSpacing w:val="0"/>
      </w:pPr>
      <w:bookmarkStart w:id="417" w:name="_Ref285636444"/>
      <w:r>
        <w:t>R. S. Stone, O. W. Burke, “An Investigation of the Effects of Some Safety System Modifications on the Safety of the HFIR,” ORNL/TM-5738, Oak Ridge National Laboratory, June 1977.</w:t>
      </w:r>
      <w:bookmarkEnd w:id="417"/>
    </w:p>
    <w:p w:rsidR="00C67546" w:rsidRDefault="00C67546" w:rsidP="0055602F">
      <w:pPr>
        <w:pStyle w:val="ListParagraph"/>
        <w:numPr>
          <w:ilvl w:val="0"/>
          <w:numId w:val="35"/>
        </w:numPr>
        <w:spacing w:before="0" w:after="200" w:line="360" w:lineRule="auto"/>
        <w:ind w:left="720" w:hanging="720"/>
        <w:contextualSpacing w:val="0"/>
      </w:pPr>
      <w:bookmarkStart w:id="418" w:name="_Ref285636420"/>
      <w:r>
        <w:t xml:space="preserve">A. </w:t>
      </w:r>
      <w:proofErr w:type="spellStart"/>
      <w:r>
        <w:t>Sozer</w:t>
      </w:r>
      <w:proofErr w:type="spellEnd"/>
      <w:r>
        <w:t>, “Component and System Simulation Models for High Flux Isotope Reactor,” ORNL/TM-11033, Oak Ridge National Laboratory, August 1989.</w:t>
      </w:r>
      <w:bookmarkEnd w:id="418"/>
    </w:p>
    <w:p w:rsidR="00C67546" w:rsidRDefault="00C67546" w:rsidP="0055602F">
      <w:pPr>
        <w:pStyle w:val="ListParagraph"/>
        <w:numPr>
          <w:ilvl w:val="0"/>
          <w:numId w:val="35"/>
        </w:numPr>
        <w:spacing w:before="0" w:after="200" w:line="360" w:lineRule="auto"/>
        <w:ind w:left="720" w:hanging="720"/>
        <w:contextualSpacing w:val="0"/>
      </w:pPr>
      <w:bookmarkStart w:id="419" w:name="_Ref285636461"/>
      <w:r>
        <w:t xml:space="preserve">D. P. Griggs, M. S. </w:t>
      </w:r>
      <w:proofErr w:type="spellStart"/>
      <w:r>
        <w:t>Kazimi</w:t>
      </w:r>
      <w:proofErr w:type="spellEnd"/>
      <w:r>
        <w:t>, A. F. Hendry, “TITAN: an advanced three-dimensional coupled neutronic/thermal-hydraulics code for light-water nuclear-reactor-core analysis,” PB-85-144251/XAB and MIT/EL-84/011, Massachusetts Institute of Technology, Cambridge, USA, Energy Lab, June 1984.</w:t>
      </w:r>
      <w:bookmarkEnd w:id="419"/>
    </w:p>
    <w:p w:rsidR="00C67546" w:rsidRDefault="00C67546" w:rsidP="0055602F">
      <w:pPr>
        <w:pStyle w:val="ListParagraph"/>
        <w:numPr>
          <w:ilvl w:val="0"/>
          <w:numId w:val="35"/>
        </w:numPr>
        <w:spacing w:before="0" w:after="200" w:line="360" w:lineRule="auto"/>
        <w:ind w:left="720" w:hanging="720"/>
        <w:contextualSpacing w:val="0"/>
      </w:pPr>
      <w:r>
        <w:t xml:space="preserve">H. G. </w:t>
      </w:r>
      <w:proofErr w:type="spellStart"/>
      <w:r>
        <w:t>Joo</w:t>
      </w:r>
      <w:proofErr w:type="spellEnd"/>
      <w:r>
        <w:t xml:space="preserve">, </w:t>
      </w:r>
      <w:proofErr w:type="gramStart"/>
      <w:r>
        <w:t>et</w:t>
      </w:r>
      <w:proofErr w:type="gramEnd"/>
      <w:r>
        <w:t>. al., “PARCS: A Multi-Dimensional Two-Group Reactor Kinetics Code Based on the Nonlinear Analytic Nodal Method,” PU/NE-98-26, Purdue University, 1998.</w:t>
      </w:r>
    </w:p>
    <w:p w:rsidR="00C67546" w:rsidRDefault="00C67546" w:rsidP="0055602F">
      <w:pPr>
        <w:pStyle w:val="ListParagraph"/>
        <w:numPr>
          <w:ilvl w:val="0"/>
          <w:numId w:val="35"/>
        </w:numPr>
        <w:spacing w:before="0" w:after="200" w:line="360" w:lineRule="auto"/>
        <w:ind w:left="720" w:hanging="720"/>
        <w:contextualSpacing w:val="0"/>
      </w:pPr>
      <w:r>
        <w:t xml:space="preserve">NESTLE Version 5.2.1, “Few-Group Neutron Diffusion Equation Solver Utilizing The Nodal Expansion Method for Eigenvalue, </w:t>
      </w:r>
      <w:proofErr w:type="spellStart"/>
      <w:r>
        <w:t>Adjoint</w:t>
      </w:r>
      <w:proofErr w:type="spellEnd"/>
      <w:r>
        <w:t>, Fixed-Source Steady-State and Transient Problems,” Electric Power Research Center, North Carolina State University, July 2003.</w:t>
      </w:r>
    </w:p>
    <w:p w:rsidR="00C67546" w:rsidRDefault="00C67546" w:rsidP="0055602F">
      <w:pPr>
        <w:pStyle w:val="ListParagraph"/>
        <w:numPr>
          <w:ilvl w:val="0"/>
          <w:numId w:val="35"/>
        </w:numPr>
        <w:spacing w:before="0" w:after="200" w:line="360" w:lineRule="auto"/>
        <w:ind w:left="720" w:hanging="720"/>
        <w:contextualSpacing w:val="0"/>
      </w:pPr>
      <w:r>
        <w:t xml:space="preserve">H. G. </w:t>
      </w:r>
      <w:proofErr w:type="spellStart"/>
      <w:r>
        <w:t>Joo</w:t>
      </w:r>
      <w:proofErr w:type="spellEnd"/>
      <w:r>
        <w:t xml:space="preserve"> et al., “Methods and Performance of a Three-Dimensional Whole-Core Transport Code </w:t>
      </w:r>
      <w:proofErr w:type="spellStart"/>
      <w:r>
        <w:t>DeCART</w:t>
      </w:r>
      <w:proofErr w:type="spellEnd"/>
      <w:r>
        <w:t>,” Korea Atomic Energy Research Institute, Proc. PHYSOR 2004, Chicago, IL, April 2004.</w:t>
      </w:r>
    </w:p>
    <w:p w:rsidR="00C67546" w:rsidRDefault="00C67546" w:rsidP="0055602F">
      <w:pPr>
        <w:pStyle w:val="ListParagraph"/>
        <w:numPr>
          <w:ilvl w:val="0"/>
          <w:numId w:val="35"/>
        </w:numPr>
        <w:spacing w:before="0" w:after="200" w:line="360" w:lineRule="auto"/>
        <w:ind w:left="720" w:hanging="720"/>
        <w:contextualSpacing w:val="0"/>
      </w:pPr>
      <w:r>
        <w:t xml:space="preserve">U. </w:t>
      </w:r>
      <w:proofErr w:type="spellStart"/>
      <w:r>
        <w:t>Bredolt</w:t>
      </w:r>
      <w:proofErr w:type="spellEnd"/>
      <w:r>
        <w:t xml:space="preserve">, “POLCA-T – Validation of Transient Bundle Flow Predictions </w:t>
      </w:r>
      <w:proofErr w:type="gramStart"/>
      <w:r>
        <w:t>During</w:t>
      </w:r>
      <w:proofErr w:type="gramEnd"/>
      <w:r>
        <w:t xml:space="preserve"> an All Recirculation Pump-trip in a BWR,” Proc. International Conference on Nuclear Engineering 14, Miami, FL, July 2006.</w:t>
      </w:r>
    </w:p>
    <w:p w:rsidR="00C67546" w:rsidRDefault="00C67546" w:rsidP="0055602F">
      <w:pPr>
        <w:pStyle w:val="ListParagraph"/>
        <w:numPr>
          <w:ilvl w:val="0"/>
          <w:numId w:val="35"/>
        </w:numPr>
        <w:spacing w:before="0" w:after="200" w:line="360" w:lineRule="auto"/>
        <w:ind w:left="720" w:hanging="720"/>
        <w:contextualSpacing w:val="0"/>
      </w:pPr>
      <w:r>
        <w:lastRenderedPageBreak/>
        <w:t xml:space="preserve">A. </w:t>
      </w:r>
      <w:proofErr w:type="spellStart"/>
      <w:r>
        <w:t>Seubert</w:t>
      </w:r>
      <w:proofErr w:type="spellEnd"/>
      <w:r>
        <w:t xml:space="preserve">, K. </w:t>
      </w:r>
      <w:proofErr w:type="spellStart"/>
      <w:r>
        <w:t>Velkov</w:t>
      </w:r>
      <w:proofErr w:type="spellEnd"/>
      <w:r>
        <w:t xml:space="preserve">, S. </w:t>
      </w:r>
      <w:proofErr w:type="spellStart"/>
      <w:r>
        <w:t>Langenbuch</w:t>
      </w:r>
      <w:proofErr w:type="spellEnd"/>
      <w:r>
        <w:t>, “The Time-Dependent 3-D Discrete Ordinates Code TORT-TD with Thermal-Hydraulic Feedback by ATHLET Models,” Proc. PHYSOR 2008, Interlaken, Switzerland, September 2008.</w:t>
      </w:r>
    </w:p>
    <w:p w:rsidR="00C67546" w:rsidRDefault="00C67546" w:rsidP="0055602F">
      <w:pPr>
        <w:pStyle w:val="ListParagraph"/>
        <w:numPr>
          <w:ilvl w:val="0"/>
          <w:numId w:val="35"/>
        </w:numPr>
        <w:spacing w:before="0" w:after="200" w:line="360" w:lineRule="auto"/>
        <w:ind w:left="720" w:hanging="720"/>
        <w:contextualSpacing w:val="0"/>
      </w:pPr>
      <w:bookmarkStart w:id="420" w:name="_Ref285636472"/>
      <w:r>
        <w:t xml:space="preserve">C. </w:t>
      </w:r>
      <w:proofErr w:type="spellStart"/>
      <w:r>
        <w:t>J</w:t>
      </w:r>
      <w:r w:rsidRPr="0022386A">
        <w:rPr>
          <w:rFonts w:cstheme="minorHAnsi"/>
        </w:rPr>
        <w:t>ö</w:t>
      </w:r>
      <w:r>
        <w:t>nsoon</w:t>
      </w:r>
      <w:proofErr w:type="spellEnd"/>
      <w:r>
        <w:t xml:space="preserve">, </w:t>
      </w:r>
      <w:proofErr w:type="gramStart"/>
      <w:r>
        <w:t>et</w:t>
      </w:r>
      <w:proofErr w:type="gramEnd"/>
      <w:r>
        <w:t xml:space="preserve">. al., “Severe Reactivity Initiated Accidents with SIMULATE-3K and SIMULATE-3K/RELAP5 in Forsmark-3 BWR, </w:t>
      </w:r>
      <w:proofErr w:type="spellStart"/>
      <w:r>
        <w:t>Studsvik</w:t>
      </w:r>
      <w:proofErr w:type="spellEnd"/>
      <w:r>
        <w:t xml:space="preserve"> </w:t>
      </w:r>
      <w:proofErr w:type="spellStart"/>
      <w:r>
        <w:t>Scandpower</w:t>
      </w:r>
      <w:proofErr w:type="spellEnd"/>
      <w:r>
        <w:t>, Proc. 2010 LWR Fuel Performance/Top Fuel/WRFPM, Orlando, FL, September 2010.</w:t>
      </w:r>
      <w:bookmarkEnd w:id="420"/>
      <w:r>
        <w:t xml:space="preserve"> </w:t>
      </w:r>
    </w:p>
    <w:p w:rsidR="00C67546" w:rsidRPr="00F7644E" w:rsidRDefault="00C67546" w:rsidP="0055602F">
      <w:pPr>
        <w:pStyle w:val="ListParagraph"/>
        <w:numPr>
          <w:ilvl w:val="0"/>
          <w:numId w:val="35"/>
        </w:numPr>
        <w:spacing w:before="0" w:after="200" w:line="360" w:lineRule="auto"/>
        <w:ind w:left="720" w:hanging="720"/>
        <w:contextualSpacing w:val="0"/>
        <w:rPr>
          <w:rFonts w:eastAsiaTheme="minorEastAsia" w:cstheme="minorHAnsi"/>
        </w:rPr>
      </w:pPr>
      <w:bookmarkStart w:id="421" w:name="_Ref285636503"/>
      <w:r w:rsidRPr="00F7644E">
        <w:rPr>
          <w:rFonts w:eastAsiaTheme="minorEastAsia" w:cstheme="minorHAnsi"/>
        </w:rPr>
        <w:t xml:space="preserve">G. Gomes, </w:t>
      </w:r>
      <w:r>
        <w:rPr>
          <w:rFonts w:eastAsiaTheme="minorEastAsia" w:cstheme="minorHAnsi"/>
        </w:rPr>
        <w:t>“</w:t>
      </w:r>
      <w:r w:rsidRPr="00F7644E">
        <w:rPr>
          <w:rFonts w:eastAsiaTheme="minorEastAsia" w:cstheme="minorHAnsi"/>
        </w:rPr>
        <w:t>Comparison between COMSOL and RFSP-IST for a 2-D Benchmark Problem,</w:t>
      </w:r>
      <w:r>
        <w:rPr>
          <w:rFonts w:eastAsiaTheme="minorEastAsia" w:cstheme="minorHAnsi"/>
        </w:rPr>
        <w:t>”</w:t>
      </w:r>
      <w:r w:rsidRPr="00F7644E">
        <w:rPr>
          <w:rFonts w:eastAsiaTheme="minorEastAsia" w:cstheme="minorHAnsi"/>
        </w:rPr>
        <w:t xml:space="preserve"> Atomic Energy of Canada Limited, Excerpt from the Proceedings of the COMSOL Conference 2008 Hannover, Germany, November 2008.</w:t>
      </w:r>
      <w:bookmarkEnd w:id="421"/>
    </w:p>
    <w:p w:rsidR="00C67546" w:rsidRPr="00F7644E" w:rsidRDefault="00C67546" w:rsidP="0055602F">
      <w:pPr>
        <w:pStyle w:val="ListParagraph"/>
        <w:numPr>
          <w:ilvl w:val="0"/>
          <w:numId w:val="35"/>
        </w:numPr>
        <w:spacing w:before="0" w:after="200" w:line="360" w:lineRule="auto"/>
        <w:ind w:left="720" w:hanging="720"/>
        <w:contextualSpacing w:val="0"/>
        <w:rPr>
          <w:rFonts w:eastAsiaTheme="minorEastAsia" w:cstheme="minorHAnsi"/>
        </w:rPr>
      </w:pPr>
      <w:bookmarkStart w:id="422" w:name="_Ref285636509"/>
      <w:r w:rsidRPr="00F7644E">
        <w:rPr>
          <w:rFonts w:eastAsiaTheme="minorEastAsia" w:cstheme="minorHAnsi"/>
        </w:rPr>
        <w:t xml:space="preserve">V. </w:t>
      </w:r>
      <w:proofErr w:type="spellStart"/>
      <w:r w:rsidRPr="00F7644E">
        <w:rPr>
          <w:rFonts w:eastAsiaTheme="minorEastAsia" w:cstheme="minorHAnsi"/>
        </w:rPr>
        <w:t>Memoli</w:t>
      </w:r>
      <w:proofErr w:type="spellEnd"/>
      <w:r w:rsidRPr="00F7644E">
        <w:rPr>
          <w:rFonts w:eastAsiaTheme="minorEastAsia" w:cstheme="minorHAnsi"/>
        </w:rPr>
        <w:t xml:space="preserve">, </w:t>
      </w:r>
      <w:proofErr w:type="gramStart"/>
      <w:r w:rsidRPr="00F7644E">
        <w:rPr>
          <w:rFonts w:eastAsiaTheme="minorEastAsia" w:cstheme="minorHAnsi"/>
        </w:rPr>
        <w:t>et</w:t>
      </w:r>
      <w:proofErr w:type="gramEnd"/>
      <w:r w:rsidRPr="00F7644E">
        <w:rPr>
          <w:rFonts w:eastAsiaTheme="minorEastAsia" w:cstheme="minorHAnsi"/>
        </w:rPr>
        <w:t xml:space="preserve">. al., </w:t>
      </w:r>
      <w:r>
        <w:rPr>
          <w:rFonts w:eastAsiaTheme="minorEastAsia" w:cstheme="minorHAnsi"/>
        </w:rPr>
        <w:t>“</w:t>
      </w:r>
      <w:r w:rsidRPr="00F7644E">
        <w:rPr>
          <w:rFonts w:eastAsiaTheme="minorEastAsia" w:cstheme="minorHAnsi"/>
        </w:rPr>
        <w:t>A Preliminary Approach to the Neutronics of the Molten Salt Reactor by means of COMSOL Multiphysics,</w:t>
      </w:r>
      <w:r>
        <w:rPr>
          <w:rFonts w:eastAsiaTheme="minorEastAsia" w:cstheme="minorHAnsi"/>
        </w:rPr>
        <w:t>”</w:t>
      </w:r>
      <w:r w:rsidRPr="00F7644E">
        <w:rPr>
          <w:rFonts w:eastAsiaTheme="minorEastAsia" w:cstheme="minorHAnsi"/>
        </w:rPr>
        <w:t xml:space="preserve"> </w:t>
      </w:r>
      <w:proofErr w:type="spellStart"/>
      <w:r w:rsidRPr="00F7644E">
        <w:rPr>
          <w:rFonts w:eastAsiaTheme="minorEastAsia" w:cstheme="minorHAnsi"/>
        </w:rPr>
        <w:t>Politecnico</w:t>
      </w:r>
      <w:proofErr w:type="spellEnd"/>
      <w:r w:rsidRPr="00F7644E">
        <w:rPr>
          <w:rFonts w:eastAsiaTheme="minorEastAsia" w:cstheme="minorHAnsi"/>
        </w:rPr>
        <w:t xml:space="preserve"> </w:t>
      </w:r>
      <w:proofErr w:type="spellStart"/>
      <w:r w:rsidRPr="00F7644E">
        <w:rPr>
          <w:rFonts w:eastAsiaTheme="minorEastAsia" w:cstheme="minorHAnsi"/>
        </w:rPr>
        <w:t>di</w:t>
      </w:r>
      <w:proofErr w:type="spellEnd"/>
      <w:r w:rsidRPr="00F7644E">
        <w:rPr>
          <w:rFonts w:eastAsiaTheme="minorEastAsia" w:cstheme="minorHAnsi"/>
        </w:rPr>
        <w:t xml:space="preserve"> Milano, Excerpt from the Proceedings of the COMSOL Conference 2009 Milan, 2009.</w:t>
      </w:r>
      <w:bookmarkEnd w:id="422"/>
    </w:p>
    <w:p w:rsidR="00C67546" w:rsidRDefault="00C67546" w:rsidP="0055602F">
      <w:pPr>
        <w:pStyle w:val="ListParagraph"/>
        <w:numPr>
          <w:ilvl w:val="0"/>
          <w:numId w:val="35"/>
        </w:numPr>
        <w:spacing w:before="0" w:after="200" w:line="360" w:lineRule="auto"/>
        <w:ind w:left="720" w:hanging="720"/>
        <w:contextualSpacing w:val="0"/>
      </w:pPr>
      <w:bookmarkStart w:id="423" w:name="_Ref285636536"/>
      <w:r>
        <w:t>“Nuclear Energy,” Ch. 8, 105, The Energy Report, May 2008.</w:t>
      </w:r>
      <w:bookmarkEnd w:id="423"/>
    </w:p>
    <w:p w:rsidR="00C67546" w:rsidRDefault="00C67546" w:rsidP="0055602F">
      <w:pPr>
        <w:pStyle w:val="ListParagraph"/>
        <w:numPr>
          <w:ilvl w:val="0"/>
          <w:numId w:val="35"/>
        </w:numPr>
        <w:spacing w:before="0" w:after="200" w:line="360" w:lineRule="auto"/>
        <w:ind w:left="720" w:hanging="720"/>
        <w:contextualSpacing w:val="0"/>
      </w:pPr>
      <w:bookmarkStart w:id="424" w:name="_Ref285636546"/>
      <w:r>
        <w:t>M. W. Rosenthal, “An Account of Oak Ridge National Laboratory’s Thirteen Nuclear Reactors,” ORNL/TM-2009/181, Oak Ridge National Laboratory, August 2009.</w:t>
      </w:r>
      <w:bookmarkEnd w:id="424"/>
    </w:p>
    <w:p w:rsidR="00C67546" w:rsidRDefault="00C67546" w:rsidP="0055602F">
      <w:pPr>
        <w:pStyle w:val="ListParagraph"/>
        <w:numPr>
          <w:ilvl w:val="0"/>
          <w:numId w:val="35"/>
        </w:numPr>
        <w:spacing w:before="0" w:after="200" w:line="360" w:lineRule="auto"/>
        <w:ind w:left="720" w:hanging="720"/>
        <w:contextualSpacing w:val="0"/>
      </w:pPr>
      <w:bookmarkStart w:id="425" w:name="_Ref285636555"/>
      <w:r>
        <w:t xml:space="preserve">R. L. Murray, “Nuclear Energy </w:t>
      </w:r>
      <w:proofErr w:type="gramStart"/>
      <w:r>
        <w:t>An</w:t>
      </w:r>
      <w:proofErr w:type="gramEnd"/>
      <w:r>
        <w:t xml:space="preserve"> Introduction to the Concepts, Systems, and Applications of Nuclear Processes,” 5</w:t>
      </w:r>
      <w:r w:rsidRPr="002947B1">
        <w:rPr>
          <w:vertAlign w:val="superscript"/>
        </w:rPr>
        <w:t>th</w:t>
      </w:r>
      <w:r>
        <w:t xml:space="preserve"> Ed. Woburn, Butterworth Heinemann, 2001.</w:t>
      </w:r>
      <w:bookmarkEnd w:id="425"/>
    </w:p>
    <w:p w:rsidR="00C67546" w:rsidRDefault="00C67546" w:rsidP="0055602F">
      <w:pPr>
        <w:pStyle w:val="ListParagraph"/>
        <w:numPr>
          <w:ilvl w:val="0"/>
          <w:numId w:val="35"/>
        </w:numPr>
        <w:spacing w:before="0" w:after="200" w:line="360" w:lineRule="auto"/>
        <w:ind w:left="720" w:hanging="720"/>
        <w:contextualSpacing w:val="0"/>
      </w:pPr>
      <w:bookmarkStart w:id="426" w:name="_Ref285636571"/>
      <w:r>
        <w:t>“Nuclear Power for the Next Generation,” International Atomic Energy Agency (IAEA), &lt;http://www.iaea.org&gt;.</w:t>
      </w:r>
      <w:bookmarkEnd w:id="426"/>
      <w:r>
        <w:t xml:space="preserve"> </w:t>
      </w:r>
    </w:p>
    <w:p w:rsidR="00C67546" w:rsidRPr="00E409A4" w:rsidRDefault="00C67546" w:rsidP="0055602F">
      <w:pPr>
        <w:numPr>
          <w:ilvl w:val="0"/>
          <w:numId w:val="35"/>
        </w:numPr>
        <w:spacing w:before="0" w:after="200" w:line="360" w:lineRule="auto"/>
        <w:ind w:left="720" w:hanging="720"/>
      </w:pPr>
      <w:bookmarkStart w:id="427" w:name="_Ref285636602"/>
      <w:r w:rsidRPr="00E409A4">
        <w:rPr>
          <w:bCs/>
        </w:rPr>
        <w:t xml:space="preserve">X-5 Monte Carlo Team, </w:t>
      </w:r>
      <w:r w:rsidRPr="00E409A4">
        <w:rPr>
          <w:bCs/>
          <w:i/>
          <w:iCs/>
        </w:rPr>
        <w:t xml:space="preserve">MCNP—A General Monte Carlo N-Particle Transport Code, Version 5, </w:t>
      </w:r>
      <w:r w:rsidRPr="00E409A4">
        <w:rPr>
          <w:bCs/>
          <w:lang w:val="es-ES"/>
        </w:rPr>
        <w:t xml:space="preserve">LA-CP-03-0245, Los </w:t>
      </w:r>
      <w:proofErr w:type="spellStart"/>
      <w:r w:rsidRPr="00E409A4">
        <w:rPr>
          <w:bCs/>
          <w:lang w:val="es-ES"/>
        </w:rPr>
        <w:t>Alamos</w:t>
      </w:r>
      <w:proofErr w:type="spellEnd"/>
      <w:r w:rsidRPr="00E409A4">
        <w:rPr>
          <w:bCs/>
          <w:lang w:val="es-ES"/>
        </w:rPr>
        <w:t xml:space="preserve"> </w:t>
      </w:r>
      <w:proofErr w:type="spellStart"/>
      <w:r w:rsidRPr="00E409A4">
        <w:rPr>
          <w:bCs/>
          <w:lang w:val="es-ES"/>
        </w:rPr>
        <w:t>National</w:t>
      </w:r>
      <w:proofErr w:type="spellEnd"/>
      <w:r w:rsidRPr="00E409A4">
        <w:rPr>
          <w:bCs/>
          <w:lang w:val="es-ES"/>
        </w:rPr>
        <w:t xml:space="preserve"> </w:t>
      </w:r>
      <w:proofErr w:type="spellStart"/>
      <w:r w:rsidRPr="00E409A4">
        <w:rPr>
          <w:bCs/>
          <w:lang w:val="es-ES"/>
        </w:rPr>
        <w:t>Laboratory</w:t>
      </w:r>
      <w:proofErr w:type="spellEnd"/>
      <w:r w:rsidRPr="00E409A4">
        <w:rPr>
          <w:bCs/>
          <w:lang w:val="es-ES"/>
        </w:rPr>
        <w:t xml:space="preserve">, </w:t>
      </w:r>
      <w:proofErr w:type="spellStart"/>
      <w:r w:rsidRPr="00E409A4">
        <w:rPr>
          <w:bCs/>
          <w:lang w:val="es-ES"/>
        </w:rPr>
        <w:t>April</w:t>
      </w:r>
      <w:proofErr w:type="spellEnd"/>
      <w:r w:rsidRPr="00E409A4">
        <w:rPr>
          <w:bCs/>
          <w:lang w:val="es-ES"/>
        </w:rPr>
        <w:t xml:space="preserve"> 24, 2003.</w:t>
      </w:r>
      <w:bookmarkEnd w:id="427"/>
    </w:p>
    <w:p w:rsidR="00C67546" w:rsidRDefault="00C67546" w:rsidP="0055602F">
      <w:pPr>
        <w:pStyle w:val="ListParagraph"/>
        <w:numPr>
          <w:ilvl w:val="0"/>
          <w:numId w:val="35"/>
        </w:numPr>
        <w:spacing w:before="0" w:after="200" w:line="360" w:lineRule="auto"/>
        <w:ind w:left="720" w:hanging="720"/>
        <w:contextualSpacing w:val="0"/>
      </w:pPr>
      <w:bookmarkStart w:id="428" w:name="_Ref285636616"/>
      <w:r>
        <w:t>RSICC Computer Code Collection CCC-371, ORIGEN 2.2. Available from RSICC, Oak Ridge National Laboratory, 2002.</w:t>
      </w:r>
      <w:bookmarkEnd w:id="428"/>
    </w:p>
    <w:p w:rsidR="00C67546" w:rsidRDefault="00C67546" w:rsidP="0055602F">
      <w:pPr>
        <w:pStyle w:val="ListParagraph"/>
        <w:numPr>
          <w:ilvl w:val="0"/>
          <w:numId w:val="35"/>
        </w:numPr>
        <w:autoSpaceDE w:val="0"/>
        <w:autoSpaceDN w:val="0"/>
        <w:adjustRightInd w:val="0"/>
        <w:spacing w:before="0" w:after="200" w:line="360" w:lineRule="auto"/>
        <w:ind w:left="720" w:hanging="720"/>
        <w:contextualSpacing w:val="0"/>
      </w:pPr>
      <w:bookmarkStart w:id="429" w:name="_Ref285636626"/>
      <w:r w:rsidRPr="00176CEA">
        <w:t xml:space="preserve">I. C. Gauld, </w:t>
      </w:r>
      <w:proofErr w:type="gramStart"/>
      <w:r w:rsidRPr="00176CEA">
        <w:t>et</w:t>
      </w:r>
      <w:proofErr w:type="gramEnd"/>
      <w:r w:rsidRPr="00176CEA">
        <w:t xml:space="preserve">. al., </w:t>
      </w:r>
      <w:r>
        <w:t>“</w:t>
      </w:r>
      <w:r w:rsidRPr="008B082A">
        <w:t>ORIGEN-S: SCALE System Module to Calculate Fuel Depletion, Actinide Transmutation, Fission Product Buildup and Decay, and Associated Radiation Source Terms</w:t>
      </w:r>
      <w:r w:rsidRPr="00176CEA">
        <w:t>,</w:t>
      </w:r>
      <w:r>
        <w:t>”</w:t>
      </w:r>
      <w:r w:rsidRPr="00176CEA">
        <w:t xml:space="preserve"> ORNL/TM-2005/39, Version 6,</w:t>
      </w:r>
      <w:r>
        <w:t xml:space="preserve"> Vol. II, </w:t>
      </w:r>
      <w:r w:rsidRPr="00176CEA">
        <w:t>January 2009.</w:t>
      </w:r>
      <w:bookmarkEnd w:id="429"/>
    </w:p>
    <w:p w:rsidR="00C67546" w:rsidRPr="000E264D" w:rsidRDefault="00C67546" w:rsidP="0055602F">
      <w:pPr>
        <w:pStyle w:val="ListParagraph"/>
        <w:widowControl w:val="0"/>
        <w:numPr>
          <w:ilvl w:val="0"/>
          <w:numId w:val="35"/>
        </w:numPr>
        <w:spacing w:before="0" w:after="200" w:line="360" w:lineRule="auto"/>
        <w:ind w:left="720" w:hanging="720"/>
        <w:contextualSpacing w:val="0"/>
      </w:pPr>
      <w:bookmarkStart w:id="430" w:name="_Ref285636647"/>
      <w:r>
        <w:t xml:space="preserve">W. </w:t>
      </w:r>
      <w:proofErr w:type="spellStart"/>
      <w:r>
        <w:t>Haeck</w:t>
      </w:r>
      <w:proofErr w:type="spellEnd"/>
      <w:r>
        <w:t xml:space="preserve"> and</w:t>
      </w:r>
      <w:r w:rsidRPr="002C3E66">
        <w:t xml:space="preserve"> B. </w:t>
      </w:r>
      <w:proofErr w:type="spellStart"/>
      <w:r w:rsidRPr="002C3E66">
        <w:t>Verboomen</w:t>
      </w:r>
      <w:proofErr w:type="spellEnd"/>
      <w:r w:rsidRPr="002C3E66">
        <w:t xml:space="preserve">, </w:t>
      </w:r>
      <w:r w:rsidRPr="0022386A">
        <w:rPr>
          <w:i/>
        </w:rPr>
        <w:t>ALEPH 1.1.2 – A Monte Carlo Burn-Up Code</w:t>
      </w:r>
      <w:r w:rsidRPr="002C3E66">
        <w:t>, SCK · CEN-BLG-1003, SCK · CEN Belgian Nuclear Research Centre, December 2005.</w:t>
      </w:r>
      <w:bookmarkEnd w:id="430"/>
    </w:p>
    <w:p w:rsidR="00C67546" w:rsidRPr="0001778C" w:rsidRDefault="00C67546" w:rsidP="0055602F">
      <w:pPr>
        <w:pStyle w:val="ListParagraph"/>
        <w:widowControl w:val="0"/>
        <w:numPr>
          <w:ilvl w:val="0"/>
          <w:numId w:val="35"/>
        </w:numPr>
        <w:spacing w:before="0" w:after="200" w:line="360" w:lineRule="auto"/>
        <w:ind w:left="720" w:hanging="720"/>
        <w:contextualSpacing w:val="0"/>
        <w:rPr>
          <w:bCs/>
        </w:rPr>
      </w:pPr>
      <w:bookmarkStart w:id="431" w:name="_Ref285636657"/>
      <w:r w:rsidRPr="00E5481F">
        <w:lastRenderedPageBreak/>
        <w:t>W. HAECK, “VESTA User’s Manual – Version</w:t>
      </w:r>
      <w:r>
        <w:t xml:space="preserve"> </w:t>
      </w:r>
      <w:r w:rsidRPr="00E5481F">
        <w:t xml:space="preserve">2.0.0”, IRSN Report DSU/SEC/T/2008-331 </w:t>
      </w:r>
      <w:proofErr w:type="spellStart"/>
      <w:r w:rsidRPr="00E5481F">
        <w:t>Indice</w:t>
      </w:r>
      <w:proofErr w:type="spellEnd"/>
      <w:r w:rsidRPr="00E5481F">
        <w:t xml:space="preserve"> A,</w:t>
      </w:r>
      <w:r>
        <w:t xml:space="preserve"> </w:t>
      </w:r>
      <w:r w:rsidRPr="00E5481F">
        <w:t>France</w:t>
      </w:r>
      <w:r>
        <w:t>,</w:t>
      </w:r>
      <w:r w:rsidRPr="00E5481F">
        <w:t xml:space="preserve"> (2009)</w:t>
      </w:r>
      <w:r>
        <w:t>.</w:t>
      </w:r>
      <w:bookmarkEnd w:id="431"/>
    </w:p>
    <w:p w:rsidR="00C67546" w:rsidRDefault="00C67546" w:rsidP="0055602F">
      <w:pPr>
        <w:pStyle w:val="ListParagraph"/>
        <w:widowControl w:val="0"/>
        <w:numPr>
          <w:ilvl w:val="0"/>
          <w:numId w:val="35"/>
        </w:numPr>
        <w:spacing w:before="0" w:after="200" w:line="360" w:lineRule="auto"/>
        <w:ind w:left="720" w:hanging="720"/>
        <w:contextualSpacing w:val="0"/>
      </w:pPr>
      <w:bookmarkStart w:id="432" w:name="_Ref285636676"/>
      <w:r>
        <w:t>“</w:t>
      </w:r>
      <w:r w:rsidRPr="008B082A">
        <w:t>SCALE: A Modular Code system for Performing Standardized Computer Analyses for Licensing Evaluations</w:t>
      </w:r>
      <w:r>
        <w:t>,” ORNL/TM-2005/39, Version 6</w:t>
      </w:r>
      <w:r w:rsidRPr="00664898">
        <w:t>, Vols. I-III</w:t>
      </w:r>
      <w:r>
        <w:t xml:space="preserve">, </w:t>
      </w:r>
      <w:r w:rsidRPr="00664898">
        <w:t>January 2009.</w:t>
      </w:r>
      <w:r>
        <w:t xml:space="preserve"> </w:t>
      </w:r>
      <w:r w:rsidRPr="0022386A">
        <w:rPr>
          <w:rFonts w:cstheme="minorHAnsi"/>
        </w:rPr>
        <w:t>Available from Radiation Safety Information Computational Center at Oak Ridge National Laboratory.</w:t>
      </w:r>
      <w:bookmarkEnd w:id="432"/>
      <w:r w:rsidRPr="00664898">
        <w:t xml:space="preserve"> </w:t>
      </w:r>
    </w:p>
    <w:p w:rsidR="00C67546" w:rsidRDefault="00C67546" w:rsidP="0055602F">
      <w:pPr>
        <w:pStyle w:val="ListParagraph"/>
        <w:numPr>
          <w:ilvl w:val="0"/>
          <w:numId w:val="35"/>
        </w:numPr>
        <w:spacing w:before="0" w:after="200" w:line="360" w:lineRule="auto"/>
        <w:ind w:left="720" w:hanging="720"/>
        <w:contextualSpacing w:val="0"/>
      </w:pPr>
      <w:bookmarkStart w:id="433" w:name="_Ref285636685"/>
      <w:r>
        <w:t xml:space="preserve">S. Goluoglu, </w:t>
      </w:r>
      <w:proofErr w:type="gramStart"/>
      <w:r>
        <w:t>et</w:t>
      </w:r>
      <w:proofErr w:type="gramEnd"/>
      <w:r>
        <w:t xml:space="preserve">. al., “CSAS5: Control Module for Enhanced Criticality Safety Analysis Sequences with KENO V.A,” </w:t>
      </w:r>
      <w:r w:rsidRPr="00176CEA">
        <w:t>ORNL/TM-2005/39, Version 6,</w:t>
      </w:r>
      <w:r>
        <w:t xml:space="preserve"> Vol. I, Oak Ridge National Laboratory, </w:t>
      </w:r>
      <w:r w:rsidRPr="00176CEA">
        <w:t>January 2009.</w:t>
      </w:r>
      <w:bookmarkEnd w:id="433"/>
    </w:p>
    <w:p w:rsidR="00C67546" w:rsidRDefault="00C67546" w:rsidP="0055602F">
      <w:pPr>
        <w:pStyle w:val="ListParagraph"/>
        <w:numPr>
          <w:ilvl w:val="0"/>
          <w:numId w:val="35"/>
        </w:numPr>
        <w:spacing w:before="0" w:after="200" w:line="360" w:lineRule="auto"/>
        <w:ind w:left="720" w:hanging="720"/>
        <w:contextualSpacing w:val="0"/>
      </w:pPr>
      <w:bookmarkStart w:id="434" w:name="_Ref285636692"/>
      <w:r>
        <w:t xml:space="preserve">S. Goluoglu, </w:t>
      </w:r>
      <w:proofErr w:type="gramStart"/>
      <w:r>
        <w:t>et</w:t>
      </w:r>
      <w:proofErr w:type="gramEnd"/>
      <w:r>
        <w:t xml:space="preserve">. al., “CSAS6: Control Module for Enhanced Criticality Safety Analysis Sequences with KENO-VI,” </w:t>
      </w:r>
      <w:r w:rsidRPr="00176CEA">
        <w:t>ORNL/TM-2005/39, Version 6,</w:t>
      </w:r>
      <w:r>
        <w:t xml:space="preserve"> Vol. I, Oak Ridge National Laboratory, </w:t>
      </w:r>
      <w:r w:rsidRPr="00176CEA">
        <w:t>January 2009.</w:t>
      </w:r>
      <w:bookmarkEnd w:id="434"/>
    </w:p>
    <w:p w:rsidR="00C67546" w:rsidRPr="00664898" w:rsidRDefault="00C67546" w:rsidP="0055602F">
      <w:pPr>
        <w:pStyle w:val="ListParagraph"/>
        <w:numPr>
          <w:ilvl w:val="0"/>
          <w:numId w:val="35"/>
        </w:numPr>
        <w:autoSpaceDE w:val="0"/>
        <w:autoSpaceDN w:val="0"/>
        <w:adjustRightInd w:val="0"/>
        <w:spacing w:before="0" w:after="200" w:line="360" w:lineRule="auto"/>
        <w:ind w:left="720" w:hanging="720"/>
        <w:contextualSpacing w:val="0"/>
      </w:pPr>
      <w:bookmarkStart w:id="435" w:name="_Ref285636701"/>
      <w:r>
        <w:t>L. M. Petrie</w:t>
      </w:r>
      <w:r w:rsidRPr="00176CEA">
        <w:t xml:space="preserve">, </w:t>
      </w:r>
      <w:proofErr w:type="gramStart"/>
      <w:r w:rsidRPr="00176CEA">
        <w:t>et</w:t>
      </w:r>
      <w:proofErr w:type="gramEnd"/>
      <w:r w:rsidRPr="00176CEA">
        <w:t xml:space="preserve">. al., </w:t>
      </w:r>
      <w:r>
        <w:t>“</w:t>
      </w:r>
      <w:r w:rsidRPr="00146DD3">
        <w:t xml:space="preserve">KENO </w:t>
      </w:r>
      <w:proofErr w:type="spellStart"/>
      <w:proofErr w:type="gramStart"/>
      <w:r w:rsidRPr="00146DD3">
        <w:t>Va</w:t>
      </w:r>
      <w:proofErr w:type="spellEnd"/>
      <w:proofErr w:type="gramEnd"/>
      <w:r w:rsidRPr="00146DD3">
        <w:t>: An Improved Monte Carlo Criticality Program</w:t>
      </w:r>
      <w:r w:rsidRPr="00176CEA">
        <w:t>,</w:t>
      </w:r>
      <w:r>
        <w:t>”</w:t>
      </w:r>
      <w:r w:rsidRPr="00176CEA">
        <w:t xml:space="preserve"> ORNL/TM-2005/39, Version 6,</w:t>
      </w:r>
      <w:r>
        <w:t xml:space="preserve"> Vol. II, Oak Ridge National Laboratory,</w:t>
      </w:r>
      <w:r w:rsidRPr="00176CEA">
        <w:t xml:space="preserve"> January 2009.</w:t>
      </w:r>
      <w:bookmarkEnd w:id="435"/>
    </w:p>
    <w:p w:rsidR="00C67546" w:rsidRDefault="00C67546" w:rsidP="0055602F">
      <w:pPr>
        <w:pStyle w:val="ListParagraph"/>
        <w:numPr>
          <w:ilvl w:val="0"/>
          <w:numId w:val="35"/>
        </w:numPr>
        <w:autoSpaceDE w:val="0"/>
        <w:autoSpaceDN w:val="0"/>
        <w:adjustRightInd w:val="0"/>
        <w:spacing w:before="0" w:after="200" w:line="360" w:lineRule="auto"/>
        <w:ind w:left="720" w:hanging="720"/>
        <w:contextualSpacing w:val="0"/>
      </w:pPr>
      <w:bookmarkStart w:id="436" w:name="_Ref285636709"/>
      <w:r w:rsidRPr="00176CEA">
        <w:t xml:space="preserve">D. F. </w:t>
      </w:r>
      <w:proofErr w:type="spellStart"/>
      <w:r w:rsidRPr="00176CEA">
        <w:t>Hollenbach</w:t>
      </w:r>
      <w:proofErr w:type="spellEnd"/>
      <w:r w:rsidRPr="00176CEA">
        <w:t xml:space="preserve">, </w:t>
      </w:r>
      <w:proofErr w:type="gramStart"/>
      <w:r w:rsidRPr="00176CEA">
        <w:t>et</w:t>
      </w:r>
      <w:proofErr w:type="gramEnd"/>
      <w:r w:rsidRPr="00176CEA">
        <w:t xml:space="preserve">. al., </w:t>
      </w:r>
      <w:r>
        <w:t>“</w:t>
      </w:r>
      <w:r w:rsidRPr="00146DD3">
        <w:t>KENO-VI: A General Quadratic Version of the KENO Program</w:t>
      </w:r>
      <w:r w:rsidRPr="00176CEA">
        <w:t>,</w:t>
      </w:r>
      <w:r>
        <w:t>”</w:t>
      </w:r>
      <w:r w:rsidRPr="00176CEA">
        <w:t xml:space="preserve"> ORNL/TM-2005/39, Version 6,</w:t>
      </w:r>
      <w:r>
        <w:t xml:space="preserve"> Vol. II, Oak Ridge National Laboratory, </w:t>
      </w:r>
      <w:r w:rsidRPr="00176CEA">
        <w:t>January 2009.</w:t>
      </w:r>
      <w:bookmarkEnd w:id="436"/>
    </w:p>
    <w:p w:rsidR="00C67546" w:rsidRDefault="00C67546" w:rsidP="0055602F">
      <w:pPr>
        <w:pStyle w:val="ListParagraph"/>
        <w:numPr>
          <w:ilvl w:val="0"/>
          <w:numId w:val="35"/>
        </w:numPr>
        <w:autoSpaceDE w:val="0"/>
        <w:autoSpaceDN w:val="0"/>
        <w:adjustRightInd w:val="0"/>
        <w:spacing w:before="0" w:after="200" w:line="360" w:lineRule="auto"/>
        <w:ind w:left="720" w:hanging="720"/>
        <w:contextualSpacing w:val="0"/>
      </w:pPr>
      <w:bookmarkStart w:id="437" w:name="_Ref285636727"/>
      <w:r w:rsidRPr="000E264D">
        <w:t xml:space="preserve">M. D. DeHart, </w:t>
      </w:r>
      <w:r w:rsidRPr="00146DD3">
        <w:t>TRITON: A T</w:t>
      </w:r>
      <w:r>
        <w:t>wo</w:t>
      </w:r>
      <w:r w:rsidRPr="00146DD3">
        <w:t xml:space="preserve"> D</w:t>
      </w:r>
      <w:r>
        <w:t>imensional Transport and Depletion Module for Characterization of Spent Nuclear Fuel</w:t>
      </w:r>
      <w:r w:rsidRPr="000E264D">
        <w:t>,</w:t>
      </w:r>
      <w:r>
        <w:t>”</w:t>
      </w:r>
      <w:r w:rsidRPr="000E264D">
        <w:t xml:space="preserve"> ORNL/TM-2005/39, Version 6,</w:t>
      </w:r>
      <w:r>
        <w:t xml:space="preserve"> </w:t>
      </w:r>
      <w:proofErr w:type="gramStart"/>
      <w:r>
        <w:t>Vol</w:t>
      </w:r>
      <w:proofErr w:type="gramEnd"/>
      <w:r>
        <w:t>. I,</w:t>
      </w:r>
      <w:r w:rsidRPr="000E264D">
        <w:t xml:space="preserve"> </w:t>
      </w:r>
      <w:r>
        <w:t>Oak Ridge National Laboratory,</w:t>
      </w:r>
      <w:r w:rsidRPr="000E264D">
        <w:t xml:space="preserve"> January 2009.</w:t>
      </w:r>
      <w:bookmarkEnd w:id="437"/>
    </w:p>
    <w:p w:rsidR="00C67546" w:rsidRPr="000E264D" w:rsidRDefault="00C67546" w:rsidP="0055602F">
      <w:pPr>
        <w:pStyle w:val="ListParagraph"/>
        <w:numPr>
          <w:ilvl w:val="0"/>
          <w:numId w:val="35"/>
        </w:numPr>
        <w:autoSpaceDE w:val="0"/>
        <w:autoSpaceDN w:val="0"/>
        <w:adjustRightInd w:val="0"/>
        <w:spacing w:before="0" w:after="200" w:line="360" w:lineRule="auto"/>
        <w:ind w:left="720" w:hanging="720"/>
        <w:contextualSpacing w:val="0"/>
      </w:pPr>
      <w:bookmarkStart w:id="438" w:name="_Ref285636736"/>
      <w:r w:rsidRPr="000E264D">
        <w:t xml:space="preserve">M. D. DeHart, </w:t>
      </w:r>
      <w:r>
        <w:t>“</w:t>
      </w:r>
      <w:r w:rsidRPr="00146DD3">
        <w:t>NEWT: A New Transport Algorithm for Two-Dimensional Discrete Ordinates Analysis in Non-Orthogonal Geometries</w:t>
      </w:r>
      <w:r w:rsidRPr="000E264D">
        <w:t>,</w:t>
      </w:r>
      <w:r>
        <w:t>”</w:t>
      </w:r>
      <w:r w:rsidRPr="000E264D">
        <w:t xml:space="preserve"> ORNL/TM-2005/39, Version 6,</w:t>
      </w:r>
      <w:r>
        <w:t xml:space="preserve"> Vol. II,</w:t>
      </w:r>
      <w:r w:rsidRPr="00146DD3">
        <w:t xml:space="preserve"> </w:t>
      </w:r>
      <w:r>
        <w:t>Oak Ridge National Laboratory,</w:t>
      </w:r>
      <w:r w:rsidRPr="000E264D">
        <w:t xml:space="preserve"> January 2009.</w:t>
      </w:r>
      <w:bookmarkEnd w:id="438"/>
    </w:p>
    <w:p w:rsidR="00C67546" w:rsidRPr="00F7644E" w:rsidRDefault="00C67546" w:rsidP="0055602F">
      <w:pPr>
        <w:pStyle w:val="ListParagraph"/>
        <w:numPr>
          <w:ilvl w:val="0"/>
          <w:numId w:val="35"/>
        </w:numPr>
        <w:spacing w:before="0" w:after="200" w:line="360" w:lineRule="auto"/>
        <w:ind w:left="720" w:hanging="720"/>
        <w:contextualSpacing w:val="0"/>
      </w:pPr>
      <w:bookmarkStart w:id="439" w:name="_Ref285636753"/>
      <w:r w:rsidRPr="00F7644E">
        <w:rPr>
          <w:rFonts w:eastAsia="Calibri" w:cs="Times New Roman"/>
          <w:color w:val="000000"/>
        </w:rPr>
        <w:t xml:space="preserve">C. F. </w:t>
      </w:r>
      <w:proofErr w:type="spellStart"/>
      <w:r w:rsidRPr="00F7644E">
        <w:rPr>
          <w:rFonts w:eastAsia="Calibri" w:cs="Times New Roman"/>
          <w:color w:val="000000"/>
        </w:rPr>
        <w:t>Obenchain</w:t>
      </w:r>
      <w:proofErr w:type="spellEnd"/>
      <w:r w:rsidRPr="00F7644E">
        <w:rPr>
          <w:rFonts w:eastAsia="Calibri" w:cs="Times New Roman"/>
          <w:color w:val="000000"/>
        </w:rPr>
        <w:t xml:space="preserve">, </w:t>
      </w:r>
      <w:r>
        <w:rPr>
          <w:rFonts w:eastAsia="Calibri" w:cs="Times New Roman"/>
          <w:color w:val="000000"/>
        </w:rPr>
        <w:t>“</w:t>
      </w:r>
      <w:r w:rsidRPr="00F7644E">
        <w:rPr>
          <w:rFonts w:eastAsia="Calibri" w:cs="Times New Roman"/>
          <w:color w:val="000000"/>
        </w:rPr>
        <w:t>PARET – A Program for the Analysis of Reactor Transients,</w:t>
      </w:r>
      <w:r>
        <w:rPr>
          <w:rFonts w:eastAsia="Calibri" w:cs="Times New Roman"/>
          <w:color w:val="000000"/>
        </w:rPr>
        <w:t>”</w:t>
      </w:r>
      <w:r w:rsidRPr="00F7644E">
        <w:rPr>
          <w:rFonts w:eastAsia="Calibri" w:cs="Times New Roman"/>
          <w:color w:val="000000"/>
        </w:rPr>
        <w:t xml:space="preserve"> Phillips Petroleum Company, US Atomic Energy Commission – Idaho Operations Office, IDO-17282, January 1969.</w:t>
      </w:r>
      <w:bookmarkEnd w:id="439"/>
    </w:p>
    <w:p w:rsidR="00C67546" w:rsidRPr="00F7644E" w:rsidRDefault="00C67546" w:rsidP="0055602F">
      <w:pPr>
        <w:pStyle w:val="ListParagraph"/>
        <w:numPr>
          <w:ilvl w:val="0"/>
          <w:numId w:val="35"/>
        </w:numPr>
        <w:spacing w:before="0" w:after="200" w:line="360" w:lineRule="auto"/>
        <w:ind w:left="720" w:hanging="720"/>
        <w:contextualSpacing w:val="0"/>
      </w:pPr>
      <w:bookmarkStart w:id="440" w:name="_Ref285636759"/>
      <w:r w:rsidRPr="00F7644E">
        <w:rPr>
          <w:rFonts w:eastAsia="Calibri" w:cs="Times New Roman"/>
          <w:color w:val="000000"/>
        </w:rPr>
        <w:t xml:space="preserve">A. P. Olson, </w:t>
      </w:r>
      <w:r>
        <w:rPr>
          <w:rFonts w:eastAsia="Calibri" w:cs="Times New Roman"/>
          <w:color w:val="000000"/>
        </w:rPr>
        <w:t>“</w:t>
      </w:r>
      <w:r w:rsidRPr="00F7644E">
        <w:rPr>
          <w:rFonts w:eastAsia="Calibri" w:cs="Times New Roman"/>
          <w:color w:val="000000"/>
        </w:rPr>
        <w:t>A Users Guide to the PARET/ANL V7.2 Code – Draft, Reduced Enrichment for Research and Test Reactor (RERTR) Program,</w:t>
      </w:r>
      <w:r>
        <w:rPr>
          <w:rFonts w:eastAsia="Calibri" w:cs="Times New Roman"/>
          <w:color w:val="000000"/>
        </w:rPr>
        <w:t>”</w:t>
      </w:r>
      <w:r w:rsidRPr="00F7644E">
        <w:rPr>
          <w:rFonts w:eastAsia="Calibri" w:cs="Times New Roman"/>
          <w:color w:val="000000"/>
        </w:rPr>
        <w:t xml:space="preserve"> Argonne National Lab, Argonne, IL, June 2006.</w:t>
      </w:r>
      <w:bookmarkEnd w:id="440"/>
    </w:p>
    <w:p w:rsidR="00C67546" w:rsidRDefault="00C67546" w:rsidP="0055602F">
      <w:pPr>
        <w:pStyle w:val="ListParagraph"/>
        <w:numPr>
          <w:ilvl w:val="0"/>
          <w:numId w:val="35"/>
        </w:numPr>
        <w:spacing w:before="0" w:after="200" w:line="360" w:lineRule="auto"/>
        <w:ind w:left="720" w:hanging="720"/>
        <w:contextualSpacing w:val="0"/>
      </w:pPr>
      <w:bookmarkStart w:id="441" w:name="_Ref285636781"/>
      <w:r>
        <w:t>COMSOL: COMSOL, Inc., COMSOL Multiphysics User’s Guide, Version 3.5a, Burlington, MA, (2008).</w:t>
      </w:r>
      <w:bookmarkEnd w:id="441"/>
    </w:p>
    <w:p w:rsidR="00C67546" w:rsidRDefault="00C67546" w:rsidP="0055602F">
      <w:pPr>
        <w:pStyle w:val="ListParagraph"/>
        <w:numPr>
          <w:ilvl w:val="0"/>
          <w:numId w:val="35"/>
        </w:numPr>
        <w:spacing w:before="0" w:after="200" w:line="360" w:lineRule="auto"/>
        <w:ind w:left="720" w:hanging="720"/>
        <w:contextualSpacing w:val="0"/>
      </w:pPr>
      <w:bookmarkStart w:id="442" w:name="_Ref285636789"/>
      <w:r>
        <w:lastRenderedPageBreak/>
        <w:t>COMSOL: COMSOL, Inc., COMSOL Multiphysics User’s Guide, Version 4, Burlington, MA, (2010).</w:t>
      </w:r>
      <w:bookmarkEnd w:id="442"/>
    </w:p>
    <w:p w:rsidR="00C67546" w:rsidRPr="00E409A4" w:rsidRDefault="00C67546" w:rsidP="0055602F">
      <w:pPr>
        <w:numPr>
          <w:ilvl w:val="0"/>
          <w:numId w:val="35"/>
        </w:numPr>
        <w:spacing w:before="0" w:after="200" w:line="360" w:lineRule="auto"/>
        <w:ind w:left="720" w:hanging="720"/>
      </w:pPr>
      <w:bookmarkStart w:id="443" w:name="_Ref285636804"/>
      <w:r w:rsidRPr="00E409A4">
        <w:rPr>
          <w:bCs/>
        </w:rPr>
        <w:t xml:space="preserve">R. D. </w:t>
      </w:r>
      <w:proofErr w:type="spellStart"/>
      <w:r w:rsidRPr="00E409A4">
        <w:rPr>
          <w:bCs/>
        </w:rPr>
        <w:t>Cheverton</w:t>
      </w:r>
      <w:proofErr w:type="spellEnd"/>
      <w:r w:rsidRPr="00E409A4">
        <w:rPr>
          <w:bCs/>
        </w:rPr>
        <w:t xml:space="preserve"> and T. M. Sims, </w:t>
      </w:r>
      <w:r>
        <w:rPr>
          <w:bCs/>
        </w:rPr>
        <w:t>“</w:t>
      </w:r>
      <w:r w:rsidRPr="00146DD3">
        <w:rPr>
          <w:bCs/>
          <w:iCs/>
        </w:rPr>
        <w:t>HFIR Core Nuclear Design,</w:t>
      </w:r>
      <w:r>
        <w:rPr>
          <w:bCs/>
          <w:iCs/>
        </w:rPr>
        <w:t>”</w:t>
      </w:r>
      <w:r w:rsidRPr="00E409A4">
        <w:rPr>
          <w:bCs/>
          <w:i/>
          <w:iCs/>
        </w:rPr>
        <w:t xml:space="preserve"> </w:t>
      </w:r>
      <w:r w:rsidRPr="007A40EC">
        <w:rPr>
          <w:bCs/>
          <w:iCs/>
        </w:rPr>
        <w:t>ORNL-4621</w:t>
      </w:r>
      <w:r w:rsidRPr="00E409A4">
        <w:rPr>
          <w:bCs/>
        </w:rPr>
        <w:t xml:space="preserve">, </w:t>
      </w:r>
      <w:r>
        <w:rPr>
          <w:bCs/>
        </w:rPr>
        <w:t xml:space="preserve">Oak Ridge National Laboratory, </w:t>
      </w:r>
      <w:r w:rsidRPr="00E409A4">
        <w:rPr>
          <w:bCs/>
        </w:rPr>
        <w:t>July 1971.</w:t>
      </w:r>
      <w:bookmarkEnd w:id="443"/>
    </w:p>
    <w:p w:rsidR="00C67546" w:rsidRPr="00E409A4" w:rsidRDefault="00C67546" w:rsidP="0055602F">
      <w:pPr>
        <w:numPr>
          <w:ilvl w:val="0"/>
          <w:numId w:val="35"/>
        </w:numPr>
        <w:spacing w:before="0" w:after="200" w:line="360" w:lineRule="auto"/>
        <w:ind w:left="720" w:hanging="720"/>
      </w:pPr>
      <w:bookmarkStart w:id="444" w:name="_Ref285636847"/>
      <w:r w:rsidRPr="00E409A4">
        <w:rPr>
          <w:bCs/>
          <w:iCs/>
        </w:rPr>
        <w:t>S. Goluoglu and H. L. Dodds,</w:t>
      </w:r>
      <w:r w:rsidRPr="00E409A4">
        <w:rPr>
          <w:bCs/>
          <w:i/>
          <w:iCs/>
        </w:rPr>
        <w:t xml:space="preserve"> </w:t>
      </w:r>
      <w:r>
        <w:rPr>
          <w:bCs/>
          <w:i/>
          <w:iCs/>
        </w:rPr>
        <w:t>“</w:t>
      </w:r>
      <w:r w:rsidRPr="007A40EC">
        <w:rPr>
          <w:bCs/>
          <w:iCs/>
        </w:rPr>
        <w:t>Improved Neutronics Model of the High Flux Isotope Reactor,</w:t>
      </w:r>
      <w:r>
        <w:rPr>
          <w:bCs/>
          <w:iCs/>
        </w:rPr>
        <w:t>”</w:t>
      </w:r>
      <w:r w:rsidRPr="00E409A4">
        <w:rPr>
          <w:bCs/>
          <w:i/>
          <w:iCs/>
        </w:rPr>
        <w:t xml:space="preserve"> </w:t>
      </w:r>
      <w:r w:rsidRPr="00E409A4">
        <w:rPr>
          <w:bCs/>
          <w:iCs/>
        </w:rPr>
        <w:t xml:space="preserve">University of Tennessee, </w:t>
      </w:r>
      <w:r>
        <w:rPr>
          <w:bCs/>
          <w:iCs/>
        </w:rPr>
        <w:t xml:space="preserve">Nuclear Technology, Vol. </w:t>
      </w:r>
      <w:r w:rsidRPr="00E409A4">
        <w:rPr>
          <w:bCs/>
          <w:iCs/>
        </w:rPr>
        <w:t>112</w:t>
      </w:r>
      <w:r>
        <w:rPr>
          <w:bCs/>
          <w:iCs/>
        </w:rPr>
        <w:t>, October</w:t>
      </w:r>
      <w:r w:rsidRPr="00E409A4">
        <w:rPr>
          <w:bCs/>
          <w:iCs/>
        </w:rPr>
        <w:t xml:space="preserve"> 1994.</w:t>
      </w:r>
      <w:bookmarkEnd w:id="444"/>
    </w:p>
    <w:p w:rsidR="00C67546" w:rsidRPr="00E409A4" w:rsidRDefault="00C67546" w:rsidP="0055602F">
      <w:pPr>
        <w:numPr>
          <w:ilvl w:val="0"/>
          <w:numId w:val="35"/>
        </w:numPr>
        <w:spacing w:before="0" w:after="200" w:line="360" w:lineRule="auto"/>
        <w:ind w:left="720" w:hanging="720"/>
      </w:pPr>
      <w:bookmarkStart w:id="445" w:name="_Ref285636853"/>
      <w:r w:rsidRPr="00E409A4">
        <w:rPr>
          <w:bCs/>
          <w:iCs/>
        </w:rPr>
        <w:t xml:space="preserve">S. G. Goluoglu and H. L. Dodds (University of Tennessee) and R. B. </w:t>
      </w:r>
      <w:proofErr w:type="spellStart"/>
      <w:r w:rsidRPr="00E409A4">
        <w:rPr>
          <w:bCs/>
          <w:iCs/>
        </w:rPr>
        <w:t>Rothrock</w:t>
      </w:r>
      <w:proofErr w:type="spellEnd"/>
      <w:r w:rsidRPr="00E409A4">
        <w:rPr>
          <w:bCs/>
          <w:iCs/>
        </w:rPr>
        <w:t xml:space="preserve"> (Oak Ridge National Lab),</w:t>
      </w:r>
      <w:r w:rsidRPr="00E409A4">
        <w:rPr>
          <w:bCs/>
          <w:i/>
          <w:iCs/>
        </w:rPr>
        <w:t xml:space="preserve"> </w:t>
      </w:r>
      <w:r w:rsidRPr="00C20D4A">
        <w:rPr>
          <w:bCs/>
          <w:iCs/>
        </w:rPr>
        <w:t>“Improved Neutronics Calculations of the High-Flux Isotope Reactor</w:t>
      </w:r>
      <w:r>
        <w:rPr>
          <w:bCs/>
          <w:iCs/>
        </w:rPr>
        <w:t>”</w:t>
      </w:r>
      <w:r w:rsidRPr="00E409A4">
        <w:rPr>
          <w:bCs/>
          <w:i/>
          <w:iCs/>
        </w:rPr>
        <w:t xml:space="preserve">, </w:t>
      </w:r>
      <w:r w:rsidRPr="00E409A4">
        <w:rPr>
          <w:bCs/>
          <w:iCs/>
        </w:rPr>
        <w:t>ANS Transaction, Vol</w:t>
      </w:r>
      <w:r>
        <w:rPr>
          <w:bCs/>
          <w:iCs/>
        </w:rPr>
        <w:t>.</w:t>
      </w:r>
      <w:r w:rsidRPr="00E409A4">
        <w:rPr>
          <w:bCs/>
          <w:iCs/>
        </w:rPr>
        <w:t xml:space="preserve"> 70, 1994.</w:t>
      </w:r>
      <w:bookmarkEnd w:id="445"/>
      <w:r w:rsidRPr="00E409A4">
        <w:rPr>
          <w:bCs/>
          <w:iCs/>
        </w:rPr>
        <w:t xml:space="preserve"> </w:t>
      </w:r>
    </w:p>
    <w:p w:rsidR="00C67546" w:rsidRPr="00E409A4" w:rsidRDefault="00C67546" w:rsidP="0055602F">
      <w:pPr>
        <w:numPr>
          <w:ilvl w:val="0"/>
          <w:numId w:val="35"/>
        </w:numPr>
        <w:spacing w:before="0" w:after="200" w:line="360" w:lineRule="auto"/>
        <w:ind w:left="720" w:hanging="720"/>
      </w:pPr>
      <w:bookmarkStart w:id="446" w:name="_Ref285636928"/>
      <w:r w:rsidRPr="00E409A4">
        <w:t xml:space="preserve">X-5 Diagnostics Applications Group, </w:t>
      </w:r>
      <w:r>
        <w:t>“</w:t>
      </w:r>
      <w:r w:rsidRPr="00C20D4A">
        <w:t>Data Libraries for MCNP5</w:t>
      </w:r>
      <w:r w:rsidRPr="00E409A4">
        <w:t>,</w:t>
      </w:r>
      <w:r>
        <w:t>”</w:t>
      </w:r>
      <w:r w:rsidRPr="00E409A4">
        <w:t xml:space="preserve"> CCC-710/MCNP, Los Alamos National Laboratory.</w:t>
      </w:r>
      <w:bookmarkEnd w:id="446"/>
    </w:p>
    <w:p w:rsidR="00C67546" w:rsidRPr="00E409A4" w:rsidRDefault="00C67546" w:rsidP="0055602F">
      <w:pPr>
        <w:numPr>
          <w:ilvl w:val="0"/>
          <w:numId w:val="35"/>
        </w:numPr>
        <w:spacing w:before="0" w:after="200" w:line="360" w:lineRule="auto"/>
        <w:ind w:left="720" w:hanging="720"/>
      </w:pPr>
      <w:bookmarkStart w:id="447" w:name="_Ref285637047"/>
      <w:r w:rsidRPr="00E409A4">
        <w:rPr>
          <w:bCs/>
        </w:rPr>
        <w:t xml:space="preserve">P. B. Fox and D. F. </w:t>
      </w:r>
      <w:proofErr w:type="spellStart"/>
      <w:r w:rsidRPr="00E409A4">
        <w:rPr>
          <w:bCs/>
        </w:rPr>
        <w:t>Hollenbach</w:t>
      </w:r>
      <w:proofErr w:type="spellEnd"/>
      <w:r w:rsidRPr="00E409A4">
        <w:rPr>
          <w:bCs/>
        </w:rPr>
        <w:t xml:space="preserve">, </w:t>
      </w:r>
      <w:r>
        <w:rPr>
          <w:bCs/>
        </w:rPr>
        <w:t>“</w:t>
      </w:r>
      <w:r w:rsidRPr="007A40EC">
        <w:rPr>
          <w:bCs/>
        </w:rPr>
        <w:t>KENO-VI Validation ORNL/TM-2004/60,</w:t>
      </w:r>
      <w:r>
        <w:rPr>
          <w:bCs/>
        </w:rPr>
        <w:t>” Oak Ridge National Laboratory,</w:t>
      </w:r>
      <w:r w:rsidRPr="007A40EC">
        <w:rPr>
          <w:bCs/>
        </w:rPr>
        <w:t xml:space="preserve"> May 200</w:t>
      </w:r>
      <w:r w:rsidRPr="00E409A4">
        <w:rPr>
          <w:bCs/>
        </w:rPr>
        <w:t>5.</w:t>
      </w:r>
      <w:bookmarkEnd w:id="447"/>
    </w:p>
    <w:p w:rsidR="00C67546" w:rsidRPr="007A40EC" w:rsidRDefault="00C67546" w:rsidP="0055602F">
      <w:pPr>
        <w:widowControl w:val="0"/>
        <w:numPr>
          <w:ilvl w:val="0"/>
          <w:numId w:val="35"/>
        </w:numPr>
        <w:spacing w:before="0" w:after="200" w:line="360" w:lineRule="auto"/>
        <w:ind w:left="720" w:hanging="720"/>
      </w:pPr>
      <w:bookmarkStart w:id="448" w:name="_Ref285637078"/>
      <w:r w:rsidRPr="007A40EC">
        <w:t xml:space="preserve">A. E. </w:t>
      </w:r>
      <w:proofErr w:type="spellStart"/>
      <w:r w:rsidRPr="007A40EC">
        <w:t>Richt</w:t>
      </w:r>
      <w:proofErr w:type="spellEnd"/>
      <w:r w:rsidRPr="007A40EC">
        <w:t xml:space="preserve">, R. W. Knight, and G. M. Adamson, Jr., </w:t>
      </w:r>
      <w:r>
        <w:t>“</w:t>
      </w:r>
      <w:proofErr w:type="spellStart"/>
      <w:r w:rsidRPr="007A40EC">
        <w:t>Postirradiation</w:t>
      </w:r>
      <w:proofErr w:type="spellEnd"/>
      <w:r w:rsidRPr="007A40EC">
        <w:t xml:space="preserve"> Examination and Evaluation of the Performance of HFIR Fuel Elements,</w:t>
      </w:r>
      <w:r>
        <w:t>”</w:t>
      </w:r>
      <w:r w:rsidRPr="007A40EC">
        <w:t xml:space="preserve"> ORNL-4714,</w:t>
      </w:r>
      <w:r w:rsidRPr="007A40EC">
        <w:rPr>
          <w:bCs/>
        </w:rPr>
        <w:t xml:space="preserve"> </w:t>
      </w:r>
      <w:r>
        <w:rPr>
          <w:bCs/>
        </w:rPr>
        <w:t>Oak Ridge National Laboratory,</w:t>
      </w:r>
      <w:r w:rsidRPr="007A40EC">
        <w:t xml:space="preserve"> December 1971.</w:t>
      </w:r>
      <w:bookmarkEnd w:id="448"/>
    </w:p>
    <w:p w:rsidR="00C67546" w:rsidRPr="007A40EC" w:rsidRDefault="00C67546" w:rsidP="0055602F">
      <w:pPr>
        <w:widowControl w:val="0"/>
        <w:numPr>
          <w:ilvl w:val="0"/>
          <w:numId w:val="35"/>
        </w:numPr>
        <w:spacing w:before="0" w:after="200" w:line="360" w:lineRule="auto"/>
        <w:ind w:left="720" w:hanging="720"/>
      </w:pPr>
      <w:bookmarkStart w:id="449" w:name="_Ref285637188"/>
      <w:r w:rsidRPr="007A40EC">
        <w:t>JAERI Nuclear Data Center, “Japanese Evaluated Nuclear Data Library,” Version 3, Revision 3, (JENDL-3.3), Japan Atomic Energy Agency.</w:t>
      </w:r>
      <w:bookmarkEnd w:id="449"/>
    </w:p>
    <w:p w:rsidR="00C67546" w:rsidRDefault="00C67546" w:rsidP="0055602F">
      <w:pPr>
        <w:widowControl w:val="0"/>
        <w:numPr>
          <w:ilvl w:val="0"/>
          <w:numId w:val="35"/>
        </w:numPr>
        <w:spacing w:before="0" w:after="200" w:line="360" w:lineRule="auto"/>
        <w:ind w:left="720" w:hanging="720"/>
      </w:pPr>
      <w:bookmarkStart w:id="450" w:name="_Ref285637235"/>
      <w:r w:rsidRPr="007A40EC">
        <w:t xml:space="preserve">R. T. Primm, III, </w:t>
      </w:r>
      <w:proofErr w:type="gramStart"/>
      <w:r w:rsidRPr="007A40EC">
        <w:t>et</w:t>
      </w:r>
      <w:proofErr w:type="gramEnd"/>
      <w:r w:rsidRPr="007A40EC">
        <w:t>. al., Design Study for a Low- Enriched Uranium Core for the High Flux Isotope Reactor, Annual Report for FY 2006, ORNL/TM-2006/136,</w:t>
      </w:r>
      <w:r>
        <w:t xml:space="preserve"> Oak Ridge National Laboratory,</w:t>
      </w:r>
      <w:r w:rsidRPr="007A40EC">
        <w:t xml:space="preserve"> November 2006.</w:t>
      </w:r>
      <w:bookmarkEnd w:id="450"/>
    </w:p>
    <w:p w:rsidR="00C67546" w:rsidRPr="007A40EC" w:rsidRDefault="00C67546" w:rsidP="0055602F">
      <w:pPr>
        <w:widowControl w:val="0"/>
        <w:numPr>
          <w:ilvl w:val="0"/>
          <w:numId w:val="35"/>
        </w:numPr>
        <w:spacing w:before="0" w:after="200" w:line="360" w:lineRule="auto"/>
        <w:ind w:left="720" w:hanging="720"/>
      </w:pPr>
      <w:bookmarkStart w:id="451" w:name="_Ref285637248"/>
      <w:r w:rsidRPr="007A40EC">
        <w:t xml:space="preserve">R. T. Primm, III, </w:t>
      </w:r>
      <w:proofErr w:type="gramStart"/>
      <w:r w:rsidRPr="007A40EC">
        <w:t>et</w:t>
      </w:r>
      <w:proofErr w:type="gramEnd"/>
      <w:r w:rsidRPr="007A40EC">
        <w:t xml:space="preserve">. al., Design Study for a Low Enriched Uranium Core for the High Flux Isotope Reactor, ORNL/TM-2009/87, </w:t>
      </w:r>
      <w:r>
        <w:t xml:space="preserve">Oak Ridge National Laboratory, </w:t>
      </w:r>
      <w:r w:rsidRPr="007A40EC">
        <w:t>March 2009.</w:t>
      </w:r>
      <w:bookmarkEnd w:id="451"/>
    </w:p>
    <w:p w:rsidR="00C67546" w:rsidRPr="007A40EC" w:rsidRDefault="00C67546" w:rsidP="0055602F">
      <w:pPr>
        <w:widowControl w:val="0"/>
        <w:numPr>
          <w:ilvl w:val="0"/>
          <w:numId w:val="35"/>
        </w:numPr>
        <w:spacing w:before="0" w:after="200" w:line="360" w:lineRule="auto"/>
        <w:ind w:left="720" w:hanging="720"/>
      </w:pPr>
      <w:bookmarkStart w:id="452" w:name="_Ref285637294"/>
      <w:r w:rsidRPr="007A40EC">
        <w:rPr>
          <w:bCs/>
        </w:rPr>
        <w:t>R. V. McCord and B. L. Corbett, OPS EOC 13 Package – HFIR Shutdown Work Schedule, June 12, 1967.</w:t>
      </w:r>
      <w:bookmarkEnd w:id="452"/>
    </w:p>
    <w:p w:rsidR="00C67546" w:rsidRPr="007A40EC" w:rsidRDefault="00C67546" w:rsidP="0055602F">
      <w:pPr>
        <w:widowControl w:val="0"/>
        <w:numPr>
          <w:ilvl w:val="0"/>
          <w:numId w:val="35"/>
        </w:numPr>
        <w:spacing w:before="0" w:after="200" w:line="360" w:lineRule="auto"/>
        <w:ind w:left="720" w:hanging="720"/>
      </w:pPr>
      <w:r w:rsidRPr="007A40EC">
        <w:rPr>
          <w:bCs/>
        </w:rPr>
        <w:t>R. V. McCord and B. L. Corbett, OPS EOC 14 Package – HFIR Shutdown Work Schedule, July 5, 1967.</w:t>
      </w:r>
    </w:p>
    <w:p w:rsidR="00C67546" w:rsidRPr="007A40EC" w:rsidRDefault="00C67546" w:rsidP="0055602F">
      <w:pPr>
        <w:widowControl w:val="0"/>
        <w:numPr>
          <w:ilvl w:val="0"/>
          <w:numId w:val="35"/>
        </w:numPr>
        <w:spacing w:before="0" w:after="200" w:line="360" w:lineRule="auto"/>
        <w:ind w:left="720" w:hanging="720"/>
      </w:pPr>
      <w:r w:rsidRPr="007A40EC">
        <w:rPr>
          <w:bCs/>
        </w:rPr>
        <w:t>H. L. Dodds, OPS EOC 15 Package – HFIR Flux Monitor Runs, September 11, 1967.</w:t>
      </w:r>
    </w:p>
    <w:p w:rsidR="00C67546" w:rsidRPr="007A40EC" w:rsidRDefault="00C67546" w:rsidP="0055602F">
      <w:pPr>
        <w:widowControl w:val="0"/>
        <w:numPr>
          <w:ilvl w:val="0"/>
          <w:numId w:val="35"/>
        </w:numPr>
        <w:spacing w:before="0" w:after="200" w:line="360" w:lineRule="auto"/>
        <w:ind w:left="720" w:hanging="720"/>
      </w:pPr>
      <w:bookmarkStart w:id="453" w:name="_Ref285637305"/>
      <w:r w:rsidRPr="007A40EC">
        <w:rPr>
          <w:bCs/>
        </w:rPr>
        <w:lastRenderedPageBreak/>
        <w:t>High Flux Isotope Reactor July, August, and September 1966. Third Quarter 1966.</w:t>
      </w:r>
      <w:bookmarkEnd w:id="453"/>
    </w:p>
    <w:p w:rsidR="00C67546" w:rsidRPr="007A40EC" w:rsidRDefault="00C67546" w:rsidP="0055602F">
      <w:pPr>
        <w:widowControl w:val="0"/>
        <w:numPr>
          <w:ilvl w:val="0"/>
          <w:numId w:val="35"/>
        </w:numPr>
        <w:spacing w:before="0" w:after="200" w:line="360" w:lineRule="auto"/>
        <w:ind w:left="720" w:hanging="720"/>
      </w:pPr>
      <w:r w:rsidRPr="007A40EC">
        <w:t>D. Chandler, R. T. Primm, III, and G. I. Maldonado, Validating MCNP for LEU Fuel Design via Power Distribution Comparisons, ORNL/TM-2008/126, November 2008.</w:t>
      </w:r>
    </w:p>
    <w:p w:rsidR="00C67546" w:rsidRPr="00FB6DBE" w:rsidRDefault="00C67546" w:rsidP="0055602F">
      <w:pPr>
        <w:widowControl w:val="0"/>
        <w:numPr>
          <w:ilvl w:val="0"/>
          <w:numId w:val="35"/>
        </w:numPr>
        <w:spacing w:before="0" w:after="200" w:line="360" w:lineRule="auto"/>
        <w:ind w:left="720" w:hanging="720"/>
      </w:pPr>
      <w:bookmarkStart w:id="454" w:name="_Ref285637617"/>
      <w:r w:rsidRPr="00FB6DBE">
        <w:rPr>
          <w:color w:val="262A2C"/>
        </w:rPr>
        <w:t xml:space="preserve">T. A. </w:t>
      </w:r>
      <w:proofErr w:type="spellStart"/>
      <w:r w:rsidRPr="00FB6DBE">
        <w:rPr>
          <w:color w:val="262A2C"/>
        </w:rPr>
        <w:t>Tomberlin</w:t>
      </w:r>
      <w:proofErr w:type="spellEnd"/>
      <w:r w:rsidRPr="00FB6DBE">
        <w:rPr>
          <w:color w:val="262A2C"/>
        </w:rPr>
        <w:t xml:space="preserve">, </w:t>
      </w:r>
      <w:r>
        <w:rPr>
          <w:color w:val="262A2C"/>
        </w:rPr>
        <w:t>“</w:t>
      </w:r>
      <w:r w:rsidRPr="00FB6DBE">
        <w:rPr>
          <w:color w:val="262A2C"/>
        </w:rPr>
        <w:t>Beryllium – A Unique Material in Nuclear Applications,</w:t>
      </w:r>
      <w:r>
        <w:rPr>
          <w:color w:val="262A2C"/>
        </w:rPr>
        <w:t>”</w:t>
      </w:r>
      <w:r w:rsidRPr="00FB6DBE">
        <w:rPr>
          <w:color w:val="262A2C"/>
        </w:rPr>
        <w:t xml:space="preserve"> Idaho National Engineering and Environmental Laboratory, Idaho Falls, ID.</w:t>
      </w:r>
      <w:bookmarkEnd w:id="454"/>
    </w:p>
    <w:p w:rsidR="00C67546" w:rsidRPr="00FB6DBE" w:rsidRDefault="00C67546" w:rsidP="0055602F">
      <w:pPr>
        <w:widowControl w:val="0"/>
        <w:numPr>
          <w:ilvl w:val="0"/>
          <w:numId w:val="35"/>
        </w:numPr>
        <w:spacing w:before="0" w:after="200" w:line="360" w:lineRule="auto"/>
        <w:ind w:left="720" w:hanging="720"/>
      </w:pPr>
      <w:bookmarkStart w:id="455" w:name="_Ref285637669"/>
      <w:r w:rsidRPr="00FB6DBE">
        <w:t xml:space="preserve">G. R. </w:t>
      </w:r>
      <w:proofErr w:type="spellStart"/>
      <w:r w:rsidRPr="00FB6DBE">
        <w:t>Longhurst</w:t>
      </w:r>
      <w:proofErr w:type="spellEnd"/>
      <w:r w:rsidRPr="00FB6DBE">
        <w:t xml:space="preserve"> and R. D. </w:t>
      </w:r>
      <w:proofErr w:type="spellStart"/>
      <w:r w:rsidRPr="00FB6DBE">
        <w:t>Rohe</w:t>
      </w:r>
      <w:proofErr w:type="spellEnd"/>
      <w:r w:rsidRPr="00FB6DBE">
        <w:t xml:space="preserve">, </w:t>
      </w:r>
      <w:r>
        <w:t>“</w:t>
      </w:r>
      <w:r w:rsidRPr="00FB6DBE">
        <w:t>Beryllium Use in the Advanced Test Reactor, 8</w:t>
      </w:r>
      <w:r w:rsidRPr="00FB6DBE">
        <w:rPr>
          <w:vertAlign w:val="superscript"/>
        </w:rPr>
        <w:t>th</w:t>
      </w:r>
      <w:r w:rsidRPr="00FB6DBE">
        <w:t xml:space="preserve"> IEA International Workshop on Beryllium Technology,</w:t>
      </w:r>
      <w:r>
        <w:t>”</w:t>
      </w:r>
      <w:r w:rsidRPr="00FB6DBE">
        <w:t xml:space="preserve"> December 2007.</w:t>
      </w:r>
      <w:bookmarkEnd w:id="455"/>
    </w:p>
    <w:p w:rsidR="00C67546" w:rsidRPr="00FB6DBE" w:rsidRDefault="00C67546" w:rsidP="0055602F">
      <w:pPr>
        <w:widowControl w:val="0"/>
        <w:numPr>
          <w:ilvl w:val="0"/>
          <w:numId w:val="35"/>
        </w:numPr>
        <w:spacing w:before="0" w:after="200" w:line="360" w:lineRule="auto"/>
        <w:ind w:left="720" w:hanging="720"/>
      </w:pPr>
      <w:bookmarkStart w:id="456" w:name="_Ref285637677"/>
      <w:r w:rsidRPr="00FB6DBE">
        <w:t xml:space="preserve">R. T. Primm, III, </w:t>
      </w:r>
      <w:r>
        <w:t>“</w:t>
      </w:r>
      <w:r w:rsidRPr="00FB6DBE">
        <w:t>Estimated Symmetrical Critical Control Element Position (ESCCEP) for Cycle 408,</w:t>
      </w:r>
      <w:r>
        <w:t>”</w:t>
      </w:r>
      <w:r w:rsidRPr="00FB6DBE">
        <w:t xml:space="preserve"> C-HFIR-2007-035, May 2007, internal, archived publication at the Oak Ridge National Laboratory, contact Division Director, Research Reactors Division for distribution.</w:t>
      </w:r>
      <w:bookmarkEnd w:id="456"/>
    </w:p>
    <w:p w:rsidR="00C67546" w:rsidRPr="00FB6DBE" w:rsidRDefault="00C67546" w:rsidP="0055602F">
      <w:pPr>
        <w:widowControl w:val="0"/>
        <w:numPr>
          <w:ilvl w:val="0"/>
          <w:numId w:val="35"/>
        </w:numPr>
        <w:spacing w:before="0" w:after="200" w:line="360" w:lineRule="auto"/>
        <w:ind w:left="720" w:hanging="720"/>
      </w:pPr>
      <w:bookmarkStart w:id="457" w:name="_Ref285637689"/>
      <w:r w:rsidRPr="00FB6DBE">
        <w:rPr>
          <w:color w:val="262A2C"/>
        </w:rPr>
        <w:t xml:space="preserve">K. J. </w:t>
      </w:r>
      <w:proofErr w:type="spellStart"/>
      <w:r w:rsidRPr="00FB6DBE">
        <w:rPr>
          <w:color w:val="262A2C"/>
        </w:rPr>
        <w:t>Andrzejewski</w:t>
      </w:r>
      <w:proofErr w:type="spellEnd"/>
      <w:r w:rsidRPr="00FB6DBE">
        <w:rPr>
          <w:color w:val="262A2C"/>
        </w:rPr>
        <w:t xml:space="preserve"> and T. A. </w:t>
      </w:r>
      <w:proofErr w:type="spellStart"/>
      <w:r w:rsidRPr="00FB6DBE">
        <w:rPr>
          <w:color w:val="262A2C"/>
        </w:rPr>
        <w:t>Kulikowska</w:t>
      </w:r>
      <w:proofErr w:type="spellEnd"/>
      <w:r w:rsidRPr="00FB6DBE">
        <w:rPr>
          <w:color w:val="262A2C"/>
        </w:rPr>
        <w:t xml:space="preserve">, </w:t>
      </w:r>
      <w:r>
        <w:rPr>
          <w:color w:val="262A2C"/>
        </w:rPr>
        <w:t>“</w:t>
      </w:r>
      <w:r w:rsidRPr="00FB6DBE">
        <w:rPr>
          <w:color w:val="262A2C"/>
        </w:rPr>
        <w:t>Isotopic Transmutations in Irradiated Beryllium and Their Implications on Maria Reactor Operation,</w:t>
      </w:r>
      <w:r>
        <w:rPr>
          <w:color w:val="262A2C"/>
        </w:rPr>
        <w:t>”</w:t>
      </w:r>
      <w:r w:rsidRPr="00FB6DBE">
        <w:rPr>
          <w:color w:val="262A2C"/>
        </w:rPr>
        <w:t xml:space="preserve"> Institute of Atomic Energy, Poland, Nuclear Technology, Vol. 146, April 2004.</w:t>
      </w:r>
      <w:bookmarkEnd w:id="457"/>
    </w:p>
    <w:p w:rsidR="00C67546" w:rsidRPr="00FB6DBE" w:rsidRDefault="00C67546" w:rsidP="0055602F">
      <w:pPr>
        <w:widowControl w:val="0"/>
        <w:numPr>
          <w:ilvl w:val="0"/>
          <w:numId w:val="35"/>
        </w:numPr>
        <w:spacing w:before="0" w:after="200" w:line="360" w:lineRule="auto"/>
        <w:ind w:left="720" w:hanging="720"/>
      </w:pPr>
      <w:bookmarkStart w:id="458" w:name="_Ref285637698"/>
      <w:r w:rsidRPr="00FB6DBE">
        <w:rPr>
          <w:color w:val="262A2C"/>
        </w:rPr>
        <w:t xml:space="preserve">S. </w:t>
      </w:r>
      <w:proofErr w:type="spellStart"/>
      <w:r w:rsidRPr="00FB6DBE">
        <w:rPr>
          <w:color w:val="262A2C"/>
        </w:rPr>
        <w:t>Kalcheva</w:t>
      </w:r>
      <w:proofErr w:type="spellEnd"/>
      <w:r w:rsidRPr="00FB6DBE">
        <w:rPr>
          <w:color w:val="262A2C"/>
        </w:rPr>
        <w:t xml:space="preserve">, E. </w:t>
      </w:r>
      <w:proofErr w:type="spellStart"/>
      <w:r w:rsidRPr="00FB6DBE">
        <w:rPr>
          <w:color w:val="262A2C"/>
        </w:rPr>
        <w:t>Koonen</w:t>
      </w:r>
      <w:proofErr w:type="spellEnd"/>
      <w:r w:rsidRPr="00FB6DBE">
        <w:rPr>
          <w:color w:val="262A2C"/>
        </w:rPr>
        <w:t xml:space="preserve">, and B. </w:t>
      </w:r>
      <w:proofErr w:type="spellStart"/>
      <w:r w:rsidRPr="00FB6DBE">
        <w:rPr>
          <w:color w:val="262A2C"/>
        </w:rPr>
        <w:t>Ponsard</w:t>
      </w:r>
      <w:proofErr w:type="spellEnd"/>
      <w:r w:rsidRPr="00FB6DBE">
        <w:rPr>
          <w:color w:val="262A2C"/>
        </w:rPr>
        <w:t xml:space="preserve">, </w:t>
      </w:r>
      <w:r>
        <w:rPr>
          <w:color w:val="262A2C"/>
        </w:rPr>
        <w:t>“</w:t>
      </w:r>
      <w:r w:rsidRPr="00FB6DBE">
        <w:rPr>
          <w:color w:val="262A2C"/>
        </w:rPr>
        <w:t xml:space="preserve">Validation of MCNP &amp; ORIGEN-S 3-D Computational Model for Reactivity Predictions </w:t>
      </w:r>
      <w:proofErr w:type="gramStart"/>
      <w:r w:rsidRPr="00FB6DBE">
        <w:rPr>
          <w:color w:val="262A2C"/>
        </w:rPr>
        <w:t>During</w:t>
      </w:r>
      <w:proofErr w:type="gramEnd"/>
      <w:r w:rsidRPr="00FB6DBE">
        <w:rPr>
          <w:color w:val="262A2C"/>
        </w:rPr>
        <w:t xml:space="preserve"> BR2 Operation,</w:t>
      </w:r>
      <w:r>
        <w:rPr>
          <w:color w:val="262A2C"/>
        </w:rPr>
        <w:t>”</w:t>
      </w:r>
      <w:r w:rsidRPr="00FB6DBE">
        <w:rPr>
          <w:color w:val="262A2C"/>
        </w:rPr>
        <w:t xml:space="preserve"> BR2 Division, SCK-CEN, Belgium.</w:t>
      </w:r>
      <w:bookmarkEnd w:id="458"/>
    </w:p>
    <w:p w:rsidR="00C67546" w:rsidRPr="00FB6DBE" w:rsidRDefault="00C67546" w:rsidP="0055602F">
      <w:pPr>
        <w:widowControl w:val="0"/>
        <w:numPr>
          <w:ilvl w:val="0"/>
          <w:numId w:val="35"/>
        </w:numPr>
        <w:spacing w:before="0" w:after="200" w:line="360" w:lineRule="auto"/>
        <w:ind w:left="720" w:hanging="720"/>
      </w:pPr>
      <w:bookmarkStart w:id="459" w:name="_Ref285637725"/>
      <w:r>
        <w:t>“</w:t>
      </w:r>
      <w:r w:rsidRPr="00FB6DBE">
        <w:t>Radioactive Waste Management,</w:t>
      </w:r>
      <w:r>
        <w:t>”</w:t>
      </w:r>
      <w:r w:rsidRPr="00FB6DBE">
        <w:t xml:space="preserve"> Change 1,</w:t>
      </w:r>
      <w:r w:rsidRPr="009E15FE">
        <w:t xml:space="preserve"> </w:t>
      </w:r>
      <w:r w:rsidRPr="00FB6DBE">
        <w:t>DOE O 435.1 U. S. Department of Energy, August 2001.</w:t>
      </w:r>
      <w:bookmarkEnd w:id="459"/>
    </w:p>
    <w:p w:rsidR="00C67546" w:rsidRPr="00FB6DBE" w:rsidRDefault="00C67546" w:rsidP="0055602F">
      <w:pPr>
        <w:widowControl w:val="0"/>
        <w:numPr>
          <w:ilvl w:val="0"/>
          <w:numId w:val="35"/>
        </w:numPr>
        <w:spacing w:before="0" w:after="200" w:line="360" w:lineRule="auto"/>
        <w:ind w:left="720" w:hanging="720"/>
      </w:pPr>
      <w:r w:rsidRPr="00FB6DBE">
        <w:t xml:space="preserve"> </w:t>
      </w:r>
      <w:bookmarkStart w:id="460" w:name="_Ref285637730"/>
      <w:r>
        <w:t>“</w:t>
      </w:r>
      <w:r w:rsidRPr="00FB6DBE">
        <w:t>Radioactive Waste Management Manual,</w:t>
      </w:r>
      <w:r>
        <w:t>”</w:t>
      </w:r>
      <w:r w:rsidRPr="00FB6DBE">
        <w:t xml:space="preserve"> DOE M 435.1-1, U. S. Department of Energy, July 1999.</w:t>
      </w:r>
      <w:bookmarkEnd w:id="460"/>
    </w:p>
    <w:p w:rsidR="00C67546" w:rsidRPr="00FB6DBE" w:rsidRDefault="00C67546" w:rsidP="0055602F">
      <w:pPr>
        <w:widowControl w:val="0"/>
        <w:numPr>
          <w:ilvl w:val="0"/>
          <w:numId w:val="35"/>
        </w:numPr>
        <w:spacing w:before="0" w:after="200" w:line="360" w:lineRule="auto"/>
        <w:ind w:left="720" w:hanging="720"/>
      </w:pPr>
      <w:bookmarkStart w:id="461" w:name="_Ref285637751"/>
      <w:r w:rsidRPr="00FB6DBE">
        <w:t xml:space="preserve">W. Hill, </w:t>
      </w:r>
      <w:r>
        <w:t>“</w:t>
      </w:r>
      <w:r w:rsidRPr="00FB6DBE">
        <w:t>Characterization of Permanent Beryllium Reflector Number 3,</w:t>
      </w:r>
      <w:r>
        <w:t>”</w:t>
      </w:r>
      <w:r w:rsidRPr="00FB6DBE">
        <w:t xml:space="preserve"> C-HFIR-2000-071, February 2001, internal, archived publication at the Oak Ridge National Laboratory, </w:t>
      </w:r>
      <w:proofErr w:type="gramStart"/>
      <w:r w:rsidRPr="00FB6DBE">
        <w:t>contact</w:t>
      </w:r>
      <w:proofErr w:type="gramEnd"/>
      <w:r w:rsidRPr="00FB6DBE">
        <w:t xml:space="preserve"> Division Director, Research Reactors Division for distribution.</w:t>
      </w:r>
      <w:bookmarkEnd w:id="461"/>
    </w:p>
    <w:p w:rsidR="00C67546" w:rsidRPr="00FB6DBE" w:rsidRDefault="00C67546" w:rsidP="0055602F">
      <w:pPr>
        <w:widowControl w:val="0"/>
        <w:numPr>
          <w:ilvl w:val="0"/>
          <w:numId w:val="35"/>
        </w:numPr>
        <w:spacing w:before="0" w:after="200" w:line="360" w:lineRule="auto"/>
        <w:ind w:left="720" w:hanging="720"/>
      </w:pPr>
      <w:bookmarkStart w:id="462" w:name="_Ref285637758"/>
      <w:r>
        <w:t>“</w:t>
      </w:r>
      <w:r w:rsidRPr="00FB6DBE">
        <w:t>Nevada Test Site Waste Acceptance Criteria,</w:t>
      </w:r>
      <w:r>
        <w:t>”</w:t>
      </w:r>
      <w:r w:rsidRPr="00FB6DBE">
        <w:t xml:space="preserve"> DOE/NV-325-Rev. 7-01, U.S. DOE, NNSA, Nevada Site Office, Waste Management Project, May 2009.</w:t>
      </w:r>
      <w:bookmarkEnd w:id="462"/>
    </w:p>
    <w:p w:rsidR="00C67546" w:rsidRPr="00FB6DBE" w:rsidRDefault="00C67546" w:rsidP="0055602F">
      <w:pPr>
        <w:widowControl w:val="0"/>
        <w:numPr>
          <w:ilvl w:val="0"/>
          <w:numId w:val="35"/>
        </w:numPr>
        <w:spacing w:before="0" w:after="200" w:line="360" w:lineRule="auto"/>
        <w:ind w:left="720" w:hanging="720"/>
      </w:pPr>
      <w:bookmarkStart w:id="463" w:name="_Ref285637768"/>
      <w:r>
        <w:t>“</w:t>
      </w:r>
      <w:r w:rsidRPr="00FB6DBE">
        <w:t>Hazard Categorization and Accident Analysis Techniques for Compliance with DOE Order 5480.23, Nuclear Safety Analysis Reports,</w:t>
      </w:r>
      <w:r>
        <w:t>”</w:t>
      </w:r>
      <w:r w:rsidRPr="00FB6DBE">
        <w:t xml:space="preserve"> Change 1, DOE-STD-1027-92</w:t>
      </w:r>
      <w:r>
        <w:t xml:space="preserve">, </w:t>
      </w:r>
      <w:r w:rsidRPr="00FB6DBE">
        <w:t xml:space="preserve">U.S. Department of Energy, </w:t>
      </w:r>
      <w:proofErr w:type="gramStart"/>
      <w:r w:rsidRPr="00FB6DBE">
        <w:t>September</w:t>
      </w:r>
      <w:proofErr w:type="gramEnd"/>
      <w:r w:rsidRPr="00FB6DBE">
        <w:t xml:space="preserve"> 1997.</w:t>
      </w:r>
      <w:bookmarkEnd w:id="463"/>
    </w:p>
    <w:p w:rsidR="00C67546" w:rsidRPr="00FB6DBE" w:rsidRDefault="00C67546" w:rsidP="0055602F">
      <w:pPr>
        <w:widowControl w:val="0"/>
        <w:numPr>
          <w:ilvl w:val="0"/>
          <w:numId w:val="35"/>
        </w:numPr>
        <w:spacing w:before="0" w:after="200" w:line="360" w:lineRule="auto"/>
        <w:ind w:left="720" w:hanging="720"/>
      </w:pPr>
      <w:bookmarkStart w:id="464" w:name="_Ref285637913"/>
      <w:r>
        <w:lastRenderedPageBreak/>
        <w:t>“</w:t>
      </w:r>
      <w:r w:rsidRPr="00FB6DBE">
        <w:t>Quality Assurance Audit Checklist and Certificate for Use: Procurement and Machining of HFIR Permanent Be Reflector No. 3,</w:t>
      </w:r>
      <w:r>
        <w:t xml:space="preserve">” </w:t>
      </w:r>
      <w:r w:rsidRPr="00FB6DBE">
        <w:t>OP-RO-JN-5-1-56</w:t>
      </w:r>
      <w:r>
        <w:t>,</w:t>
      </w:r>
      <w:r w:rsidRPr="00FB6DBE">
        <w:t xml:space="preserve"> January 1983.</w:t>
      </w:r>
      <w:bookmarkEnd w:id="464"/>
    </w:p>
    <w:p w:rsidR="00C67546" w:rsidRPr="00FB6DBE" w:rsidRDefault="00C67546" w:rsidP="0055602F">
      <w:pPr>
        <w:pStyle w:val="ListParagraph"/>
        <w:numPr>
          <w:ilvl w:val="0"/>
          <w:numId w:val="35"/>
        </w:numPr>
        <w:autoSpaceDE w:val="0"/>
        <w:autoSpaceDN w:val="0"/>
        <w:adjustRightInd w:val="0"/>
        <w:spacing w:before="0" w:after="200" w:line="360" w:lineRule="auto"/>
        <w:ind w:left="720" w:hanging="720"/>
        <w:contextualSpacing w:val="0"/>
        <w:rPr>
          <w:rFonts w:ascii="Times New Roman" w:hAnsi="Times New Roman"/>
        </w:rPr>
      </w:pPr>
      <w:bookmarkStart w:id="465" w:name="_Ref285637961"/>
      <w:r w:rsidRPr="00FB6DBE">
        <w:rPr>
          <w:rFonts w:ascii="Times New Roman" w:hAnsi="Times New Roman"/>
        </w:rPr>
        <w:t xml:space="preserve">HFIR Shutdown Work Schedule – End of Cycle 287, EOC 287, November 1986, internal, archived publication at the Oak Ridge National </w:t>
      </w:r>
      <w:proofErr w:type="gramStart"/>
      <w:r w:rsidRPr="00FB6DBE">
        <w:rPr>
          <w:rFonts w:ascii="Times New Roman" w:hAnsi="Times New Roman"/>
        </w:rPr>
        <w:t>Laboratory,</w:t>
      </w:r>
      <w:proofErr w:type="gramEnd"/>
      <w:r w:rsidRPr="00FB6DBE">
        <w:rPr>
          <w:rFonts w:ascii="Times New Roman" w:hAnsi="Times New Roman"/>
        </w:rPr>
        <w:t xml:space="preserve"> contact Division Director, Research Reactors Division for distribution.</w:t>
      </w:r>
      <w:bookmarkEnd w:id="465"/>
    </w:p>
    <w:p w:rsidR="00C67546" w:rsidRPr="00FB6DBE" w:rsidRDefault="00C67546" w:rsidP="0055602F">
      <w:pPr>
        <w:widowControl w:val="0"/>
        <w:numPr>
          <w:ilvl w:val="0"/>
          <w:numId w:val="35"/>
        </w:numPr>
        <w:spacing w:before="0" w:after="200" w:line="360" w:lineRule="auto"/>
        <w:ind w:left="720" w:hanging="720"/>
      </w:pPr>
      <w:bookmarkStart w:id="466" w:name="_Ref285638032"/>
      <w:r w:rsidRPr="00FB6DBE">
        <w:t xml:space="preserve">C. O. Slater, Activation of HFIR HB4 Aluminum Common Casing #1 and Possible Effects on the Dose to Teflon in the Hydrogen Transfer Line </w:t>
      </w:r>
      <w:proofErr w:type="gramStart"/>
      <w:r w:rsidRPr="00FB6DBE">
        <w:t>From</w:t>
      </w:r>
      <w:proofErr w:type="gramEnd"/>
      <w:r w:rsidRPr="00FB6DBE">
        <w:t xml:space="preserve"> Alternate Specifications for Aluminum, C-HFIR-2007-029, May 2007, internal, archived publication at the Oak Ridge National Laboratory, contact Division Director, Research Reactors Division for distribution.</w:t>
      </w:r>
      <w:bookmarkEnd w:id="466"/>
    </w:p>
    <w:p w:rsidR="00C67546" w:rsidRPr="00FB6DBE" w:rsidRDefault="00C67546" w:rsidP="0055602F">
      <w:pPr>
        <w:widowControl w:val="0"/>
        <w:numPr>
          <w:ilvl w:val="0"/>
          <w:numId w:val="35"/>
        </w:numPr>
        <w:spacing w:before="0" w:after="200" w:line="360" w:lineRule="auto"/>
        <w:ind w:left="720" w:hanging="720"/>
      </w:pPr>
      <w:bookmarkStart w:id="467" w:name="_Ref285638134"/>
      <w:r>
        <w:t>“</w:t>
      </w:r>
      <w:r w:rsidRPr="00FB6DBE">
        <w:t>Transuranic Waste Acceptance Criteria for the Waste Isolation Pilot Plant,</w:t>
      </w:r>
      <w:r>
        <w:t>”</w:t>
      </w:r>
      <w:r w:rsidRPr="00FB6DBE">
        <w:t xml:space="preserve"> Rev. 6.5,</w:t>
      </w:r>
      <w:r>
        <w:t xml:space="preserve"> </w:t>
      </w:r>
      <w:r w:rsidRPr="00FB6DBE">
        <w:t>DOE/WIPP-02-3122</w:t>
      </w:r>
      <w:r>
        <w:t>,</w:t>
      </w:r>
      <w:r w:rsidRPr="00FB6DBE">
        <w:t xml:space="preserve"> U. S. Department of Energy, June 2010.</w:t>
      </w:r>
      <w:bookmarkEnd w:id="467"/>
    </w:p>
    <w:p w:rsidR="00C67546" w:rsidRPr="00410606" w:rsidRDefault="00C67546" w:rsidP="0055602F">
      <w:pPr>
        <w:widowControl w:val="0"/>
        <w:numPr>
          <w:ilvl w:val="0"/>
          <w:numId w:val="35"/>
        </w:numPr>
        <w:spacing w:before="0" w:after="200" w:line="360" w:lineRule="auto"/>
        <w:ind w:left="720" w:hanging="720"/>
      </w:pPr>
      <w:bookmarkStart w:id="468" w:name="_Ref285638144"/>
      <w:r>
        <w:t>“</w:t>
      </w:r>
      <w:r w:rsidRPr="00FB6DBE">
        <w:t xml:space="preserve">Licensing Requirements for Land Disposal of Radioactive Waste: Waste Classification, Code of </w:t>
      </w:r>
      <w:r w:rsidRPr="00410606">
        <w:t>Federal Regulations,” 10 CFR 61.55, U. S. Department of Energy, January 2005.</w:t>
      </w:r>
      <w:bookmarkEnd w:id="468"/>
    </w:p>
    <w:p w:rsidR="00C67546" w:rsidRPr="00410606" w:rsidRDefault="00C67546" w:rsidP="0055602F">
      <w:pPr>
        <w:pStyle w:val="References"/>
        <w:numPr>
          <w:ilvl w:val="0"/>
          <w:numId w:val="35"/>
        </w:numPr>
        <w:spacing w:after="200" w:line="360" w:lineRule="auto"/>
        <w:ind w:left="720" w:hanging="720"/>
        <w:jc w:val="both"/>
        <w:rPr>
          <w:sz w:val="22"/>
          <w:szCs w:val="22"/>
        </w:rPr>
      </w:pPr>
      <w:bookmarkStart w:id="469" w:name="_Ref285638180"/>
      <w:r w:rsidRPr="005D6839">
        <w:rPr>
          <w:sz w:val="22"/>
          <w:szCs w:val="22"/>
        </w:rPr>
        <w:t>P</w:t>
      </w:r>
      <w:r w:rsidRPr="00410606">
        <w:rPr>
          <w:sz w:val="22"/>
          <w:szCs w:val="22"/>
        </w:rPr>
        <w:t xml:space="preserve">ersonal communication from C. W. Alexander, Oak Ridge National Laboratory, </w:t>
      </w:r>
      <w:r>
        <w:rPr>
          <w:sz w:val="22"/>
          <w:szCs w:val="22"/>
        </w:rPr>
        <w:t>July 20</w:t>
      </w:r>
      <w:r w:rsidRPr="00410606">
        <w:rPr>
          <w:sz w:val="22"/>
          <w:szCs w:val="22"/>
        </w:rPr>
        <w:t>, 2009.</w:t>
      </w:r>
      <w:bookmarkEnd w:id="469"/>
    </w:p>
    <w:p w:rsidR="00C67546" w:rsidRPr="00410606" w:rsidRDefault="00C67546" w:rsidP="0055602F">
      <w:pPr>
        <w:pStyle w:val="ListParagraph"/>
        <w:widowControl w:val="0"/>
        <w:numPr>
          <w:ilvl w:val="0"/>
          <w:numId w:val="35"/>
        </w:numPr>
        <w:spacing w:before="0" w:after="200" w:line="360" w:lineRule="auto"/>
        <w:ind w:left="720" w:hanging="720"/>
        <w:contextualSpacing w:val="0"/>
      </w:pPr>
      <w:bookmarkStart w:id="470" w:name="_Ref285638188"/>
      <w:r w:rsidRPr="00410606">
        <w:t xml:space="preserve">R. D. TAYLOR, “REDC-TRU73 </w:t>
      </w:r>
      <w:proofErr w:type="spellStart"/>
      <w:r w:rsidRPr="00410606">
        <w:t>Transuranium</w:t>
      </w:r>
      <w:proofErr w:type="spellEnd"/>
      <w:r w:rsidRPr="00410606">
        <w:t xml:space="preserve"> Targets S28, S30, S31, S32, S33, and S34,” 0059195 REDC-DCN, Oak Ridge National Laboratory, (2007).</w:t>
      </w:r>
      <w:bookmarkEnd w:id="470"/>
    </w:p>
    <w:p w:rsidR="00C67546" w:rsidRPr="00CE11ED" w:rsidRDefault="00C67546" w:rsidP="0055602F">
      <w:pPr>
        <w:pStyle w:val="ListParagraph"/>
        <w:widowControl w:val="0"/>
        <w:numPr>
          <w:ilvl w:val="0"/>
          <w:numId w:val="35"/>
        </w:numPr>
        <w:spacing w:before="0" w:after="200" w:line="360" w:lineRule="auto"/>
        <w:ind w:left="720" w:hanging="720"/>
        <w:contextualSpacing w:val="0"/>
      </w:pPr>
      <w:bookmarkStart w:id="471" w:name="_Ref285638195"/>
      <w:r w:rsidRPr="00410606">
        <w:t xml:space="preserve">R. D. TAYLOR, “REDC-TRU73 </w:t>
      </w:r>
      <w:proofErr w:type="spellStart"/>
      <w:r w:rsidRPr="00410606">
        <w:t>Transuranium</w:t>
      </w:r>
      <w:proofErr w:type="spellEnd"/>
      <w:r w:rsidRPr="00410606">
        <w:t xml:space="preserve"> Target S27,” </w:t>
      </w:r>
      <w:proofErr w:type="gramStart"/>
      <w:r w:rsidRPr="00410606">
        <w:t>0059112 REDC-DCN,</w:t>
      </w:r>
      <w:proofErr w:type="gramEnd"/>
      <w:r w:rsidRPr="00410606">
        <w:t xml:space="preserve"> Oak Ridge </w:t>
      </w:r>
      <w:r w:rsidRPr="00CE11ED">
        <w:t>National Laboratory, (2005).</w:t>
      </w:r>
      <w:bookmarkEnd w:id="471"/>
    </w:p>
    <w:p w:rsidR="00C67546" w:rsidRPr="00CE11ED" w:rsidRDefault="00C67546" w:rsidP="0055602F">
      <w:pPr>
        <w:pStyle w:val="ListParagraph"/>
        <w:numPr>
          <w:ilvl w:val="0"/>
          <w:numId w:val="35"/>
        </w:numPr>
        <w:spacing w:before="0" w:after="200" w:line="360" w:lineRule="auto"/>
        <w:ind w:left="720" w:hanging="720"/>
        <w:contextualSpacing w:val="0"/>
      </w:pPr>
      <w:bookmarkStart w:id="472" w:name="_Ref285638283"/>
      <w:r>
        <w:t xml:space="preserve">R. W. Hobbs and B. F. </w:t>
      </w:r>
      <w:proofErr w:type="spellStart"/>
      <w:r>
        <w:t>Siefken</w:t>
      </w:r>
      <w:proofErr w:type="spellEnd"/>
      <w:r>
        <w:t>, “High Flux Isotope Reactor (HFIR) Rabbit Ejection Tests,” ORNL/HFIR/SBS/2010-01/R0, Oak Ridge National Laboratory, January 2011.</w:t>
      </w:r>
      <w:bookmarkEnd w:id="472"/>
      <w:r w:rsidRPr="00CE11ED">
        <w:t xml:space="preserve"> </w:t>
      </w:r>
    </w:p>
    <w:p w:rsidR="00C67546" w:rsidRPr="00CE11ED" w:rsidRDefault="00C67546" w:rsidP="0055602F">
      <w:pPr>
        <w:pStyle w:val="ListParagraph"/>
        <w:numPr>
          <w:ilvl w:val="0"/>
          <w:numId w:val="35"/>
        </w:numPr>
        <w:spacing w:before="0" w:after="200" w:line="360" w:lineRule="auto"/>
        <w:ind w:left="720" w:hanging="720"/>
        <w:contextualSpacing w:val="0"/>
      </w:pPr>
      <w:bookmarkStart w:id="473" w:name="_Ref285638292"/>
      <w:r>
        <w:t xml:space="preserve">R. J. Ellis, “Heat Generation and Neutronics Calculations in Support of Black Rabbit Experiments in HFIR,” C-HFIR-2010-011, December 2010, </w:t>
      </w:r>
      <w:r w:rsidRPr="00FB6DBE">
        <w:t>internal, archived publication at the Oak Ridge National Laboratory, contact Division Director, Research Reactors Division for distribution.</w:t>
      </w:r>
      <w:bookmarkEnd w:id="473"/>
    </w:p>
    <w:p w:rsidR="00C67546" w:rsidRPr="00F7644E" w:rsidRDefault="00C67546" w:rsidP="0055602F">
      <w:pPr>
        <w:pStyle w:val="ListParagraph"/>
        <w:numPr>
          <w:ilvl w:val="0"/>
          <w:numId w:val="35"/>
        </w:numPr>
        <w:spacing w:before="0" w:after="200" w:line="360" w:lineRule="auto"/>
        <w:ind w:left="720" w:hanging="720"/>
        <w:contextualSpacing w:val="0"/>
      </w:pPr>
      <w:bookmarkStart w:id="474" w:name="_Ref285638299"/>
      <w:r w:rsidRPr="00835CEE">
        <w:rPr>
          <w:bCs/>
        </w:rPr>
        <w:t>T. M. Sims, “Results of Preliminary Reactivity Experiments – HFIR Hydraulic Tube,”</w:t>
      </w:r>
      <w:r>
        <w:rPr>
          <w:bCs/>
        </w:rPr>
        <w:t xml:space="preserve"> Oak Ridge National Laboratory, </w:t>
      </w:r>
      <w:r w:rsidRPr="00835CEE">
        <w:rPr>
          <w:bCs/>
        </w:rPr>
        <w:t>(1967), contained as an appendix in C. O. Slater and R. T. Primm, III, “</w:t>
      </w:r>
      <w:r w:rsidRPr="00835CEE">
        <w:rPr>
          <w:color w:val="000000"/>
        </w:rPr>
        <w:t>Calculation of Rabbit and Simulator Worth in the HFIR Hydraulic Tube and Comparison with Measured Values,</w:t>
      </w:r>
      <w:r>
        <w:rPr>
          <w:color w:val="000000"/>
        </w:rPr>
        <w:t>”</w:t>
      </w:r>
      <w:r w:rsidRPr="00835CEE">
        <w:rPr>
          <w:color w:val="000000"/>
        </w:rPr>
        <w:t xml:space="preserve"> ORNL/TM-2005/94</w:t>
      </w:r>
      <w:r>
        <w:rPr>
          <w:color w:val="000000"/>
        </w:rPr>
        <w:t>, Oak Ridge National Laboratory,</w:t>
      </w:r>
      <w:r w:rsidRPr="00835CEE">
        <w:rPr>
          <w:color w:val="000000"/>
        </w:rPr>
        <w:t xml:space="preserve"> </w:t>
      </w:r>
      <w:r>
        <w:rPr>
          <w:color w:val="000000"/>
        </w:rPr>
        <w:t>(</w:t>
      </w:r>
      <w:r w:rsidRPr="00835CEE">
        <w:rPr>
          <w:color w:val="000000"/>
        </w:rPr>
        <w:t>2005</w:t>
      </w:r>
      <w:r>
        <w:rPr>
          <w:color w:val="000000"/>
        </w:rPr>
        <w:t>)</w:t>
      </w:r>
      <w:r w:rsidRPr="00835CEE">
        <w:rPr>
          <w:color w:val="000000"/>
        </w:rPr>
        <w:t>.</w:t>
      </w:r>
      <w:bookmarkEnd w:id="474"/>
    </w:p>
    <w:p w:rsidR="00C67546" w:rsidRPr="00F7644E" w:rsidRDefault="00C67546" w:rsidP="0055602F">
      <w:pPr>
        <w:pStyle w:val="ListParagraph"/>
        <w:numPr>
          <w:ilvl w:val="0"/>
          <w:numId w:val="35"/>
        </w:numPr>
        <w:spacing w:before="0" w:after="200" w:line="360" w:lineRule="auto"/>
        <w:ind w:left="720" w:hanging="720"/>
        <w:contextualSpacing w:val="0"/>
        <w:rPr>
          <w:rFonts w:cstheme="minorHAnsi"/>
        </w:rPr>
      </w:pPr>
      <w:bookmarkStart w:id="475" w:name="_Ref285638388"/>
      <w:r w:rsidRPr="00F7644E">
        <w:rPr>
          <w:rFonts w:cstheme="minorHAnsi"/>
        </w:rPr>
        <w:lastRenderedPageBreak/>
        <w:t xml:space="preserve">W. M. Stacey, </w:t>
      </w:r>
      <w:r>
        <w:rPr>
          <w:rFonts w:cstheme="minorHAnsi"/>
        </w:rPr>
        <w:t>“</w:t>
      </w:r>
      <w:r w:rsidRPr="00F7644E">
        <w:rPr>
          <w:rFonts w:cstheme="minorHAnsi"/>
        </w:rPr>
        <w:t>Nuclear Reactor Physics,</w:t>
      </w:r>
      <w:r>
        <w:rPr>
          <w:rFonts w:cstheme="minorHAnsi"/>
        </w:rPr>
        <w:t>”</w:t>
      </w:r>
      <w:r w:rsidRPr="00F7644E">
        <w:rPr>
          <w:rFonts w:cstheme="minorHAnsi"/>
        </w:rPr>
        <w:t xml:space="preserve"> John Wiley and Sons, Inc, New York, 2001.</w:t>
      </w:r>
      <w:bookmarkEnd w:id="475"/>
    </w:p>
    <w:p w:rsidR="00C67546" w:rsidRPr="00F7644E" w:rsidRDefault="00C67546" w:rsidP="0055602F">
      <w:pPr>
        <w:pStyle w:val="ListParagraph"/>
        <w:numPr>
          <w:ilvl w:val="0"/>
          <w:numId w:val="35"/>
        </w:numPr>
        <w:spacing w:before="0" w:after="200" w:line="360" w:lineRule="auto"/>
        <w:ind w:left="720" w:hanging="720"/>
        <w:contextualSpacing w:val="0"/>
        <w:rPr>
          <w:rFonts w:cstheme="minorHAnsi"/>
          <w:color w:val="000000"/>
        </w:rPr>
      </w:pPr>
      <w:bookmarkStart w:id="476" w:name="_Ref285638415"/>
      <w:r w:rsidRPr="00F7644E">
        <w:rPr>
          <w:rFonts w:cstheme="minorHAnsi"/>
          <w:color w:val="000000"/>
        </w:rPr>
        <w:t xml:space="preserve">R. T. Primm, III, </w:t>
      </w:r>
      <w:proofErr w:type="gramStart"/>
      <w:r w:rsidRPr="00F7644E">
        <w:rPr>
          <w:rFonts w:cstheme="minorHAnsi"/>
          <w:color w:val="000000"/>
        </w:rPr>
        <w:t>et</w:t>
      </w:r>
      <w:proofErr w:type="gramEnd"/>
      <w:r w:rsidRPr="00F7644E">
        <w:rPr>
          <w:rFonts w:cstheme="minorHAnsi"/>
          <w:color w:val="000000"/>
        </w:rPr>
        <w:t xml:space="preserve">. al., </w:t>
      </w:r>
      <w:r>
        <w:rPr>
          <w:rFonts w:cstheme="minorHAnsi"/>
          <w:color w:val="000000"/>
        </w:rPr>
        <w:t>“</w:t>
      </w:r>
      <w:r w:rsidRPr="00F7644E">
        <w:rPr>
          <w:rFonts w:cstheme="minorHAnsi"/>
          <w:color w:val="000000"/>
        </w:rPr>
        <w:t>Design Study for a Low-Enriched Uranium Core for the High Flux Isotope Reactor, Annual Report for FY 2010,</w:t>
      </w:r>
      <w:r>
        <w:rPr>
          <w:rFonts w:cstheme="minorHAnsi"/>
          <w:color w:val="000000"/>
        </w:rPr>
        <w:t>”</w:t>
      </w:r>
      <w:r w:rsidRPr="00F7644E">
        <w:rPr>
          <w:rFonts w:cstheme="minorHAnsi"/>
          <w:color w:val="000000"/>
        </w:rPr>
        <w:t xml:space="preserve"> ORNL/TM-2011/06,</w:t>
      </w:r>
      <w:r>
        <w:rPr>
          <w:rFonts w:cstheme="minorHAnsi"/>
          <w:color w:val="000000"/>
        </w:rPr>
        <w:t xml:space="preserve"> Oak Ridge National Laboratory, </w:t>
      </w:r>
      <w:r w:rsidRPr="00F7644E">
        <w:rPr>
          <w:rFonts w:cstheme="minorHAnsi"/>
          <w:color w:val="000000"/>
        </w:rPr>
        <w:t>February 2011.</w:t>
      </w:r>
      <w:bookmarkEnd w:id="476"/>
    </w:p>
    <w:p w:rsidR="00C67546" w:rsidRPr="00F7644E" w:rsidRDefault="00C67546" w:rsidP="0055602F">
      <w:pPr>
        <w:pStyle w:val="ListParagraph"/>
        <w:numPr>
          <w:ilvl w:val="0"/>
          <w:numId w:val="35"/>
        </w:numPr>
        <w:spacing w:before="0" w:after="200" w:line="360" w:lineRule="auto"/>
        <w:ind w:left="720" w:hanging="720"/>
        <w:contextualSpacing w:val="0"/>
        <w:rPr>
          <w:rFonts w:cstheme="minorHAnsi"/>
        </w:rPr>
      </w:pPr>
      <w:bookmarkStart w:id="477" w:name="_Ref285638558"/>
      <w:r w:rsidRPr="00F7644E">
        <w:rPr>
          <w:rFonts w:cstheme="minorHAnsi"/>
        </w:rPr>
        <w:t xml:space="preserve">J. R. </w:t>
      </w:r>
      <w:proofErr w:type="spellStart"/>
      <w:r w:rsidRPr="00F7644E">
        <w:rPr>
          <w:rFonts w:cstheme="minorHAnsi"/>
        </w:rPr>
        <w:t>Lamarsh</w:t>
      </w:r>
      <w:proofErr w:type="spellEnd"/>
      <w:r w:rsidRPr="00F7644E">
        <w:rPr>
          <w:rFonts w:cstheme="minorHAnsi"/>
        </w:rPr>
        <w:t xml:space="preserve"> and A. J. </w:t>
      </w:r>
      <w:proofErr w:type="spellStart"/>
      <w:r w:rsidRPr="00F7644E">
        <w:rPr>
          <w:rFonts w:cstheme="minorHAnsi"/>
        </w:rPr>
        <w:t>Baratta</w:t>
      </w:r>
      <w:proofErr w:type="spellEnd"/>
      <w:r w:rsidRPr="00F7644E">
        <w:rPr>
          <w:rFonts w:cstheme="minorHAnsi"/>
        </w:rPr>
        <w:t>, Introduction to Nuclear Engineering, 3</w:t>
      </w:r>
      <w:r w:rsidRPr="00F7644E">
        <w:rPr>
          <w:rFonts w:cstheme="minorHAnsi"/>
          <w:vertAlign w:val="superscript"/>
        </w:rPr>
        <w:t>rd</w:t>
      </w:r>
      <w:r w:rsidRPr="00F7644E">
        <w:rPr>
          <w:rFonts w:cstheme="minorHAnsi"/>
        </w:rPr>
        <w:t xml:space="preserve"> Edition, Prentice Hall, New Jersey, 2001.</w:t>
      </w:r>
      <w:bookmarkEnd w:id="477"/>
    </w:p>
    <w:p w:rsidR="00C67546" w:rsidRPr="006B5D42" w:rsidRDefault="00C67546" w:rsidP="0055602F">
      <w:pPr>
        <w:pStyle w:val="ListParagraph"/>
        <w:numPr>
          <w:ilvl w:val="0"/>
          <w:numId w:val="35"/>
        </w:numPr>
        <w:spacing w:before="0" w:after="200" w:line="360" w:lineRule="auto"/>
        <w:ind w:left="720" w:hanging="720"/>
        <w:contextualSpacing w:val="0"/>
        <w:rPr>
          <w:rFonts w:cstheme="minorHAnsi"/>
        </w:rPr>
      </w:pPr>
      <w:bookmarkStart w:id="478" w:name="_Ref285638622"/>
      <w:r w:rsidRPr="00F7644E">
        <w:rPr>
          <w:rFonts w:cstheme="minorHAnsi"/>
        </w:rPr>
        <w:t xml:space="preserve">P. M. </w:t>
      </w:r>
      <w:proofErr w:type="spellStart"/>
      <w:r w:rsidRPr="00F7644E">
        <w:rPr>
          <w:rFonts w:cstheme="minorHAnsi"/>
        </w:rPr>
        <w:t>Knupp</w:t>
      </w:r>
      <w:proofErr w:type="spellEnd"/>
      <w:r w:rsidRPr="00F7644E">
        <w:rPr>
          <w:rFonts w:cstheme="minorHAnsi"/>
        </w:rPr>
        <w:t>, Remarks on Mesh Quality, Sandia National Laboratory, Paper from the 45</w:t>
      </w:r>
      <w:r w:rsidRPr="00F7644E">
        <w:rPr>
          <w:rFonts w:cstheme="minorHAnsi"/>
          <w:vertAlign w:val="superscript"/>
        </w:rPr>
        <w:t>th</w:t>
      </w:r>
      <w:r w:rsidRPr="00F7644E">
        <w:rPr>
          <w:rFonts w:cstheme="minorHAnsi"/>
        </w:rPr>
        <w:t xml:space="preserve"> American Institute of Aeronautics and Astronautics Aerospace Sciences Meeting and Exhibit 2007, Reno, NV, January</w:t>
      </w:r>
      <w:r w:rsidR="006B5D42">
        <w:rPr>
          <w:rFonts w:cstheme="minorHAnsi"/>
        </w:rPr>
        <w:t xml:space="preserve"> </w:t>
      </w:r>
      <w:r w:rsidRPr="00F7644E">
        <w:rPr>
          <w:rFonts w:cstheme="minorHAnsi"/>
        </w:rPr>
        <w:t>2007.</w:t>
      </w:r>
      <w:bookmarkEnd w:id="478"/>
    </w:p>
    <w:p w:rsidR="006B5D42" w:rsidRPr="006B5D42" w:rsidRDefault="006B5D42" w:rsidP="0055602F">
      <w:pPr>
        <w:pStyle w:val="References"/>
        <w:numPr>
          <w:ilvl w:val="0"/>
          <w:numId w:val="35"/>
        </w:numPr>
        <w:tabs>
          <w:tab w:val="clear" w:pos="720"/>
        </w:tabs>
        <w:spacing w:after="200" w:line="360" w:lineRule="auto"/>
        <w:ind w:left="720" w:hanging="720"/>
        <w:jc w:val="both"/>
        <w:rPr>
          <w:sz w:val="22"/>
          <w:szCs w:val="22"/>
        </w:rPr>
      </w:pPr>
      <w:bookmarkStart w:id="479" w:name="_Ref285639878"/>
      <w:r w:rsidRPr="006B5D42">
        <w:rPr>
          <w:sz w:val="22"/>
          <w:szCs w:val="22"/>
        </w:rPr>
        <w:t>“Start-up Plan for Plutonium-238 Production for Radioisotope Power Systems,” Report to Congress, U. S. Department of Energy, June 2010.</w:t>
      </w:r>
      <w:bookmarkEnd w:id="479"/>
    </w:p>
    <w:p w:rsidR="006B5D42" w:rsidRPr="004C3625" w:rsidRDefault="006B5D42" w:rsidP="004C3625">
      <w:pPr>
        <w:pStyle w:val="References"/>
        <w:numPr>
          <w:ilvl w:val="0"/>
          <w:numId w:val="35"/>
        </w:numPr>
        <w:tabs>
          <w:tab w:val="clear" w:pos="720"/>
        </w:tabs>
        <w:spacing w:after="200" w:line="360" w:lineRule="auto"/>
        <w:ind w:left="720" w:hanging="720"/>
        <w:jc w:val="both"/>
        <w:rPr>
          <w:sz w:val="22"/>
          <w:szCs w:val="22"/>
        </w:rPr>
      </w:pPr>
      <w:bookmarkStart w:id="480" w:name="_Ref285639906"/>
      <w:r w:rsidRPr="006B5D42">
        <w:rPr>
          <w:sz w:val="22"/>
          <w:szCs w:val="22"/>
        </w:rPr>
        <w:t xml:space="preserve">J. Jarrell, “Irradiation of </w:t>
      </w:r>
      <w:r w:rsidRPr="006B5D42">
        <w:rPr>
          <w:sz w:val="22"/>
          <w:szCs w:val="22"/>
          <w:vertAlign w:val="superscript"/>
        </w:rPr>
        <w:t>237</w:t>
      </w:r>
      <w:r w:rsidRPr="006B5D42">
        <w:rPr>
          <w:sz w:val="22"/>
          <w:szCs w:val="22"/>
        </w:rPr>
        <w:t>Np targets in HFIR,” Rev. 1, RNSD-TN-11-001, Internal Technical Note, Oak Ridge National Laboratory, (2011).</w:t>
      </w:r>
      <w:bookmarkEnd w:id="480"/>
    </w:p>
    <w:p w:rsidR="00BA2085" w:rsidRDefault="00BA2085" w:rsidP="0055602F">
      <w:pPr>
        <w:spacing w:before="0" w:after="200" w:line="360" w:lineRule="auto"/>
      </w:pPr>
    </w:p>
    <w:p w:rsidR="00E37054" w:rsidRDefault="00E37054">
      <w:pPr>
        <w:spacing w:before="0" w:after="200" w:line="276" w:lineRule="auto"/>
        <w:ind w:firstLine="0"/>
        <w:jc w:val="left"/>
      </w:pPr>
      <w:r>
        <w:br w:type="page"/>
      </w:r>
    </w:p>
    <w:p w:rsidR="00DE5151" w:rsidRDefault="00DE5151" w:rsidP="00DE5151"/>
    <w:p w:rsidR="00DE5151" w:rsidRDefault="00DE5151" w:rsidP="00DE5151"/>
    <w:p w:rsidR="00DE5151" w:rsidRDefault="00DE5151" w:rsidP="00DE5151"/>
    <w:p w:rsidR="00DE5151" w:rsidRDefault="00DE5151" w:rsidP="00DE5151"/>
    <w:p w:rsidR="00DE5151" w:rsidRDefault="00DE5151" w:rsidP="00DE5151"/>
    <w:p w:rsidR="00DE5151" w:rsidRDefault="00DE5151" w:rsidP="00DE5151"/>
    <w:p w:rsidR="00DE5151" w:rsidRDefault="00DE5151" w:rsidP="00DE5151"/>
    <w:p w:rsidR="00DE5151" w:rsidRDefault="00DE5151" w:rsidP="00DE5151"/>
    <w:p w:rsidR="00E37054" w:rsidRDefault="00E37054" w:rsidP="006B5D42">
      <w:pPr>
        <w:pStyle w:val="Title"/>
        <w:jc w:val="center"/>
      </w:pPr>
      <w:r w:rsidRPr="006B5D42">
        <w:t>Appendices</w:t>
      </w:r>
    </w:p>
    <w:p w:rsidR="00DE5151" w:rsidRDefault="00DE5151">
      <w:pPr>
        <w:spacing w:before="0" w:after="200" w:line="276" w:lineRule="auto"/>
        <w:ind w:firstLine="0"/>
        <w:jc w:val="left"/>
        <w:rPr>
          <w:rFonts w:asciiTheme="majorHAnsi" w:eastAsiaTheme="majorEastAsia" w:hAnsiTheme="majorHAnsi" w:cstheme="majorBidi"/>
          <w:b/>
          <w:bCs/>
          <w:sz w:val="28"/>
          <w:szCs w:val="28"/>
        </w:rPr>
      </w:pPr>
      <w:r>
        <w:br w:type="page"/>
      </w:r>
    </w:p>
    <w:p w:rsidR="00DE5151" w:rsidRDefault="00DE5151" w:rsidP="00DE5151">
      <w:pPr>
        <w:pStyle w:val="Heading1"/>
        <w:numPr>
          <w:ilvl w:val="0"/>
          <w:numId w:val="0"/>
        </w:numPr>
        <w:ind w:left="432" w:hanging="432"/>
      </w:pPr>
      <w:bookmarkStart w:id="481" w:name="_Toc295818176"/>
      <w:r>
        <w:lastRenderedPageBreak/>
        <w:t>Appendix</w:t>
      </w:r>
      <w:bookmarkEnd w:id="481"/>
    </w:p>
    <w:p w:rsidR="003E77A1" w:rsidRDefault="00DE5151" w:rsidP="00DE5151">
      <w:pPr>
        <w:pStyle w:val="Heading1"/>
        <w:numPr>
          <w:ilvl w:val="0"/>
          <w:numId w:val="0"/>
        </w:numPr>
        <w:ind w:left="432" w:hanging="432"/>
      </w:pPr>
      <w:bookmarkStart w:id="482" w:name="_Toc295818177"/>
      <w:r>
        <w:t xml:space="preserve">Appendix </w:t>
      </w:r>
      <w:proofErr w:type="gramStart"/>
      <w:r>
        <w:t>A</w:t>
      </w:r>
      <w:proofErr w:type="gramEnd"/>
      <w:r>
        <w:t xml:space="preserve"> - </w:t>
      </w:r>
      <w:r w:rsidR="003E77A1">
        <w:t>Plutonium-238 Production Feasibility Study</w:t>
      </w:r>
      <w:bookmarkEnd w:id="482"/>
    </w:p>
    <w:p w:rsidR="003E77A1" w:rsidRPr="003F2B43" w:rsidRDefault="00101FF3" w:rsidP="00A82B4E">
      <w:r>
        <w:t xml:space="preserve">The U. S. Department of </w:t>
      </w:r>
      <w:r w:rsidRPr="003567B4">
        <w:t xml:space="preserve">Energy (DOE) and the National Aeronautics and Space Administration (NASA) have initiated a plan to restart the production of </w:t>
      </w:r>
      <w:r w:rsidRPr="003567B4">
        <w:rPr>
          <w:vertAlign w:val="superscript"/>
        </w:rPr>
        <w:t>238</w:t>
      </w:r>
      <w:r w:rsidRPr="003567B4">
        <w:t xml:space="preserve">Pu for space exploration missions in fiscal year 2011 </w:t>
      </w:r>
      <w:r w:rsidR="007511FA">
        <w:fldChar w:fldCharType="begin"/>
      </w:r>
      <w:r w:rsidR="0055602F">
        <w:instrText xml:space="preserve"> REF _Ref285639878 \n \h </w:instrText>
      </w:r>
      <w:r w:rsidR="007511FA">
        <w:fldChar w:fldCharType="separate"/>
      </w:r>
      <w:r w:rsidR="00D5167B">
        <w:t>[105]</w:t>
      </w:r>
      <w:r w:rsidR="007511FA">
        <w:fldChar w:fldCharType="end"/>
      </w:r>
      <w:r w:rsidRPr="003567B4">
        <w:t xml:space="preserve">.  </w:t>
      </w:r>
      <w:r w:rsidRPr="003F2B43">
        <w:t xml:space="preserve">Plutonium-238 </w:t>
      </w:r>
      <w:r w:rsidRPr="003567B4">
        <w:t xml:space="preserve">is an ideal power source for </w:t>
      </w:r>
      <w:r w:rsidRPr="003F2B43">
        <w:t>Radioisotope Thermoelectric Generators (RTG</w:t>
      </w:r>
      <w:r>
        <w:t>)</w:t>
      </w:r>
      <w:r w:rsidRPr="003567B4">
        <w:t xml:space="preserve"> because it has a very long half life (t</w:t>
      </w:r>
      <w:r w:rsidRPr="003567B4">
        <w:rPr>
          <w:vertAlign w:val="subscript"/>
        </w:rPr>
        <w:t>1/2</w:t>
      </w:r>
      <w:r w:rsidRPr="003567B4">
        <w:t xml:space="preserve"> </w:t>
      </w:r>
      <w:r w:rsidRPr="003567B4">
        <w:rPr>
          <w:rFonts w:ascii="Calibri" w:hAnsi="Calibri"/>
        </w:rPr>
        <w:t>≈</w:t>
      </w:r>
      <w:r w:rsidRPr="003567B4">
        <w:t xml:space="preserve"> 89 yr) and it generates about 0.5 watts/gram when it decays via alpha emission.  An annual production rate of 1.5 – 2 kg of </w:t>
      </w:r>
      <w:r w:rsidRPr="003567B4">
        <w:rPr>
          <w:vertAlign w:val="superscript"/>
        </w:rPr>
        <w:t>238</w:t>
      </w:r>
      <w:r w:rsidRPr="003567B4">
        <w:t xml:space="preserve">Pu is expected to satisfy these needs and can be produced in existing national nuclear facilities like HFIR and the Advanced Test Reactor (ATR) at the Idaho National Laboratory (INL).  Reactors at the Savannah River Site were used in the past for </w:t>
      </w:r>
      <w:r w:rsidRPr="003567B4">
        <w:rPr>
          <w:vertAlign w:val="superscript"/>
        </w:rPr>
        <w:t>238</w:t>
      </w:r>
      <w:r w:rsidRPr="003567B4">
        <w:t xml:space="preserve">Pu production but were shut down sometime after the last </w:t>
      </w:r>
      <w:r w:rsidR="00A82B4E">
        <w:t>production occurred in 1988.</w:t>
      </w:r>
      <w:r w:rsidR="003E77A1" w:rsidRPr="003F2B43">
        <w:t xml:space="preserve">  The nation’s </w:t>
      </w:r>
      <w:r w:rsidR="003E77A1" w:rsidRPr="003F2B43">
        <w:rPr>
          <w:vertAlign w:val="superscript"/>
        </w:rPr>
        <w:t>237</w:t>
      </w:r>
      <w:r w:rsidR="003E77A1" w:rsidRPr="003F2B43">
        <w:t xml:space="preserve">Np inventory is currently stored at INL </w:t>
      </w:r>
      <w:r w:rsidR="007511FA">
        <w:fldChar w:fldCharType="begin"/>
      </w:r>
      <w:r w:rsidR="0055602F">
        <w:instrText xml:space="preserve"> REF _Ref285639878 \n \h </w:instrText>
      </w:r>
      <w:r w:rsidR="007511FA">
        <w:fldChar w:fldCharType="separate"/>
      </w:r>
      <w:r w:rsidR="00D5167B">
        <w:t>[105]</w:t>
      </w:r>
      <w:r w:rsidR="007511FA">
        <w:fldChar w:fldCharType="end"/>
      </w:r>
    </w:p>
    <w:p w:rsidR="003E77A1" w:rsidRPr="003F2B43" w:rsidRDefault="003E77A1" w:rsidP="003E77A1">
      <w:r w:rsidRPr="003F2B43">
        <w:t xml:space="preserve">The process of producing </w:t>
      </w:r>
      <w:r w:rsidRPr="003F2B43">
        <w:rPr>
          <w:vertAlign w:val="superscript"/>
        </w:rPr>
        <w:t>238</w:t>
      </w:r>
      <w:r w:rsidRPr="003F2B43">
        <w:t xml:space="preserve">Pu includes: (1) fabricating </w:t>
      </w:r>
      <w:r w:rsidRPr="003F2B43">
        <w:rPr>
          <w:vertAlign w:val="superscript"/>
        </w:rPr>
        <w:t>237</w:t>
      </w:r>
      <w:r w:rsidRPr="003F2B43">
        <w:t>NpO</w:t>
      </w:r>
      <w:r w:rsidRPr="003F2B43">
        <w:rPr>
          <w:vertAlign w:val="subscript"/>
        </w:rPr>
        <w:t>x</w:t>
      </w:r>
      <w:r w:rsidRPr="003F2B43">
        <w:t xml:space="preserve">-Al targets, (2) irradiating the targets in a nuclear </w:t>
      </w:r>
      <w:proofErr w:type="gramStart"/>
      <w:r w:rsidRPr="003F2B43">
        <w:t xml:space="preserve">reactor </w:t>
      </w:r>
      <m:oMath>
        <w:proofErr w:type="gramEnd"/>
        <m:d>
          <m:dPr>
            <m:ctrlPr>
              <w:rPr>
                <w:rFonts w:ascii="Cambria Math" w:hAnsi="Cambria Math"/>
              </w:rPr>
            </m:ctrlPr>
          </m:dPr>
          <m:e>
            <m:sPre>
              <m:sPrePr>
                <m:ctrlPr>
                  <w:rPr>
                    <w:rFonts w:ascii="Cambria Math" w:hAnsi="Cambria Math"/>
                  </w:rPr>
                </m:ctrlPr>
              </m:sPrePr>
              <m:sub>
                <m:r>
                  <m:rPr>
                    <m:sty m:val="p"/>
                  </m:rPr>
                  <w:rPr>
                    <w:rFonts w:ascii="Cambria Math"/>
                  </w:rPr>
                  <m:t>93</m:t>
                </m:r>
              </m:sub>
              <m:sup>
                <m:r>
                  <m:rPr>
                    <m:sty m:val="p"/>
                  </m:rPr>
                  <w:rPr>
                    <w:rFonts w:ascii="Cambria Math"/>
                  </w:rPr>
                  <m:t>237</m:t>
                </m:r>
              </m:sup>
              <m:e>
                <m:r>
                  <m:rPr>
                    <m:sty m:val="p"/>
                  </m:rPr>
                  <w:rPr>
                    <w:rFonts w:ascii="Cambria Math"/>
                  </w:rPr>
                  <m:t>Np</m:t>
                </m:r>
              </m:e>
            </m:sPre>
            <m:r>
              <m:rPr>
                <m:sty m:val="p"/>
              </m:rPr>
              <w:rPr>
                <w:rFonts w:ascii="Cambria Math"/>
              </w:rPr>
              <m:t xml:space="preserve">+ </m:t>
            </m:r>
            <m:sPre>
              <m:sPrePr>
                <m:ctrlPr>
                  <w:rPr>
                    <w:rFonts w:ascii="Cambria Math" w:hAnsi="Cambria Math"/>
                  </w:rPr>
                </m:ctrlPr>
              </m:sPrePr>
              <m:sub>
                <m:r>
                  <m:rPr>
                    <m:sty m:val="p"/>
                  </m:rPr>
                  <w:rPr>
                    <w:rFonts w:ascii="Cambria Math"/>
                  </w:rPr>
                  <m:t>1</m:t>
                </m:r>
              </m:sub>
              <m:sup>
                <m:r>
                  <m:rPr>
                    <m:sty m:val="p"/>
                  </m:rPr>
                  <w:rPr>
                    <w:rFonts w:ascii="Cambria Math"/>
                  </w:rPr>
                  <m:t>1</m:t>
                </m:r>
              </m:sup>
              <m:e>
                <m:r>
                  <m:rPr>
                    <m:sty m:val="p"/>
                  </m:rPr>
                  <w:rPr>
                    <w:rFonts w:ascii="Cambria Math"/>
                  </w:rPr>
                  <m:t>n</m:t>
                </m:r>
              </m:e>
            </m:sPre>
            <m:r>
              <m:rPr>
                <m:sty m:val="p"/>
              </m:rPr>
              <w:rPr>
                <w:rFonts w:ascii="Cambria Math"/>
              </w:rPr>
              <m:t xml:space="preserve"> </m:t>
            </m:r>
            <m:r>
              <m:rPr>
                <m:sty m:val="p"/>
              </m:rPr>
              <w:rPr>
                <w:rFonts w:ascii="Cambria Math"/>
              </w:rPr>
              <m:t>→</m:t>
            </m:r>
            <m:r>
              <m:rPr>
                <m:sty m:val="p"/>
              </m:rPr>
              <w:rPr>
                <w:rFonts w:ascii="Cambria Math"/>
              </w:rPr>
              <m:t xml:space="preserve"> </m:t>
            </m:r>
            <m:sPre>
              <m:sPrePr>
                <m:ctrlPr>
                  <w:rPr>
                    <w:rFonts w:ascii="Cambria Math" w:hAnsi="Cambria Math"/>
                  </w:rPr>
                </m:ctrlPr>
              </m:sPrePr>
              <m:sub>
                <m:r>
                  <m:rPr>
                    <m:sty m:val="p"/>
                  </m:rPr>
                  <w:rPr>
                    <w:rFonts w:ascii="Cambria Math"/>
                  </w:rPr>
                  <m:t>94</m:t>
                </m:r>
              </m:sub>
              <m:sup>
                <m:r>
                  <m:rPr>
                    <m:sty m:val="p"/>
                  </m:rPr>
                  <w:rPr>
                    <w:rFonts w:ascii="Cambria Math"/>
                  </w:rPr>
                  <m:t>238</m:t>
                </m:r>
              </m:sup>
              <m:e>
                <m:r>
                  <m:rPr>
                    <m:sty m:val="p"/>
                  </m:rPr>
                  <w:rPr>
                    <w:rFonts w:ascii="Cambria Math"/>
                  </w:rPr>
                  <m:t>Pu</m:t>
                </m:r>
              </m:e>
            </m:sPre>
          </m:e>
        </m:d>
      </m:oMath>
      <w:r w:rsidRPr="003F2B43">
        <w:t xml:space="preserve">, and (3) recovering the </w:t>
      </w:r>
      <w:r w:rsidRPr="003F2B43">
        <w:rPr>
          <w:vertAlign w:val="superscript"/>
        </w:rPr>
        <w:t>238</w:t>
      </w:r>
      <w:r w:rsidRPr="003F2B43">
        <w:t>Pu in the targets via chemical extraction.  The HFIR complex is ideal for these operations because it is home to both the reactor, which produces a very high neutron flux for irradiations, and the Radiochemical Engineering Development Center (REDC), which would be used to perform all of the post-irradiation processing activities.</w:t>
      </w:r>
    </w:p>
    <w:p w:rsidR="003E77A1" w:rsidRDefault="003E77A1" w:rsidP="003E77A1">
      <w:r>
        <w:t xml:space="preserve">At HFIR, </w:t>
      </w:r>
      <w:r>
        <w:rPr>
          <w:vertAlign w:val="superscript"/>
        </w:rPr>
        <w:t>238</w:t>
      </w:r>
      <w:r>
        <w:t xml:space="preserve">Pu production could occur in the vertical experiment facilities (VXF) in HFIR’s permanent beryllium reflector.  Sixteen small (radius </w:t>
      </w:r>
      <w:r>
        <w:rPr>
          <w:rFonts w:ascii="Calibri" w:hAnsi="Calibri"/>
        </w:rPr>
        <w:t xml:space="preserve">= </w:t>
      </w:r>
      <w:r>
        <w:t xml:space="preserve">2.012 cm) and 6 large (radius </w:t>
      </w:r>
      <w:r>
        <w:rPr>
          <w:rFonts w:ascii="Calibri" w:hAnsi="Calibri"/>
        </w:rPr>
        <w:t xml:space="preserve">= </w:t>
      </w:r>
      <w:r>
        <w:t xml:space="preserve">3.599 cm) VXFs are located within the reflector.  The </w:t>
      </w:r>
      <w:r>
        <w:rPr>
          <w:vertAlign w:val="superscript"/>
        </w:rPr>
        <w:t>237</w:t>
      </w:r>
      <w:r>
        <w:t>Np</w:t>
      </w:r>
      <w:r>
        <w:rPr>
          <w:vertAlign w:val="superscript"/>
        </w:rPr>
        <w:t xml:space="preserve"> </w:t>
      </w:r>
      <w:r>
        <w:t xml:space="preserve">target rods (radius = 0.3937 cm and height = 50.8 cm) have been conceptualized (not yet produced) to hold 35 pellets (radius = 0.3175 cm and height = 1.4478 cm) with helium as gap filler.  The pellets are to be composed of 20 </w:t>
      </w:r>
      <w:proofErr w:type="spellStart"/>
      <w:r>
        <w:t>vol</w:t>
      </w:r>
      <w:proofErr w:type="spellEnd"/>
      <w:r>
        <w:t xml:space="preserve">% </w:t>
      </w:r>
      <w:proofErr w:type="spellStart"/>
      <w:r>
        <w:t>NpO</w:t>
      </w:r>
      <w:r>
        <w:rPr>
          <w:vertAlign w:val="subscript"/>
        </w:rPr>
        <w:t>x</w:t>
      </w:r>
      <w:proofErr w:type="spellEnd"/>
      <w:r>
        <w:t xml:space="preserve"> (impurities include </w:t>
      </w:r>
      <w:proofErr w:type="spellStart"/>
      <w:r>
        <w:t>Pu</w:t>
      </w:r>
      <w:proofErr w:type="spellEnd"/>
      <w:r>
        <w:t xml:space="preserve">, </w:t>
      </w:r>
      <w:proofErr w:type="spellStart"/>
      <w:r>
        <w:t>Th</w:t>
      </w:r>
      <w:proofErr w:type="spellEnd"/>
      <w:r>
        <w:t xml:space="preserve">, U, etc.) in an aluminum matrix.  The small and large VXF target </w:t>
      </w:r>
      <w:r w:rsidRPr="00956209">
        <w:t xml:space="preserve">bundles are to be assembled in an 8 target polar array and a 31 target triangular array, respectively as illustrated in Figure </w:t>
      </w:r>
      <w:r w:rsidR="00DE5151" w:rsidRPr="00956209">
        <w:t>A</w:t>
      </w:r>
      <w:r w:rsidRPr="00956209">
        <w:t xml:space="preserve">1 </w:t>
      </w:r>
      <w:fldSimple w:instr=" REF _Ref285639906 \n \h  \* MERGEFORMAT ">
        <w:r w:rsidR="00D5167B">
          <w:t>[106]</w:t>
        </w:r>
      </w:fldSimple>
      <w:r w:rsidRPr="00956209">
        <w:t>.</w:t>
      </w:r>
    </w:p>
    <w:p w:rsidR="00DE5151" w:rsidRPr="00956209" w:rsidRDefault="00A82B4E" w:rsidP="00DE5151">
      <w:r>
        <w:lastRenderedPageBreak/>
        <w:t xml:space="preserve">This Appendix serves as a feasibility study to better </w:t>
      </w:r>
      <w:r w:rsidR="00DE5151">
        <w:t xml:space="preserve">understand the production rates of </w:t>
      </w:r>
      <w:r w:rsidR="00DE5151">
        <w:rPr>
          <w:vertAlign w:val="superscript"/>
        </w:rPr>
        <w:t>238</w:t>
      </w:r>
      <w:r w:rsidR="00DE5151">
        <w:t xml:space="preserve">Pu in HFIR.  VESTA and the ENDF/B-VII continuous energy cross section library were utilized for this study.  The VESTA input was created by modifying the input documented in </w:t>
      </w:r>
      <w:r w:rsidR="007511FA">
        <w:fldChar w:fldCharType="begin"/>
      </w:r>
      <w:r w:rsidR="0055602F">
        <w:instrText xml:space="preserve"> REF _Ref285636297 \n \h </w:instrText>
      </w:r>
      <w:r w:rsidR="007511FA">
        <w:fldChar w:fldCharType="separate"/>
      </w:r>
      <w:r w:rsidR="00D5167B">
        <w:t>[24]</w:t>
      </w:r>
      <w:r w:rsidR="007511FA">
        <w:fldChar w:fldCharType="end"/>
      </w:r>
      <w:r w:rsidR="0055602F">
        <w:t xml:space="preserve"> </w:t>
      </w:r>
      <w:r w:rsidR="00DE5151">
        <w:t xml:space="preserve">by modeling the target bundles in the VXFs and setting up the appropriate irradiation/decay history.  The fuel elements in the VESTA input are divided into 19 axial regions since fuel burnup and control element withdrawal (10 control element positions/burnup steps) are simulated as a function of cycle time.  Rather than modeling 35 pellets in each target, the target rods were modeled as a single pin within the Al clad.  Each target pin was assigned a different material number such that each target pin was depleted individually.  The targets were irradiated for 24 days, which is a “typical” HFIR </w:t>
      </w:r>
      <w:r w:rsidR="00DE5151" w:rsidRPr="00956209">
        <w:t>cycle length.</w:t>
      </w:r>
    </w:p>
    <w:p w:rsidR="00DE5151" w:rsidRDefault="00DE5151" w:rsidP="00DE5151">
      <w:r w:rsidRPr="00956209">
        <w:t xml:space="preserve">The single-cycle </w:t>
      </w:r>
      <w:r w:rsidRPr="00956209">
        <w:rPr>
          <w:vertAlign w:val="superscript"/>
        </w:rPr>
        <w:t>238</w:t>
      </w:r>
      <w:r w:rsidRPr="00956209">
        <w:t xml:space="preserve">Pu production rates in one small VXF array (8 targets) and one large VXF array (31 targets) as calculated with VESTA are shown in Figure A2.  For a 24-day cycle starting with fresh targets, the VESTA calculation shows that 10.8 and 15.1 grams of </w:t>
      </w:r>
      <w:r w:rsidRPr="00956209">
        <w:rPr>
          <w:vertAlign w:val="superscript"/>
        </w:rPr>
        <w:t>238</w:t>
      </w:r>
      <w:r w:rsidRPr="00956209">
        <w:t xml:space="preserve">Pu can be produced in a small and large VXF array, respectively.  The conversion ratio (ratio of final </w:t>
      </w:r>
      <w:r w:rsidRPr="00956209">
        <w:rPr>
          <w:vertAlign w:val="superscript"/>
        </w:rPr>
        <w:t>238</w:t>
      </w:r>
      <w:r w:rsidRPr="00956209">
        <w:t xml:space="preserve">Pu mass to initial </w:t>
      </w:r>
      <w:r w:rsidRPr="00956209">
        <w:rPr>
          <w:vertAlign w:val="superscript"/>
        </w:rPr>
        <w:t>237</w:t>
      </w:r>
      <w:r w:rsidRPr="00956209">
        <w:t xml:space="preserve">Np mass) is </w:t>
      </w:r>
      <w:r w:rsidR="00A82B4E" w:rsidRPr="00956209">
        <w:t>about 2</w:t>
      </w:r>
      <w:r w:rsidRPr="00956209">
        <w:t xml:space="preserve">% </w:t>
      </w:r>
      <w:r w:rsidR="00A82B4E" w:rsidRPr="00956209">
        <w:t xml:space="preserve">and 5% </w:t>
      </w:r>
      <w:r w:rsidRPr="00956209">
        <w:t>in the large</w:t>
      </w:r>
      <w:r w:rsidR="00A82B4E" w:rsidRPr="00956209">
        <w:t xml:space="preserve"> and</w:t>
      </w:r>
      <w:r w:rsidRPr="00956209">
        <w:t xml:space="preserve"> small VXF</w:t>
      </w:r>
      <w:r w:rsidR="00A82B4E" w:rsidRPr="00956209">
        <w:t>, respectively</w:t>
      </w:r>
      <w:r w:rsidRPr="00956209">
        <w:t>.  The production rate does not scale proportionately with the number of targets because the large VXF array is more tightly packed (self-shielding effects) and further from the core (lower fluxes) in comparison to the small VXF array.  The individual target rod production rates are illustrated in Figure A3</w:t>
      </w:r>
      <w:r>
        <w:t xml:space="preserve"> where the axes denote the location of the pin in cm and the color scale denotes the amount of </w:t>
      </w:r>
      <w:r w:rsidRPr="005931A5">
        <w:rPr>
          <w:vertAlign w:val="superscript"/>
        </w:rPr>
        <w:t>238</w:t>
      </w:r>
      <w:r w:rsidRPr="005931A5">
        <w:t>Pu</w:t>
      </w:r>
      <w:r>
        <w:t xml:space="preserve"> in grams produced per target rod.  The targets closest to the core can potentially have production rates as high as 3 times of those pins away from the core, which implies that a cycle-to-cycle rotation of the targets would be necessary.  The beginning-of-cycle and end-of-cycle reactivity worth of one large and one small VXF target array loaded core with respect to an unloaded core and as calculated with VESTA/MCNP5 are -0.5 and -1.8 ± 2 to 3 cents, respectively.</w:t>
      </w:r>
    </w:p>
    <w:p w:rsidR="003E77A1" w:rsidRDefault="003E77A1" w:rsidP="003E77A1">
      <w:pPr>
        <w:pStyle w:val="Paragraph"/>
        <w:ind w:firstLine="0"/>
        <w:jc w:val="center"/>
      </w:pPr>
      <w:r>
        <w:rPr>
          <w:noProof/>
        </w:rPr>
        <w:lastRenderedPageBreak/>
        <w:drawing>
          <wp:inline distT="0" distB="0" distL="0" distR="0">
            <wp:extent cx="4672673" cy="4572000"/>
            <wp:effectExtent l="19050" t="0" r="0" b="0"/>
            <wp:docPr id="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VXF13-LVXF16.png"/>
                    <pic:cNvPicPr/>
                  </pic:nvPicPr>
                  <pic:blipFill>
                    <a:blip r:embed="rId90"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672673" cy="4572000"/>
                    </a:xfrm>
                    <a:prstGeom prst="rect">
                      <a:avLst/>
                    </a:prstGeom>
                  </pic:spPr>
                </pic:pic>
              </a:graphicData>
            </a:graphic>
          </wp:inline>
        </w:drawing>
      </w:r>
    </w:p>
    <w:p w:rsidR="00A82B4E" w:rsidRDefault="00DE5151" w:rsidP="00A82B4E">
      <w:pPr>
        <w:pStyle w:val="Caption"/>
        <w:spacing w:line="360" w:lineRule="auto"/>
      </w:pPr>
      <w:r>
        <w:t>Figure A1.</w:t>
      </w:r>
      <w:r w:rsidR="003E77A1" w:rsidRPr="003E77A1">
        <w:t xml:space="preserve">  Cross-sectional view of the HFIR illustrating the small (lower left) and large (upper left) VXF target arrays simulated in this study.</w:t>
      </w:r>
    </w:p>
    <w:p w:rsidR="003E77A1" w:rsidRDefault="003E77A1" w:rsidP="00A82B4E">
      <w:pPr>
        <w:pStyle w:val="Caption"/>
        <w:spacing w:line="360" w:lineRule="auto"/>
      </w:pPr>
      <w:r>
        <w:br w:type="page"/>
      </w:r>
    </w:p>
    <w:p w:rsidR="003E77A1" w:rsidRDefault="003E77A1" w:rsidP="004C3625">
      <w:pPr>
        <w:spacing w:before="0" w:after="200" w:line="240" w:lineRule="auto"/>
        <w:ind w:firstLine="0"/>
        <w:jc w:val="center"/>
      </w:pPr>
      <w:r w:rsidRPr="009322C8">
        <w:rPr>
          <w:noProof/>
        </w:rPr>
        <w:lastRenderedPageBreak/>
        <w:drawing>
          <wp:inline distT="0" distB="0" distL="0" distR="0">
            <wp:extent cx="5486400" cy="3570136"/>
            <wp:effectExtent l="19050" t="0" r="19050" b="0"/>
            <wp:docPr id="90"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rsidR="003E77A1" w:rsidRPr="009322C8" w:rsidRDefault="00DE5151" w:rsidP="003E77A1">
      <w:pPr>
        <w:pStyle w:val="Caption"/>
      </w:pPr>
      <w:r>
        <w:t>Figure A2</w:t>
      </w:r>
      <w:r w:rsidR="003E77A1">
        <w:t xml:space="preserve">.  </w:t>
      </w:r>
      <w:proofErr w:type="gramStart"/>
      <w:r w:rsidR="003E77A1">
        <w:t xml:space="preserve">Estimated single-cycle </w:t>
      </w:r>
      <w:r w:rsidR="003E77A1" w:rsidRPr="009322C8">
        <w:rPr>
          <w:vertAlign w:val="superscript"/>
        </w:rPr>
        <w:t>238</w:t>
      </w:r>
      <w:r w:rsidR="003E77A1">
        <w:t>Pu production.</w:t>
      </w:r>
      <w:proofErr w:type="gramEnd"/>
    </w:p>
    <w:p w:rsidR="003E77A1" w:rsidRDefault="003E77A1" w:rsidP="003E77A1">
      <w:pPr>
        <w:spacing w:before="0" w:after="200" w:line="276" w:lineRule="auto"/>
      </w:pPr>
    </w:p>
    <w:p w:rsidR="004C3625" w:rsidRDefault="004C3625" w:rsidP="003E77A1">
      <w:pPr>
        <w:spacing w:before="0" w:after="200" w:line="276" w:lineRule="auto"/>
      </w:pPr>
    </w:p>
    <w:p w:rsidR="004C3625" w:rsidRDefault="004C3625" w:rsidP="003E77A1">
      <w:pPr>
        <w:spacing w:before="0" w:after="200" w:line="276" w:lineRule="auto"/>
      </w:pPr>
    </w:p>
    <w:p w:rsidR="004C3625" w:rsidRDefault="004C3625" w:rsidP="003E77A1">
      <w:pPr>
        <w:spacing w:before="0" w:after="200" w:line="276" w:lineRule="auto"/>
      </w:pPr>
    </w:p>
    <w:p w:rsidR="003E77A1" w:rsidRDefault="003E77A1" w:rsidP="003E77A1">
      <w:pPr>
        <w:spacing w:before="0" w:after="200" w:line="276" w:lineRule="auto"/>
        <w:ind w:firstLine="0"/>
        <w:jc w:val="center"/>
      </w:pPr>
      <w:r w:rsidRPr="009322C8">
        <w:rPr>
          <w:b/>
          <w:bCs/>
          <w:noProof/>
        </w:rPr>
        <w:drawing>
          <wp:inline distT="0" distB="0" distL="0" distR="0">
            <wp:extent cx="2926080" cy="2308821"/>
            <wp:effectExtent l="19050" t="0" r="7620" b="0"/>
            <wp:docPr id="91" name="Picture 4" descr="C:\Users\dcz\Desktop\PuProduction\Pu238surface-cycl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C:\Users\dcz\Desktop\PuProduction\Pu238surface-cyclic.jpg"/>
                    <pic:cNvPicPr>
                      <a:picLocks noChangeAspect="1" noChangeArrowheads="1"/>
                    </pic:cNvPicPr>
                  </pic:nvPicPr>
                  <pic:blipFill>
                    <a:blip r:embed="rId92" cstate="print"/>
                    <a:srcRect/>
                    <a:stretch>
                      <a:fillRect/>
                    </a:stretch>
                  </pic:blipFill>
                  <pic:spPr bwMode="auto">
                    <a:xfrm>
                      <a:off x="0" y="0"/>
                      <a:ext cx="2926080" cy="2308821"/>
                    </a:xfrm>
                    <a:prstGeom prst="rect">
                      <a:avLst/>
                    </a:prstGeom>
                    <a:noFill/>
                  </pic:spPr>
                </pic:pic>
              </a:graphicData>
            </a:graphic>
          </wp:inline>
        </w:drawing>
      </w:r>
      <w:r w:rsidRPr="009322C8">
        <w:rPr>
          <w:b/>
          <w:bCs/>
          <w:noProof/>
        </w:rPr>
        <w:drawing>
          <wp:inline distT="0" distB="0" distL="0" distR="0">
            <wp:extent cx="2926080" cy="2235390"/>
            <wp:effectExtent l="19050" t="0" r="7620" b="0"/>
            <wp:docPr id="92" name="Picture 5" descr="C:\Users\dcz\Desktop\PuProduction\Pu238smallVX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descr="C:\Users\dcz\Desktop\PuProduction\Pu238smallVXF.jpg"/>
                    <pic:cNvPicPr>
                      <a:picLocks noChangeAspect="1" noChangeArrowheads="1"/>
                    </pic:cNvPicPr>
                  </pic:nvPicPr>
                  <pic:blipFill>
                    <a:blip r:embed="rId93" cstate="print"/>
                    <a:srcRect/>
                    <a:stretch>
                      <a:fillRect/>
                    </a:stretch>
                  </pic:blipFill>
                  <pic:spPr bwMode="auto">
                    <a:xfrm>
                      <a:off x="0" y="0"/>
                      <a:ext cx="2926080" cy="2235390"/>
                    </a:xfrm>
                    <a:prstGeom prst="rect">
                      <a:avLst/>
                    </a:prstGeom>
                    <a:noFill/>
                  </pic:spPr>
                </pic:pic>
              </a:graphicData>
            </a:graphic>
          </wp:inline>
        </w:drawing>
      </w:r>
    </w:p>
    <w:p w:rsidR="0091523F" w:rsidRPr="00E37054" w:rsidRDefault="00DE5151" w:rsidP="004C3625">
      <w:pPr>
        <w:pStyle w:val="Caption"/>
      </w:pPr>
      <w:r>
        <w:t>Figure A3</w:t>
      </w:r>
      <w:r w:rsidR="003E77A1">
        <w:t xml:space="preserve">.  </w:t>
      </w:r>
      <w:proofErr w:type="gramStart"/>
      <w:r w:rsidR="003E77A1">
        <w:t xml:space="preserve">Spatial dependency of </w:t>
      </w:r>
      <w:r w:rsidR="003E77A1" w:rsidRPr="001843A9">
        <w:rPr>
          <w:vertAlign w:val="superscript"/>
        </w:rPr>
        <w:t>238</w:t>
      </w:r>
      <w:r w:rsidR="003E77A1">
        <w:t>Pu production in large VXF (top) and small VXF (bottom).</w:t>
      </w:r>
      <w:proofErr w:type="gramEnd"/>
    </w:p>
    <w:p w:rsidR="004B472F" w:rsidRDefault="004B472F">
      <w:pPr>
        <w:spacing w:before="0" w:after="200" w:line="276" w:lineRule="auto"/>
        <w:ind w:firstLine="0"/>
        <w:jc w:val="left"/>
        <w:rPr>
          <w:rFonts w:ascii="Times New Roman" w:hAnsi="Times New Roman"/>
          <w:b/>
          <w:bCs/>
          <w:sz w:val="20"/>
          <w:szCs w:val="18"/>
        </w:rPr>
      </w:pPr>
      <w:r>
        <w:br w:type="page"/>
      </w:r>
    </w:p>
    <w:p w:rsidR="00436A3A" w:rsidRDefault="00436A3A" w:rsidP="00436A3A">
      <w:pPr>
        <w:pStyle w:val="Heading1"/>
        <w:numPr>
          <w:ilvl w:val="0"/>
          <w:numId w:val="0"/>
        </w:numPr>
        <w:ind w:left="432" w:hanging="432"/>
      </w:pPr>
      <w:bookmarkStart w:id="483" w:name="_Toc295818178"/>
      <w:bookmarkStart w:id="484" w:name="_Toc285548158"/>
      <w:r>
        <w:lastRenderedPageBreak/>
        <w:t>Appendix B – COMSOL Description</w:t>
      </w:r>
      <w:bookmarkEnd w:id="483"/>
    </w:p>
    <w:p w:rsidR="00436A3A" w:rsidRDefault="00436A3A" w:rsidP="00436A3A"/>
    <w:p w:rsidR="00436A3A" w:rsidRDefault="00436A3A" w:rsidP="00436A3A">
      <w:pPr>
        <w:pStyle w:val="Heading1"/>
        <w:numPr>
          <w:ilvl w:val="0"/>
          <w:numId w:val="0"/>
        </w:numPr>
        <w:ind w:left="432" w:hanging="432"/>
      </w:pPr>
      <w:bookmarkStart w:id="485" w:name="_Toc295818179"/>
      <w:r>
        <w:t>Appendix C – Additional Space-Time Figures</w:t>
      </w:r>
      <w:bookmarkEnd w:id="485"/>
    </w:p>
    <w:p w:rsidR="00436A3A" w:rsidRDefault="00436A3A" w:rsidP="00436A3A">
      <w:pPr>
        <w:rPr>
          <w:rFonts w:eastAsiaTheme="majorEastAsia"/>
          <w:kern w:val="28"/>
        </w:rPr>
      </w:pPr>
    </w:p>
    <w:p w:rsidR="00436A3A" w:rsidRDefault="00436A3A">
      <w:pPr>
        <w:spacing w:before="0" w:after="200" w:line="276" w:lineRule="auto"/>
        <w:ind w:firstLine="0"/>
        <w:jc w:val="left"/>
        <w:rPr>
          <w:rFonts w:asciiTheme="majorHAnsi" w:eastAsiaTheme="majorEastAsia" w:hAnsiTheme="majorHAnsi" w:cstheme="majorBidi"/>
          <w:caps/>
          <w:spacing w:val="5"/>
          <w:kern w:val="28"/>
          <w:sz w:val="48"/>
          <w:szCs w:val="52"/>
        </w:rPr>
      </w:pPr>
      <w:r>
        <w:br w:type="page"/>
      </w:r>
    </w:p>
    <w:p w:rsidR="004B472F" w:rsidRPr="003F1F77" w:rsidRDefault="004B472F" w:rsidP="004B472F">
      <w:pPr>
        <w:pStyle w:val="Title"/>
        <w:outlineLvl w:val="0"/>
      </w:pPr>
      <w:bookmarkStart w:id="486" w:name="_Toc295818180"/>
      <w:r>
        <w:lastRenderedPageBreak/>
        <w:t>Vita</w:t>
      </w:r>
      <w:bookmarkEnd w:id="484"/>
      <w:bookmarkEnd w:id="486"/>
    </w:p>
    <w:p w:rsidR="004B472F" w:rsidRDefault="004B472F" w:rsidP="004B472F">
      <w:r>
        <w:t xml:space="preserve">David Chandler was born on January 27, 1985 in West Carrollton, Ohio, to his parents Len and Sheila Chandler.  He is the younger brother and brother-in-law of Louise and Jason Pence.  David attended West Carrollton High School and graduated in May of 2003 as one of his class’ valedictorians and a scholar all American soccer </w:t>
      </w:r>
      <w:proofErr w:type="gramStart"/>
      <w:r>
        <w:t>player</w:t>
      </w:r>
      <w:proofErr w:type="gramEnd"/>
      <w:r>
        <w:t xml:space="preserve">.  After graduation, David attended the University of Cincinnati where he obtained his Bachelors of Science degree in Mechanical Engineering and his Masters of Science degree in Nuclear Engineering in June and September of 2008, respectively.  During his studies at the University of Cincinnati he worked two quarters as a cooperative education student at </w:t>
      </w:r>
      <w:proofErr w:type="spellStart"/>
      <w:r>
        <w:t>Feintool</w:t>
      </w:r>
      <w:proofErr w:type="spellEnd"/>
      <w:r>
        <w:t xml:space="preserve"> in Blue Ash, OH and four quarters at Westinghouse Electric Company in Pittsburgh, PA.  David performed his M.S. research as an intern at the Oak Ridge National Laboratory’s High Flux Isotope Reactor in Oak Ridge, TN.</w:t>
      </w:r>
    </w:p>
    <w:p w:rsidR="009808E1" w:rsidRPr="00E37054" w:rsidRDefault="004B472F" w:rsidP="00835AC5">
      <w:r>
        <w:t>After graduating from the University of Cincinnati, David enrolled at the University of Tennessee and continued his research at the High Flux Isotope Reactor under the guidance of his advising professor, Dr. G. Ivan Maldonado, and his technical mentor, Mr. Trent Primm, III.  David’s Ph. D research interests are in the field of nuclear reactor physics with an emphasis in Monte Carlo methods, fuel depletion, and spatially-dependent reactor kinetics.  En route of his Ph. D in Nuclear Engineering at the University of Tennessee, David earned a certificate in nuclear criticality safety.  David will graduate with his Ph. D in the summer of 2011.  The next step in David’s life will be to find a fulltime career in Nuclear Engineering.</w:t>
      </w:r>
    </w:p>
    <w:sectPr w:rsidR="009808E1" w:rsidRPr="00E37054" w:rsidSect="006A45AE">
      <w:footerReference w:type="default" r:id="rId94"/>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47D6" w:rsidRDefault="000747D6" w:rsidP="006A45AE">
      <w:pPr>
        <w:spacing w:before="0" w:after="0" w:line="240" w:lineRule="auto"/>
      </w:pPr>
      <w:r>
        <w:separator/>
      </w:r>
    </w:p>
  </w:endnote>
  <w:endnote w:type="continuationSeparator" w:id="0">
    <w:p w:rsidR="000747D6" w:rsidRDefault="000747D6" w:rsidP="006A45AE">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A00002EF" w:usb1="4000204B"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Cambria Math">
    <w:panose1 w:val="02040503050406030204"/>
    <w:charset w:val="00"/>
    <w:family w:val="roman"/>
    <w:pitch w:val="variable"/>
    <w:sig w:usb0="A00002EF" w:usb1="420020EB"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16044868"/>
      <w:docPartObj>
        <w:docPartGallery w:val="Page Numbers (Bottom of Page)"/>
        <w:docPartUnique/>
      </w:docPartObj>
    </w:sdtPr>
    <w:sdtContent>
      <w:p w:rsidR="00515095" w:rsidRDefault="00515095" w:rsidP="00515095">
        <w:pPr>
          <w:pStyle w:val="Footer"/>
          <w:jc w:val="right"/>
        </w:pPr>
        <w:fldSimple w:instr=" PAGE   \* MERGEFORMAT ">
          <w:r w:rsidR="00317375">
            <w:rPr>
              <w:noProof/>
            </w:rPr>
            <w:t>ii</w:t>
          </w:r>
        </w:fldSimple>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76928"/>
      <w:docPartObj>
        <w:docPartGallery w:val="Page Numbers (Bottom of Page)"/>
        <w:docPartUnique/>
      </w:docPartObj>
    </w:sdtPr>
    <w:sdtContent>
      <w:p w:rsidR="00F236B9" w:rsidRDefault="00F236B9">
        <w:pPr>
          <w:pStyle w:val="Footer"/>
          <w:jc w:val="right"/>
        </w:pPr>
        <w:fldSimple w:instr=" PAGE   \* MERGEFORMAT ">
          <w:r w:rsidR="00515095">
            <w:rPr>
              <w:noProof/>
            </w:rPr>
            <w:t>190</w:t>
          </w:r>
        </w:fldSimple>
      </w:p>
    </w:sdtContent>
  </w:sdt>
  <w:p w:rsidR="00F236B9" w:rsidRDefault="00F236B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47D6" w:rsidRDefault="000747D6" w:rsidP="006A45AE">
      <w:pPr>
        <w:spacing w:before="0" w:after="0" w:line="240" w:lineRule="auto"/>
      </w:pPr>
      <w:r>
        <w:separator/>
      </w:r>
    </w:p>
  </w:footnote>
  <w:footnote w:type="continuationSeparator" w:id="0">
    <w:p w:rsidR="000747D6" w:rsidRDefault="000747D6" w:rsidP="006A45AE">
      <w:pPr>
        <w:spacing w:before="0"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422FDD"/>
    <w:multiLevelType w:val="hybridMultilevel"/>
    <w:tmpl w:val="8730CB9E"/>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BA1CFE"/>
    <w:multiLevelType w:val="hybridMultilevel"/>
    <w:tmpl w:val="C470A5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9F069F2"/>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DF40C80"/>
    <w:multiLevelType w:val="hybridMultilevel"/>
    <w:tmpl w:val="6B60CF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23E11F7"/>
    <w:multiLevelType w:val="hybridMultilevel"/>
    <w:tmpl w:val="27463596"/>
    <w:lvl w:ilvl="0" w:tplc="3B0C9392">
      <w:start w:val="1"/>
      <w:numFmt w:val="decimal"/>
      <w:lvlText w:val="[%1]"/>
      <w:lvlJc w:val="left"/>
      <w:pPr>
        <w:ind w:left="12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5297D8D"/>
    <w:multiLevelType w:val="hybridMultilevel"/>
    <w:tmpl w:val="980808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0D66233"/>
    <w:multiLevelType w:val="multilevel"/>
    <w:tmpl w:val="04090025"/>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nsid w:val="2110149C"/>
    <w:multiLevelType w:val="hybridMultilevel"/>
    <w:tmpl w:val="BC8A7E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57955C0"/>
    <w:multiLevelType w:val="hybridMultilevel"/>
    <w:tmpl w:val="F5EAA926"/>
    <w:lvl w:ilvl="0" w:tplc="370AE11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6DB5AD0"/>
    <w:multiLevelType w:val="hybridMultilevel"/>
    <w:tmpl w:val="B0425644"/>
    <w:lvl w:ilvl="0" w:tplc="09F8D5E4">
      <w:start w:val="1"/>
      <w:numFmt w:val="decimal"/>
      <w:lvlText w:val="%1.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98E6373"/>
    <w:multiLevelType w:val="hybridMultilevel"/>
    <w:tmpl w:val="FC8877A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C2C5070"/>
    <w:multiLevelType w:val="hybridMultilevel"/>
    <w:tmpl w:val="813A1D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nsid w:val="2EA41308"/>
    <w:multiLevelType w:val="hybridMultilevel"/>
    <w:tmpl w:val="BD503D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2F7006C5"/>
    <w:multiLevelType w:val="hybridMultilevel"/>
    <w:tmpl w:val="BCE2D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31B5241"/>
    <w:multiLevelType w:val="hybridMultilevel"/>
    <w:tmpl w:val="ABCE9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4374D92"/>
    <w:multiLevelType w:val="hybridMultilevel"/>
    <w:tmpl w:val="9D540ED2"/>
    <w:lvl w:ilvl="0" w:tplc="34E80DEC">
      <w:start w:val="1"/>
      <w:numFmt w:val="decimal"/>
      <w:lvlText w:val="1.%1.  "/>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7D93F80"/>
    <w:multiLevelType w:val="hybridMultilevel"/>
    <w:tmpl w:val="C2363C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3C9C682E"/>
    <w:multiLevelType w:val="hybridMultilevel"/>
    <w:tmpl w:val="5C90600C"/>
    <w:lvl w:ilvl="0" w:tplc="2000EB26">
      <w:start w:val="1"/>
      <w:numFmt w:val="decimal"/>
      <w:lvlText w:val="%1."/>
      <w:lvlJc w:val="left"/>
      <w:pPr>
        <w:tabs>
          <w:tab w:val="num" w:pos="720"/>
        </w:tabs>
        <w:ind w:left="720" w:hanging="360"/>
      </w:pPr>
    </w:lvl>
    <w:lvl w:ilvl="1" w:tplc="B8005042" w:tentative="1">
      <w:start w:val="1"/>
      <w:numFmt w:val="decimal"/>
      <w:lvlText w:val="%2."/>
      <w:lvlJc w:val="left"/>
      <w:pPr>
        <w:tabs>
          <w:tab w:val="num" w:pos="1440"/>
        </w:tabs>
        <w:ind w:left="1440" w:hanging="360"/>
      </w:pPr>
    </w:lvl>
    <w:lvl w:ilvl="2" w:tplc="4636E232" w:tentative="1">
      <w:start w:val="1"/>
      <w:numFmt w:val="decimal"/>
      <w:lvlText w:val="%3."/>
      <w:lvlJc w:val="left"/>
      <w:pPr>
        <w:tabs>
          <w:tab w:val="num" w:pos="2160"/>
        </w:tabs>
        <w:ind w:left="2160" w:hanging="360"/>
      </w:pPr>
    </w:lvl>
    <w:lvl w:ilvl="3" w:tplc="3300FBFC" w:tentative="1">
      <w:start w:val="1"/>
      <w:numFmt w:val="decimal"/>
      <w:lvlText w:val="%4."/>
      <w:lvlJc w:val="left"/>
      <w:pPr>
        <w:tabs>
          <w:tab w:val="num" w:pos="2880"/>
        </w:tabs>
        <w:ind w:left="2880" w:hanging="360"/>
      </w:pPr>
    </w:lvl>
    <w:lvl w:ilvl="4" w:tplc="B5D08E22" w:tentative="1">
      <w:start w:val="1"/>
      <w:numFmt w:val="decimal"/>
      <w:lvlText w:val="%5."/>
      <w:lvlJc w:val="left"/>
      <w:pPr>
        <w:tabs>
          <w:tab w:val="num" w:pos="3600"/>
        </w:tabs>
        <w:ind w:left="3600" w:hanging="360"/>
      </w:pPr>
    </w:lvl>
    <w:lvl w:ilvl="5" w:tplc="49104BB8" w:tentative="1">
      <w:start w:val="1"/>
      <w:numFmt w:val="decimal"/>
      <w:lvlText w:val="%6."/>
      <w:lvlJc w:val="left"/>
      <w:pPr>
        <w:tabs>
          <w:tab w:val="num" w:pos="4320"/>
        </w:tabs>
        <w:ind w:left="4320" w:hanging="360"/>
      </w:pPr>
    </w:lvl>
    <w:lvl w:ilvl="6" w:tplc="4D8A2F3C" w:tentative="1">
      <w:start w:val="1"/>
      <w:numFmt w:val="decimal"/>
      <w:lvlText w:val="%7."/>
      <w:lvlJc w:val="left"/>
      <w:pPr>
        <w:tabs>
          <w:tab w:val="num" w:pos="5040"/>
        </w:tabs>
        <w:ind w:left="5040" w:hanging="360"/>
      </w:pPr>
    </w:lvl>
    <w:lvl w:ilvl="7" w:tplc="91D65EBA" w:tentative="1">
      <w:start w:val="1"/>
      <w:numFmt w:val="decimal"/>
      <w:lvlText w:val="%8."/>
      <w:lvlJc w:val="left"/>
      <w:pPr>
        <w:tabs>
          <w:tab w:val="num" w:pos="5760"/>
        </w:tabs>
        <w:ind w:left="5760" w:hanging="360"/>
      </w:pPr>
    </w:lvl>
    <w:lvl w:ilvl="8" w:tplc="6A608632" w:tentative="1">
      <w:start w:val="1"/>
      <w:numFmt w:val="decimal"/>
      <w:lvlText w:val="%9."/>
      <w:lvlJc w:val="left"/>
      <w:pPr>
        <w:tabs>
          <w:tab w:val="num" w:pos="6480"/>
        </w:tabs>
        <w:ind w:left="6480" w:hanging="360"/>
      </w:pPr>
    </w:lvl>
  </w:abstractNum>
  <w:abstractNum w:abstractNumId="18">
    <w:nsid w:val="3EEC1E59"/>
    <w:multiLevelType w:val="hybridMultilevel"/>
    <w:tmpl w:val="5C90600C"/>
    <w:lvl w:ilvl="0" w:tplc="2000EB26">
      <w:start w:val="1"/>
      <w:numFmt w:val="decimal"/>
      <w:lvlText w:val="%1."/>
      <w:lvlJc w:val="left"/>
      <w:pPr>
        <w:tabs>
          <w:tab w:val="num" w:pos="720"/>
        </w:tabs>
        <w:ind w:left="720" w:hanging="360"/>
      </w:pPr>
    </w:lvl>
    <w:lvl w:ilvl="1" w:tplc="B8005042" w:tentative="1">
      <w:start w:val="1"/>
      <w:numFmt w:val="decimal"/>
      <w:lvlText w:val="%2."/>
      <w:lvlJc w:val="left"/>
      <w:pPr>
        <w:tabs>
          <w:tab w:val="num" w:pos="1440"/>
        </w:tabs>
        <w:ind w:left="1440" w:hanging="360"/>
      </w:pPr>
    </w:lvl>
    <w:lvl w:ilvl="2" w:tplc="4636E232" w:tentative="1">
      <w:start w:val="1"/>
      <w:numFmt w:val="decimal"/>
      <w:lvlText w:val="%3."/>
      <w:lvlJc w:val="left"/>
      <w:pPr>
        <w:tabs>
          <w:tab w:val="num" w:pos="2160"/>
        </w:tabs>
        <w:ind w:left="2160" w:hanging="360"/>
      </w:pPr>
    </w:lvl>
    <w:lvl w:ilvl="3" w:tplc="3300FBFC" w:tentative="1">
      <w:start w:val="1"/>
      <w:numFmt w:val="decimal"/>
      <w:lvlText w:val="%4."/>
      <w:lvlJc w:val="left"/>
      <w:pPr>
        <w:tabs>
          <w:tab w:val="num" w:pos="2880"/>
        </w:tabs>
        <w:ind w:left="2880" w:hanging="360"/>
      </w:pPr>
    </w:lvl>
    <w:lvl w:ilvl="4" w:tplc="B5D08E22" w:tentative="1">
      <w:start w:val="1"/>
      <w:numFmt w:val="decimal"/>
      <w:lvlText w:val="%5."/>
      <w:lvlJc w:val="left"/>
      <w:pPr>
        <w:tabs>
          <w:tab w:val="num" w:pos="3600"/>
        </w:tabs>
        <w:ind w:left="3600" w:hanging="360"/>
      </w:pPr>
    </w:lvl>
    <w:lvl w:ilvl="5" w:tplc="49104BB8" w:tentative="1">
      <w:start w:val="1"/>
      <w:numFmt w:val="decimal"/>
      <w:lvlText w:val="%6."/>
      <w:lvlJc w:val="left"/>
      <w:pPr>
        <w:tabs>
          <w:tab w:val="num" w:pos="4320"/>
        </w:tabs>
        <w:ind w:left="4320" w:hanging="360"/>
      </w:pPr>
    </w:lvl>
    <w:lvl w:ilvl="6" w:tplc="4D8A2F3C" w:tentative="1">
      <w:start w:val="1"/>
      <w:numFmt w:val="decimal"/>
      <w:lvlText w:val="%7."/>
      <w:lvlJc w:val="left"/>
      <w:pPr>
        <w:tabs>
          <w:tab w:val="num" w:pos="5040"/>
        </w:tabs>
        <w:ind w:left="5040" w:hanging="360"/>
      </w:pPr>
    </w:lvl>
    <w:lvl w:ilvl="7" w:tplc="91D65EBA" w:tentative="1">
      <w:start w:val="1"/>
      <w:numFmt w:val="decimal"/>
      <w:lvlText w:val="%8."/>
      <w:lvlJc w:val="left"/>
      <w:pPr>
        <w:tabs>
          <w:tab w:val="num" w:pos="5760"/>
        </w:tabs>
        <w:ind w:left="5760" w:hanging="360"/>
      </w:pPr>
    </w:lvl>
    <w:lvl w:ilvl="8" w:tplc="6A608632" w:tentative="1">
      <w:start w:val="1"/>
      <w:numFmt w:val="decimal"/>
      <w:lvlText w:val="%9."/>
      <w:lvlJc w:val="left"/>
      <w:pPr>
        <w:tabs>
          <w:tab w:val="num" w:pos="6480"/>
        </w:tabs>
        <w:ind w:left="6480" w:hanging="360"/>
      </w:pPr>
    </w:lvl>
  </w:abstractNum>
  <w:abstractNum w:abstractNumId="19">
    <w:nsid w:val="4063687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457C6720"/>
    <w:multiLevelType w:val="hybridMultilevel"/>
    <w:tmpl w:val="F11E9C1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8041206"/>
    <w:multiLevelType w:val="hybridMultilevel"/>
    <w:tmpl w:val="5E6273B0"/>
    <w:lvl w:ilvl="0" w:tplc="17DCBA1A">
      <w:start w:val="1"/>
      <w:numFmt w:val="decimal"/>
      <w:lvlText w:val="1.%1.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A1A1D39"/>
    <w:multiLevelType w:val="hybridMultilevel"/>
    <w:tmpl w:val="1A38170C"/>
    <w:lvl w:ilvl="0" w:tplc="5FA48B8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A8B0DB9"/>
    <w:multiLevelType w:val="hybridMultilevel"/>
    <w:tmpl w:val="4BF8C8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B7E73A3"/>
    <w:multiLevelType w:val="hybridMultilevel"/>
    <w:tmpl w:val="A60CBB34"/>
    <w:lvl w:ilvl="0" w:tplc="B3E61BB4">
      <w:start w:val="1"/>
      <w:numFmt w:val="decimal"/>
      <w:lvlText w:val="%1.  "/>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E8A4EED"/>
    <w:multiLevelType w:val="hybridMultilevel"/>
    <w:tmpl w:val="FDB469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FC62B6B"/>
    <w:multiLevelType w:val="hybridMultilevel"/>
    <w:tmpl w:val="C6C04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3176BC7"/>
    <w:multiLevelType w:val="hybridMultilevel"/>
    <w:tmpl w:val="9DA65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354136F"/>
    <w:multiLevelType w:val="hybridMultilevel"/>
    <w:tmpl w:val="5C90600C"/>
    <w:lvl w:ilvl="0" w:tplc="2000EB26">
      <w:start w:val="1"/>
      <w:numFmt w:val="decimal"/>
      <w:lvlText w:val="%1."/>
      <w:lvlJc w:val="left"/>
      <w:pPr>
        <w:tabs>
          <w:tab w:val="num" w:pos="720"/>
        </w:tabs>
        <w:ind w:left="720" w:hanging="360"/>
      </w:pPr>
    </w:lvl>
    <w:lvl w:ilvl="1" w:tplc="B8005042" w:tentative="1">
      <w:start w:val="1"/>
      <w:numFmt w:val="decimal"/>
      <w:lvlText w:val="%2."/>
      <w:lvlJc w:val="left"/>
      <w:pPr>
        <w:tabs>
          <w:tab w:val="num" w:pos="1440"/>
        </w:tabs>
        <w:ind w:left="1440" w:hanging="360"/>
      </w:pPr>
    </w:lvl>
    <w:lvl w:ilvl="2" w:tplc="4636E232" w:tentative="1">
      <w:start w:val="1"/>
      <w:numFmt w:val="decimal"/>
      <w:lvlText w:val="%3."/>
      <w:lvlJc w:val="left"/>
      <w:pPr>
        <w:tabs>
          <w:tab w:val="num" w:pos="2160"/>
        </w:tabs>
        <w:ind w:left="2160" w:hanging="360"/>
      </w:pPr>
    </w:lvl>
    <w:lvl w:ilvl="3" w:tplc="3300FBFC" w:tentative="1">
      <w:start w:val="1"/>
      <w:numFmt w:val="decimal"/>
      <w:lvlText w:val="%4."/>
      <w:lvlJc w:val="left"/>
      <w:pPr>
        <w:tabs>
          <w:tab w:val="num" w:pos="2880"/>
        </w:tabs>
        <w:ind w:left="2880" w:hanging="360"/>
      </w:pPr>
    </w:lvl>
    <w:lvl w:ilvl="4" w:tplc="B5D08E22" w:tentative="1">
      <w:start w:val="1"/>
      <w:numFmt w:val="decimal"/>
      <w:lvlText w:val="%5."/>
      <w:lvlJc w:val="left"/>
      <w:pPr>
        <w:tabs>
          <w:tab w:val="num" w:pos="3600"/>
        </w:tabs>
        <w:ind w:left="3600" w:hanging="360"/>
      </w:pPr>
    </w:lvl>
    <w:lvl w:ilvl="5" w:tplc="49104BB8" w:tentative="1">
      <w:start w:val="1"/>
      <w:numFmt w:val="decimal"/>
      <w:lvlText w:val="%6."/>
      <w:lvlJc w:val="left"/>
      <w:pPr>
        <w:tabs>
          <w:tab w:val="num" w:pos="4320"/>
        </w:tabs>
        <w:ind w:left="4320" w:hanging="360"/>
      </w:pPr>
    </w:lvl>
    <w:lvl w:ilvl="6" w:tplc="4D8A2F3C" w:tentative="1">
      <w:start w:val="1"/>
      <w:numFmt w:val="decimal"/>
      <w:lvlText w:val="%7."/>
      <w:lvlJc w:val="left"/>
      <w:pPr>
        <w:tabs>
          <w:tab w:val="num" w:pos="5040"/>
        </w:tabs>
        <w:ind w:left="5040" w:hanging="360"/>
      </w:pPr>
    </w:lvl>
    <w:lvl w:ilvl="7" w:tplc="91D65EBA" w:tentative="1">
      <w:start w:val="1"/>
      <w:numFmt w:val="decimal"/>
      <w:lvlText w:val="%8."/>
      <w:lvlJc w:val="left"/>
      <w:pPr>
        <w:tabs>
          <w:tab w:val="num" w:pos="5760"/>
        </w:tabs>
        <w:ind w:left="5760" w:hanging="360"/>
      </w:pPr>
    </w:lvl>
    <w:lvl w:ilvl="8" w:tplc="6A608632" w:tentative="1">
      <w:start w:val="1"/>
      <w:numFmt w:val="decimal"/>
      <w:lvlText w:val="%9."/>
      <w:lvlJc w:val="left"/>
      <w:pPr>
        <w:tabs>
          <w:tab w:val="num" w:pos="6480"/>
        </w:tabs>
        <w:ind w:left="6480" w:hanging="360"/>
      </w:pPr>
    </w:lvl>
  </w:abstractNum>
  <w:abstractNum w:abstractNumId="29">
    <w:nsid w:val="57900067"/>
    <w:multiLevelType w:val="hybridMultilevel"/>
    <w:tmpl w:val="3BD022AE"/>
    <w:lvl w:ilvl="0" w:tplc="D0947298">
      <w:start w:val="1"/>
      <w:numFmt w:val="bullet"/>
      <w:lvlText w:val="•"/>
      <w:lvlJc w:val="left"/>
      <w:pPr>
        <w:tabs>
          <w:tab w:val="num" w:pos="720"/>
        </w:tabs>
        <w:ind w:left="720" w:hanging="360"/>
      </w:pPr>
      <w:rPr>
        <w:rFonts w:ascii="Times New Roman" w:hAnsi="Times New Roman" w:hint="default"/>
      </w:rPr>
    </w:lvl>
    <w:lvl w:ilvl="1" w:tplc="8B64E5B2" w:tentative="1">
      <w:start w:val="1"/>
      <w:numFmt w:val="bullet"/>
      <w:lvlText w:val="•"/>
      <w:lvlJc w:val="left"/>
      <w:pPr>
        <w:tabs>
          <w:tab w:val="num" w:pos="1440"/>
        </w:tabs>
        <w:ind w:left="1440" w:hanging="360"/>
      </w:pPr>
      <w:rPr>
        <w:rFonts w:ascii="Times New Roman" w:hAnsi="Times New Roman" w:hint="default"/>
      </w:rPr>
    </w:lvl>
    <w:lvl w:ilvl="2" w:tplc="7E8674B4" w:tentative="1">
      <w:start w:val="1"/>
      <w:numFmt w:val="bullet"/>
      <w:lvlText w:val="•"/>
      <w:lvlJc w:val="left"/>
      <w:pPr>
        <w:tabs>
          <w:tab w:val="num" w:pos="2160"/>
        </w:tabs>
        <w:ind w:left="2160" w:hanging="360"/>
      </w:pPr>
      <w:rPr>
        <w:rFonts w:ascii="Times New Roman" w:hAnsi="Times New Roman" w:hint="default"/>
      </w:rPr>
    </w:lvl>
    <w:lvl w:ilvl="3" w:tplc="B48037E0" w:tentative="1">
      <w:start w:val="1"/>
      <w:numFmt w:val="bullet"/>
      <w:lvlText w:val="•"/>
      <w:lvlJc w:val="left"/>
      <w:pPr>
        <w:tabs>
          <w:tab w:val="num" w:pos="2880"/>
        </w:tabs>
        <w:ind w:left="2880" w:hanging="360"/>
      </w:pPr>
      <w:rPr>
        <w:rFonts w:ascii="Times New Roman" w:hAnsi="Times New Roman" w:hint="default"/>
      </w:rPr>
    </w:lvl>
    <w:lvl w:ilvl="4" w:tplc="ECBA496E" w:tentative="1">
      <w:start w:val="1"/>
      <w:numFmt w:val="bullet"/>
      <w:lvlText w:val="•"/>
      <w:lvlJc w:val="left"/>
      <w:pPr>
        <w:tabs>
          <w:tab w:val="num" w:pos="3600"/>
        </w:tabs>
        <w:ind w:left="3600" w:hanging="360"/>
      </w:pPr>
      <w:rPr>
        <w:rFonts w:ascii="Times New Roman" w:hAnsi="Times New Roman" w:hint="default"/>
      </w:rPr>
    </w:lvl>
    <w:lvl w:ilvl="5" w:tplc="65F26690" w:tentative="1">
      <w:start w:val="1"/>
      <w:numFmt w:val="bullet"/>
      <w:lvlText w:val="•"/>
      <w:lvlJc w:val="left"/>
      <w:pPr>
        <w:tabs>
          <w:tab w:val="num" w:pos="4320"/>
        </w:tabs>
        <w:ind w:left="4320" w:hanging="360"/>
      </w:pPr>
      <w:rPr>
        <w:rFonts w:ascii="Times New Roman" w:hAnsi="Times New Roman" w:hint="default"/>
      </w:rPr>
    </w:lvl>
    <w:lvl w:ilvl="6" w:tplc="2AEAA3A0" w:tentative="1">
      <w:start w:val="1"/>
      <w:numFmt w:val="bullet"/>
      <w:lvlText w:val="•"/>
      <w:lvlJc w:val="left"/>
      <w:pPr>
        <w:tabs>
          <w:tab w:val="num" w:pos="5040"/>
        </w:tabs>
        <w:ind w:left="5040" w:hanging="360"/>
      </w:pPr>
      <w:rPr>
        <w:rFonts w:ascii="Times New Roman" w:hAnsi="Times New Roman" w:hint="default"/>
      </w:rPr>
    </w:lvl>
    <w:lvl w:ilvl="7" w:tplc="A134D6A2" w:tentative="1">
      <w:start w:val="1"/>
      <w:numFmt w:val="bullet"/>
      <w:lvlText w:val="•"/>
      <w:lvlJc w:val="left"/>
      <w:pPr>
        <w:tabs>
          <w:tab w:val="num" w:pos="5760"/>
        </w:tabs>
        <w:ind w:left="5760" w:hanging="360"/>
      </w:pPr>
      <w:rPr>
        <w:rFonts w:ascii="Times New Roman" w:hAnsi="Times New Roman" w:hint="default"/>
      </w:rPr>
    </w:lvl>
    <w:lvl w:ilvl="8" w:tplc="883E50AC" w:tentative="1">
      <w:start w:val="1"/>
      <w:numFmt w:val="bullet"/>
      <w:lvlText w:val="•"/>
      <w:lvlJc w:val="left"/>
      <w:pPr>
        <w:tabs>
          <w:tab w:val="num" w:pos="6480"/>
        </w:tabs>
        <w:ind w:left="6480" w:hanging="360"/>
      </w:pPr>
      <w:rPr>
        <w:rFonts w:ascii="Times New Roman" w:hAnsi="Times New Roman" w:hint="default"/>
      </w:rPr>
    </w:lvl>
  </w:abstractNum>
  <w:abstractNum w:abstractNumId="30">
    <w:nsid w:val="60F552D3"/>
    <w:multiLevelType w:val="hybridMultilevel"/>
    <w:tmpl w:val="41D858F4"/>
    <w:lvl w:ilvl="0" w:tplc="6D0C0602">
      <w:start w:val="1"/>
      <w:numFmt w:val="decimal"/>
      <w:lvlText w:val="%1.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5AE0EBF"/>
    <w:multiLevelType w:val="hybridMultilevel"/>
    <w:tmpl w:val="D9BE01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nsid w:val="6B6C5062"/>
    <w:multiLevelType w:val="hybridMultilevel"/>
    <w:tmpl w:val="3154A9C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CAA03A0"/>
    <w:multiLevelType w:val="hybridMultilevel"/>
    <w:tmpl w:val="78B2E7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E335997"/>
    <w:multiLevelType w:val="hybridMultilevel"/>
    <w:tmpl w:val="5CC2017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2E45F41"/>
    <w:multiLevelType w:val="hybridMultilevel"/>
    <w:tmpl w:val="294836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33D495C"/>
    <w:multiLevelType w:val="hybridMultilevel"/>
    <w:tmpl w:val="8A36D4FA"/>
    <w:lvl w:ilvl="0" w:tplc="9566EDAA">
      <w:start w:val="1"/>
      <w:numFmt w:val="decimal"/>
      <w:lvlText w:val="[%1] "/>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75672FD2"/>
    <w:multiLevelType w:val="multilevel"/>
    <w:tmpl w:val="73248D14"/>
    <w:lvl w:ilvl="0">
      <w:start w:val="1"/>
      <w:numFmt w:val="decimal"/>
      <w:lvlText w:val="%1.  "/>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77BE14CE"/>
    <w:multiLevelType w:val="hybridMultilevel"/>
    <w:tmpl w:val="F75E9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BE54E5D"/>
    <w:multiLevelType w:val="hybridMultilevel"/>
    <w:tmpl w:val="1A881428"/>
    <w:lvl w:ilvl="0" w:tplc="04090001">
      <w:start w:val="1"/>
      <w:numFmt w:val="bullet"/>
      <w:lvlText w:val=""/>
      <w:lvlJc w:val="left"/>
      <w:pPr>
        <w:ind w:left="1141" w:hanging="360"/>
      </w:pPr>
      <w:rPr>
        <w:rFonts w:ascii="Symbol" w:hAnsi="Symbol" w:hint="default"/>
      </w:rPr>
    </w:lvl>
    <w:lvl w:ilvl="1" w:tplc="04090003" w:tentative="1">
      <w:start w:val="1"/>
      <w:numFmt w:val="bullet"/>
      <w:lvlText w:val="o"/>
      <w:lvlJc w:val="left"/>
      <w:pPr>
        <w:ind w:left="1861" w:hanging="360"/>
      </w:pPr>
      <w:rPr>
        <w:rFonts w:ascii="Courier New" w:hAnsi="Courier New" w:cs="Courier New" w:hint="default"/>
      </w:rPr>
    </w:lvl>
    <w:lvl w:ilvl="2" w:tplc="04090005" w:tentative="1">
      <w:start w:val="1"/>
      <w:numFmt w:val="bullet"/>
      <w:lvlText w:val=""/>
      <w:lvlJc w:val="left"/>
      <w:pPr>
        <w:ind w:left="2581" w:hanging="360"/>
      </w:pPr>
      <w:rPr>
        <w:rFonts w:ascii="Wingdings" w:hAnsi="Wingdings" w:hint="default"/>
      </w:rPr>
    </w:lvl>
    <w:lvl w:ilvl="3" w:tplc="04090001" w:tentative="1">
      <w:start w:val="1"/>
      <w:numFmt w:val="bullet"/>
      <w:lvlText w:val=""/>
      <w:lvlJc w:val="left"/>
      <w:pPr>
        <w:ind w:left="3301" w:hanging="360"/>
      </w:pPr>
      <w:rPr>
        <w:rFonts w:ascii="Symbol" w:hAnsi="Symbol" w:hint="default"/>
      </w:rPr>
    </w:lvl>
    <w:lvl w:ilvl="4" w:tplc="04090003" w:tentative="1">
      <w:start w:val="1"/>
      <w:numFmt w:val="bullet"/>
      <w:lvlText w:val="o"/>
      <w:lvlJc w:val="left"/>
      <w:pPr>
        <w:ind w:left="4021" w:hanging="360"/>
      </w:pPr>
      <w:rPr>
        <w:rFonts w:ascii="Courier New" w:hAnsi="Courier New" w:cs="Courier New" w:hint="default"/>
      </w:rPr>
    </w:lvl>
    <w:lvl w:ilvl="5" w:tplc="04090005" w:tentative="1">
      <w:start w:val="1"/>
      <w:numFmt w:val="bullet"/>
      <w:lvlText w:val=""/>
      <w:lvlJc w:val="left"/>
      <w:pPr>
        <w:ind w:left="4741" w:hanging="360"/>
      </w:pPr>
      <w:rPr>
        <w:rFonts w:ascii="Wingdings" w:hAnsi="Wingdings" w:hint="default"/>
      </w:rPr>
    </w:lvl>
    <w:lvl w:ilvl="6" w:tplc="04090001" w:tentative="1">
      <w:start w:val="1"/>
      <w:numFmt w:val="bullet"/>
      <w:lvlText w:val=""/>
      <w:lvlJc w:val="left"/>
      <w:pPr>
        <w:ind w:left="5461" w:hanging="360"/>
      </w:pPr>
      <w:rPr>
        <w:rFonts w:ascii="Symbol" w:hAnsi="Symbol" w:hint="default"/>
      </w:rPr>
    </w:lvl>
    <w:lvl w:ilvl="7" w:tplc="04090003" w:tentative="1">
      <w:start w:val="1"/>
      <w:numFmt w:val="bullet"/>
      <w:lvlText w:val="o"/>
      <w:lvlJc w:val="left"/>
      <w:pPr>
        <w:ind w:left="6181" w:hanging="360"/>
      </w:pPr>
      <w:rPr>
        <w:rFonts w:ascii="Courier New" w:hAnsi="Courier New" w:cs="Courier New" w:hint="default"/>
      </w:rPr>
    </w:lvl>
    <w:lvl w:ilvl="8" w:tplc="04090005" w:tentative="1">
      <w:start w:val="1"/>
      <w:numFmt w:val="bullet"/>
      <w:lvlText w:val=""/>
      <w:lvlJc w:val="left"/>
      <w:pPr>
        <w:ind w:left="6901" w:hanging="360"/>
      </w:pPr>
      <w:rPr>
        <w:rFonts w:ascii="Wingdings" w:hAnsi="Wingdings" w:hint="default"/>
      </w:rPr>
    </w:lvl>
  </w:abstractNum>
  <w:num w:numId="1">
    <w:abstractNumId w:val="5"/>
  </w:num>
  <w:num w:numId="2">
    <w:abstractNumId w:val="23"/>
  </w:num>
  <w:num w:numId="3">
    <w:abstractNumId w:val="33"/>
  </w:num>
  <w:num w:numId="4">
    <w:abstractNumId w:val="13"/>
  </w:num>
  <w:num w:numId="5">
    <w:abstractNumId w:val="7"/>
  </w:num>
  <w:num w:numId="6">
    <w:abstractNumId w:val="26"/>
  </w:num>
  <w:num w:numId="7">
    <w:abstractNumId w:val="35"/>
  </w:num>
  <w:num w:numId="8">
    <w:abstractNumId w:val="3"/>
  </w:num>
  <w:num w:numId="9">
    <w:abstractNumId w:val="25"/>
  </w:num>
  <w:num w:numId="10">
    <w:abstractNumId w:val="32"/>
  </w:num>
  <w:num w:numId="11">
    <w:abstractNumId w:val="20"/>
  </w:num>
  <w:num w:numId="12">
    <w:abstractNumId w:val="27"/>
  </w:num>
  <w:num w:numId="13">
    <w:abstractNumId w:val="24"/>
  </w:num>
  <w:num w:numId="14">
    <w:abstractNumId w:val="30"/>
  </w:num>
  <w:num w:numId="15">
    <w:abstractNumId w:val="8"/>
  </w:num>
  <w:num w:numId="16">
    <w:abstractNumId w:val="15"/>
  </w:num>
  <w:num w:numId="17">
    <w:abstractNumId w:val="21"/>
  </w:num>
  <w:num w:numId="18">
    <w:abstractNumId w:val="19"/>
  </w:num>
  <w:num w:numId="19">
    <w:abstractNumId w:val="37"/>
  </w:num>
  <w:num w:numId="20">
    <w:abstractNumId w:val="2"/>
  </w:num>
  <w:num w:numId="21">
    <w:abstractNumId w:val="6"/>
  </w:num>
  <w:num w:numId="22">
    <w:abstractNumId w:val="9"/>
  </w:num>
  <w:num w:numId="23">
    <w:abstractNumId w:val="38"/>
  </w:num>
  <w:num w:numId="24">
    <w:abstractNumId w:val="11"/>
  </w:num>
  <w:num w:numId="25">
    <w:abstractNumId w:val="28"/>
  </w:num>
  <w:num w:numId="26">
    <w:abstractNumId w:val="18"/>
  </w:num>
  <w:num w:numId="27">
    <w:abstractNumId w:val="16"/>
  </w:num>
  <w:num w:numId="28">
    <w:abstractNumId w:val="12"/>
  </w:num>
  <w:num w:numId="29">
    <w:abstractNumId w:val="31"/>
  </w:num>
  <w:num w:numId="30">
    <w:abstractNumId w:val="14"/>
  </w:num>
  <w:num w:numId="31">
    <w:abstractNumId w:val="39"/>
  </w:num>
  <w:num w:numId="32">
    <w:abstractNumId w:val="36"/>
  </w:num>
  <w:num w:numId="33">
    <w:abstractNumId w:val="17"/>
  </w:num>
  <w:num w:numId="34">
    <w:abstractNumId w:val="22"/>
  </w:num>
  <w:num w:numId="35">
    <w:abstractNumId w:val="4"/>
  </w:num>
  <w:num w:numId="36">
    <w:abstractNumId w:val="10"/>
  </w:num>
  <w:num w:numId="37">
    <w:abstractNumId w:val="29"/>
  </w:num>
  <w:num w:numId="38">
    <w:abstractNumId w:val="0"/>
  </w:num>
  <w:num w:numId="39">
    <w:abstractNumId w:val="34"/>
  </w:num>
  <w:num w:numId="4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3"/>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201F99"/>
    <w:rsid w:val="0000419A"/>
    <w:rsid w:val="00004547"/>
    <w:rsid w:val="00004D20"/>
    <w:rsid w:val="000216C2"/>
    <w:rsid w:val="00031D43"/>
    <w:rsid w:val="00033A8E"/>
    <w:rsid w:val="00034AD1"/>
    <w:rsid w:val="00035B75"/>
    <w:rsid w:val="00037D12"/>
    <w:rsid w:val="00042F4A"/>
    <w:rsid w:val="000434C8"/>
    <w:rsid w:val="00050B54"/>
    <w:rsid w:val="00061236"/>
    <w:rsid w:val="00062ED0"/>
    <w:rsid w:val="0006585F"/>
    <w:rsid w:val="00067C86"/>
    <w:rsid w:val="00070634"/>
    <w:rsid w:val="00074597"/>
    <w:rsid w:val="000747D6"/>
    <w:rsid w:val="000766EC"/>
    <w:rsid w:val="00081010"/>
    <w:rsid w:val="00092AE8"/>
    <w:rsid w:val="0009381C"/>
    <w:rsid w:val="000938C5"/>
    <w:rsid w:val="0009626B"/>
    <w:rsid w:val="000973BD"/>
    <w:rsid w:val="000A1EA4"/>
    <w:rsid w:val="000B6F66"/>
    <w:rsid w:val="000C5E2C"/>
    <w:rsid w:val="000D00ED"/>
    <w:rsid w:val="000D02E4"/>
    <w:rsid w:val="000D290D"/>
    <w:rsid w:val="000D3854"/>
    <w:rsid w:val="000D3EEB"/>
    <w:rsid w:val="000E21A9"/>
    <w:rsid w:val="000E4A16"/>
    <w:rsid w:val="000E783E"/>
    <w:rsid w:val="000F6DFD"/>
    <w:rsid w:val="000F7F2E"/>
    <w:rsid w:val="00101FF3"/>
    <w:rsid w:val="001027C6"/>
    <w:rsid w:val="00110A5C"/>
    <w:rsid w:val="00111410"/>
    <w:rsid w:val="00115CFC"/>
    <w:rsid w:val="0012536F"/>
    <w:rsid w:val="00126E66"/>
    <w:rsid w:val="00131598"/>
    <w:rsid w:val="00132EC9"/>
    <w:rsid w:val="00136D07"/>
    <w:rsid w:val="001469FB"/>
    <w:rsid w:val="0015312F"/>
    <w:rsid w:val="0015404B"/>
    <w:rsid w:val="00154D42"/>
    <w:rsid w:val="00162B3C"/>
    <w:rsid w:val="001678E2"/>
    <w:rsid w:val="00171BC9"/>
    <w:rsid w:val="00172940"/>
    <w:rsid w:val="00174AA9"/>
    <w:rsid w:val="00177FCB"/>
    <w:rsid w:val="00180AB2"/>
    <w:rsid w:val="001843A9"/>
    <w:rsid w:val="0018572C"/>
    <w:rsid w:val="0019382E"/>
    <w:rsid w:val="001948D9"/>
    <w:rsid w:val="001951DB"/>
    <w:rsid w:val="00197713"/>
    <w:rsid w:val="001A40B4"/>
    <w:rsid w:val="001A6B55"/>
    <w:rsid w:val="001C374B"/>
    <w:rsid w:val="001D1991"/>
    <w:rsid w:val="001D7F7D"/>
    <w:rsid w:val="001E2634"/>
    <w:rsid w:val="001E2FAF"/>
    <w:rsid w:val="001F0429"/>
    <w:rsid w:val="00201F99"/>
    <w:rsid w:val="002040EC"/>
    <w:rsid w:val="00207C90"/>
    <w:rsid w:val="00220B7D"/>
    <w:rsid w:val="00220D1F"/>
    <w:rsid w:val="0023146E"/>
    <w:rsid w:val="0023373C"/>
    <w:rsid w:val="00236B35"/>
    <w:rsid w:val="00241575"/>
    <w:rsid w:val="00250806"/>
    <w:rsid w:val="00256169"/>
    <w:rsid w:val="00257C87"/>
    <w:rsid w:val="00267316"/>
    <w:rsid w:val="002809C7"/>
    <w:rsid w:val="00282B56"/>
    <w:rsid w:val="002A3E13"/>
    <w:rsid w:val="002A463D"/>
    <w:rsid w:val="002B6F46"/>
    <w:rsid w:val="002C0382"/>
    <w:rsid w:val="002C0837"/>
    <w:rsid w:val="002C2FEB"/>
    <w:rsid w:val="002C4E29"/>
    <w:rsid w:val="002C6C33"/>
    <w:rsid w:val="002C6D76"/>
    <w:rsid w:val="002D3E45"/>
    <w:rsid w:val="002E099A"/>
    <w:rsid w:val="002E259A"/>
    <w:rsid w:val="002E3D9C"/>
    <w:rsid w:val="00300028"/>
    <w:rsid w:val="0030164D"/>
    <w:rsid w:val="00302E9C"/>
    <w:rsid w:val="003048F7"/>
    <w:rsid w:val="003132C4"/>
    <w:rsid w:val="00313C9D"/>
    <w:rsid w:val="003153ED"/>
    <w:rsid w:val="00317375"/>
    <w:rsid w:val="00317688"/>
    <w:rsid w:val="00320AAC"/>
    <w:rsid w:val="00321102"/>
    <w:rsid w:val="00324072"/>
    <w:rsid w:val="0032519B"/>
    <w:rsid w:val="003261D2"/>
    <w:rsid w:val="00334F95"/>
    <w:rsid w:val="00336989"/>
    <w:rsid w:val="00352CC5"/>
    <w:rsid w:val="00355EDD"/>
    <w:rsid w:val="00363E8D"/>
    <w:rsid w:val="00372EA6"/>
    <w:rsid w:val="00376E39"/>
    <w:rsid w:val="00382712"/>
    <w:rsid w:val="00385B6D"/>
    <w:rsid w:val="00392B3A"/>
    <w:rsid w:val="00393815"/>
    <w:rsid w:val="0039423D"/>
    <w:rsid w:val="003A5C4A"/>
    <w:rsid w:val="003B3FFD"/>
    <w:rsid w:val="003B5B12"/>
    <w:rsid w:val="003D2D1A"/>
    <w:rsid w:val="003D5DE3"/>
    <w:rsid w:val="003E0851"/>
    <w:rsid w:val="003E110B"/>
    <w:rsid w:val="003E77A1"/>
    <w:rsid w:val="003F0990"/>
    <w:rsid w:val="003F0CAA"/>
    <w:rsid w:val="003F158A"/>
    <w:rsid w:val="003F1F77"/>
    <w:rsid w:val="003F2B43"/>
    <w:rsid w:val="003F655B"/>
    <w:rsid w:val="00416775"/>
    <w:rsid w:val="00417169"/>
    <w:rsid w:val="00417ABA"/>
    <w:rsid w:val="004207C6"/>
    <w:rsid w:val="0042249D"/>
    <w:rsid w:val="0042650D"/>
    <w:rsid w:val="00426AC4"/>
    <w:rsid w:val="00436A3A"/>
    <w:rsid w:val="0044255E"/>
    <w:rsid w:val="00453B91"/>
    <w:rsid w:val="00457A92"/>
    <w:rsid w:val="00460043"/>
    <w:rsid w:val="0046087B"/>
    <w:rsid w:val="00462EB9"/>
    <w:rsid w:val="0047412B"/>
    <w:rsid w:val="0048388B"/>
    <w:rsid w:val="00483A89"/>
    <w:rsid w:val="004842FC"/>
    <w:rsid w:val="00486F5D"/>
    <w:rsid w:val="00487358"/>
    <w:rsid w:val="004918D8"/>
    <w:rsid w:val="00492BDA"/>
    <w:rsid w:val="00493490"/>
    <w:rsid w:val="0049691B"/>
    <w:rsid w:val="004969AB"/>
    <w:rsid w:val="00497B61"/>
    <w:rsid w:val="004A10BA"/>
    <w:rsid w:val="004A3AF2"/>
    <w:rsid w:val="004A78DC"/>
    <w:rsid w:val="004B1A84"/>
    <w:rsid w:val="004B472F"/>
    <w:rsid w:val="004C0C3E"/>
    <w:rsid w:val="004C114F"/>
    <w:rsid w:val="004C2603"/>
    <w:rsid w:val="004C3625"/>
    <w:rsid w:val="004C47B8"/>
    <w:rsid w:val="004C58B5"/>
    <w:rsid w:val="004C7566"/>
    <w:rsid w:val="004D0F3F"/>
    <w:rsid w:val="004D6CD8"/>
    <w:rsid w:val="004E78C9"/>
    <w:rsid w:val="004F367E"/>
    <w:rsid w:val="004F42F4"/>
    <w:rsid w:val="00502FB8"/>
    <w:rsid w:val="00506AA8"/>
    <w:rsid w:val="00515095"/>
    <w:rsid w:val="00524908"/>
    <w:rsid w:val="00525143"/>
    <w:rsid w:val="00532BDA"/>
    <w:rsid w:val="00535B14"/>
    <w:rsid w:val="005449F3"/>
    <w:rsid w:val="00550A53"/>
    <w:rsid w:val="005558D3"/>
    <w:rsid w:val="00556007"/>
    <w:rsid w:val="0055602F"/>
    <w:rsid w:val="00556F68"/>
    <w:rsid w:val="005628E5"/>
    <w:rsid w:val="00567A1D"/>
    <w:rsid w:val="00567EF7"/>
    <w:rsid w:val="00570212"/>
    <w:rsid w:val="0057248D"/>
    <w:rsid w:val="005737CA"/>
    <w:rsid w:val="00595B0D"/>
    <w:rsid w:val="005A2E2F"/>
    <w:rsid w:val="005A30C5"/>
    <w:rsid w:val="005A6C1E"/>
    <w:rsid w:val="005B3E81"/>
    <w:rsid w:val="005B6704"/>
    <w:rsid w:val="005C0180"/>
    <w:rsid w:val="005D73E4"/>
    <w:rsid w:val="005E73E4"/>
    <w:rsid w:val="005F11AD"/>
    <w:rsid w:val="005F2714"/>
    <w:rsid w:val="005F2FCC"/>
    <w:rsid w:val="005F3855"/>
    <w:rsid w:val="005F50E8"/>
    <w:rsid w:val="005F6507"/>
    <w:rsid w:val="005F6B93"/>
    <w:rsid w:val="00601546"/>
    <w:rsid w:val="006025F0"/>
    <w:rsid w:val="00613442"/>
    <w:rsid w:val="0061389A"/>
    <w:rsid w:val="00616737"/>
    <w:rsid w:val="006272F4"/>
    <w:rsid w:val="006330E2"/>
    <w:rsid w:val="00633839"/>
    <w:rsid w:val="0063536E"/>
    <w:rsid w:val="00636C26"/>
    <w:rsid w:val="00641F6F"/>
    <w:rsid w:val="0064534F"/>
    <w:rsid w:val="00646BC2"/>
    <w:rsid w:val="00646C51"/>
    <w:rsid w:val="0065264E"/>
    <w:rsid w:val="006530C3"/>
    <w:rsid w:val="00656EA8"/>
    <w:rsid w:val="00661B0F"/>
    <w:rsid w:val="006637AA"/>
    <w:rsid w:val="00667FFE"/>
    <w:rsid w:val="00672F89"/>
    <w:rsid w:val="00677AA6"/>
    <w:rsid w:val="00680D15"/>
    <w:rsid w:val="006850F2"/>
    <w:rsid w:val="00691E47"/>
    <w:rsid w:val="006A020E"/>
    <w:rsid w:val="006A45AE"/>
    <w:rsid w:val="006A7BD7"/>
    <w:rsid w:val="006B1499"/>
    <w:rsid w:val="006B5D42"/>
    <w:rsid w:val="006C0212"/>
    <w:rsid w:val="006C09B0"/>
    <w:rsid w:val="006C25FF"/>
    <w:rsid w:val="006D04A0"/>
    <w:rsid w:val="006D1563"/>
    <w:rsid w:val="006D3A55"/>
    <w:rsid w:val="006D5F26"/>
    <w:rsid w:val="006E7E17"/>
    <w:rsid w:val="006F0079"/>
    <w:rsid w:val="006F3E48"/>
    <w:rsid w:val="00700F9A"/>
    <w:rsid w:val="00710995"/>
    <w:rsid w:val="00710A35"/>
    <w:rsid w:val="00723A31"/>
    <w:rsid w:val="00731BDA"/>
    <w:rsid w:val="00734EB7"/>
    <w:rsid w:val="007454FE"/>
    <w:rsid w:val="007511BD"/>
    <w:rsid w:val="007511FA"/>
    <w:rsid w:val="00755D28"/>
    <w:rsid w:val="00755E3D"/>
    <w:rsid w:val="007563CE"/>
    <w:rsid w:val="00763433"/>
    <w:rsid w:val="00767A99"/>
    <w:rsid w:val="007758B7"/>
    <w:rsid w:val="00777C99"/>
    <w:rsid w:val="00780CAF"/>
    <w:rsid w:val="00781ED6"/>
    <w:rsid w:val="007822D7"/>
    <w:rsid w:val="00784868"/>
    <w:rsid w:val="00786E38"/>
    <w:rsid w:val="007900D4"/>
    <w:rsid w:val="00797884"/>
    <w:rsid w:val="007A1306"/>
    <w:rsid w:val="007C6507"/>
    <w:rsid w:val="007C6E95"/>
    <w:rsid w:val="007E2379"/>
    <w:rsid w:val="008073A4"/>
    <w:rsid w:val="00807AB3"/>
    <w:rsid w:val="0081034D"/>
    <w:rsid w:val="00811081"/>
    <w:rsid w:val="00811A45"/>
    <w:rsid w:val="00823ACF"/>
    <w:rsid w:val="00826E19"/>
    <w:rsid w:val="008322A8"/>
    <w:rsid w:val="0083266C"/>
    <w:rsid w:val="00835012"/>
    <w:rsid w:val="00835AC5"/>
    <w:rsid w:val="0084150E"/>
    <w:rsid w:val="008523F6"/>
    <w:rsid w:val="00856BC8"/>
    <w:rsid w:val="00867A96"/>
    <w:rsid w:val="008703E3"/>
    <w:rsid w:val="008736AD"/>
    <w:rsid w:val="00876225"/>
    <w:rsid w:val="00882B22"/>
    <w:rsid w:val="00887795"/>
    <w:rsid w:val="00893860"/>
    <w:rsid w:val="00893B10"/>
    <w:rsid w:val="008B3E95"/>
    <w:rsid w:val="008C1450"/>
    <w:rsid w:val="008C2185"/>
    <w:rsid w:val="008C3BF8"/>
    <w:rsid w:val="008C5338"/>
    <w:rsid w:val="008D2C2C"/>
    <w:rsid w:val="008D3810"/>
    <w:rsid w:val="008D3EB0"/>
    <w:rsid w:val="008D6A4C"/>
    <w:rsid w:val="008E01CF"/>
    <w:rsid w:val="008E7DD6"/>
    <w:rsid w:val="008F05DF"/>
    <w:rsid w:val="008F2903"/>
    <w:rsid w:val="008F299E"/>
    <w:rsid w:val="009001DA"/>
    <w:rsid w:val="009005A3"/>
    <w:rsid w:val="0090343A"/>
    <w:rsid w:val="00903A31"/>
    <w:rsid w:val="00904F73"/>
    <w:rsid w:val="009067CA"/>
    <w:rsid w:val="0091078C"/>
    <w:rsid w:val="00910809"/>
    <w:rsid w:val="00913176"/>
    <w:rsid w:val="009138A3"/>
    <w:rsid w:val="0091523F"/>
    <w:rsid w:val="009167BC"/>
    <w:rsid w:val="00925497"/>
    <w:rsid w:val="009265BB"/>
    <w:rsid w:val="009322C8"/>
    <w:rsid w:val="00944624"/>
    <w:rsid w:val="00946F5C"/>
    <w:rsid w:val="00946F70"/>
    <w:rsid w:val="0095569A"/>
    <w:rsid w:val="00956209"/>
    <w:rsid w:val="0095789C"/>
    <w:rsid w:val="00961CAF"/>
    <w:rsid w:val="00963956"/>
    <w:rsid w:val="00966721"/>
    <w:rsid w:val="009750FC"/>
    <w:rsid w:val="00976390"/>
    <w:rsid w:val="009808E1"/>
    <w:rsid w:val="0098093A"/>
    <w:rsid w:val="00984559"/>
    <w:rsid w:val="00985D41"/>
    <w:rsid w:val="009860AE"/>
    <w:rsid w:val="00987200"/>
    <w:rsid w:val="0099756F"/>
    <w:rsid w:val="00997ED7"/>
    <w:rsid w:val="009A7F6A"/>
    <w:rsid w:val="009C168D"/>
    <w:rsid w:val="009C401F"/>
    <w:rsid w:val="009C7BC3"/>
    <w:rsid w:val="009D64CA"/>
    <w:rsid w:val="009D7B84"/>
    <w:rsid w:val="009E0158"/>
    <w:rsid w:val="009E1FF8"/>
    <w:rsid w:val="009F4461"/>
    <w:rsid w:val="009F474F"/>
    <w:rsid w:val="00A168A7"/>
    <w:rsid w:val="00A27A1E"/>
    <w:rsid w:val="00A33D0D"/>
    <w:rsid w:val="00A35723"/>
    <w:rsid w:val="00A37D42"/>
    <w:rsid w:val="00A40D0D"/>
    <w:rsid w:val="00A425FF"/>
    <w:rsid w:val="00A46864"/>
    <w:rsid w:val="00A52A92"/>
    <w:rsid w:val="00A6456B"/>
    <w:rsid w:val="00A704D4"/>
    <w:rsid w:val="00A72FAC"/>
    <w:rsid w:val="00A73838"/>
    <w:rsid w:val="00A80CA6"/>
    <w:rsid w:val="00A82B4E"/>
    <w:rsid w:val="00A900AC"/>
    <w:rsid w:val="00A95620"/>
    <w:rsid w:val="00AA149C"/>
    <w:rsid w:val="00AB4073"/>
    <w:rsid w:val="00AC4B60"/>
    <w:rsid w:val="00AC506C"/>
    <w:rsid w:val="00AC5634"/>
    <w:rsid w:val="00AD7501"/>
    <w:rsid w:val="00AE152F"/>
    <w:rsid w:val="00AE17F8"/>
    <w:rsid w:val="00AE1EF3"/>
    <w:rsid w:val="00AE415C"/>
    <w:rsid w:val="00AE4AD7"/>
    <w:rsid w:val="00AF3454"/>
    <w:rsid w:val="00AF709F"/>
    <w:rsid w:val="00B0068E"/>
    <w:rsid w:val="00B12830"/>
    <w:rsid w:val="00B13142"/>
    <w:rsid w:val="00B134EB"/>
    <w:rsid w:val="00B153A3"/>
    <w:rsid w:val="00B2199A"/>
    <w:rsid w:val="00B22A57"/>
    <w:rsid w:val="00B2458B"/>
    <w:rsid w:val="00B25AE8"/>
    <w:rsid w:val="00B322F0"/>
    <w:rsid w:val="00B32466"/>
    <w:rsid w:val="00B34656"/>
    <w:rsid w:val="00B4687C"/>
    <w:rsid w:val="00B4792D"/>
    <w:rsid w:val="00B5226F"/>
    <w:rsid w:val="00B55BDB"/>
    <w:rsid w:val="00B610AA"/>
    <w:rsid w:val="00B62DDA"/>
    <w:rsid w:val="00B679E7"/>
    <w:rsid w:val="00B67F31"/>
    <w:rsid w:val="00B8366E"/>
    <w:rsid w:val="00B862DF"/>
    <w:rsid w:val="00B91473"/>
    <w:rsid w:val="00B91C24"/>
    <w:rsid w:val="00B91CEE"/>
    <w:rsid w:val="00B95BEA"/>
    <w:rsid w:val="00B95F78"/>
    <w:rsid w:val="00BA2085"/>
    <w:rsid w:val="00BA41A5"/>
    <w:rsid w:val="00BA6DA2"/>
    <w:rsid w:val="00BA7EEC"/>
    <w:rsid w:val="00BB1BD9"/>
    <w:rsid w:val="00BB435A"/>
    <w:rsid w:val="00BB47CB"/>
    <w:rsid w:val="00BB7840"/>
    <w:rsid w:val="00BC25A7"/>
    <w:rsid w:val="00BC4BD6"/>
    <w:rsid w:val="00BC64E1"/>
    <w:rsid w:val="00BC658C"/>
    <w:rsid w:val="00BC715D"/>
    <w:rsid w:val="00BD1CB6"/>
    <w:rsid w:val="00BD7E3A"/>
    <w:rsid w:val="00BE31A1"/>
    <w:rsid w:val="00BE4748"/>
    <w:rsid w:val="00BF162F"/>
    <w:rsid w:val="00C02388"/>
    <w:rsid w:val="00C06370"/>
    <w:rsid w:val="00C0748E"/>
    <w:rsid w:val="00C1102C"/>
    <w:rsid w:val="00C14D60"/>
    <w:rsid w:val="00C15B75"/>
    <w:rsid w:val="00C167D7"/>
    <w:rsid w:val="00C20CA9"/>
    <w:rsid w:val="00C217F9"/>
    <w:rsid w:val="00C30857"/>
    <w:rsid w:val="00C43CE9"/>
    <w:rsid w:val="00C43F40"/>
    <w:rsid w:val="00C45588"/>
    <w:rsid w:val="00C47F68"/>
    <w:rsid w:val="00C62C36"/>
    <w:rsid w:val="00C65634"/>
    <w:rsid w:val="00C67546"/>
    <w:rsid w:val="00C80D7A"/>
    <w:rsid w:val="00C91AD5"/>
    <w:rsid w:val="00C94594"/>
    <w:rsid w:val="00C94ACD"/>
    <w:rsid w:val="00C97CDA"/>
    <w:rsid w:val="00CA2E5F"/>
    <w:rsid w:val="00CB0E49"/>
    <w:rsid w:val="00CB3AF8"/>
    <w:rsid w:val="00CD2CE0"/>
    <w:rsid w:val="00CD5664"/>
    <w:rsid w:val="00CD6A8D"/>
    <w:rsid w:val="00CE2546"/>
    <w:rsid w:val="00CE769C"/>
    <w:rsid w:val="00CF2405"/>
    <w:rsid w:val="00CF2AE2"/>
    <w:rsid w:val="00CF3BBF"/>
    <w:rsid w:val="00D01327"/>
    <w:rsid w:val="00D334F5"/>
    <w:rsid w:val="00D3484A"/>
    <w:rsid w:val="00D403FC"/>
    <w:rsid w:val="00D5167B"/>
    <w:rsid w:val="00D64A45"/>
    <w:rsid w:val="00D7670E"/>
    <w:rsid w:val="00D77EA3"/>
    <w:rsid w:val="00D80A96"/>
    <w:rsid w:val="00D81F46"/>
    <w:rsid w:val="00D82EAC"/>
    <w:rsid w:val="00D83585"/>
    <w:rsid w:val="00D8410C"/>
    <w:rsid w:val="00D8502A"/>
    <w:rsid w:val="00D86CBC"/>
    <w:rsid w:val="00D87191"/>
    <w:rsid w:val="00D9091E"/>
    <w:rsid w:val="00D91FAB"/>
    <w:rsid w:val="00DA531F"/>
    <w:rsid w:val="00DA6D67"/>
    <w:rsid w:val="00DC146B"/>
    <w:rsid w:val="00DC46CE"/>
    <w:rsid w:val="00DD4CC1"/>
    <w:rsid w:val="00DE01C8"/>
    <w:rsid w:val="00DE2231"/>
    <w:rsid w:val="00DE4879"/>
    <w:rsid w:val="00DE5151"/>
    <w:rsid w:val="00E00022"/>
    <w:rsid w:val="00E01527"/>
    <w:rsid w:val="00E0739C"/>
    <w:rsid w:val="00E117C1"/>
    <w:rsid w:val="00E11816"/>
    <w:rsid w:val="00E14D79"/>
    <w:rsid w:val="00E17381"/>
    <w:rsid w:val="00E219E4"/>
    <w:rsid w:val="00E22ED2"/>
    <w:rsid w:val="00E32C0F"/>
    <w:rsid w:val="00E35D20"/>
    <w:rsid w:val="00E37054"/>
    <w:rsid w:val="00E37E14"/>
    <w:rsid w:val="00E409A4"/>
    <w:rsid w:val="00E43152"/>
    <w:rsid w:val="00E43748"/>
    <w:rsid w:val="00E51DC4"/>
    <w:rsid w:val="00E52A16"/>
    <w:rsid w:val="00E555B8"/>
    <w:rsid w:val="00E616B6"/>
    <w:rsid w:val="00E621C3"/>
    <w:rsid w:val="00E62FCB"/>
    <w:rsid w:val="00E644F3"/>
    <w:rsid w:val="00E6587D"/>
    <w:rsid w:val="00E70C2E"/>
    <w:rsid w:val="00E76B1D"/>
    <w:rsid w:val="00E77820"/>
    <w:rsid w:val="00E83B2D"/>
    <w:rsid w:val="00E867A6"/>
    <w:rsid w:val="00E879D2"/>
    <w:rsid w:val="00E9030C"/>
    <w:rsid w:val="00E906E0"/>
    <w:rsid w:val="00E9529A"/>
    <w:rsid w:val="00E97453"/>
    <w:rsid w:val="00EA3D19"/>
    <w:rsid w:val="00EB13F7"/>
    <w:rsid w:val="00EB5655"/>
    <w:rsid w:val="00EC1CE1"/>
    <w:rsid w:val="00EC2E9B"/>
    <w:rsid w:val="00ED2966"/>
    <w:rsid w:val="00ED4BE3"/>
    <w:rsid w:val="00EE51BF"/>
    <w:rsid w:val="00EE5669"/>
    <w:rsid w:val="00EF3947"/>
    <w:rsid w:val="00EF423E"/>
    <w:rsid w:val="00EF70FA"/>
    <w:rsid w:val="00EF7134"/>
    <w:rsid w:val="00F06122"/>
    <w:rsid w:val="00F111CB"/>
    <w:rsid w:val="00F112C5"/>
    <w:rsid w:val="00F1296F"/>
    <w:rsid w:val="00F21DBA"/>
    <w:rsid w:val="00F236B9"/>
    <w:rsid w:val="00F2569B"/>
    <w:rsid w:val="00F27DA8"/>
    <w:rsid w:val="00F34C26"/>
    <w:rsid w:val="00F43B1A"/>
    <w:rsid w:val="00F51C65"/>
    <w:rsid w:val="00F55AB3"/>
    <w:rsid w:val="00F60CFB"/>
    <w:rsid w:val="00F64D2C"/>
    <w:rsid w:val="00F66290"/>
    <w:rsid w:val="00F72D8F"/>
    <w:rsid w:val="00F73A9D"/>
    <w:rsid w:val="00F764F6"/>
    <w:rsid w:val="00F76EAE"/>
    <w:rsid w:val="00F9110B"/>
    <w:rsid w:val="00F92BC2"/>
    <w:rsid w:val="00F92E6C"/>
    <w:rsid w:val="00F92E87"/>
    <w:rsid w:val="00F948F9"/>
    <w:rsid w:val="00F95AD4"/>
    <w:rsid w:val="00F96A99"/>
    <w:rsid w:val="00F97E07"/>
    <w:rsid w:val="00FA4834"/>
    <w:rsid w:val="00FA7979"/>
    <w:rsid w:val="00FB1E06"/>
    <w:rsid w:val="00FB3323"/>
    <w:rsid w:val="00FC069F"/>
    <w:rsid w:val="00FC4476"/>
    <w:rsid w:val="00FC5C40"/>
    <w:rsid w:val="00FC766F"/>
    <w:rsid w:val="00FE5512"/>
    <w:rsid w:val="00FF33E0"/>
    <w:rsid w:val="00FF4027"/>
    <w:rsid w:val="00FF777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rules v:ext="edit">
        <o:r id="V:Rule7" type="connector" idref="#_x0000_s1058"/>
        <o:r id="V:Rule8" type="connector" idref="#_x0000_s1080"/>
        <o:r id="V:Rule9" type="connector" idref="#_x0000_s1076"/>
        <o:r id="V:Rule10" type="connector" idref="#_x0000_s1074"/>
        <o:r id="V:Rule11" type="connector" idref="#_x0000_s1078"/>
        <o:r id="V:Rule12" type="connector" idref="#_x0000_s1075"/>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2B43"/>
    <w:pPr>
      <w:spacing w:before="120" w:after="120" w:line="480" w:lineRule="auto"/>
      <w:ind w:firstLine="360"/>
      <w:jc w:val="both"/>
    </w:pPr>
  </w:style>
  <w:style w:type="paragraph" w:styleId="Heading1">
    <w:name w:val="heading 1"/>
    <w:basedOn w:val="Normal"/>
    <w:next w:val="Normal"/>
    <w:link w:val="Heading1Char"/>
    <w:uiPriority w:val="9"/>
    <w:qFormat/>
    <w:rsid w:val="00535B14"/>
    <w:pPr>
      <w:keepNext/>
      <w:keepLines/>
      <w:numPr>
        <w:numId w:val="21"/>
      </w:numPr>
      <w:spacing w:after="6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8C2185"/>
    <w:pPr>
      <w:keepNext/>
      <w:keepLines/>
      <w:numPr>
        <w:ilvl w:val="1"/>
        <w:numId w:val="21"/>
      </w:numPr>
      <w:spacing w:after="60"/>
      <w:outlineLvl w:val="1"/>
    </w:pPr>
    <w:rPr>
      <w:rFonts w:asciiTheme="majorHAnsi" w:eastAsiaTheme="majorEastAsia" w:hAnsiTheme="majorHAnsi" w:cstheme="majorBidi"/>
      <w:b/>
      <w:bCs/>
      <w:i/>
      <w:sz w:val="26"/>
      <w:szCs w:val="26"/>
    </w:rPr>
  </w:style>
  <w:style w:type="paragraph" w:styleId="Heading3">
    <w:name w:val="heading 3"/>
    <w:basedOn w:val="Normal"/>
    <w:next w:val="Normal"/>
    <w:link w:val="Heading3Char"/>
    <w:uiPriority w:val="9"/>
    <w:unhideWhenUsed/>
    <w:qFormat/>
    <w:rsid w:val="008C2185"/>
    <w:pPr>
      <w:keepNext/>
      <w:keepLines/>
      <w:numPr>
        <w:ilvl w:val="2"/>
        <w:numId w:val="21"/>
      </w:numPr>
      <w:spacing w:after="60"/>
      <w:outlineLvl w:val="2"/>
    </w:pPr>
    <w:rPr>
      <w:rFonts w:ascii="Times New Roman" w:eastAsiaTheme="majorEastAsia" w:hAnsi="Times New Roman" w:cstheme="majorBidi"/>
      <w:b/>
      <w:bCs/>
      <w:sz w:val="24"/>
    </w:rPr>
  </w:style>
  <w:style w:type="paragraph" w:styleId="Heading4">
    <w:name w:val="heading 4"/>
    <w:basedOn w:val="Normal"/>
    <w:next w:val="Normal"/>
    <w:link w:val="Heading4Char"/>
    <w:uiPriority w:val="9"/>
    <w:semiHidden/>
    <w:unhideWhenUsed/>
    <w:qFormat/>
    <w:rsid w:val="008C2185"/>
    <w:pPr>
      <w:keepNext/>
      <w:keepLines/>
      <w:numPr>
        <w:ilvl w:val="3"/>
        <w:numId w:val="2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8C2185"/>
    <w:pPr>
      <w:keepNext/>
      <w:keepLines/>
      <w:numPr>
        <w:ilvl w:val="4"/>
        <w:numId w:val="2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C2185"/>
    <w:pPr>
      <w:keepNext/>
      <w:keepLines/>
      <w:numPr>
        <w:ilvl w:val="5"/>
        <w:numId w:val="2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8C2185"/>
    <w:pPr>
      <w:keepNext/>
      <w:keepLines/>
      <w:numPr>
        <w:ilvl w:val="6"/>
        <w:numId w:val="2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185"/>
    <w:pPr>
      <w:keepNext/>
      <w:keepLines/>
      <w:numPr>
        <w:ilvl w:val="7"/>
        <w:numId w:val="2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185"/>
    <w:pPr>
      <w:keepNext/>
      <w:keepLines/>
      <w:numPr>
        <w:ilvl w:val="8"/>
        <w:numId w:val="2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2D8F"/>
    <w:pPr>
      <w:ind w:left="720"/>
      <w:contextualSpacing/>
    </w:pPr>
  </w:style>
  <w:style w:type="character" w:customStyle="1" w:styleId="Heading1Char">
    <w:name w:val="Heading 1 Char"/>
    <w:basedOn w:val="DefaultParagraphFont"/>
    <w:link w:val="Heading1"/>
    <w:uiPriority w:val="9"/>
    <w:rsid w:val="00535B14"/>
    <w:rPr>
      <w:rFonts w:asciiTheme="majorHAnsi" w:eastAsiaTheme="majorEastAsia" w:hAnsiTheme="majorHAnsi" w:cstheme="majorBidi"/>
      <w:b/>
      <w:bCs/>
      <w:sz w:val="28"/>
      <w:szCs w:val="28"/>
    </w:rPr>
  </w:style>
  <w:style w:type="paragraph" w:styleId="Title">
    <w:name w:val="Title"/>
    <w:basedOn w:val="Normal"/>
    <w:next w:val="Normal"/>
    <w:link w:val="TitleChar"/>
    <w:uiPriority w:val="10"/>
    <w:qFormat/>
    <w:rsid w:val="00F2569B"/>
    <w:pPr>
      <w:pBdr>
        <w:bottom w:val="single" w:sz="8" w:space="4" w:color="0000FF"/>
      </w:pBdr>
      <w:spacing w:after="300" w:line="240" w:lineRule="auto"/>
      <w:ind w:firstLine="0"/>
      <w:contextualSpacing/>
    </w:pPr>
    <w:rPr>
      <w:rFonts w:asciiTheme="majorHAnsi" w:eastAsiaTheme="majorEastAsia" w:hAnsiTheme="majorHAnsi" w:cstheme="majorBidi"/>
      <w:caps/>
      <w:spacing w:val="5"/>
      <w:kern w:val="28"/>
      <w:sz w:val="48"/>
      <w:szCs w:val="52"/>
    </w:rPr>
  </w:style>
  <w:style w:type="character" w:customStyle="1" w:styleId="TitleChar">
    <w:name w:val="Title Char"/>
    <w:basedOn w:val="DefaultParagraphFont"/>
    <w:link w:val="Title"/>
    <w:uiPriority w:val="10"/>
    <w:rsid w:val="00F2569B"/>
    <w:rPr>
      <w:rFonts w:asciiTheme="majorHAnsi" w:eastAsiaTheme="majorEastAsia" w:hAnsiTheme="majorHAnsi" w:cstheme="majorBidi"/>
      <w:caps/>
      <w:spacing w:val="5"/>
      <w:kern w:val="28"/>
      <w:sz w:val="48"/>
      <w:szCs w:val="52"/>
    </w:rPr>
  </w:style>
  <w:style w:type="paragraph" w:styleId="TOCHeading">
    <w:name w:val="TOC Heading"/>
    <w:basedOn w:val="Heading1"/>
    <w:next w:val="Normal"/>
    <w:uiPriority w:val="39"/>
    <w:unhideWhenUsed/>
    <w:qFormat/>
    <w:rsid w:val="003E0851"/>
    <w:pPr>
      <w:outlineLvl w:val="9"/>
    </w:pPr>
    <w:rPr>
      <w:color w:val="365F91" w:themeColor="accent1" w:themeShade="BF"/>
    </w:rPr>
  </w:style>
  <w:style w:type="paragraph" w:styleId="Header">
    <w:name w:val="header"/>
    <w:basedOn w:val="Normal"/>
    <w:link w:val="HeaderChar"/>
    <w:uiPriority w:val="99"/>
    <w:semiHidden/>
    <w:unhideWhenUsed/>
    <w:rsid w:val="006A45A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A45AE"/>
  </w:style>
  <w:style w:type="paragraph" w:styleId="Footer">
    <w:name w:val="footer"/>
    <w:basedOn w:val="Normal"/>
    <w:link w:val="FooterChar"/>
    <w:uiPriority w:val="99"/>
    <w:unhideWhenUsed/>
    <w:rsid w:val="006A45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45AE"/>
  </w:style>
  <w:style w:type="character" w:customStyle="1" w:styleId="Heading2Char">
    <w:name w:val="Heading 2 Char"/>
    <w:basedOn w:val="DefaultParagraphFont"/>
    <w:link w:val="Heading2"/>
    <w:uiPriority w:val="9"/>
    <w:rsid w:val="008C2185"/>
    <w:rPr>
      <w:rFonts w:asciiTheme="majorHAnsi" w:eastAsiaTheme="majorEastAsia" w:hAnsiTheme="majorHAnsi" w:cstheme="majorBidi"/>
      <w:b/>
      <w:bCs/>
      <w:i/>
      <w:sz w:val="26"/>
      <w:szCs w:val="26"/>
    </w:rPr>
  </w:style>
  <w:style w:type="character" w:customStyle="1" w:styleId="Heading3Char">
    <w:name w:val="Heading 3 Char"/>
    <w:basedOn w:val="DefaultParagraphFont"/>
    <w:link w:val="Heading3"/>
    <w:uiPriority w:val="9"/>
    <w:rsid w:val="008C2185"/>
    <w:rPr>
      <w:rFonts w:ascii="Times New Roman" w:eastAsiaTheme="majorEastAsia" w:hAnsi="Times New Roman" w:cstheme="majorBidi"/>
      <w:b/>
      <w:bCs/>
      <w:sz w:val="24"/>
    </w:rPr>
  </w:style>
  <w:style w:type="character" w:customStyle="1" w:styleId="Heading4Char">
    <w:name w:val="Heading 4 Char"/>
    <w:basedOn w:val="DefaultParagraphFont"/>
    <w:link w:val="Heading4"/>
    <w:uiPriority w:val="9"/>
    <w:semiHidden/>
    <w:rsid w:val="008C2185"/>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8C2185"/>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8C2185"/>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8C218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185"/>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185"/>
    <w:rPr>
      <w:rFonts w:asciiTheme="majorHAnsi" w:eastAsiaTheme="majorEastAsia" w:hAnsiTheme="majorHAnsi" w:cstheme="majorBidi"/>
      <w:i/>
      <w:iCs/>
      <w:color w:val="404040" w:themeColor="text1" w:themeTint="BF"/>
      <w:sz w:val="20"/>
      <w:szCs w:val="20"/>
    </w:rPr>
  </w:style>
  <w:style w:type="character" w:styleId="PlaceholderText">
    <w:name w:val="Placeholder Text"/>
    <w:basedOn w:val="DefaultParagraphFont"/>
    <w:uiPriority w:val="99"/>
    <w:semiHidden/>
    <w:rsid w:val="00616737"/>
    <w:rPr>
      <w:color w:val="808080"/>
    </w:rPr>
  </w:style>
  <w:style w:type="table" w:styleId="TableGrid">
    <w:name w:val="Table Grid"/>
    <w:basedOn w:val="TableNormal"/>
    <w:uiPriority w:val="59"/>
    <w:rsid w:val="00B22A5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Caption">
    <w:name w:val="caption"/>
    <w:basedOn w:val="Normal"/>
    <w:next w:val="Normal"/>
    <w:uiPriority w:val="99"/>
    <w:unhideWhenUsed/>
    <w:qFormat/>
    <w:rsid w:val="003E77A1"/>
    <w:pPr>
      <w:spacing w:before="240" w:after="240" w:line="240" w:lineRule="auto"/>
      <w:ind w:firstLine="0"/>
      <w:jc w:val="center"/>
    </w:pPr>
    <w:rPr>
      <w:rFonts w:ascii="Times New Roman" w:hAnsi="Times New Roman"/>
      <w:b/>
      <w:bCs/>
      <w:sz w:val="20"/>
      <w:szCs w:val="18"/>
    </w:rPr>
  </w:style>
  <w:style w:type="paragraph" w:styleId="TOC1">
    <w:name w:val="toc 1"/>
    <w:basedOn w:val="Normal"/>
    <w:next w:val="Normal"/>
    <w:autoRedefine/>
    <w:uiPriority w:val="39"/>
    <w:unhideWhenUsed/>
    <w:rsid w:val="000216C2"/>
    <w:pPr>
      <w:tabs>
        <w:tab w:val="right" w:leader="dot" w:pos="9350"/>
      </w:tabs>
      <w:spacing w:line="360" w:lineRule="auto"/>
      <w:ind w:firstLine="0"/>
    </w:pPr>
    <w:rPr>
      <w:rFonts w:cstheme="minorHAnsi"/>
      <w:b/>
      <w:bCs/>
      <w:caps/>
      <w:sz w:val="20"/>
      <w:szCs w:val="20"/>
    </w:rPr>
  </w:style>
  <w:style w:type="paragraph" w:styleId="TOC2">
    <w:name w:val="toc 2"/>
    <w:basedOn w:val="Normal"/>
    <w:next w:val="Normal"/>
    <w:autoRedefine/>
    <w:uiPriority w:val="39"/>
    <w:unhideWhenUsed/>
    <w:rsid w:val="00F95AD4"/>
    <w:pPr>
      <w:spacing w:before="0" w:after="0"/>
      <w:ind w:left="220"/>
    </w:pPr>
    <w:rPr>
      <w:rFonts w:cstheme="minorHAnsi"/>
      <w:smallCaps/>
      <w:sz w:val="20"/>
      <w:szCs w:val="20"/>
    </w:rPr>
  </w:style>
  <w:style w:type="paragraph" w:styleId="TOC3">
    <w:name w:val="toc 3"/>
    <w:basedOn w:val="Normal"/>
    <w:next w:val="Normal"/>
    <w:autoRedefine/>
    <w:uiPriority w:val="39"/>
    <w:unhideWhenUsed/>
    <w:rsid w:val="00F95AD4"/>
    <w:pPr>
      <w:spacing w:before="0" w:after="0"/>
      <w:ind w:left="440"/>
    </w:pPr>
    <w:rPr>
      <w:rFonts w:cstheme="minorHAnsi"/>
      <w:i/>
      <w:iCs/>
      <w:sz w:val="20"/>
      <w:szCs w:val="20"/>
    </w:rPr>
  </w:style>
  <w:style w:type="character" w:styleId="Hyperlink">
    <w:name w:val="Hyperlink"/>
    <w:basedOn w:val="DefaultParagraphFont"/>
    <w:uiPriority w:val="99"/>
    <w:unhideWhenUsed/>
    <w:rsid w:val="00F95AD4"/>
    <w:rPr>
      <w:color w:val="0000FF" w:themeColor="hyperlink"/>
      <w:u w:val="single"/>
    </w:rPr>
  </w:style>
  <w:style w:type="paragraph" w:styleId="TOC4">
    <w:name w:val="toc 4"/>
    <w:basedOn w:val="Normal"/>
    <w:next w:val="Normal"/>
    <w:autoRedefine/>
    <w:uiPriority w:val="39"/>
    <w:unhideWhenUsed/>
    <w:rsid w:val="00F95AD4"/>
    <w:pPr>
      <w:spacing w:before="0" w:after="0"/>
      <w:ind w:left="660"/>
    </w:pPr>
    <w:rPr>
      <w:rFonts w:cstheme="minorHAnsi"/>
      <w:sz w:val="18"/>
      <w:szCs w:val="18"/>
    </w:rPr>
  </w:style>
  <w:style w:type="paragraph" w:styleId="TOC5">
    <w:name w:val="toc 5"/>
    <w:basedOn w:val="Normal"/>
    <w:next w:val="Normal"/>
    <w:autoRedefine/>
    <w:uiPriority w:val="39"/>
    <w:unhideWhenUsed/>
    <w:rsid w:val="00F95AD4"/>
    <w:pPr>
      <w:spacing w:before="0" w:after="0"/>
      <w:ind w:left="880"/>
    </w:pPr>
    <w:rPr>
      <w:rFonts w:cstheme="minorHAnsi"/>
      <w:sz w:val="18"/>
      <w:szCs w:val="18"/>
    </w:rPr>
  </w:style>
  <w:style w:type="paragraph" w:styleId="TOC6">
    <w:name w:val="toc 6"/>
    <w:basedOn w:val="Normal"/>
    <w:next w:val="Normal"/>
    <w:autoRedefine/>
    <w:uiPriority w:val="39"/>
    <w:unhideWhenUsed/>
    <w:rsid w:val="00F95AD4"/>
    <w:pPr>
      <w:spacing w:before="0" w:after="0"/>
      <w:ind w:left="1100"/>
    </w:pPr>
    <w:rPr>
      <w:rFonts w:cstheme="minorHAnsi"/>
      <w:sz w:val="18"/>
      <w:szCs w:val="18"/>
    </w:rPr>
  </w:style>
  <w:style w:type="paragraph" w:styleId="TOC7">
    <w:name w:val="toc 7"/>
    <w:basedOn w:val="Normal"/>
    <w:next w:val="Normal"/>
    <w:autoRedefine/>
    <w:uiPriority w:val="39"/>
    <w:unhideWhenUsed/>
    <w:rsid w:val="00F95AD4"/>
    <w:pPr>
      <w:spacing w:before="0" w:after="0"/>
      <w:ind w:left="1320"/>
    </w:pPr>
    <w:rPr>
      <w:rFonts w:cstheme="minorHAnsi"/>
      <w:sz w:val="18"/>
      <w:szCs w:val="18"/>
    </w:rPr>
  </w:style>
  <w:style w:type="paragraph" w:styleId="TOC8">
    <w:name w:val="toc 8"/>
    <w:basedOn w:val="Normal"/>
    <w:next w:val="Normal"/>
    <w:autoRedefine/>
    <w:uiPriority w:val="39"/>
    <w:unhideWhenUsed/>
    <w:rsid w:val="00F95AD4"/>
    <w:pPr>
      <w:spacing w:before="0" w:after="0"/>
      <w:ind w:left="1540"/>
    </w:pPr>
    <w:rPr>
      <w:rFonts w:cstheme="minorHAnsi"/>
      <w:sz w:val="18"/>
      <w:szCs w:val="18"/>
    </w:rPr>
  </w:style>
  <w:style w:type="paragraph" w:styleId="TOC9">
    <w:name w:val="toc 9"/>
    <w:basedOn w:val="Normal"/>
    <w:next w:val="Normal"/>
    <w:autoRedefine/>
    <w:uiPriority w:val="39"/>
    <w:unhideWhenUsed/>
    <w:rsid w:val="00F95AD4"/>
    <w:pPr>
      <w:spacing w:before="0" w:after="0"/>
      <w:ind w:left="1760"/>
    </w:pPr>
    <w:rPr>
      <w:rFonts w:cstheme="minorHAnsi"/>
      <w:sz w:val="18"/>
      <w:szCs w:val="18"/>
    </w:rPr>
  </w:style>
  <w:style w:type="paragraph" w:styleId="TableofFigures">
    <w:name w:val="table of figures"/>
    <w:basedOn w:val="Normal"/>
    <w:next w:val="Normal"/>
    <w:uiPriority w:val="99"/>
    <w:unhideWhenUsed/>
    <w:rsid w:val="00F95AD4"/>
    <w:pPr>
      <w:spacing w:after="0"/>
    </w:pPr>
  </w:style>
  <w:style w:type="paragraph" w:styleId="NormalWeb">
    <w:name w:val="Normal (Web)"/>
    <w:basedOn w:val="Normal"/>
    <w:uiPriority w:val="99"/>
    <w:unhideWhenUsed/>
    <w:rsid w:val="00E0739C"/>
    <w:pPr>
      <w:spacing w:before="100" w:beforeAutospacing="1" w:after="100" w:afterAutospacing="1" w:line="240" w:lineRule="auto"/>
    </w:pPr>
    <w:rPr>
      <w:rFonts w:ascii="Times New Roman" w:eastAsia="Times New Roman" w:hAnsi="Times New Roman" w:cs="Times New Roman"/>
      <w:sz w:val="24"/>
      <w:szCs w:val="24"/>
    </w:rPr>
  </w:style>
  <w:style w:type="paragraph" w:styleId="PlainText">
    <w:name w:val="Plain Text"/>
    <w:basedOn w:val="Normal"/>
    <w:link w:val="PlainTextChar"/>
    <w:uiPriority w:val="99"/>
    <w:unhideWhenUsed/>
    <w:rsid w:val="000D3EEB"/>
    <w:pPr>
      <w:spacing w:before="0"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0D3EEB"/>
    <w:rPr>
      <w:rFonts w:ascii="Consolas" w:eastAsia="Calibri" w:hAnsi="Consolas" w:cs="Times New Roman"/>
      <w:sz w:val="21"/>
      <w:szCs w:val="21"/>
    </w:rPr>
  </w:style>
  <w:style w:type="paragraph" w:customStyle="1" w:styleId="Paragraph">
    <w:name w:val="Paragraph"/>
    <w:basedOn w:val="Normal"/>
    <w:uiPriority w:val="99"/>
    <w:rsid w:val="003F2B43"/>
    <w:pPr>
      <w:spacing w:before="0" w:after="0" w:line="240" w:lineRule="auto"/>
    </w:pPr>
    <w:rPr>
      <w:rFonts w:ascii="Times New Roman" w:eastAsia="Times New Roman" w:hAnsi="Times New Roman" w:cs="Times New Roman"/>
      <w:sz w:val="20"/>
      <w:szCs w:val="20"/>
    </w:rPr>
  </w:style>
  <w:style w:type="character" w:styleId="Emphasis">
    <w:name w:val="Emphasis"/>
    <w:basedOn w:val="DefaultParagraphFont"/>
    <w:uiPriority w:val="20"/>
    <w:qFormat/>
    <w:rsid w:val="002D3E45"/>
    <w:rPr>
      <w:b/>
      <w:bCs/>
      <w:i w:val="0"/>
      <w:iCs w:val="0"/>
    </w:rPr>
  </w:style>
  <w:style w:type="paragraph" w:customStyle="1" w:styleId="References">
    <w:name w:val="References"/>
    <w:basedOn w:val="Normal"/>
    <w:uiPriority w:val="99"/>
    <w:rsid w:val="001843A9"/>
    <w:pPr>
      <w:tabs>
        <w:tab w:val="left" w:pos="720"/>
      </w:tabs>
      <w:spacing w:before="0" w:after="0" w:line="240" w:lineRule="auto"/>
      <w:ind w:left="360" w:hanging="360"/>
      <w:jc w:val="left"/>
    </w:pPr>
    <w:rPr>
      <w:rFonts w:ascii="Times New Roman" w:eastAsia="Times New Roman" w:hAnsi="Times New Roman" w:cs="Times New Roman"/>
      <w:sz w:val="20"/>
      <w:szCs w:val="20"/>
    </w:rPr>
  </w:style>
  <w:style w:type="paragraph" w:styleId="BodyText">
    <w:name w:val="Body Text"/>
    <w:basedOn w:val="Normal"/>
    <w:link w:val="BodyTextChar"/>
    <w:rsid w:val="004F42F4"/>
    <w:pPr>
      <w:spacing w:before="0" w:after="0" w:line="240" w:lineRule="auto"/>
      <w:jc w:val="left"/>
    </w:pPr>
    <w:rPr>
      <w:rFonts w:ascii="Times New Roman" w:eastAsia="Times New Roman" w:hAnsi="Times New Roman" w:cs="Times New Roman"/>
      <w:snapToGrid w:val="0"/>
      <w:szCs w:val="20"/>
    </w:rPr>
  </w:style>
  <w:style w:type="character" w:customStyle="1" w:styleId="BodyTextChar">
    <w:name w:val="Body Text Char"/>
    <w:basedOn w:val="DefaultParagraphFont"/>
    <w:link w:val="BodyText"/>
    <w:rsid w:val="004F42F4"/>
    <w:rPr>
      <w:rFonts w:ascii="Times New Roman" w:eastAsia="Times New Roman" w:hAnsi="Times New Roman" w:cs="Times New Roman"/>
      <w:snapToGrid w:val="0"/>
      <w:szCs w:val="20"/>
    </w:rPr>
  </w:style>
  <w:style w:type="paragraph" w:styleId="BodyText3">
    <w:name w:val="Body Text 3"/>
    <w:basedOn w:val="Normal"/>
    <w:link w:val="BodyText3Char"/>
    <w:rsid w:val="00E01527"/>
    <w:pPr>
      <w:widowControl w:val="0"/>
      <w:spacing w:before="0" w:line="240" w:lineRule="auto"/>
      <w:ind w:firstLine="0"/>
      <w:jc w:val="left"/>
    </w:pPr>
    <w:rPr>
      <w:rFonts w:ascii="Times New Roman" w:eastAsia="Times New Roman" w:hAnsi="Times New Roman" w:cs="Times New Roman"/>
      <w:snapToGrid w:val="0"/>
      <w:sz w:val="16"/>
      <w:szCs w:val="16"/>
    </w:rPr>
  </w:style>
  <w:style w:type="character" w:customStyle="1" w:styleId="BodyText3Char">
    <w:name w:val="Body Text 3 Char"/>
    <w:basedOn w:val="DefaultParagraphFont"/>
    <w:link w:val="BodyText3"/>
    <w:rsid w:val="00E01527"/>
    <w:rPr>
      <w:rFonts w:ascii="Times New Roman" w:eastAsia="Times New Roman" w:hAnsi="Times New Roman" w:cs="Times New Roman"/>
      <w:snapToGrid w:val="0"/>
      <w:sz w:val="16"/>
      <w:szCs w:val="16"/>
    </w:rPr>
  </w:style>
  <w:style w:type="paragraph" w:styleId="NoSpacing">
    <w:name w:val="No Spacing"/>
    <w:uiPriority w:val="1"/>
    <w:qFormat/>
    <w:rsid w:val="00D403FC"/>
    <w:pPr>
      <w:spacing w:after="0" w:line="240" w:lineRule="auto"/>
      <w:ind w:firstLine="360"/>
      <w:jc w:val="both"/>
    </w:pPr>
  </w:style>
  <w:style w:type="paragraph" w:styleId="DocumentMap">
    <w:name w:val="Document Map"/>
    <w:basedOn w:val="Normal"/>
    <w:link w:val="DocumentMapChar"/>
    <w:uiPriority w:val="99"/>
    <w:semiHidden/>
    <w:unhideWhenUsed/>
    <w:rsid w:val="00F60CFB"/>
    <w:pPr>
      <w:spacing w:before="0"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60CFB"/>
    <w:rPr>
      <w:rFonts w:ascii="Tahoma" w:hAnsi="Tahoma" w:cs="Tahoma"/>
      <w:sz w:val="16"/>
      <w:szCs w:val="16"/>
    </w:rPr>
  </w:style>
  <w:style w:type="paragraph" w:styleId="FootnoteText">
    <w:name w:val="footnote text"/>
    <w:basedOn w:val="Normal"/>
    <w:link w:val="FootnoteTextChar"/>
    <w:uiPriority w:val="99"/>
    <w:semiHidden/>
    <w:unhideWhenUsed/>
    <w:rsid w:val="003E77A1"/>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3E77A1"/>
    <w:rPr>
      <w:sz w:val="20"/>
      <w:szCs w:val="20"/>
    </w:rPr>
  </w:style>
  <w:style w:type="character" w:styleId="FootnoteReference">
    <w:name w:val="footnote reference"/>
    <w:basedOn w:val="DefaultParagraphFont"/>
    <w:uiPriority w:val="99"/>
    <w:semiHidden/>
    <w:unhideWhenUsed/>
    <w:rsid w:val="003E77A1"/>
    <w:rPr>
      <w:vertAlign w:val="superscript"/>
    </w:rPr>
  </w:style>
  <w:style w:type="character" w:styleId="CommentReference">
    <w:name w:val="annotation reference"/>
    <w:basedOn w:val="DefaultParagraphFont"/>
    <w:uiPriority w:val="99"/>
    <w:semiHidden/>
    <w:unhideWhenUsed/>
    <w:rsid w:val="00E879D2"/>
    <w:rPr>
      <w:sz w:val="16"/>
      <w:szCs w:val="16"/>
    </w:rPr>
  </w:style>
  <w:style w:type="paragraph" w:styleId="CommentText">
    <w:name w:val="annotation text"/>
    <w:basedOn w:val="Normal"/>
    <w:link w:val="CommentTextChar"/>
    <w:uiPriority w:val="99"/>
    <w:semiHidden/>
    <w:unhideWhenUsed/>
    <w:rsid w:val="00E879D2"/>
    <w:pPr>
      <w:spacing w:line="240" w:lineRule="auto"/>
    </w:pPr>
    <w:rPr>
      <w:sz w:val="20"/>
      <w:szCs w:val="20"/>
    </w:rPr>
  </w:style>
  <w:style w:type="character" w:customStyle="1" w:styleId="CommentTextChar">
    <w:name w:val="Comment Text Char"/>
    <w:basedOn w:val="DefaultParagraphFont"/>
    <w:link w:val="CommentText"/>
    <w:uiPriority w:val="99"/>
    <w:semiHidden/>
    <w:rsid w:val="00E879D2"/>
    <w:rPr>
      <w:sz w:val="20"/>
      <w:szCs w:val="20"/>
    </w:rPr>
  </w:style>
  <w:style w:type="paragraph" w:styleId="CommentSubject">
    <w:name w:val="annotation subject"/>
    <w:basedOn w:val="CommentText"/>
    <w:next w:val="CommentText"/>
    <w:link w:val="CommentSubjectChar"/>
    <w:uiPriority w:val="99"/>
    <w:semiHidden/>
    <w:unhideWhenUsed/>
    <w:rsid w:val="00E879D2"/>
    <w:rPr>
      <w:b/>
      <w:bCs/>
    </w:rPr>
  </w:style>
  <w:style w:type="character" w:customStyle="1" w:styleId="CommentSubjectChar">
    <w:name w:val="Comment Subject Char"/>
    <w:basedOn w:val="CommentTextChar"/>
    <w:link w:val="CommentSubject"/>
    <w:uiPriority w:val="99"/>
    <w:semiHidden/>
    <w:rsid w:val="00E879D2"/>
    <w:rPr>
      <w:b/>
      <w:bCs/>
    </w:rPr>
  </w:style>
  <w:style w:type="paragraph" w:styleId="Revision">
    <w:name w:val="Revision"/>
    <w:hidden/>
    <w:uiPriority w:val="99"/>
    <w:semiHidden/>
    <w:rsid w:val="00E879D2"/>
    <w:pPr>
      <w:spacing w:after="0" w:line="240" w:lineRule="auto"/>
    </w:pPr>
  </w:style>
  <w:style w:type="paragraph" w:styleId="BalloonText">
    <w:name w:val="Balloon Text"/>
    <w:basedOn w:val="Normal"/>
    <w:link w:val="BalloonTextChar"/>
    <w:uiPriority w:val="99"/>
    <w:semiHidden/>
    <w:unhideWhenUsed/>
    <w:rsid w:val="00E879D2"/>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79D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1757925">
      <w:bodyDiv w:val="1"/>
      <w:marLeft w:val="0"/>
      <w:marRight w:val="0"/>
      <w:marTop w:val="0"/>
      <w:marBottom w:val="0"/>
      <w:divBdr>
        <w:top w:val="none" w:sz="0" w:space="0" w:color="auto"/>
        <w:left w:val="none" w:sz="0" w:space="0" w:color="auto"/>
        <w:bottom w:val="none" w:sz="0" w:space="0" w:color="auto"/>
        <w:right w:val="none" w:sz="0" w:space="0" w:color="auto"/>
      </w:divBdr>
    </w:div>
    <w:div w:id="228660311">
      <w:bodyDiv w:val="1"/>
      <w:marLeft w:val="0"/>
      <w:marRight w:val="0"/>
      <w:marTop w:val="0"/>
      <w:marBottom w:val="0"/>
      <w:divBdr>
        <w:top w:val="none" w:sz="0" w:space="0" w:color="auto"/>
        <w:left w:val="none" w:sz="0" w:space="0" w:color="auto"/>
        <w:bottom w:val="none" w:sz="0" w:space="0" w:color="auto"/>
        <w:right w:val="none" w:sz="0" w:space="0" w:color="auto"/>
      </w:divBdr>
    </w:div>
    <w:div w:id="351809309">
      <w:bodyDiv w:val="1"/>
      <w:marLeft w:val="0"/>
      <w:marRight w:val="0"/>
      <w:marTop w:val="0"/>
      <w:marBottom w:val="0"/>
      <w:divBdr>
        <w:top w:val="none" w:sz="0" w:space="0" w:color="auto"/>
        <w:left w:val="none" w:sz="0" w:space="0" w:color="auto"/>
        <w:bottom w:val="none" w:sz="0" w:space="0" w:color="auto"/>
        <w:right w:val="none" w:sz="0" w:space="0" w:color="auto"/>
      </w:divBdr>
      <w:divsChild>
        <w:div w:id="417558249">
          <w:marLeft w:val="0"/>
          <w:marRight w:val="0"/>
          <w:marTop w:val="0"/>
          <w:marBottom w:val="0"/>
          <w:divBdr>
            <w:top w:val="none" w:sz="0" w:space="0" w:color="auto"/>
            <w:left w:val="none" w:sz="0" w:space="0" w:color="auto"/>
            <w:bottom w:val="none" w:sz="0" w:space="0" w:color="auto"/>
            <w:right w:val="none" w:sz="0" w:space="0" w:color="auto"/>
          </w:divBdr>
          <w:divsChild>
            <w:div w:id="1899395535">
              <w:marLeft w:val="0"/>
              <w:marRight w:val="0"/>
              <w:marTop w:val="0"/>
              <w:marBottom w:val="0"/>
              <w:divBdr>
                <w:top w:val="none" w:sz="0" w:space="0" w:color="auto"/>
                <w:left w:val="none" w:sz="0" w:space="0" w:color="auto"/>
                <w:bottom w:val="none" w:sz="0" w:space="0" w:color="auto"/>
                <w:right w:val="none" w:sz="0" w:space="0" w:color="auto"/>
              </w:divBdr>
              <w:divsChild>
                <w:div w:id="1907641255">
                  <w:marLeft w:val="0"/>
                  <w:marRight w:val="0"/>
                  <w:marTop w:val="0"/>
                  <w:marBottom w:val="0"/>
                  <w:divBdr>
                    <w:top w:val="none" w:sz="0" w:space="0" w:color="auto"/>
                    <w:left w:val="none" w:sz="0" w:space="0" w:color="auto"/>
                    <w:bottom w:val="none" w:sz="0" w:space="0" w:color="auto"/>
                    <w:right w:val="none" w:sz="0" w:space="0" w:color="auto"/>
                  </w:divBdr>
                  <w:divsChild>
                    <w:div w:id="112230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8425264">
      <w:bodyDiv w:val="1"/>
      <w:marLeft w:val="0"/>
      <w:marRight w:val="0"/>
      <w:marTop w:val="0"/>
      <w:marBottom w:val="0"/>
      <w:divBdr>
        <w:top w:val="none" w:sz="0" w:space="0" w:color="auto"/>
        <w:left w:val="none" w:sz="0" w:space="0" w:color="auto"/>
        <w:bottom w:val="none" w:sz="0" w:space="0" w:color="auto"/>
        <w:right w:val="none" w:sz="0" w:space="0" w:color="auto"/>
      </w:divBdr>
      <w:divsChild>
        <w:div w:id="588777467">
          <w:marLeft w:val="547"/>
          <w:marRight w:val="0"/>
          <w:marTop w:val="0"/>
          <w:marBottom w:val="0"/>
          <w:divBdr>
            <w:top w:val="none" w:sz="0" w:space="0" w:color="auto"/>
            <w:left w:val="none" w:sz="0" w:space="0" w:color="auto"/>
            <w:bottom w:val="none" w:sz="0" w:space="0" w:color="auto"/>
            <w:right w:val="none" w:sz="0" w:space="0" w:color="auto"/>
          </w:divBdr>
        </w:div>
      </w:divsChild>
    </w:div>
    <w:div w:id="855654923">
      <w:bodyDiv w:val="1"/>
      <w:marLeft w:val="0"/>
      <w:marRight w:val="0"/>
      <w:marTop w:val="0"/>
      <w:marBottom w:val="0"/>
      <w:divBdr>
        <w:top w:val="none" w:sz="0" w:space="0" w:color="auto"/>
        <w:left w:val="none" w:sz="0" w:space="0" w:color="auto"/>
        <w:bottom w:val="none" w:sz="0" w:space="0" w:color="auto"/>
        <w:right w:val="none" w:sz="0" w:space="0" w:color="auto"/>
      </w:divBdr>
      <w:divsChild>
        <w:div w:id="1793937865">
          <w:marLeft w:val="0"/>
          <w:marRight w:val="0"/>
          <w:marTop w:val="0"/>
          <w:marBottom w:val="0"/>
          <w:divBdr>
            <w:top w:val="none" w:sz="0" w:space="0" w:color="auto"/>
            <w:left w:val="none" w:sz="0" w:space="0" w:color="auto"/>
            <w:bottom w:val="none" w:sz="0" w:space="0" w:color="auto"/>
            <w:right w:val="none" w:sz="0" w:space="0" w:color="auto"/>
          </w:divBdr>
        </w:div>
      </w:divsChild>
    </w:div>
    <w:div w:id="1287008214">
      <w:bodyDiv w:val="1"/>
      <w:marLeft w:val="0"/>
      <w:marRight w:val="0"/>
      <w:marTop w:val="0"/>
      <w:marBottom w:val="0"/>
      <w:divBdr>
        <w:top w:val="none" w:sz="0" w:space="0" w:color="auto"/>
        <w:left w:val="none" w:sz="0" w:space="0" w:color="auto"/>
        <w:bottom w:val="none" w:sz="0" w:space="0" w:color="auto"/>
        <w:right w:val="none" w:sz="0" w:space="0" w:color="auto"/>
      </w:divBdr>
    </w:div>
    <w:div w:id="1820071757">
      <w:bodyDiv w:val="1"/>
      <w:marLeft w:val="0"/>
      <w:marRight w:val="0"/>
      <w:marTop w:val="0"/>
      <w:marBottom w:val="0"/>
      <w:divBdr>
        <w:top w:val="none" w:sz="0" w:space="0" w:color="auto"/>
        <w:left w:val="none" w:sz="0" w:space="0" w:color="auto"/>
        <w:bottom w:val="none" w:sz="0" w:space="0" w:color="auto"/>
        <w:right w:val="none" w:sz="0" w:space="0" w:color="auto"/>
      </w:divBdr>
    </w:div>
    <w:div w:id="1924678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9.png"/><Relationship Id="rId26" Type="http://schemas.openxmlformats.org/officeDocument/2006/relationships/chart" Target="charts/chart6.xml"/><Relationship Id="rId39" Type="http://schemas.openxmlformats.org/officeDocument/2006/relationships/chart" Target="charts/chart15.xml"/><Relationship Id="rId21" Type="http://schemas.openxmlformats.org/officeDocument/2006/relationships/chart" Target="charts/chart1.xml"/><Relationship Id="rId34" Type="http://schemas.openxmlformats.org/officeDocument/2006/relationships/chart" Target="charts/chart14.xml"/><Relationship Id="rId42" Type="http://schemas.openxmlformats.org/officeDocument/2006/relationships/chart" Target="charts/chart18.xml"/><Relationship Id="rId47" Type="http://schemas.openxmlformats.org/officeDocument/2006/relationships/chart" Target="charts/chart23.xml"/><Relationship Id="rId50" Type="http://schemas.openxmlformats.org/officeDocument/2006/relationships/chart" Target="charts/chart26.xml"/><Relationship Id="rId55" Type="http://schemas.openxmlformats.org/officeDocument/2006/relationships/chart" Target="charts/chart31.xml"/><Relationship Id="rId63" Type="http://schemas.openxmlformats.org/officeDocument/2006/relationships/chart" Target="charts/chart37.xml"/><Relationship Id="rId68" Type="http://schemas.openxmlformats.org/officeDocument/2006/relationships/chart" Target="charts/chart42.xml"/><Relationship Id="rId76" Type="http://schemas.openxmlformats.org/officeDocument/2006/relationships/image" Target="media/image23.png"/><Relationship Id="rId84" Type="http://schemas.openxmlformats.org/officeDocument/2006/relationships/image" Target="media/image31.png"/><Relationship Id="rId89" Type="http://schemas.openxmlformats.org/officeDocument/2006/relationships/image" Target="media/image35.png"/><Relationship Id="rId7" Type="http://schemas.openxmlformats.org/officeDocument/2006/relationships/endnotes" Target="endnotes.xml"/><Relationship Id="rId71" Type="http://schemas.openxmlformats.org/officeDocument/2006/relationships/chart" Target="charts/chart43.xml"/><Relationship Id="rId92" Type="http://schemas.openxmlformats.org/officeDocument/2006/relationships/image" Target="media/image37.jpeg"/><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chart" Target="charts/chart9.xml"/><Relationship Id="rId11" Type="http://schemas.openxmlformats.org/officeDocument/2006/relationships/image" Target="media/image3.jpeg"/><Relationship Id="rId24" Type="http://schemas.openxmlformats.org/officeDocument/2006/relationships/chart" Target="charts/chart4.xml"/><Relationship Id="rId32" Type="http://schemas.openxmlformats.org/officeDocument/2006/relationships/chart" Target="charts/chart12.xml"/><Relationship Id="rId37" Type="http://schemas.openxmlformats.org/officeDocument/2006/relationships/image" Target="media/image14.png"/><Relationship Id="rId40" Type="http://schemas.openxmlformats.org/officeDocument/2006/relationships/chart" Target="charts/chart16.xml"/><Relationship Id="rId45" Type="http://schemas.openxmlformats.org/officeDocument/2006/relationships/chart" Target="charts/chart21.xml"/><Relationship Id="rId53" Type="http://schemas.openxmlformats.org/officeDocument/2006/relationships/chart" Target="charts/chart29.xml"/><Relationship Id="rId58" Type="http://schemas.openxmlformats.org/officeDocument/2006/relationships/image" Target="media/image17.png"/><Relationship Id="rId66" Type="http://schemas.openxmlformats.org/officeDocument/2006/relationships/chart" Target="charts/chart40.xml"/><Relationship Id="rId74" Type="http://schemas.openxmlformats.org/officeDocument/2006/relationships/image" Target="media/image21.png"/><Relationship Id="rId79" Type="http://schemas.openxmlformats.org/officeDocument/2006/relationships/image" Target="media/image26.png"/><Relationship Id="rId87" Type="http://schemas.openxmlformats.org/officeDocument/2006/relationships/chart" Target="charts/chart45.xml"/><Relationship Id="rId5" Type="http://schemas.openxmlformats.org/officeDocument/2006/relationships/webSettings" Target="webSettings.xml"/><Relationship Id="rId61" Type="http://schemas.openxmlformats.org/officeDocument/2006/relationships/chart" Target="charts/chart35.xml"/><Relationship Id="rId82" Type="http://schemas.openxmlformats.org/officeDocument/2006/relationships/image" Target="media/image29.png"/><Relationship Id="rId90" Type="http://schemas.openxmlformats.org/officeDocument/2006/relationships/image" Target="media/image36.png"/><Relationship Id="rId95" Type="http://schemas.openxmlformats.org/officeDocument/2006/relationships/fontTable" Target="fontTable.xml"/><Relationship Id="rId19" Type="http://schemas.openxmlformats.org/officeDocument/2006/relationships/image" Target="media/image10.png"/><Relationship Id="rId14" Type="http://schemas.openxmlformats.org/officeDocument/2006/relationships/hyperlink" Target="http://neutrons.ornl.gov/images/hfir/coreassemblyphoto.jpg" TargetMode="External"/><Relationship Id="rId22" Type="http://schemas.openxmlformats.org/officeDocument/2006/relationships/chart" Target="charts/chart2.xml"/><Relationship Id="rId27" Type="http://schemas.openxmlformats.org/officeDocument/2006/relationships/chart" Target="charts/chart7.xml"/><Relationship Id="rId30" Type="http://schemas.openxmlformats.org/officeDocument/2006/relationships/chart" Target="charts/chart10.xml"/><Relationship Id="rId35" Type="http://schemas.openxmlformats.org/officeDocument/2006/relationships/image" Target="media/image12.png"/><Relationship Id="rId43" Type="http://schemas.openxmlformats.org/officeDocument/2006/relationships/chart" Target="charts/chart19.xml"/><Relationship Id="rId48" Type="http://schemas.openxmlformats.org/officeDocument/2006/relationships/chart" Target="charts/chart24.xml"/><Relationship Id="rId56" Type="http://schemas.openxmlformats.org/officeDocument/2006/relationships/chart" Target="charts/chart32.xml"/><Relationship Id="rId64" Type="http://schemas.openxmlformats.org/officeDocument/2006/relationships/chart" Target="charts/chart38.xml"/><Relationship Id="rId69" Type="http://schemas.openxmlformats.org/officeDocument/2006/relationships/image" Target="media/image18.jpeg"/><Relationship Id="rId77" Type="http://schemas.openxmlformats.org/officeDocument/2006/relationships/image" Target="media/image24.png"/><Relationship Id="rId8" Type="http://schemas.openxmlformats.org/officeDocument/2006/relationships/footer" Target="footer1.xml"/><Relationship Id="rId51" Type="http://schemas.openxmlformats.org/officeDocument/2006/relationships/chart" Target="charts/chart27.xml"/><Relationship Id="rId72" Type="http://schemas.openxmlformats.org/officeDocument/2006/relationships/chart" Target="charts/chart44.xml"/><Relationship Id="rId80" Type="http://schemas.openxmlformats.org/officeDocument/2006/relationships/image" Target="media/image27.png"/><Relationship Id="rId85" Type="http://schemas.openxmlformats.org/officeDocument/2006/relationships/image" Target="media/image32.png"/><Relationship Id="rId93" Type="http://schemas.openxmlformats.org/officeDocument/2006/relationships/image" Target="media/image38.jpeg"/><Relationship Id="rId3"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image" Target="media/image8.emf"/><Relationship Id="rId25" Type="http://schemas.openxmlformats.org/officeDocument/2006/relationships/chart" Target="charts/chart5.xml"/><Relationship Id="rId33" Type="http://schemas.openxmlformats.org/officeDocument/2006/relationships/chart" Target="charts/chart13.xml"/><Relationship Id="rId38" Type="http://schemas.openxmlformats.org/officeDocument/2006/relationships/image" Target="media/image15.png"/><Relationship Id="rId46" Type="http://schemas.openxmlformats.org/officeDocument/2006/relationships/chart" Target="charts/chart22.xml"/><Relationship Id="rId59" Type="http://schemas.openxmlformats.org/officeDocument/2006/relationships/chart" Target="charts/chart33.xml"/><Relationship Id="rId67" Type="http://schemas.openxmlformats.org/officeDocument/2006/relationships/chart" Target="charts/chart41.xml"/><Relationship Id="rId20" Type="http://schemas.openxmlformats.org/officeDocument/2006/relationships/image" Target="media/image11.jpeg"/><Relationship Id="rId41" Type="http://schemas.openxmlformats.org/officeDocument/2006/relationships/chart" Target="charts/chart17.xml"/><Relationship Id="rId54" Type="http://schemas.openxmlformats.org/officeDocument/2006/relationships/chart" Target="charts/chart30.xml"/><Relationship Id="rId62" Type="http://schemas.openxmlformats.org/officeDocument/2006/relationships/chart" Target="charts/chart36.xml"/><Relationship Id="rId70" Type="http://schemas.openxmlformats.org/officeDocument/2006/relationships/image" Target="media/image19.png"/><Relationship Id="rId75" Type="http://schemas.openxmlformats.org/officeDocument/2006/relationships/image" Target="media/image22.png"/><Relationship Id="rId83" Type="http://schemas.openxmlformats.org/officeDocument/2006/relationships/image" Target="media/image30.png"/><Relationship Id="rId88" Type="http://schemas.openxmlformats.org/officeDocument/2006/relationships/image" Target="media/image34.png"/><Relationship Id="rId91" Type="http://schemas.openxmlformats.org/officeDocument/2006/relationships/chart" Target="charts/chart46.xm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chart" Target="charts/chart3.xml"/><Relationship Id="rId28" Type="http://schemas.openxmlformats.org/officeDocument/2006/relationships/chart" Target="charts/chart8.xml"/><Relationship Id="rId36" Type="http://schemas.openxmlformats.org/officeDocument/2006/relationships/image" Target="media/image13.png"/><Relationship Id="rId49" Type="http://schemas.openxmlformats.org/officeDocument/2006/relationships/chart" Target="charts/chart25.xml"/><Relationship Id="rId57" Type="http://schemas.openxmlformats.org/officeDocument/2006/relationships/image" Target="media/image16.emf"/><Relationship Id="rId10" Type="http://schemas.openxmlformats.org/officeDocument/2006/relationships/image" Target="media/image2.emf"/><Relationship Id="rId31" Type="http://schemas.openxmlformats.org/officeDocument/2006/relationships/chart" Target="charts/chart11.xml"/><Relationship Id="rId44" Type="http://schemas.openxmlformats.org/officeDocument/2006/relationships/chart" Target="charts/chart20.xml"/><Relationship Id="rId52" Type="http://schemas.openxmlformats.org/officeDocument/2006/relationships/chart" Target="charts/chart28.xml"/><Relationship Id="rId60" Type="http://schemas.openxmlformats.org/officeDocument/2006/relationships/chart" Target="charts/chart34.xml"/><Relationship Id="rId65" Type="http://schemas.openxmlformats.org/officeDocument/2006/relationships/chart" Target="charts/chart39.xml"/><Relationship Id="rId73" Type="http://schemas.openxmlformats.org/officeDocument/2006/relationships/image" Target="media/image20.wmf"/><Relationship Id="rId78" Type="http://schemas.openxmlformats.org/officeDocument/2006/relationships/image" Target="media/image25.png"/><Relationship Id="rId81" Type="http://schemas.openxmlformats.org/officeDocument/2006/relationships/image" Target="media/image28.png"/><Relationship Id="rId86" Type="http://schemas.openxmlformats.org/officeDocument/2006/relationships/image" Target="media/image33.png"/><Relationship Id="rId9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jpeg"/></Relationships>
</file>

<file path=word/charts/_rels/chart1.xml.rels><?xml version="1.0" encoding="UTF-8" standalone="yes"?>
<Relationships xmlns="http://schemas.openxmlformats.org/package/2006/relationships"><Relationship Id="rId1" Type="http://schemas.openxmlformats.org/officeDocument/2006/relationships/oleObject" Target="file:///G:\project%20crap\8_11_tally_cc_830%20.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G:\project%20crap\8_11_tally_cc_830%20.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G:\project%20crap\8_11_tally_cc_830%20.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G:\project%20crap\8_11_tally_cc_830%20.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G:\project%20crap\8_11_tally_cc_830%20.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G:\project%20crap\8_11_tally_cc_830%20.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G:\project%20crap\8_11_tally_cc_830%20.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G:\project%20crap\8_11_tally_fp_1030.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G:\project%20crap\8_11_tally_fp_1030.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G:\project%20crap\8_11_tally_fp_1030.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G:\project%20crap\8_11_tally_fp_1030.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G:\project%20crap\8_11_tally_fp_1030.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G:\project%20crap\8_11_tally_fp_1030.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G:\project%20crap\8_11_tally_fp_1030.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dcz\Desktop\U235bu\vesta\cy4\HFIRcy4-VESTA.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dcz\Desktop\U235bu\vesta\cy16\HFIRcy16-VESTA.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dcz\Desktop\U235bu\vesta\cy35\HFIRcy35-VESTA.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dcz\Desktop\U235bu\vesta\cy4\HFIRcy4-VESTA.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dcz\Desktop\U235bu\vesta\cy4\HFIRcy4-VESTA.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dcz\Desktop\U235bu\vesta\cy4\HFIRcy4-VESTA.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dcz\Desktop\U235bu\vesta\cy4\HFIRcy4-VESTA.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dcz\Desktop\U235bu\vesta\cy16\HFIRcy16-VESTA.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C:\Users\dcz\Desktop\U235bu\vesta\cy16\HFIRcy16-VESTA.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Users\dcz\Desktop\U235bu\vesta\cy16\HFIRcy16-VESTA.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Users\dcz\Desktop\U235bu\vesta\cy16\HFIRcy16-VESTA.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C:\Users\dcz\Desktop\U235bu\vesta\cy35\HFIRcy35-VESTA.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C:\Users\dcz\Desktop\U235bu\vesta\cy35\HFIRcy35-VESTA.xlsx"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C:\Users\dcz\Desktop\U235bu\vesta\cy35\HFIRcy35-VESTA.xlsx"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C:\Users\dcz\Desktop\U235bu\vesta\cy35\HFIRcy35-VESTA.xlsx"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C:\Users\dcz\Desktop\U235-Pu239-Xe135-Xm149-cycle16.xlsx"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file:///C:\Users\dcz\Desktop\U235-Pu239-Xe135-Xm149-cycle16.xlsx" TargetMode="External"/></Relationships>
</file>

<file path=word/charts/_rels/chart32.xml.rels><?xml version="1.0" encoding="UTF-8" standalone="yes"?>
<Relationships xmlns="http://schemas.openxmlformats.org/package/2006/relationships"><Relationship Id="rId1" Type="http://schemas.openxmlformats.org/officeDocument/2006/relationships/oleObject" Target="file:///C:\Users\dcz\Desktop\U235-Pu239-Xe135-Xm149-cycle16.xlsx" TargetMode="External"/></Relationships>
</file>

<file path=word/charts/_rels/chart33.xml.rels><?xml version="1.0" encoding="UTF-8" standalone="yes"?>
<Relationships xmlns="http://schemas.openxmlformats.org/package/2006/relationships"><Relationship Id="rId1" Type="http://schemas.openxmlformats.org/officeDocument/2006/relationships/oleObject" Target="file:///C:\Users\dcz\Desktop\PB3calc-TRU-HCW\PBfluxesMCNP.xlsx" TargetMode="External"/></Relationships>
</file>

<file path=word/charts/_rels/chart34.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dcz\Desktop\BeGraphs.xlsx" TargetMode="External"/></Relationships>
</file>

<file path=word/charts/_rels/chart35.xml.rels><?xml version="1.0" encoding="UTF-8" standalone="yes"?>
<Relationships xmlns="http://schemas.openxmlformats.org/package/2006/relationships"><Relationship Id="rId1" Type="http://schemas.openxmlformats.org/officeDocument/2006/relationships/oleObject" Target="file:///C:\Users\dcz\Desktop\final-be_poisons-ref-730d.xlsx" TargetMode="External"/></Relationships>
</file>

<file path=word/charts/_rels/chart36.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dcz\Desktop\helium3\final-be_poisons-ref-730d.xlsx" TargetMode="External"/></Relationships>
</file>

<file path=word/charts/_rels/chart37.xml.rels><?xml version="1.0" encoding="UTF-8" standalone="yes"?>
<Relationships xmlns="http://schemas.openxmlformats.org/package/2006/relationships"><Relationship Id="rId1" Type="http://schemas.openxmlformats.org/officeDocument/2006/relationships/oleObject" Target="file:///C:\Users\dcz\Desktop\final_reports\BeReflector-JA\Plots.xlsx" TargetMode="External"/></Relationships>
</file>

<file path=word/charts/_rels/chart38.xml.rels><?xml version="1.0" encoding="UTF-8" standalone="yes"?>
<Relationships xmlns="http://schemas.openxmlformats.org/package/2006/relationships"><Relationship Id="rId1" Type="http://schemas.openxmlformats.org/officeDocument/2006/relationships/oleObject" Target="file:///C:\Users\dcz\Desktop\final_reports\BeReflector-JA\Plots.xlsx" TargetMode="External"/></Relationships>
</file>

<file path=word/charts/_rels/chart39.xml.rels><?xml version="1.0" encoding="UTF-8" standalone="yes"?>
<Relationships xmlns="http://schemas.openxmlformats.org/package/2006/relationships"><Relationship Id="rId1" Type="http://schemas.openxmlformats.org/officeDocument/2006/relationships/oleObject" Target="file:///C:\Users\dcz\Desktop\PB3-Results.xlsx" TargetMode="External"/></Relationships>
</file>

<file path=word/charts/_rels/chart40.xml.rels><?xml version="1.0" encoding="UTF-8" standalone="yes"?>
<Relationships xmlns="http://schemas.openxmlformats.org/package/2006/relationships"><Relationship Id="rId1" Type="http://schemas.openxmlformats.org/officeDocument/2006/relationships/oleObject" Target="file:///C:\Users\dcz\Desktop\SCALEVI&amp;PB3calc\RB-SPB-Activation.xlsx" TargetMode="External"/></Relationships>
</file>

<file path=word/charts/_rels/chart41.xml.rels><?xml version="1.0" encoding="UTF-8" standalone="yes"?>
<Relationships xmlns="http://schemas.openxmlformats.org/package/2006/relationships"><Relationship Id="rId1" Type="http://schemas.openxmlformats.org/officeDocument/2006/relationships/oleObject" Target="file:///C:\Users\dcz\Desktop\PB3calc-TRU-HCW\RB-SPB-Activation.xlsx" TargetMode="External"/></Relationships>
</file>

<file path=word/charts/_rels/chart42.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C:\Users\dcz\Desktop\MWd-Study\FTTloadings.xlsx" TargetMode="External"/></Relationships>
</file>

<file path=word/charts/_rels/chart43.xml.rels><?xml version="1.0" encoding="UTF-8" standalone="yes"?>
<Relationships xmlns="http://schemas.openxmlformats.org/package/2006/relationships"><Relationship Id="rId1" Type="http://schemas.openxmlformats.org/officeDocument/2006/relationships/oleObject" Target="file:///C:\Users\dcz\Desktop\Cm_Targets\curium-s27-s34.xlsx" TargetMode="External"/></Relationships>
</file>

<file path=word/charts/_rels/chart44.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C:\Users\dcz\Desktop\Cm_Targets\curium-s27-s34.xlsx" TargetMode="External"/></Relationships>
</file>

<file path=word/charts/_rels/chart4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6.xml.rels><?xml version="1.0" encoding="UTF-8" standalone="yes"?>
<Relationships xmlns="http://schemas.openxmlformats.org/package/2006/relationships"><Relationship Id="rId1" Type="http://schemas.openxmlformats.org/officeDocument/2006/relationships/oleObject" Target="file:///C:\Users\dcz\Desktop\PuProduction\Pu-238%20Plots4AN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2471438466025116"/>
          <c:y val="4.0204678362573076E-2"/>
          <c:w val="0.84056339311752659"/>
          <c:h val="0.81697143942533734"/>
        </c:manualLayout>
      </c:layout>
      <c:scatterChart>
        <c:scatterStyle val="smoothMarker"/>
        <c:ser>
          <c:idx val="0"/>
          <c:order val="0"/>
          <c:tx>
            <c:v>IFE Calculated</c:v>
          </c:tx>
          <c:spPr>
            <a:ln w="19050">
              <a:solidFill>
                <a:srgbClr val="0000FF"/>
              </a:solidFill>
            </a:ln>
          </c:spPr>
          <c:marker>
            <c:spPr>
              <a:solidFill>
                <a:srgbClr val="0000FF"/>
              </a:solidFill>
            </c:spPr>
          </c:marker>
          <c:xVal>
            <c:numRef>
              <c:f>results!$D$51:$D$56</c:f>
              <c:numCache>
                <c:formatCode>General</c:formatCode>
                <c:ptCount val="6"/>
                <c:pt idx="0">
                  <c:v>7.3863199999999996</c:v>
                </c:pt>
                <c:pt idx="1">
                  <c:v>8.4023200000000013</c:v>
                </c:pt>
                <c:pt idx="2">
                  <c:v>9.4183199999999996</c:v>
                </c:pt>
                <c:pt idx="3">
                  <c:v>10.43432</c:v>
                </c:pt>
                <c:pt idx="4">
                  <c:v>11.45032</c:v>
                </c:pt>
                <c:pt idx="5">
                  <c:v>12.466320000000001</c:v>
                </c:pt>
              </c:numCache>
            </c:numRef>
          </c:xVal>
          <c:yVal>
            <c:numRef>
              <c:f>results!$C$15:$C$20</c:f>
              <c:numCache>
                <c:formatCode>0.000</c:formatCode>
                <c:ptCount val="6"/>
                <c:pt idx="0">
                  <c:v>1.286319387017604</c:v>
                </c:pt>
                <c:pt idx="1">
                  <c:v>1.0651441749592301</c:v>
                </c:pt>
                <c:pt idx="2">
                  <c:v>1</c:v>
                </c:pt>
                <c:pt idx="3">
                  <c:v>1.0063839790494691</c:v>
                </c:pt>
                <c:pt idx="4">
                  <c:v>1.0232976129753186</c:v>
                </c:pt>
                <c:pt idx="5">
                  <c:v>1.1450886688109883</c:v>
                </c:pt>
              </c:numCache>
            </c:numRef>
          </c:yVal>
          <c:smooth val="1"/>
        </c:ser>
        <c:ser>
          <c:idx val="1"/>
          <c:order val="1"/>
          <c:tx>
            <c:v>IFE Experimental</c:v>
          </c:tx>
          <c:spPr>
            <a:ln w="19050">
              <a:solidFill>
                <a:srgbClr val="FF0000"/>
              </a:solidFill>
            </a:ln>
          </c:spPr>
          <c:marker>
            <c:spPr>
              <a:solidFill>
                <a:srgbClr val="FF0000"/>
              </a:solidFill>
            </c:spPr>
          </c:marker>
          <c:errBars>
            <c:errDir val="y"/>
            <c:errBarType val="both"/>
            <c:errValType val="cust"/>
            <c:plus>
              <c:numRef>
                <c:f>results!$F$15:$F$20</c:f>
                <c:numCache>
                  <c:formatCode>General</c:formatCode>
                  <c:ptCount val="6"/>
                  <c:pt idx="0">
                    <c:v>8.9802561210691564E-2</c:v>
                  </c:pt>
                  <c:pt idx="1">
                    <c:v>7.7074639149334767E-2</c:v>
                  </c:pt>
                  <c:pt idx="2">
                    <c:v>7.0710678118654904E-2</c:v>
                  </c:pt>
                  <c:pt idx="3">
                    <c:v>7.0710678118654904E-2</c:v>
                  </c:pt>
                  <c:pt idx="4">
                    <c:v>7.1417784899842601E-2</c:v>
                  </c:pt>
                  <c:pt idx="5">
                    <c:v>7.7074639149334767E-2</c:v>
                  </c:pt>
                </c:numCache>
              </c:numRef>
            </c:plus>
            <c:minus>
              <c:numRef>
                <c:f>results!$F$15:$F$20</c:f>
                <c:numCache>
                  <c:formatCode>General</c:formatCode>
                  <c:ptCount val="6"/>
                  <c:pt idx="0">
                    <c:v>8.9802561210691564E-2</c:v>
                  </c:pt>
                  <c:pt idx="1">
                    <c:v>7.7074639149334767E-2</c:v>
                  </c:pt>
                  <c:pt idx="2">
                    <c:v>7.0710678118654904E-2</c:v>
                  </c:pt>
                  <c:pt idx="3">
                    <c:v>7.0710678118654904E-2</c:v>
                  </c:pt>
                  <c:pt idx="4">
                    <c:v>7.1417784899842601E-2</c:v>
                  </c:pt>
                  <c:pt idx="5">
                    <c:v>7.7074639149334767E-2</c:v>
                  </c:pt>
                </c:numCache>
              </c:numRef>
            </c:minus>
            <c:spPr>
              <a:ln>
                <a:solidFill>
                  <a:srgbClr val="FF0000"/>
                </a:solidFill>
              </a:ln>
            </c:spPr>
          </c:errBars>
          <c:xVal>
            <c:numRef>
              <c:f>results!$D$51:$D$56</c:f>
              <c:numCache>
                <c:formatCode>General</c:formatCode>
                <c:ptCount val="6"/>
                <c:pt idx="0">
                  <c:v>7.3863199999999996</c:v>
                </c:pt>
                <c:pt idx="1">
                  <c:v>8.4023200000000013</c:v>
                </c:pt>
                <c:pt idx="2">
                  <c:v>9.4183199999999996</c:v>
                </c:pt>
                <c:pt idx="3">
                  <c:v>10.43432</c:v>
                </c:pt>
                <c:pt idx="4">
                  <c:v>11.45032</c:v>
                </c:pt>
                <c:pt idx="5">
                  <c:v>12.466320000000001</c:v>
                </c:pt>
              </c:numCache>
            </c:numRef>
          </c:xVal>
          <c:yVal>
            <c:numRef>
              <c:f>results!$E$15:$E$20</c:f>
              <c:numCache>
                <c:formatCode>0.000</c:formatCode>
                <c:ptCount val="6"/>
                <c:pt idx="0">
                  <c:v>1.27</c:v>
                </c:pt>
                <c:pt idx="1">
                  <c:v>1.0900000000000001</c:v>
                </c:pt>
                <c:pt idx="2">
                  <c:v>1</c:v>
                </c:pt>
                <c:pt idx="3">
                  <c:v>1</c:v>
                </c:pt>
                <c:pt idx="4">
                  <c:v>1.01</c:v>
                </c:pt>
                <c:pt idx="5">
                  <c:v>1.0900000000000001</c:v>
                </c:pt>
              </c:numCache>
            </c:numRef>
          </c:yVal>
          <c:smooth val="1"/>
        </c:ser>
        <c:ser>
          <c:idx val="2"/>
          <c:order val="2"/>
          <c:tx>
            <c:v>OFE Calculated</c:v>
          </c:tx>
          <c:spPr>
            <a:ln w="19050">
              <a:solidFill>
                <a:srgbClr val="00B050"/>
              </a:solidFill>
            </a:ln>
          </c:spPr>
          <c:marker>
            <c:spPr>
              <a:solidFill>
                <a:srgbClr val="00B050"/>
              </a:solidFill>
            </c:spPr>
          </c:marker>
          <c:xVal>
            <c:numRef>
              <c:f>results!$E$51:$E$56</c:f>
              <c:numCache>
                <c:formatCode>General</c:formatCode>
                <c:ptCount val="6"/>
                <c:pt idx="0">
                  <c:v>15.389860000000002</c:v>
                </c:pt>
                <c:pt idx="1">
                  <c:v>16.469360000000002</c:v>
                </c:pt>
                <c:pt idx="2">
                  <c:v>17.548860000000001</c:v>
                </c:pt>
                <c:pt idx="3">
                  <c:v>18.628360000000001</c:v>
                </c:pt>
                <c:pt idx="4">
                  <c:v>19.707860000000135</c:v>
                </c:pt>
                <c:pt idx="5">
                  <c:v>20.78736</c:v>
                </c:pt>
              </c:numCache>
            </c:numRef>
          </c:xVal>
          <c:yVal>
            <c:numRef>
              <c:f>results!$I$15:$I$20</c:f>
              <c:numCache>
                <c:formatCode>0.000</c:formatCode>
                <c:ptCount val="6"/>
                <c:pt idx="0">
                  <c:v>1.1872383207621575</c:v>
                </c:pt>
                <c:pt idx="1">
                  <c:v>1.0789120464974011</c:v>
                </c:pt>
                <c:pt idx="2">
                  <c:v>0.96856164072369577</c:v>
                </c:pt>
                <c:pt idx="3">
                  <c:v>0.86279657887642269</c:v>
                </c:pt>
                <c:pt idx="4">
                  <c:v>0.81474235255190064</c:v>
                </c:pt>
                <c:pt idx="5">
                  <c:v>0.74912387134638014</c:v>
                </c:pt>
              </c:numCache>
            </c:numRef>
          </c:yVal>
          <c:smooth val="1"/>
        </c:ser>
        <c:ser>
          <c:idx val="3"/>
          <c:order val="3"/>
          <c:tx>
            <c:v>OFE Experimental</c:v>
          </c:tx>
          <c:spPr>
            <a:ln w="19050">
              <a:solidFill>
                <a:srgbClr val="7030A0"/>
              </a:solidFill>
            </a:ln>
          </c:spPr>
          <c:marker>
            <c:spPr>
              <a:solidFill>
                <a:srgbClr val="7030A0"/>
              </a:solidFill>
            </c:spPr>
          </c:marker>
          <c:errBars>
            <c:errDir val="y"/>
            <c:errBarType val="both"/>
            <c:errValType val="cust"/>
            <c:plus>
              <c:numRef>
                <c:f>results!$L$15:$L$20</c:f>
                <c:numCache>
                  <c:formatCode>General</c:formatCode>
                  <c:ptCount val="6"/>
                  <c:pt idx="0">
                    <c:v>7.778174593052091E-2</c:v>
                  </c:pt>
                  <c:pt idx="1">
                    <c:v>7.2831998462214428E-2</c:v>
                  </c:pt>
                  <c:pt idx="2">
                    <c:v>6.6538748109654045E-2</c:v>
                  </c:pt>
                  <c:pt idx="3">
                    <c:v>6.1164736572636789E-2</c:v>
                  </c:pt>
                  <c:pt idx="4">
                    <c:v>6.4417427766094534E-2</c:v>
                  </c:pt>
                  <c:pt idx="5">
                    <c:v>5.9114126907196141E-2</c:v>
                  </c:pt>
                </c:numCache>
              </c:numRef>
            </c:plus>
            <c:minus>
              <c:numRef>
                <c:f>results!$L$15:$L$20</c:f>
                <c:numCache>
                  <c:formatCode>General</c:formatCode>
                  <c:ptCount val="6"/>
                  <c:pt idx="0">
                    <c:v>7.778174593052091E-2</c:v>
                  </c:pt>
                  <c:pt idx="1">
                    <c:v>7.2831998462214428E-2</c:v>
                  </c:pt>
                  <c:pt idx="2">
                    <c:v>6.6538748109654045E-2</c:v>
                  </c:pt>
                  <c:pt idx="3">
                    <c:v>6.1164736572636789E-2</c:v>
                  </c:pt>
                  <c:pt idx="4">
                    <c:v>6.4417427766094534E-2</c:v>
                  </c:pt>
                  <c:pt idx="5">
                    <c:v>5.9114126907196141E-2</c:v>
                  </c:pt>
                </c:numCache>
              </c:numRef>
            </c:minus>
            <c:spPr>
              <a:ln>
                <a:solidFill>
                  <a:srgbClr val="7030A0"/>
                </a:solidFill>
              </a:ln>
            </c:spPr>
          </c:errBars>
          <c:xVal>
            <c:numRef>
              <c:f>results!$E$51:$E$56</c:f>
              <c:numCache>
                <c:formatCode>General</c:formatCode>
                <c:ptCount val="6"/>
                <c:pt idx="0">
                  <c:v>15.389860000000002</c:v>
                </c:pt>
                <c:pt idx="1">
                  <c:v>16.469360000000002</c:v>
                </c:pt>
                <c:pt idx="2">
                  <c:v>17.548860000000001</c:v>
                </c:pt>
                <c:pt idx="3">
                  <c:v>18.628360000000001</c:v>
                </c:pt>
                <c:pt idx="4">
                  <c:v>19.707860000000135</c:v>
                </c:pt>
                <c:pt idx="5">
                  <c:v>20.78736</c:v>
                </c:pt>
              </c:numCache>
            </c:numRef>
          </c:xVal>
          <c:yVal>
            <c:numRef>
              <c:f>results!$K$15:$K$20</c:f>
              <c:numCache>
                <c:formatCode>0.000</c:formatCode>
                <c:ptCount val="6"/>
                <c:pt idx="0">
                  <c:v>1.1000000000000001</c:v>
                </c:pt>
                <c:pt idx="1">
                  <c:v>1.03</c:v>
                </c:pt>
                <c:pt idx="2">
                  <c:v>0.94099999999999995</c:v>
                </c:pt>
                <c:pt idx="3">
                  <c:v>0.86500000000000365</c:v>
                </c:pt>
                <c:pt idx="4">
                  <c:v>0.91100000000000003</c:v>
                </c:pt>
                <c:pt idx="5">
                  <c:v>0.83600000000000063</c:v>
                </c:pt>
              </c:numCache>
            </c:numRef>
          </c:yVal>
          <c:smooth val="1"/>
        </c:ser>
        <c:axId val="95596544"/>
        <c:axId val="95598464"/>
      </c:scatterChart>
      <c:valAx>
        <c:axId val="95596544"/>
        <c:scaling>
          <c:orientation val="minMax"/>
          <c:max val="21"/>
          <c:min val="7"/>
        </c:scaling>
        <c:axPos val="b"/>
        <c:majorGridlines>
          <c:spPr>
            <a:ln>
              <a:solidFill>
                <a:schemeClr val="tx1"/>
              </a:solidFill>
            </a:ln>
          </c:spPr>
        </c:majorGridlines>
        <c:title>
          <c:tx>
            <c:rich>
              <a:bodyPr/>
              <a:lstStyle/>
              <a:p>
                <a:pPr>
                  <a:defRPr sz="1000">
                    <a:latin typeface="Times New Roman" pitchFamily="18" charset="0"/>
                    <a:cs typeface="Times New Roman" pitchFamily="18" charset="0"/>
                  </a:defRPr>
                </a:pPr>
                <a:r>
                  <a:rPr lang="en-US" sz="1000">
                    <a:latin typeface="Times New Roman" pitchFamily="18" charset="0"/>
                    <a:cs typeface="Times New Roman" pitchFamily="18" charset="0"/>
                  </a:rPr>
                  <a:t>Radial Distance From Centerline</a:t>
                </a:r>
                <a:r>
                  <a:rPr lang="en-US" sz="1000" baseline="0">
                    <a:latin typeface="Times New Roman" pitchFamily="18" charset="0"/>
                    <a:cs typeface="Times New Roman" pitchFamily="18" charset="0"/>
                  </a:rPr>
                  <a:t> (cm)</a:t>
                </a:r>
                <a:endParaRPr lang="en-US" sz="1000">
                  <a:latin typeface="Times New Roman" pitchFamily="18" charset="0"/>
                  <a:cs typeface="Times New Roman" pitchFamily="18" charset="0"/>
                </a:endParaRPr>
              </a:p>
            </c:rich>
          </c:tx>
          <c:layout>
            <c:manualLayout>
              <c:xMode val="edge"/>
              <c:yMode val="edge"/>
              <c:x val="0.35054808253135022"/>
              <c:y val="0.94435839434544366"/>
            </c:manualLayout>
          </c:layout>
        </c:title>
        <c:numFmt formatCode="General" sourceLinked="1"/>
        <c:majorTickMark val="none"/>
        <c:tickLblPos val="nextTo"/>
        <c:spPr>
          <a:ln>
            <a:solidFill>
              <a:sysClr val="windowText" lastClr="000000"/>
            </a:solidFill>
          </a:ln>
        </c:spPr>
        <c:txPr>
          <a:bodyPr rot="0" vert="horz"/>
          <a:lstStyle/>
          <a:p>
            <a:pPr>
              <a:defRPr sz="800" b="1">
                <a:latin typeface="Times New Roman" pitchFamily="18" charset="0"/>
                <a:cs typeface="Times New Roman" pitchFamily="18" charset="0"/>
              </a:defRPr>
            </a:pPr>
            <a:endParaRPr lang="en-US"/>
          </a:p>
        </c:txPr>
        <c:crossAx val="95598464"/>
        <c:crosses val="autoZero"/>
        <c:crossBetween val="midCat"/>
        <c:majorUnit val="1"/>
      </c:valAx>
      <c:valAx>
        <c:axId val="95598464"/>
        <c:scaling>
          <c:orientation val="minMax"/>
          <c:max val="1.4"/>
          <c:min val="0.70000000000000062"/>
        </c:scaling>
        <c:axPos val="l"/>
        <c:majorGridlines>
          <c:spPr>
            <a:ln>
              <a:solidFill>
                <a:sysClr val="windowText" lastClr="000000"/>
              </a:solidFill>
            </a:ln>
          </c:spPr>
        </c:majorGridlines>
        <c:title>
          <c:tx>
            <c:rich>
              <a:bodyPr/>
              <a:lstStyle/>
              <a:p>
                <a:pPr>
                  <a:defRPr sz="1000">
                    <a:latin typeface="Times New Roman" pitchFamily="18" charset="0"/>
                    <a:cs typeface="Times New Roman" pitchFamily="18" charset="0"/>
                  </a:defRPr>
                </a:pPr>
                <a:r>
                  <a:rPr lang="en-US" sz="1000">
                    <a:latin typeface="Times New Roman" pitchFamily="18" charset="0"/>
                    <a:cs typeface="Times New Roman" pitchFamily="18" charset="0"/>
                  </a:rPr>
                  <a:t>Relative Power Distribution</a:t>
                </a:r>
              </a:p>
            </c:rich>
          </c:tx>
        </c:title>
        <c:numFmt formatCode="0.00" sourceLinked="0"/>
        <c:majorTickMark val="none"/>
        <c:tickLblPos val="nextTo"/>
        <c:spPr>
          <a:ln>
            <a:solidFill>
              <a:sysClr val="windowText" lastClr="000000"/>
            </a:solidFill>
          </a:ln>
        </c:spPr>
        <c:txPr>
          <a:bodyPr/>
          <a:lstStyle/>
          <a:p>
            <a:pPr>
              <a:defRPr sz="800" b="1">
                <a:latin typeface="Times New Roman" pitchFamily="18" charset="0"/>
                <a:cs typeface="Times New Roman" pitchFamily="18" charset="0"/>
              </a:defRPr>
            </a:pPr>
            <a:endParaRPr lang="en-US"/>
          </a:p>
        </c:txPr>
        <c:crossAx val="95596544"/>
        <c:crosses val="autoZero"/>
        <c:crossBetween val="midCat"/>
        <c:majorUnit val="5.0000000000000114E-2"/>
      </c:valAx>
    </c:plotArea>
    <c:legend>
      <c:legendPos val="r"/>
      <c:legendEntry>
        <c:idx val="0"/>
        <c:txPr>
          <a:bodyPr/>
          <a:lstStyle/>
          <a:p>
            <a:pPr>
              <a:defRPr sz="1000">
                <a:latin typeface="Times New Roman" pitchFamily="18" charset="0"/>
                <a:cs typeface="Times New Roman" pitchFamily="18" charset="0"/>
              </a:defRPr>
            </a:pPr>
            <a:endParaRPr lang="en-US"/>
          </a:p>
        </c:txPr>
      </c:legendEntry>
      <c:legendEntry>
        <c:idx val="1"/>
        <c:txPr>
          <a:bodyPr/>
          <a:lstStyle/>
          <a:p>
            <a:pPr>
              <a:defRPr sz="1000">
                <a:latin typeface="Times New Roman" pitchFamily="18" charset="0"/>
                <a:cs typeface="Times New Roman" pitchFamily="18" charset="0"/>
              </a:defRPr>
            </a:pPr>
            <a:endParaRPr lang="en-US"/>
          </a:p>
        </c:txPr>
      </c:legendEntry>
      <c:legendEntry>
        <c:idx val="2"/>
        <c:txPr>
          <a:bodyPr/>
          <a:lstStyle/>
          <a:p>
            <a:pPr>
              <a:defRPr sz="1000">
                <a:latin typeface="Times New Roman" pitchFamily="18" charset="0"/>
                <a:cs typeface="Times New Roman" pitchFamily="18" charset="0"/>
              </a:defRPr>
            </a:pPr>
            <a:endParaRPr lang="en-US"/>
          </a:p>
        </c:txPr>
      </c:legendEntry>
      <c:legendEntry>
        <c:idx val="3"/>
        <c:txPr>
          <a:bodyPr/>
          <a:lstStyle/>
          <a:p>
            <a:pPr>
              <a:defRPr sz="1000">
                <a:latin typeface="Times New Roman" pitchFamily="18" charset="0"/>
                <a:cs typeface="Times New Roman" pitchFamily="18" charset="0"/>
              </a:defRPr>
            </a:pPr>
            <a:endParaRPr lang="en-US"/>
          </a:p>
        </c:txPr>
      </c:legendEntry>
      <c:layout>
        <c:manualLayout>
          <c:xMode val="edge"/>
          <c:yMode val="edge"/>
          <c:x val="0.41896762904636931"/>
          <c:y val="3.7924491119603214E-2"/>
          <c:w val="0.24502222222222381"/>
          <c:h val="0.17445368553197027"/>
        </c:manualLayout>
      </c:layout>
      <c:overlay val="1"/>
      <c:spPr>
        <a:solidFill>
          <a:sysClr val="window" lastClr="FFFFFF"/>
        </a:solidFill>
        <a:ln>
          <a:solidFill>
            <a:sysClr val="windowText" lastClr="000000"/>
          </a:solidFill>
        </a:ln>
      </c:spPr>
      <c:txPr>
        <a:bodyPr/>
        <a:lstStyle/>
        <a:p>
          <a:pPr>
            <a:defRPr sz="1000">
              <a:latin typeface="Times New Roman" pitchFamily="18" charset="0"/>
              <a:cs typeface="Times New Roman" pitchFamily="18" charset="0"/>
            </a:defRPr>
          </a:pPr>
          <a:endParaRPr lang="en-US"/>
        </a:p>
      </c:txPr>
    </c:legend>
    <c:plotVisOnly val="1"/>
    <c:dispBlanksAs val="gap"/>
  </c:chart>
  <c:spPr>
    <a:ln>
      <a:solidFill>
        <a:sysClr val="windowText" lastClr="000000"/>
      </a:solid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1699438611840186"/>
          <c:y val="4.0204678362573076E-2"/>
          <c:w val="0.84133894721493152"/>
          <c:h val="0.83159132246627065"/>
        </c:manualLayout>
      </c:layout>
      <c:scatterChart>
        <c:scatterStyle val="smoothMarker"/>
        <c:ser>
          <c:idx val="0"/>
          <c:order val="0"/>
          <c:tx>
            <c:v>Calculated</c:v>
          </c:tx>
          <c:spPr>
            <a:ln w="19050">
              <a:solidFill>
                <a:srgbClr val="0000FF"/>
              </a:solidFill>
            </a:ln>
          </c:spPr>
          <c:marker>
            <c:spPr>
              <a:solidFill>
                <a:srgbClr val="0000FF"/>
              </a:solidFill>
            </c:spPr>
          </c:marker>
          <c:xVal>
            <c:numRef>
              <c:f>(results!$C$6,results!$C$9,results!$C$12,results!$C$15,results!$C$21,results!$C$24,results!$C$27)</c:f>
              <c:numCache>
                <c:formatCode>0.000</c:formatCode>
                <c:ptCount val="7"/>
                <c:pt idx="0">
                  <c:v>0.81337240342076067</c:v>
                </c:pt>
                <c:pt idx="1">
                  <c:v>1.0619992449903428</c:v>
                </c:pt>
                <c:pt idx="2">
                  <c:v>1.2366237399699298</c:v>
                </c:pt>
                <c:pt idx="3">
                  <c:v>1.286319387017604</c:v>
                </c:pt>
                <c:pt idx="4">
                  <c:v>1.2085877290390521</c:v>
                </c:pt>
                <c:pt idx="5">
                  <c:v>1.0215547816642456</c:v>
                </c:pt>
                <c:pt idx="6">
                  <c:v>0.76970867628394579</c:v>
                </c:pt>
              </c:numCache>
            </c:numRef>
          </c:xVal>
          <c:yVal>
            <c:numRef>
              <c:f>(results!$C$42,results!$C$45,results!$C$48,results!$C$51,results!$C$57,results!$C$60,results!$C$63)</c:f>
              <c:numCache>
                <c:formatCode>General</c:formatCode>
                <c:ptCount val="7"/>
                <c:pt idx="0">
                  <c:v>19.05</c:v>
                </c:pt>
                <c:pt idx="1">
                  <c:v>12.7</c:v>
                </c:pt>
                <c:pt idx="2">
                  <c:v>6.35</c:v>
                </c:pt>
                <c:pt idx="3">
                  <c:v>0</c:v>
                </c:pt>
                <c:pt idx="4">
                  <c:v>-6.35</c:v>
                </c:pt>
                <c:pt idx="5">
                  <c:v>-12.7</c:v>
                </c:pt>
                <c:pt idx="6">
                  <c:v>-19.05</c:v>
                </c:pt>
              </c:numCache>
            </c:numRef>
          </c:yVal>
          <c:smooth val="1"/>
        </c:ser>
        <c:ser>
          <c:idx val="1"/>
          <c:order val="1"/>
          <c:tx>
            <c:v>Experimental</c:v>
          </c:tx>
          <c:spPr>
            <a:ln w="19050">
              <a:solidFill>
                <a:srgbClr val="FF0000"/>
              </a:solidFill>
            </a:ln>
          </c:spPr>
          <c:marker>
            <c:spPr>
              <a:solidFill>
                <a:srgbClr val="FF0000"/>
              </a:solidFill>
            </c:spPr>
          </c:marker>
          <c:errBars>
            <c:errDir val="x"/>
            <c:errBarType val="both"/>
            <c:errValType val="cust"/>
            <c:plus>
              <c:numRef>
                <c:f>(results!$F$6,results!$F$9,results!$F$12,results!$F$15,results!$F$21,results!$F$24,results!$F$27)</c:f>
                <c:numCache>
                  <c:formatCode>General</c:formatCode>
                  <c:ptCount val="7"/>
                  <c:pt idx="0">
                    <c:v>5.8407020126009034E-2</c:v>
                  </c:pt>
                  <c:pt idx="1">
                    <c:v>7.707463914933467E-2</c:v>
                  </c:pt>
                  <c:pt idx="2">
                    <c:v>8.838834764831846E-2</c:v>
                  </c:pt>
                  <c:pt idx="3">
                    <c:v>8.9802561210691564E-2</c:v>
                  </c:pt>
                  <c:pt idx="4">
                    <c:v>8.4852813742385721E-2</c:v>
                  </c:pt>
                  <c:pt idx="5">
                    <c:v>7.1417784899842546E-2</c:v>
                  </c:pt>
                  <c:pt idx="6">
                    <c:v>5.2891587232753924E-2</c:v>
                  </c:pt>
                </c:numCache>
              </c:numRef>
            </c:plus>
            <c:minus>
              <c:numRef>
                <c:f>(results!$F$6,results!$F$9,results!$F$12,results!$F$15,results!$F$21,results!$F$24,results!$F$27)</c:f>
                <c:numCache>
                  <c:formatCode>General</c:formatCode>
                  <c:ptCount val="7"/>
                  <c:pt idx="0">
                    <c:v>5.8407020126009034E-2</c:v>
                  </c:pt>
                  <c:pt idx="1">
                    <c:v>7.707463914933467E-2</c:v>
                  </c:pt>
                  <c:pt idx="2">
                    <c:v>8.838834764831846E-2</c:v>
                  </c:pt>
                  <c:pt idx="3">
                    <c:v>8.9802561210691564E-2</c:v>
                  </c:pt>
                  <c:pt idx="4">
                    <c:v>8.4852813742385721E-2</c:v>
                  </c:pt>
                  <c:pt idx="5">
                    <c:v>7.1417784899842546E-2</c:v>
                  </c:pt>
                  <c:pt idx="6">
                    <c:v>5.2891587232753924E-2</c:v>
                  </c:pt>
                </c:numCache>
              </c:numRef>
            </c:minus>
            <c:spPr>
              <a:ln>
                <a:solidFill>
                  <a:srgbClr val="FF0000"/>
                </a:solidFill>
              </a:ln>
            </c:spPr>
          </c:errBars>
          <c:xVal>
            <c:numRef>
              <c:f>(results!$E$6,results!$E$9,results!$E$12,results!$E$15,results!$E$21,results!$E$24,results!$E$27)</c:f>
              <c:numCache>
                <c:formatCode>0.000</c:formatCode>
                <c:ptCount val="7"/>
                <c:pt idx="0">
                  <c:v>0.82600000000000062</c:v>
                </c:pt>
                <c:pt idx="1">
                  <c:v>1.0900000000000001</c:v>
                </c:pt>
                <c:pt idx="2">
                  <c:v>1.25</c:v>
                </c:pt>
                <c:pt idx="3">
                  <c:v>1.27</c:v>
                </c:pt>
                <c:pt idx="4">
                  <c:v>1.2</c:v>
                </c:pt>
                <c:pt idx="5">
                  <c:v>1.01</c:v>
                </c:pt>
                <c:pt idx="6">
                  <c:v>0.74800000000000599</c:v>
                </c:pt>
              </c:numCache>
            </c:numRef>
          </c:xVal>
          <c:yVal>
            <c:numRef>
              <c:f>(results!$C$42,results!$C$45,results!$C$48,results!$C$51,results!$C$57,results!$C$60,results!$C$63)</c:f>
              <c:numCache>
                <c:formatCode>General</c:formatCode>
                <c:ptCount val="7"/>
                <c:pt idx="0">
                  <c:v>19.05</c:v>
                </c:pt>
                <c:pt idx="1">
                  <c:v>12.7</c:v>
                </c:pt>
                <c:pt idx="2">
                  <c:v>6.35</c:v>
                </c:pt>
                <c:pt idx="3">
                  <c:v>0</c:v>
                </c:pt>
                <c:pt idx="4">
                  <c:v>-6.35</c:v>
                </c:pt>
                <c:pt idx="5">
                  <c:v>-12.7</c:v>
                </c:pt>
                <c:pt idx="6">
                  <c:v>-19.05</c:v>
                </c:pt>
              </c:numCache>
            </c:numRef>
          </c:yVal>
          <c:smooth val="1"/>
        </c:ser>
        <c:axId val="95613312"/>
        <c:axId val="95615232"/>
      </c:scatterChart>
      <c:valAx>
        <c:axId val="95613312"/>
        <c:scaling>
          <c:orientation val="minMax"/>
          <c:min val="0.65000000000000813"/>
        </c:scaling>
        <c:axPos val="b"/>
        <c:majorGridlines>
          <c:spPr>
            <a:ln>
              <a:solidFill>
                <a:sysClr val="windowText" lastClr="000000"/>
              </a:solidFill>
            </a:ln>
          </c:spPr>
        </c:majorGridlines>
        <c:title>
          <c:tx>
            <c:rich>
              <a:bodyPr/>
              <a:lstStyle/>
              <a:p>
                <a:pPr>
                  <a:defRPr sz="1000"/>
                </a:pPr>
                <a:r>
                  <a:rPr lang="en-US" sz="1000">
                    <a:latin typeface="Times New Roman" pitchFamily="18" charset="0"/>
                    <a:cs typeface="Times New Roman" pitchFamily="18" charset="0"/>
                  </a:rPr>
                  <a:t>Relative Power Distribution</a:t>
                </a:r>
              </a:p>
            </c:rich>
          </c:tx>
          <c:layout>
            <c:manualLayout>
              <c:xMode val="edge"/>
              <c:yMode val="edge"/>
              <c:x val="0.39249015748031496"/>
              <c:y val="0.94700292397660757"/>
            </c:manualLayout>
          </c:layout>
        </c:title>
        <c:numFmt formatCode="0.00" sourceLinked="0"/>
        <c:majorTickMark val="cross"/>
        <c:tickLblPos val="low"/>
        <c:spPr>
          <a:ln>
            <a:solidFill>
              <a:sysClr val="windowText" lastClr="000000"/>
            </a:solidFill>
          </a:ln>
        </c:spPr>
        <c:txPr>
          <a:bodyPr/>
          <a:lstStyle/>
          <a:p>
            <a:pPr>
              <a:defRPr sz="800" b="1">
                <a:latin typeface="Times New Roman" pitchFamily="18" charset="0"/>
                <a:cs typeface="Times New Roman" pitchFamily="18" charset="0"/>
              </a:defRPr>
            </a:pPr>
            <a:endParaRPr lang="en-US"/>
          </a:p>
        </c:txPr>
        <c:crossAx val="95615232"/>
        <c:crosses val="autoZero"/>
        <c:crossBetween val="midCat"/>
        <c:majorUnit val="0.05"/>
      </c:valAx>
      <c:valAx>
        <c:axId val="95615232"/>
        <c:scaling>
          <c:orientation val="minMax"/>
          <c:max val="21"/>
          <c:min val="-21"/>
        </c:scaling>
        <c:axPos val="l"/>
        <c:majorGridlines>
          <c:spPr>
            <a:ln>
              <a:solidFill>
                <a:schemeClr val="tx1"/>
              </a:solidFill>
            </a:ln>
          </c:spPr>
        </c:majorGridlines>
        <c:title>
          <c:tx>
            <c:rich>
              <a:bodyPr rot="-5400000" vert="horz"/>
              <a:lstStyle/>
              <a:p>
                <a:pPr>
                  <a:defRPr sz="1000"/>
                </a:pPr>
                <a:r>
                  <a:rPr lang="en-US" sz="1000">
                    <a:latin typeface="Times New Roman" pitchFamily="18" charset="0"/>
                    <a:cs typeface="Times New Roman" pitchFamily="18" charset="0"/>
                  </a:rPr>
                  <a:t>Distance From Horizontal Midplane (cm)</a:t>
                </a:r>
              </a:p>
            </c:rich>
          </c:tx>
        </c:title>
        <c:numFmt formatCode="General" sourceLinked="1"/>
        <c:majorTickMark val="none"/>
        <c:tickLblPos val="nextTo"/>
        <c:spPr>
          <a:ln>
            <a:solidFill>
              <a:sysClr val="windowText" lastClr="000000"/>
            </a:solidFill>
          </a:ln>
        </c:spPr>
        <c:txPr>
          <a:bodyPr/>
          <a:lstStyle/>
          <a:p>
            <a:pPr>
              <a:defRPr sz="800" b="1">
                <a:latin typeface="Times New Roman" pitchFamily="18" charset="0"/>
                <a:cs typeface="Times New Roman" pitchFamily="18" charset="0"/>
              </a:defRPr>
            </a:pPr>
            <a:endParaRPr lang="en-US"/>
          </a:p>
        </c:txPr>
        <c:crossAx val="95613312"/>
        <c:crosses val="autoZero"/>
        <c:crossBetween val="midCat"/>
        <c:majorUnit val="3"/>
      </c:valAx>
    </c:plotArea>
    <c:legend>
      <c:legendPos val="l"/>
      <c:legendEntry>
        <c:idx val="0"/>
        <c:txPr>
          <a:bodyPr/>
          <a:lstStyle/>
          <a:p>
            <a:pPr>
              <a:defRPr sz="1000">
                <a:latin typeface="Times New Roman" pitchFamily="18" charset="0"/>
                <a:cs typeface="Times New Roman" pitchFamily="18" charset="0"/>
              </a:defRPr>
            </a:pPr>
            <a:endParaRPr lang="en-US"/>
          </a:p>
        </c:txPr>
      </c:legendEntry>
      <c:legendEntry>
        <c:idx val="1"/>
        <c:txPr>
          <a:bodyPr/>
          <a:lstStyle/>
          <a:p>
            <a:pPr>
              <a:defRPr sz="1000">
                <a:latin typeface="Times New Roman" pitchFamily="18" charset="0"/>
                <a:cs typeface="Times New Roman" pitchFamily="18" charset="0"/>
              </a:defRPr>
            </a:pPr>
            <a:endParaRPr lang="en-US"/>
          </a:p>
        </c:txPr>
      </c:legendEntry>
      <c:layout>
        <c:manualLayout>
          <c:xMode val="edge"/>
          <c:yMode val="edge"/>
          <c:x val="0.16580804899387577"/>
          <c:y val="0.38104549431321288"/>
          <c:w val="0.20825222368037341"/>
          <c:h val="0.16324049132016488"/>
        </c:manualLayout>
      </c:layout>
      <c:overlay val="1"/>
      <c:spPr>
        <a:solidFill>
          <a:schemeClr val="bg1"/>
        </a:solidFill>
        <a:ln>
          <a:solidFill>
            <a:schemeClr val="tx1"/>
          </a:solidFill>
        </a:ln>
      </c:spPr>
      <c:txPr>
        <a:bodyPr/>
        <a:lstStyle/>
        <a:p>
          <a:pPr>
            <a:defRPr sz="1000">
              <a:latin typeface="Times New Roman" pitchFamily="18" charset="0"/>
              <a:cs typeface="Times New Roman" pitchFamily="18" charset="0"/>
            </a:defRPr>
          </a:pPr>
          <a:endParaRPr lang="en-US"/>
        </a:p>
      </c:txPr>
    </c:legend>
    <c:plotVisOnly val="1"/>
    <c:dispBlanksAs val="gap"/>
  </c:chart>
  <c:spPr>
    <a:ln>
      <a:solidFill>
        <a:sysClr val="windowText" lastClr="000000"/>
      </a:solid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1699438611840186"/>
          <c:y val="4.0204678362573076E-2"/>
          <c:w val="0.84133894721493152"/>
          <c:h val="0.82062641018557281"/>
        </c:manualLayout>
      </c:layout>
      <c:scatterChart>
        <c:scatterStyle val="smoothMarker"/>
        <c:ser>
          <c:idx val="0"/>
          <c:order val="0"/>
          <c:tx>
            <c:v>Calculated</c:v>
          </c:tx>
          <c:spPr>
            <a:ln w="19050">
              <a:solidFill>
                <a:srgbClr val="0000FF"/>
              </a:solidFill>
            </a:ln>
          </c:spPr>
          <c:marker>
            <c:spPr>
              <a:solidFill>
                <a:srgbClr val="0000FF"/>
              </a:solidFill>
            </c:spPr>
          </c:marker>
          <c:xVal>
            <c:numRef>
              <c:f>(results!$C$4:$C$5,results!$C$7,results!$C$10,results!$C$13,results!$C$18,results!$C$22,results!$C$25,results!$C$28,results!$C$30:$C$31)</c:f>
              <c:numCache>
                <c:formatCode>0.000</c:formatCode>
                <c:ptCount val="11"/>
                <c:pt idx="0">
                  <c:v>0.68604882915362464</c:v>
                </c:pt>
                <c:pt idx="1">
                  <c:v>0.52779299223877985</c:v>
                </c:pt>
                <c:pt idx="2">
                  <c:v>0.62207486235761122</c:v>
                </c:pt>
                <c:pt idx="3">
                  <c:v>0.82791699811694608</c:v>
                </c:pt>
                <c:pt idx="4">
                  <c:v>0.96019538336421761</c:v>
                </c:pt>
                <c:pt idx="5">
                  <c:v>1.0063839790494691</c:v>
                </c:pt>
                <c:pt idx="6">
                  <c:v>0.94655840648964673</c:v>
                </c:pt>
                <c:pt idx="7">
                  <c:v>0.79135626597169095</c:v>
                </c:pt>
                <c:pt idx="8">
                  <c:v>0.58661451420358479</c:v>
                </c:pt>
                <c:pt idx="9">
                  <c:v>0.48807893528190077</c:v>
                </c:pt>
                <c:pt idx="10">
                  <c:v>0.62724607622774764</c:v>
                </c:pt>
              </c:numCache>
            </c:numRef>
          </c:xVal>
          <c:yVal>
            <c:numRef>
              <c:f>(results!$C$40:$C$41,results!$C$43,results!$C$46,results!$C$49,results!$C$54,results!$C$58,results!$C$61,results!$C$64,results!$C$66:$C$67)</c:f>
              <c:numCache>
                <c:formatCode>General</c:formatCode>
                <c:ptCount val="11"/>
                <c:pt idx="0">
                  <c:v>24.739599999999989</c:v>
                </c:pt>
                <c:pt idx="1">
                  <c:v>22.86</c:v>
                </c:pt>
                <c:pt idx="2">
                  <c:v>19.05</c:v>
                </c:pt>
                <c:pt idx="3">
                  <c:v>12.7</c:v>
                </c:pt>
                <c:pt idx="4">
                  <c:v>6.35</c:v>
                </c:pt>
                <c:pt idx="5">
                  <c:v>0</c:v>
                </c:pt>
                <c:pt idx="6">
                  <c:v>-6.35</c:v>
                </c:pt>
                <c:pt idx="7">
                  <c:v>-12.7</c:v>
                </c:pt>
                <c:pt idx="8">
                  <c:v>-19.05</c:v>
                </c:pt>
                <c:pt idx="9">
                  <c:v>-22.86</c:v>
                </c:pt>
                <c:pt idx="10">
                  <c:v>-24.739599999999989</c:v>
                </c:pt>
              </c:numCache>
            </c:numRef>
          </c:yVal>
          <c:smooth val="1"/>
        </c:ser>
        <c:ser>
          <c:idx val="1"/>
          <c:order val="1"/>
          <c:tx>
            <c:v>Experimental</c:v>
          </c:tx>
          <c:spPr>
            <a:ln w="19050">
              <a:solidFill>
                <a:srgbClr val="FF0000"/>
              </a:solidFill>
            </a:ln>
          </c:spPr>
          <c:marker>
            <c:spPr>
              <a:solidFill>
                <a:srgbClr val="FF0000"/>
              </a:solidFill>
            </c:spPr>
          </c:marker>
          <c:errBars>
            <c:errDir val="x"/>
            <c:errBarType val="both"/>
            <c:errValType val="cust"/>
            <c:plus>
              <c:numRef>
                <c:f>(results!$F$4:$F$5,results!$F$7,results!$F$10,results!$F$13,results!$F$18,results!$F$22,results!$F$25,results!$F$28,results!$F$30:$F$31)</c:f>
                <c:numCache>
                  <c:formatCode>General</c:formatCode>
                  <c:ptCount val="11"/>
                  <c:pt idx="0">
                    <c:v>6.0811183182043121E-2</c:v>
                  </c:pt>
                  <c:pt idx="1">
                    <c:v>4.1577878733768746E-2</c:v>
                  </c:pt>
                  <c:pt idx="2">
                    <c:v>4.5325544674057666E-2</c:v>
                  </c:pt>
                  <c:pt idx="3">
                    <c:v>5.8831284194720834E-2</c:v>
                  </c:pt>
                  <c:pt idx="4">
                    <c:v>7.0710678118654793E-2</c:v>
                  </c:pt>
                  <c:pt idx="5">
                    <c:v>7.0710678118654793E-2</c:v>
                  </c:pt>
                  <c:pt idx="6">
                    <c:v>6.5053823869162392E-2</c:v>
                  </c:pt>
                  <c:pt idx="7">
                    <c:v>5.4942196898194823E-2</c:v>
                  </c:pt>
                  <c:pt idx="8">
                    <c:v>4.1082903986939014E-2</c:v>
                  </c:pt>
                  <c:pt idx="9">
                    <c:v>3.7123106012293815E-2</c:v>
                  </c:pt>
                  <c:pt idx="10">
                    <c:v>5.0204581464244877E-2</c:v>
                  </c:pt>
                </c:numCache>
              </c:numRef>
            </c:plus>
            <c:minus>
              <c:numRef>
                <c:f>(results!$F$4:$F$5,results!$F$7,results!$F$10,results!$F$13,results!$F$18,results!$F$22,results!$F$25,results!$F$28,results!$F$30:$F$31)</c:f>
                <c:numCache>
                  <c:formatCode>General</c:formatCode>
                  <c:ptCount val="11"/>
                  <c:pt idx="0">
                    <c:v>6.0811183182043121E-2</c:v>
                  </c:pt>
                  <c:pt idx="1">
                    <c:v>4.1577878733768746E-2</c:v>
                  </c:pt>
                  <c:pt idx="2">
                    <c:v>4.5325544674057666E-2</c:v>
                  </c:pt>
                  <c:pt idx="3">
                    <c:v>5.8831284194720834E-2</c:v>
                  </c:pt>
                  <c:pt idx="4">
                    <c:v>7.0710678118654793E-2</c:v>
                  </c:pt>
                  <c:pt idx="5">
                    <c:v>7.0710678118654793E-2</c:v>
                  </c:pt>
                  <c:pt idx="6">
                    <c:v>6.5053823869162392E-2</c:v>
                  </c:pt>
                  <c:pt idx="7">
                    <c:v>5.4942196898194823E-2</c:v>
                  </c:pt>
                  <c:pt idx="8">
                    <c:v>4.1082903986939014E-2</c:v>
                  </c:pt>
                  <c:pt idx="9">
                    <c:v>3.7123106012293815E-2</c:v>
                  </c:pt>
                  <c:pt idx="10">
                    <c:v>5.0204581464244877E-2</c:v>
                  </c:pt>
                </c:numCache>
              </c:numRef>
            </c:minus>
            <c:spPr>
              <a:ln>
                <a:solidFill>
                  <a:srgbClr val="FF0000"/>
                </a:solidFill>
              </a:ln>
            </c:spPr>
          </c:errBars>
          <c:xVal>
            <c:numRef>
              <c:f>(results!$E$4:$E$5,results!$E$7,results!$E$10,results!$E$13,results!$E$18,results!$E$22,results!$E$25,results!$E$28,results!$E$30:$E$31)</c:f>
              <c:numCache>
                <c:formatCode>0.000</c:formatCode>
                <c:ptCount val="11"/>
                <c:pt idx="0">
                  <c:v>0.86000000000000065</c:v>
                </c:pt>
                <c:pt idx="1">
                  <c:v>0.58799999999999997</c:v>
                </c:pt>
                <c:pt idx="2">
                  <c:v>0.64100000000000679</c:v>
                </c:pt>
                <c:pt idx="3">
                  <c:v>0.83200000000000063</c:v>
                </c:pt>
                <c:pt idx="4">
                  <c:v>1</c:v>
                </c:pt>
                <c:pt idx="5">
                  <c:v>1</c:v>
                </c:pt>
                <c:pt idx="6">
                  <c:v>0.92</c:v>
                </c:pt>
                <c:pt idx="7">
                  <c:v>0.77700000000000713</c:v>
                </c:pt>
                <c:pt idx="8">
                  <c:v>0.58099999999999996</c:v>
                </c:pt>
                <c:pt idx="9">
                  <c:v>0.52500000000000002</c:v>
                </c:pt>
                <c:pt idx="10">
                  <c:v>0.71000000000000063</c:v>
                </c:pt>
              </c:numCache>
            </c:numRef>
          </c:xVal>
          <c:yVal>
            <c:numRef>
              <c:f>(results!$C$40:$C$41,results!$C$43,results!$C$46,results!$C$49,results!$C$54,results!$C$58,results!$C$61,results!$C$64,results!$C$66:$C$67)</c:f>
              <c:numCache>
                <c:formatCode>General</c:formatCode>
                <c:ptCount val="11"/>
                <c:pt idx="0">
                  <c:v>24.739599999999989</c:v>
                </c:pt>
                <c:pt idx="1">
                  <c:v>22.86</c:v>
                </c:pt>
                <c:pt idx="2">
                  <c:v>19.05</c:v>
                </c:pt>
                <c:pt idx="3">
                  <c:v>12.7</c:v>
                </c:pt>
                <c:pt idx="4">
                  <c:v>6.35</c:v>
                </c:pt>
                <c:pt idx="5">
                  <c:v>0</c:v>
                </c:pt>
                <c:pt idx="6">
                  <c:v>-6.35</c:v>
                </c:pt>
                <c:pt idx="7">
                  <c:v>-12.7</c:v>
                </c:pt>
                <c:pt idx="8">
                  <c:v>-19.05</c:v>
                </c:pt>
                <c:pt idx="9">
                  <c:v>-22.86</c:v>
                </c:pt>
                <c:pt idx="10">
                  <c:v>-24.739599999999989</c:v>
                </c:pt>
              </c:numCache>
            </c:numRef>
          </c:yVal>
          <c:smooth val="1"/>
        </c:ser>
        <c:axId val="95694848"/>
        <c:axId val="95696768"/>
      </c:scatterChart>
      <c:valAx>
        <c:axId val="95694848"/>
        <c:scaling>
          <c:orientation val="minMax"/>
          <c:max val="1.1000000000000001"/>
          <c:min val="0.45"/>
        </c:scaling>
        <c:axPos val="b"/>
        <c:majorGridlines>
          <c:spPr>
            <a:ln>
              <a:solidFill>
                <a:schemeClr val="tx1"/>
              </a:solidFill>
            </a:ln>
          </c:spPr>
        </c:majorGridlines>
        <c:title>
          <c:tx>
            <c:rich>
              <a:bodyPr/>
              <a:lstStyle/>
              <a:p>
                <a:pPr>
                  <a:defRPr sz="1000"/>
                </a:pPr>
                <a:r>
                  <a:rPr lang="en-US" sz="1000">
                    <a:latin typeface="Times New Roman" pitchFamily="18" charset="0"/>
                    <a:cs typeface="Times New Roman" pitchFamily="18" charset="0"/>
                  </a:rPr>
                  <a:t>Relative Power Distribution</a:t>
                </a:r>
              </a:p>
            </c:rich>
          </c:tx>
          <c:layout>
            <c:manualLayout>
              <c:xMode val="edge"/>
              <c:yMode val="edge"/>
              <c:x val="0.39249015748031496"/>
              <c:y val="0.94700292397660757"/>
            </c:manualLayout>
          </c:layout>
        </c:title>
        <c:numFmt formatCode="0.00" sourceLinked="0"/>
        <c:tickLblPos val="low"/>
        <c:spPr>
          <a:ln>
            <a:solidFill>
              <a:sysClr val="windowText" lastClr="000000"/>
            </a:solidFill>
          </a:ln>
        </c:spPr>
        <c:txPr>
          <a:bodyPr/>
          <a:lstStyle/>
          <a:p>
            <a:pPr>
              <a:defRPr sz="800" b="1">
                <a:latin typeface="Times New Roman" pitchFamily="18" charset="0"/>
                <a:cs typeface="Times New Roman" pitchFamily="18" charset="0"/>
              </a:defRPr>
            </a:pPr>
            <a:endParaRPr lang="en-US"/>
          </a:p>
        </c:txPr>
        <c:crossAx val="95696768"/>
        <c:crosses val="autoZero"/>
        <c:crossBetween val="midCat"/>
        <c:majorUnit val="0.05"/>
      </c:valAx>
      <c:valAx>
        <c:axId val="95696768"/>
        <c:scaling>
          <c:orientation val="minMax"/>
          <c:max val="27"/>
          <c:min val="-27"/>
        </c:scaling>
        <c:axPos val="l"/>
        <c:majorGridlines>
          <c:spPr>
            <a:ln>
              <a:solidFill>
                <a:sysClr val="windowText" lastClr="000000"/>
              </a:solidFill>
            </a:ln>
          </c:spPr>
        </c:majorGridlines>
        <c:title>
          <c:tx>
            <c:rich>
              <a:bodyPr rot="-5400000" vert="horz"/>
              <a:lstStyle/>
              <a:p>
                <a:pPr>
                  <a:defRPr sz="1000"/>
                </a:pPr>
                <a:r>
                  <a:rPr lang="en-US" sz="1000">
                    <a:latin typeface="Times New Roman" pitchFamily="18" charset="0"/>
                    <a:cs typeface="Times New Roman" pitchFamily="18" charset="0"/>
                  </a:rPr>
                  <a:t>Distance From Horizontal</a:t>
                </a:r>
                <a:r>
                  <a:rPr lang="en-US" sz="1000" baseline="0">
                    <a:latin typeface="Times New Roman" pitchFamily="18" charset="0"/>
                    <a:cs typeface="Times New Roman" pitchFamily="18" charset="0"/>
                  </a:rPr>
                  <a:t> Midplane (cm)</a:t>
                </a:r>
                <a:endParaRPr lang="en-US" sz="1000">
                  <a:latin typeface="Times New Roman" pitchFamily="18" charset="0"/>
                  <a:cs typeface="Times New Roman" pitchFamily="18" charset="0"/>
                </a:endParaRPr>
              </a:p>
            </c:rich>
          </c:tx>
        </c:title>
        <c:numFmt formatCode="General" sourceLinked="1"/>
        <c:majorTickMark val="none"/>
        <c:tickLblPos val="nextTo"/>
        <c:spPr>
          <a:ln>
            <a:solidFill>
              <a:sysClr val="windowText" lastClr="000000"/>
            </a:solidFill>
          </a:ln>
        </c:spPr>
        <c:txPr>
          <a:bodyPr/>
          <a:lstStyle/>
          <a:p>
            <a:pPr>
              <a:defRPr sz="800" b="1">
                <a:latin typeface="Times New Roman" pitchFamily="18" charset="0"/>
                <a:cs typeface="Times New Roman" pitchFamily="18" charset="0"/>
              </a:defRPr>
            </a:pPr>
            <a:endParaRPr lang="en-US"/>
          </a:p>
        </c:txPr>
        <c:crossAx val="95694848"/>
        <c:crosses val="autoZero"/>
        <c:crossBetween val="midCat"/>
        <c:majorUnit val="3"/>
      </c:valAx>
    </c:plotArea>
    <c:legend>
      <c:legendPos val="r"/>
      <c:legendEntry>
        <c:idx val="0"/>
        <c:txPr>
          <a:bodyPr/>
          <a:lstStyle/>
          <a:p>
            <a:pPr>
              <a:defRPr sz="1000">
                <a:latin typeface="Times New Roman" pitchFamily="18" charset="0"/>
                <a:cs typeface="Times New Roman" pitchFamily="18" charset="0"/>
              </a:defRPr>
            </a:pPr>
            <a:endParaRPr lang="en-US"/>
          </a:p>
        </c:txPr>
      </c:legendEntry>
      <c:legendEntry>
        <c:idx val="1"/>
        <c:txPr>
          <a:bodyPr/>
          <a:lstStyle/>
          <a:p>
            <a:pPr>
              <a:defRPr sz="1000">
                <a:latin typeface="Times New Roman" pitchFamily="18" charset="0"/>
                <a:cs typeface="Times New Roman" pitchFamily="18" charset="0"/>
              </a:defRPr>
            </a:pPr>
            <a:endParaRPr lang="en-US"/>
          </a:p>
        </c:txPr>
      </c:legendEntry>
      <c:layout>
        <c:manualLayout>
          <c:xMode val="edge"/>
          <c:yMode val="edge"/>
          <c:x val="0.17651321084864391"/>
          <c:y val="0.3906837013020521"/>
          <c:w val="0.19439580052493441"/>
          <c:h val="0.12199313901551816"/>
        </c:manualLayout>
      </c:layout>
      <c:overlay val="1"/>
      <c:spPr>
        <a:solidFill>
          <a:sysClr val="window" lastClr="FFFFFF"/>
        </a:solidFill>
        <a:ln>
          <a:solidFill>
            <a:sysClr val="windowText" lastClr="000000"/>
          </a:solidFill>
        </a:ln>
      </c:spPr>
      <c:txPr>
        <a:bodyPr/>
        <a:lstStyle/>
        <a:p>
          <a:pPr>
            <a:defRPr sz="1000">
              <a:latin typeface="Times New Roman" pitchFamily="18" charset="0"/>
              <a:cs typeface="Times New Roman" pitchFamily="18" charset="0"/>
            </a:defRPr>
          </a:pPr>
          <a:endParaRPr lang="en-US"/>
        </a:p>
      </c:txPr>
    </c:legend>
    <c:plotVisOnly val="1"/>
    <c:dispBlanksAs val="gap"/>
  </c:chart>
  <c:spPr>
    <a:ln>
      <a:solidFill>
        <a:sysClr val="windowText" lastClr="000000"/>
      </a:solidFill>
    </a:ln>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1699438611840186"/>
          <c:y val="4.0204678362573076E-2"/>
          <c:w val="0.84133894721493152"/>
          <c:h val="0.80600652714463328"/>
        </c:manualLayout>
      </c:layout>
      <c:scatterChart>
        <c:scatterStyle val="smoothMarker"/>
        <c:ser>
          <c:idx val="0"/>
          <c:order val="0"/>
          <c:tx>
            <c:v>Calculated</c:v>
          </c:tx>
          <c:spPr>
            <a:ln w="19050">
              <a:solidFill>
                <a:srgbClr val="0000FF"/>
              </a:solidFill>
            </a:ln>
          </c:spPr>
          <c:marker>
            <c:spPr>
              <a:solidFill>
                <a:srgbClr val="0000FF"/>
              </a:solidFill>
            </c:spPr>
          </c:marker>
          <c:xVal>
            <c:numRef>
              <c:f>(results!$C$8,results!$C$11,results!$C$14,results!$C$20,results!$C$23,results!$C$26,results!$C$29)</c:f>
              <c:numCache>
                <c:formatCode>0.000</c:formatCode>
                <c:ptCount val="7"/>
                <c:pt idx="0">
                  <c:v>0.70943027562003469</c:v>
                </c:pt>
                <c:pt idx="1">
                  <c:v>0.93792331033945464</c:v>
                </c:pt>
                <c:pt idx="2">
                  <c:v>1.0943562358280361</c:v>
                </c:pt>
                <c:pt idx="3">
                  <c:v>1.1450886688109883</c:v>
                </c:pt>
                <c:pt idx="4">
                  <c:v>1.0754601549793839</c:v>
                </c:pt>
                <c:pt idx="5">
                  <c:v>0.89801333537228856</c:v>
                </c:pt>
                <c:pt idx="6">
                  <c:v>0.66780011762960856</c:v>
                </c:pt>
              </c:numCache>
            </c:numRef>
          </c:xVal>
          <c:yVal>
            <c:numRef>
              <c:f>(results!$C$44,results!$C$47,results!$C$50,results!$C$56,results!$C$59,results!$C$62,results!$C$65)</c:f>
              <c:numCache>
                <c:formatCode>General</c:formatCode>
                <c:ptCount val="7"/>
                <c:pt idx="0">
                  <c:v>19.05</c:v>
                </c:pt>
                <c:pt idx="1">
                  <c:v>12.7</c:v>
                </c:pt>
                <c:pt idx="2">
                  <c:v>6.35</c:v>
                </c:pt>
                <c:pt idx="3">
                  <c:v>0</c:v>
                </c:pt>
                <c:pt idx="4">
                  <c:v>-6.35</c:v>
                </c:pt>
                <c:pt idx="5">
                  <c:v>-12.7</c:v>
                </c:pt>
                <c:pt idx="6">
                  <c:v>-19.05</c:v>
                </c:pt>
              </c:numCache>
            </c:numRef>
          </c:yVal>
          <c:smooth val="1"/>
        </c:ser>
        <c:ser>
          <c:idx val="1"/>
          <c:order val="1"/>
          <c:tx>
            <c:v>Experimental</c:v>
          </c:tx>
          <c:spPr>
            <a:ln w="19050">
              <a:solidFill>
                <a:srgbClr val="FF0000"/>
              </a:solidFill>
            </a:ln>
          </c:spPr>
          <c:marker>
            <c:spPr>
              <a:solidFill>
                <a:srgbClr val="FF0000"/>
              </a:solidFill>
            </c:spPr>
          </c:marker>
          <c:errBars>
            <c:errDir val="x"/>
            <c:errBarType val="both"/>
            <c:errValType val="cust"/>
            <c:plus>
              <c:numRef>
                <c:f>(results!$F$8,results!$F$11,results!$F$14,results!$F$20,results!$F$23,results!$F$26,results!$F$29)</c:f>
                <c:numCache>
                  <c:formatCode>General</c:formatCode>
                  <c:ptCount val="7"/>
                  <c:pt idx="0">
                    <c:v>4.9921738751770264E-2</c:v>
                  </c:pt>
                  <c:pt idx="1">
                    <c:v>6.4488138444213194E-2</c:v>
                  </c:pt>
                  <c:pt idx="2">
                    <c:v>7.4953318805774063E-2</c:v>
                  </c:pt>
                  <c:pt idx="3">
                    <c:v>7.707463914933467E-2</c:v>
                  </c:pt>
                  <c:pt idx="4">
                    <c:v>7.1417784899842546E-2</c:v>
                  </c:pt>
                  <c:pt idx="5">
                    <c:v>6.0599051147687127E-2</c:v>
                  </c:pt>
                  <c:pt idx="6">
                    <c:v>4.59619407771256E-2</c:v>
                  </c:pt>
                </c:numCache>
              </c:numRef>
            </c:plus>
            <c:minus>
              <c:numRef>
                <c:f>(results!$F$8,results!$F$11,results!$F$14,results!$F$20,results!$F$23,results!$F$26,results!$F$29)</c:f>
                <c:numCache>
                  <c:formatCode>General</c:formatCode>
                  <c:ptCount val="7"/>
                  <c:pt idx="0">
                    <c:v>4.9921738751770264E-2</c:v>
                  </c:pt>
                  <c:pt idx="1">
                    <c:v>6.4488138444213194E-2</c:v>
                  </c:pt>
                  <c:pt idx="2">
                    <c:v>7.4953318805774063E-2</c:v>
                  </c:pt>
                  <c:pt idx="3">
                    <c:v>7.707463914933467E-2</c:v>
                  </c:pt>
                  <c:pt idx="4">
                    <c:v>7.1417784899842546E-2</c:v>
                  </c:pt>
                  <c:pt idx="5">
                    <c:v>6.0599051147687127E-2</c:v>
                  </c:pt>
                  <c:pt idx="6">
                    <c:v>4.59619407771256E-2</c:v>
                  </c:pt>
                </c:numCache>
              </c:numRef>
            </c:minus>
            <c:spPr>
              <a:ln>
                <a:solidFill>
                  <a:srgbClr val="FF0000"/>
                </a:solidFill>
              </a:ln>
            </c:spPr>
          </c:errBars>
          <c:xVal>
            <c:numRef>
              <c:f>(results!$E$8,results!$E$11,results!$E$14,results!$E$20,results!$E$23,results!$E$26,results!$E$29)</c:f>
              <c:numCache>
                <c:formatCode>0.000</c:formatCode>
                <c:ptCount val="7"/>
                <c:pt idx="0">
                  <c:v>0.70600000000000063</c:v>
                </c:pt>
                <c:pt idx="1">
                  <c:v>0.91200000000000003</c:v>
                </c:pt>
                <c:pt idx="2">
                  <c:v>1.06</c:v>
                </c:pt>
                <c:pt idx="3">
                  <c:v>1.0900000000000001</c:v>
                </c:pt>
                <c:pt idx="4">
                  <c:v>1.01</c:v>
                </c:pt>
                <c:pt idx="5">
                  <c:v>0.85700000000000065</c:v>
                </c:pt>
                <c:pt idx="6">
                  <c:v>0.65000000000000691</c:v>
                </c:pt>
              </c:numCache>
            </c:numRef>
          </c:xVal>
          <c:yVal>
            <c:numRef>
              <c:f>(results!$C$44,results!$C$47,results!$C$50,results!$C$56,results!$C$59,results!$C$62,results!$C$65)</c:f>
              <c:numCache>
                <c:formatCode>General</c:formatCode>
                <c:ptCount val="7"/>
                <c:pt idx="0">
                  <c:v>19.05</c:v>
                </c:pt>
                <c:pt idx="1">
                  <c:v>12.7</c:v>
                </c:pt>
                <c:pt idx="2">
                  <c:v>6.35</c:v>
                </c:pt>
                <c:pt idx="3">
                  <c:v>0</c:v>
                </c:pt>
                <c:pt idx="4">
                  <c:v>-6.35</c:v>
                </c:pt>
                <c:pt idx="5">
                  <c:v>-12.7</c:v>
                </c:pt>
                <c:pt idx="6">
                  <c:v>-19.05</c:v>
                </c:pt>
              </c:numCache>
            </c:numRef>
          </c:yVal>
          <c:smooth val="1"/>
        </c:ser>
        <c:axId val="95710592"/>
        <c:axId val="95729152"/>
      </c:scatterChart>
      <c:valAx>
        <c:axId val="95710592"/>
        <c:scaling>
          <c:orientation val="minMax"/>
          <c:max val="1.2"/>
          <c:min val="0.60000000000000064"/>
        </c:scaling>
        <c:axPos val="b"/>
        <c:majorGridlines>
          <c:spPr>
            <a:ln>
              <a:solidFill>
                <a:sysClr val="windowText" lastClr="000000"/>
              </a:solidFill>
            </a:ln>
          </c:spPr>
        </c:majorGridlines>
        <c:title>
          <c:tx>
            <c:rich>
              <a:bodyPr/>
              <a:lstStyle/>
              <a:p>
                <a:pPr>
                  <a:defRPr sz="1000"/>
                </a:pPr>
                <a:r>
                  <a:rPr lang="en-US" sz="1000">
                    <a:latin typeface="Times New Roman" pitchFamily="18" charset="0"/>
                    <a:cs typeface="Times New Roman" pitchFamily="18" charset="0"/>
                  </a:rPr>
                  <a:t>Relative Power Distribution</a:t>
                </a:r>
              </a:p>
            </c:rich>
          </c:tx>
          <c:layout>
            <c:manualLayout>
              <c:xMode val="edge"/>
              <c:yMode val="edge"/>
              <c:x val="0.39249015748031496"/>
              <c:y val="0.92872807017544101"/>
            </c:manualLayout>
          </c:layout>
        </c:title>
        <c:numFmt formatCode="0.00" sourceLinked="0"/>
        <c:tickLblPos val="low"/>
        <c:spPr>
          <a:ln>
            <a:solidFill>
              <a:sysClr val="windowText" lastClr="000000"/>
            </a:solidFill>
          </a:ln>
        </c:spPr>
        <c:txPr>
          <a:bodyPr/>
          <a:lstStyle/>
          <a:p>
            <a:pPr>
              <a:defRPr sz="800" b="1">
                <a:latin typeface="Times New Roman" pitchFamily="18" charset="0"/>
                <a:cs typeface="Times New Roman" pitchFamily="18" charset="0"/>
              </a:defRPr>
            </a:pPr>
            <a:endParaRPr lang="en-US"/>
          </a:p>
        </c:txPr>
        <c:crossAx val="95729152"/>
        <c:crosses val="autoZero"/>
        <c:crossBetween val="midCat"/>
        <c:majorUnit val="0.05"/>
      </c:valAx>
      <c:valAx>
        <c:axId val="95729152"/>
        <c:scaling>
          <c:orientation val="minMax"/>
          <c:max val="21"/>
          <c:min val="-21"/>
        </c:scaling>
        <c:axPos val="l"/>
        <c:majorGridlines>
          <c:spPr>
            <a:ln>
              <a:solidFill>
                <a:sysClr val="windowText" lastClr="000000"/>
              </a:solidFill>
            </a:ln>
          </c:spPr>
        </c:majorGridlines>
        <c:title>
          <c:tx>
            <c:rich>
              <a:bodyPr rot="-5400000" vert="horz"/>
              <a:lstStyle/>
              <a:p>
                <a:pPr>
                  <a:defRPr sz="1000"/>
                </a:pPr>
                <a:r>
                  <a:rPr lang="en-US" sz="1000">
                    <a:latin typeface="Times New Roman" pitchFamily="18" charset="0"/>
                    <a:cs typeface="Times New Roman" pitchFamily="18" charset="0"/>
                  </a:rPr>
                  <a:t>Distance From Horizontal Midplane (cm)</a:t>
                </a:r>
              </a:p>
            </c:rich>
          </c:tx>
        </c:title>
        <c:numFmt formatCode="General" sourceLinked="1"/>
        <c:majorTickMark val="none"/>
        <c:tickLblPos val="nextTo"/>
        <c:spPr>
          <a:ln>
            <a:solidFill>
              <a:schemeClr val="tx1"/>
            </a:solidFill>
          </a:ln>
        </c:spPr>
        <c:txPr>
          <a:bodyPr/>
          <a:lstStyle/>
          <a:p>
            <a:pPr>
              <a:defRPr sz="800" b="1" baseline="0">
                <a:latin typeface="Times New Roman" pitchFamily="18" charset="0"/>
                <a:cs typeface="Times New Roman" pitchFamily="18" charset="0"/>
              </a:defRPr>
            </a:pPr>
            <a:endParaRPr lang="en-US"/>
          </a:p>
        </c:txPr>
        <c:crossAx val="95710592"/>
        <c:crosses val="autoZero"/>
        <c:crossBetween val="midCat"/>
        <c:majorUnit val="3"/>
      </c:valAx>
    </c:plotArea>
    <c:legend>
      <c:legendPos val="r"/>
      <c:legendEntry>
        <c:idx val="0"/>
        <c:txPr>
          <a:bodyPr/>
          <a:lstStyle/>
          <a:p>
            <a:pPr>
              <a:defRPr sz="1000">
                <a:latin typeface="Times New Roman" pitchFamily="18" charset="0"/>
                <a:cs typeface="Times New Roman" pitchFamily="18" charset="0"/>
              </a:defRPr>
            </a:pPr>
            <a:endParaRPr lang="en-US"/>
          </a:p>
        </c:txPr>
      </c:legendEntry>
      <c:legendEntry>
        <c:idx val="1"/>
        <c:txPr>
          <a:bodyPr/>
          <a:lstStyle/>
          <a:p>
            <a:pPr>
              <a:defRPr sz="1000">
                <a:latin typeface="Times New Roman" pitchFamily="18" charset="0"/>
                <a:cs typeface="Times New Roman" pitchFamily="18" charset="0"/>
              </a:defRPr>
            </a:pPr>
            <a:endParaRPr lang="en-US"/>
          </a:p>
        </c:txPr>
      </c:legendEntry>
      <c:layout>
        <c:manualLayout>
          <c:xMode val="edge"/>
          <c:yMode val="edge"/>
          <c:x val="0.18161434820647626"/>
          <c:y val="0.37853044104781464"/>
          <c:w val="0.2099513560804932"/>
          <c:h val="0.11562914929751429"/>
        </c:manualLayout>
      </c:layout>
      <c:overlay val="1"/>
      <c:spPr>
        <a:solidFill>
          <a:sysClr val="window" lastClr="FFFFFF"/>
        </a:solidFill>
        <a:ln>
          <a:solidFill>
            <a:sysClr val="windowText" lastClr="000000"/>
          </a:solidFill>
        </a:ln>
      </c:spPr>
      <c:txPr>
        <a:bodyPr/>
        <a:lstStyle/>
        <a:p>
          <a:pPr>
            <a:defRPr sz="1000">
              <a:latin typeface="Times New Roman" pitchFamily="18" charset="0"/>
              <a:cs typeface="Times New Roman" pitchFamily="18" charset="0"/>
            </a:defRPr>
          </a:pPr>
          <a:endParaRPr lang="en-US"/>
        </a:p>
      </c:txPr>
    </c:legend>
    <c:plotVisOnly val="1"/>
    <c:dispBlanksAs val="gap"/>
  </c:chart>
  <c:spPr>
    <a:noFill/>
    <a:ln>
      <a:solidFill>
        <a:sysClr val="windowText" lastClr="000000"/>
      </a:solidFill>
    </a:ln>
  </c:sp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1231461067366565"/>
          <c:y val="3.5947712418300859E-2"/>
          <c:w val="0.84768538932633419"/>
          <c:h val="0.82327903864958596"/>
        </c:manualLayout>
      </c:layout>
      <c:scatterChart>
        <c:scatterStyle val="smoothMarker"/>
        <c:ser>
          <c:idx val="0"/>
          <c:order val="0"/>
          <c:tx>
            <c:v>Calculated</c:v>
          </c:tx>
          <c:spPr>
            <a:ln w="19050">
              <a:solidFill>
                <a:srgbClr val="0000FF"/>
              </a:solidFill>
            </a:ln>
          </c:spPr>
          <c:marker>
            <c:spPr>
              <a:solidFill>
                <a:srgbClr val="0000FF"/>
              </a:solidFill>
            </c:spPr>
          </c:marker>
          <c:xVal>
            <c:numRef>
              <c:f>(results!$I$6,results!$I$9,results!$I$12,results!$I$15,results!$I$21,results!$I$24,results!$I$27)</c:f>
              <c:numCache>
                <c:formatCode>0.000</c:formatCode>
                <c:ptCount val="7"/>
                <c:pt idx="0">
                  <c:v>0.72574347739958633</c:v>
                </c:pt>
                <c:pt idx="1">
                  <c:v>0.96609434642288583</c:v>
                </c:pt>
                <c:pt idx="2">
                  <c:v>1.1340486978928639</c:v>
                </c:pt>
                <c:pt idx="3">
                  <c:v>1.1872383207621575</c:v>
                </c:pt>
                <c:pt idx="4">
                  <c:v>1.1072398678887181</c:v>
                </c:pt>
                <c:pt idx="5">
                  <c:v>0.92193476786571349</c:v>
                </c:pt>
                <c:pt idx="6">
                  <c:v>0.67389537702276003</c:v>
                </c:pt>
              </c:numCache>
            </c:numRef>
          </c:xVal>
          <c:yVal>
            <c:numRef>
              <c:f>(results!$C$42,results!$C$45,results!$C$48,results!$C$51,results!$C$57,results!$C$60,results!$C$63)</c:f>
              <c:numCache>
                <c:formatCode>General</c:formatCode>
                <c:ptCount val="7"/>
                <c:pt idx="0">
                  <c:v>19.05</c:v>
                </c:pt>
                <c:pt idx="1">
                  <c:v>12.7</c:v>
                </c:pt>
                <c:pt idx="2">
                  <c:v>6.35</c:v>
                </c:pt>
                <c:pt idx="3">
                  <c:v>0</c:v>
                </c:pt>
                <c:pt idx="4">
                  <c:v>-6.35</c:v>
                </c:pt>
                <c:pt idx="5">
                  <c:v>-12.7</c:v>
                </c:pt>
                <c:pt idx="6">
                  <c:v>-19.05</c:v>
                </c:pt>
              </c:numCache>
            </c:numRef>
          </c:yVal>
          <c:smooth val="1"/>
        </c:ser>
        <c:ser>
          <c:idx val="1"/>
          <c:order val="1"/>
          <c:tx>
            <c:v>Experimental</c:v>
          </c:tx>
          <c:spPr>
            <a:ln w="19050">
              <a:solidFill>
                <a:srgbClr val="FF0000"/>
              </a:solidFill>
            </a:ln>
          </c:spPr>
          <c:marker>
            <c:spPr>
              <a:solidFill>
                <a:srgbClr val="FF0000"/>
              </a:solidFill>
            </c:spPr>
          </c:marker>
          <c:errBars>
            <c:errDir val="x"/>
            <c:errBarType val="both"/>
            <c:errValType val="cust"/>
            <c:plus>
              <c:numRef>
                <c:f>(results!$L$6,results!$L$9,results!$L$12,results!$L$15,results!$L$21,results!$L$24,results!$L$27)</c:f>
                <c:numCache>
                  <c:formatCode>General</c:formatCode>
                  <c:ptCount val="7"/>
                  <c:pt idx="0">
                    <c:v>4.9568185361176985E-2</c:v>
                  </c:pt>
                  <c:pt idx="1">
                    <c:v>6.4276006409857186E-2</c:v>
                  </c:pt>
                  <c:pt idx="2">
                    <c:v>7.4953318805774063E-2</c:v>
                  </c:pt>
                  <c:pt idx="3">
                    <c:v>7.7781745930520424E-2</c:v>
                  </c:pt>
                  <c:pt idx="4">
                    <c:v>7.212489168102787E-2</c:v>
                  </c:pt>
                  <c:pt idx="5">
                    <c:v>6.0881893860161802E-2</c:v>
                  </c:pt>
                  <c:pt idx="6">
                    <c:v>4.5184123317820402E-2</c:v>
                  </c:pt>
                </c:numCache>
              </c:numRef>
            </c:plus>
            <c:minus>
              <c:numRef>
                <c:f>(results!$L$6,results!$L$9,results!$L$12,results!$L$15,results!$L$21,results!$L$24,results!$L$27)</c:f>
                <c:numCache>
                  <c:formatCode>General</c:formatCode>
                  <c:ptCount val="7"/>
                  <c:pt idx="0">
                    <c:v>4.9568185361176985E-2</c:v>
                  </c:pt>
                  <c:pt idx="1">
                    <c:v>6.4276006409857186E-2</c:v>
                  </c:pt>
                  <c:pt idx="2">
                    <c:v>7.4953318805774063E-2</c:v>
                  </c:pt>
                  <c:pt idx="3">
                    <c:v>7.7781745930520424E-2</c:v>
                  </c:pt>
                  <c:pt idx="4">
                    <c:v>7.212489168102787E-2</c:v>
                  </c:pt>
                  <c:pt idx="5">
                    <c:v>6.0881893860161802E-2</c:v>
                  </c:pt>
                  <c:pt idx="6">
                    <c:v>4.5184123317820402E-2</c:v>
                  </c:pt>
                </c:numCache>
              </c:numRef>
            </c:minus>
            <c:spPr>
              <a:ln>
                <a:solidFill>
                  <a:srgbClr val="FF0000"/>
                </a:solidFill>
              </a:ln>
            </c:spPr>
          </c:errBars>
          <c:xVal>
            <c:numRef>
              <c:f>(results!$K$6,results!$K$9,results!$K$12,results!$K$15,results!$K$21,results!$K$24,results!$K$27)</c:f>
              <c:numCache>
                <c:formatCode>0.000</c:formatCode>
                <c:ptCount val="7"/>
                <c:pt idx="0">
                  <c:v>0.70100000000000062</c:v>
                </c:pt>
                <c:pt idx="1">
                  <c:v>0.90900000000000003</c:v>
                </c:pt>
                <c:pt idx="2">
                  <c:v>1.06</c:v>
                </c:pt>
                <c:pt idx="3">
                  <c:v>1.1000000000000001</c:v>
                </c:pt>
                <c:pt idx="4">
                  <c:v>1.02</c:v>
                </c:pt>
                <c:pt idx="5">
                  <c:v>0.86100000000000065</c:v>
                </c:pt>
                <c:pt idx="6">
                  <c:v>0.63900000000000678</c:v>
                </c:pt>
              </c:numCache>
            </c:numRef>
          </c:xVal>
          <c:yVal>
            <c:numRef>
              <c:f>(results!$C$42,results!$C$45,results!$C$48,results!$C$51,results!$C$57,results!$C$60,results!$C$63)</c:f>
              <c:numCache>
                <c:formatCode>General</c:formatCode>
                <c:ptCount val="7"/>
                <c:pt idx="0">
                  <c:v>19.05</c:v>
                </c:pt>
                <c:pt idx="1">
                  <c:v>12.7</c:v>
                </c:pt>
                <c:pt idx="2">
                  <c:v>6.35</c:v>
                </c:pt>
                <c:pt idx="3">
                  <c:v>0</c:v>
                </c:pt>
                <c:pt idx="4">
                  <c:v>-6.35</c:v>
                </c:pt>
                <c:pt idx="5">
                  <c:v>-12.7</c:v>
                </c:pt>
                <c:pt idx="6">
                  <c:v>-19.05</c:v>
                </c:pt>
              </c:numCache>
            </c:numRef>
          </c:yVal>
          <c:smooth val="1"/>
        </c:ser>
        <c:axId val="95747072"/>
        <c:axId val="97076352"/>
      </c:scatterChart>
      <c:valAx>
        <c:axId val="95747072"/>
        <c:scaling>
          <c:orientation val="minMax"/>
          <c:max val="1.25"/>
          <c:min val="0.55000000000000004"/>
        </c:scaling>
        <c:axPos val="b"/>
        <c:majorGridlines>
          <c:spPr>
            <a:ln>
              <a:solidFill>
                <a:schemeClr val="tx1"/>
              </a:solidFill>
            </a:ln>
          </c:spPr>
        </c:majorGridlines>
        <c:title>
          <c:tx>
            <c:rich>
              <a:bodyPr/>
              <a:lstStyle/>
              <a:p>
                <a:pPr>
                  <a:defRPr sz="1000"/>
                </a:pPr>
                <a:r>
                  <a:rPr lang="en-US" sz="1000">
                    <a:latin typeface="Times New Roman" pitchFamily="18" charset="0"/>
                    <a:cs typeface="Times New Roman" pitchFamily="18" charset="0"/>
                  </a:rPr>
                  <a:t>Relative Power Distribution</a:t>
                </a:r>
              </a:p>
            </c:rich>
          </c:tx>
          <c:layout>
            <c:manualLayout>
              <c:xMode val="edge"/>
              <c:yMode val="edge"/>
              <c:x val="0.39679055118110235"/>
              <c:y val="0.93627450980392157"/>
            </c:manualLayout>
          </c:layout>
        </c:title>
        <c:numFmt formatCode="0.00" sourceLinked="0"/>
        <c:tickLblPos val="low"/>
        <c:spPr>
          <a:ln>
            <a:solidFill>
              <a:sysClr val="windowText" lastClr="000000"/>
            </a:solidFill>
          </a:ln>
        </c:spPr>
        <c:txPr>
          <a:bodyPr/>
          <a:lstStyle/>
          <a:p>
            <a:pPr>
              <a:defRPr sz="800" b="1">
                <a:latin typeface="Times New Roman" pitchFamily="18" charset="0"/>
                <a:cs typeface="Times New Roman" pitchFamily="18" charset="0"/>
              </a:defRPr>
            </a:pPr>
            <a:endParaRPr lang="en-US"/>
          </a:p>
        </c:txPr>
        <c:crossAx val="97076352"/>
        <c:crosses val="autoZero"/>
        <c:crossBetween val="midCat"/>
        <c:majorUnit val="0.05"/>
      </c:valAx>
      <c:valAx>
        <c:axId val="97076352"/>
        <c:scaling>
          <c:orientation val="minMax"/>
          <c:max val="21"/>
          <c:min val="-21"/>
        </c:scaling>
        <c:axPos val="l"/>
        <c:majorGridlines>
          <c:spPr>
            <a:ln>
              <a:solidFill>
                <a:sysClr val="windowText" lastClr="000000"/>
              </a:solidFill>
            </a:ln>
          </c:spPr>
        </c:majorGridlines>
        <c:title>
          <c:tx>
            <c:rich>
              <a:bodyPr rot="-5400000" vert="horz"/>
              <a:lstStyle/>
              <a:p>
                <a:pPr>
                  <a:defRPr sz="1000"/>
                </a:pPr>
                <a:r>
                  <a:rPr lang="en-US" sz="1000">
                    <a:latin typeface="Times New Roman" pitchFamily="18" charset="0"/>
                    <a:cs typeface="Times New Roman" pitchFamily="18" charset="0"/>
                  </a:rPr>
                  <a:t>Distance From Horizontal Midplane (cm)</a:t>
                </a:r>
              </a:p>
            </c:rich>
          </c:tx>
        </c:title>
        <c:numFmt formatCode="General" sourceLinked="1"/>
        <c:majorTickMark val="none"/>
        <c:tickLblPos val="nextTo"/>
        <c:spPr>
          <a:ln>
            <a:solidFill>
              <a:sysClr val="windowText" lastClr="000000"/>
            </a:solidFill>
          </a:ln>
        </c:spPr>
        <c:txPr>
          <a:bodyPr/>
          <a:lstStyle/>
          <a:p>
            <a:pPr>
              <a:defRPr sz="800" b="1">
                <a:latin typeface="Times New Roman" pitchFamily="18" charset="0"/>
                <a:cs typeface="Times New Roman" pitchFamily="18" charset="0"/>
              </a:defRPr>
            </a:pPr>
            <a:endParaRPr lang="en-US"/>
          </a:p>
        </c:txPr>
        <c:crossAx val="95747072"/>
        <c:crosses val="autoZero"/>
        <c:crossBetween val="midCat"/>
        <c:majorUnit val="3"/>
      </c:valAx>
    </c:plotArea>
    <c:legend>
      <c:legendPos val="r"/>
      <c:legendEntry>
        <c:idx val="0"/>
        <c:txPr>
          <a:bodyPr/>
          <a:lstStyle/>
          <a:p>
            <a:pPr>
              <a:defRPr sz="1000">
                <a:latin typeface="Times New Roman" pitchFamily="18" charset="0"/>
                <a:cs typeface="Times New Roman" pitchFamily="18" charset="0"/>
              </a:defRPr>
            </a:pPr>
            <a:endParaRPr lang="en-US"/>
          </a:p>
        </c:txPr>
      </c:legendEntry>
      <c:legendEntry>
        <c:idx val="1"/>
        <c:txPr>
          <a:bodyPr/>
          <a:lstStyle/>
          <a:p>
            <a:pPr>
              <a:defRPr sz="1000">
                <a:latin typeface="Times New Roman" pitchFamily="18" charset="0"/>
                <a:cs typeface="Times New Roman" pitchFamily="18" charset="0"/>
              </a:defRPr>
            </a:pPr>
            <a:endParaRPr lang="en-US"/>
          </a:p>
        </c:txPr>
      </c:legendEntry>
      <c:layout>
        <c:manualLayout>
          <c:xMode val="edge"/>
          <c:yMode val="edge"/>
          <c:x val="0.17136167979002623"/>
          <c:y val="0.38179841490402233"/>
          <c:w val="0.19717355643044618"/>
          <c:h val="0.12332619606759702"/>
        </c:manualLayout>
      </c:layout>
      <c:overlay val="1"/>
      <c:spPr>
        <a:solidFill>
          <a:sysClr val="window" lastClr="FFFFFF"/>
        </a:solidFill>
        <a:ln>
          <a:solidFill>
            <a:sysClr val="windowText" lastClr="000000"/>
          </a:solidFill>
        </a:ln>
      </c:spPr>
      <c:txPr>
        <a:bodyPr/>
        <a:lstStyle/>
        <a:p>
          <a:pPr>
            <a:defRPr sz="1000">
              <a:latin typeface="Times New Roman" pitchFamily="18" charset="0"/>
              <a:cs typeface="Times New Roman" pitchFamily="18" charset="0"/>
            </a:defRPr>
          </a:pPr>
          <a:endParaRPr lang="en-US"/>
        </a:p>
      </c:txPr>
    </c:legend>
    <c:plotVisOnly val="1"/>
    <c:dispBlanksAs val="gap"/>
  </c:chart>
  <c:spPr>
    <a:ln>
      <a:solidFill>
        <a:sysClr val="windowText" lastClr="000000"/>
      </a:solidFill>
    </a:ln>
  </c:sp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1699438611840186"/>
          <c:y val="4.0204678362573076E-2"/>
          <c:w val="0.84133894721493152"/>
          <c:h val="0.79504161486393354"/>
        </c:manualLayout>
      </c:layout>
      <c:scatterChart>
        <c:scatterStyle val="smoothMarker"/>
        <c:ser>
          <c:idx val="0"/>
          <c:order val="0"/>
          <c:tx>
            <c:v>Calculated</c:v>
          </c:tx>
          <c:spPr>
            <a:ln w="19050">
              <a:solidFill>
                <a:srgbClr val="0000FF"/>
              </a:solidFill>
            </a:ln>
          </c:spPr>
          <c:marker>
            <c:spPr>
              <a:solidFill>
                <a:srgbClr val="0000FF"/>
              </a:solidFill>
            </c:spPr>
          </c:marker>
          <c:xVal>
            <c:numRef>
              <c:f>(results!$I$4:$I$5,results!$I$7,results!$I$10,results!$I$13,results!$I$18,results!$I$22,results!$I$25,results!$I$28,results!$I$30:$I$31)</c:f>
              <c:numCache>
                <c:formatCode>0.000</c:formatCode>
                <c:ptCount val="11"/>
                <c:pt idx="0">
                  <c:v>0.46562626113836397</c:v>
                </c:pt>
                <c:pt idx="1">
                  <c:v>0.35968652983551463</c:v>
                </c:pt>
                <c:pt idx="2">
                  <c:v>0.44502719017657222</c:v>
                </c:pt>
                <c:pt idx="3">
                  <c:v>0.65295009541556726</c:v>
                </c:pt>
                <c:pt idx="4">
                  <c:v>0.81047699642325566</c:v>
                </c:pt>
                <c:pt idx="5">
                  <c:v>0.86279657887642269</c:v>
                </c:pt>
                <c:pt idx="6">
                  <c:v>0.78211100446891102</c:v>
                </c:pt>
                <c:pt idx="7">
                  <c:v>0.60934575723480555</c:v>
                </c:pt>
                <c:pt idx="8">
                  <c:v>0.38903884764700902</c:v>
                </c:pt>
                <c:pt idx="9">
                  <c:v>0.31167094559917485</c:v>
                </c:pt>
                <c:pt idx="10">
                  <c:v>0.39800254924728662</c:v>
                </c:pt>
              </c:numCache>
            </c:numRef>
          </c:xVal>
          <c:yVal>
            <c:numRef>
              <c:f>(results!$C$40:$C$41,results!$C$43,results!$C$46,results!$C$49,results!$C$54,results!$C$58,results!$C$61,results!$C$64,results!$C$66:$C$67)</c:f>
              <c:numCache>
                <c:formatCode>General</c:formatCode>
                <c:ptCount val="11"/>
                <c:pt idx="0">
                  <c:v>24.739599999999989</c:v>
                </c:pt>
                <c:pt idx="1">
                  <c:v>22.86</c:v>
                </c:pt>
                <c:pt idx="2">
                  <c:v>19.05</c:v>
                </c:pt>
                <c:pt idx="3">
                  <c:v>12.7</c:v>
                </c:pt>
                <c:pt idx="4">
                  <c:v>6.35</c:v>
                </c:pt>
                <c:pt idx="5">
                  <c:v>0</c:v>
                </c:pt>
                <c:pt idx="6">
                  <c:v>-6.35</c:v>
                </c:pt>
                <c:pt idx="7">
                  <c:v>-12.7</c:v>
                </c:pt>
                <c:pt idx="8">
                  <c:v>-19.05</c:v>
                </c:pt>
                <c:pt idx="9">
                  <c:v>-22.86</c:v>
                </c:pt>
                <c:pt idx="10">
                  <c:v>-24.739599999999989</c:v>
                </c:pt>
              </c:numCache>
            </c:numRef>
          </c:yVal>
          <c:smooth val="1"/>
        </c:ser>
        <c:ser>
          <c:idx val="1"/>
          <c:order val="1"/>
          <c:tx>
            <c:v>Experimental</c:v>
          </c:tx>
          <c:spPr>
            <a:ln w="19050">
              <a:solidFill>
                <a:srgbClr val="FF0000"/>
              </a:solidFill>
            </a:ln>
          </c:spPr>
          <c:marker>
            <c:spPr>
              <a:solidFill>
                <a:srgbClr val="FF0000"/>
              </a:solidFill>
            </c:spPr>
          </c:marker>
          <c:errBars>
            <c:errDir val="x"/>
            <c:errBarType val="both"/>
            <c:errValType val="cust"/>
            <c:plus>
              <c:numRef>
                <c:f>(results!$L$4:$L$5,results!$L$7,results!$L$10,results!$L$13,results!$L$18,results!$L$22,results!$L$25,results!$L$28,results!$L$30:$L$31)</c:f>
                <c:numCache>
                  <c:formatCode>General</c:formatCode>
                  <c:ptCount val="11"/>
                  <c:pt idx="0">
                    <c:v>4.3416356364853977E-2</c:v>
                  </c:pt>
                  <c:pt idx="1">
                    <c:v>2.6516504294495528E-2</c:v>
                  </c:pt>
                  <c:pt idx="2">
                    <c:v>3.245620125646255E-2</c:v>
                  </c:pt>
                  <c:pt idx="3">
                    <c:v>4.6810468914549513E-2</c:v>
                  </c:pt>
                  <c:pt idx="4">
                    <c:v>5.7487781310467091E-2</c:v>
                  </c:pt>
                  <c:pt idx="5">
                    <c:v>6.1164736572636422E-2</c:v>
                  </c:pt>
                  <c:pt idx="6">
                    <c:v>5.3881536726414915E-2</c:v>
                  </c:pt>
                  <c:pt idx="7">
                    <c:v>4.1436457377531932E-2</c:v>
                  </c:pt>
                  <c:pt idx="8">
                    <c:v>2.5667976157071812E-2</c:v>
                  </c:pt>
                  <c:pt idx="9">
                    <c:v>2.0788939366884501E-2</c:v>
                  </c:pt>
                  <c:pt idx="10">
                    <c:v>3.0900566337852133E-2</c:v>
                  </c:pt>
                </c:numCache>
              </c:numRef>
            </c:plus>
            <c:minus>
              <c:numRef>
                <c:f>(results!$L$4:$L$5,results!$L$7,results!$L$10,results!$L$13,results!$L$18,results!$L$22,results!$L$25,results!$L$28,results!$L$30:$L$31)</c:f>
                <c:numCache>
                  <c:formatCode>General</c:formatCode>
                  <c:ptCount val="11"/>
                  <c:pt idx="0">
                    <c:v>4.3416356364853977E-2</c:v>
                  </c:pt>
                  <c:pt idx="1">
                    <c:v>2.6516504294495528E-2</c:v>
                  </c:pt>
                  <c:pt idx="2">
                    <c:v>3.245620125646255E-2</c:v>
                  </c:pt>
                  <c:pt idx="3">
                    <c:v>4.6810468914549513E-2</c:v>
                  </c:pt>
                  <c:pt idx="4">
                    <c:v>5.7487781310467091E-2</c:v>
                  </c:pt>
                  <c:pt idx="5">
                    <c:v>6.1164736572636422E-2</c:v>
                  </c:pt>
                  <c:pt idx="6">
                    <c:v>5.3881536726414915E-2</c:v>
                  </c:pt>
                  <c:pt idx="7">
                    <c:v>4.1436457377531932E-2</c:v>
                  </c:pt>
                  <c:pt idx="8">
                    <c:v>2.5667976157071812E-2</c:v>
                  </c:pt>
                  <c:pt idx="9">
                    <c:v>2.0788939366884501E-2</c:v>
                  </c:pt>
                  <c:pt idx="10">
                    <c:v>3.0900566337852133E-2</c:v>
                  </c:pt>
                </c:numCache>
              </c:numRef>
            </c:minus>
            <c:spPr>
              <a:ln>
                <a:solidFill>
                  <a:srgbClr val="FF0000"/>
                </a:solidFill>
              </a:ln>
            </c:spPr>
          </c:errBars>
          <c:xVal>
            <c:numRef>
              <c:f>(results!$K$4:$K$5,results!$K$7,results!$K$10,results!$K$13,results!$K$18,results!$K$22,results!$K$25,results!$K$28,results!$K$30:$K$31)</c:f>
              <c:numCache>
                <c:formatCode>0.000</c:formatCode>
                <c:ptCount val="11"/>
                <c:pt idx="0">
                  <c:v>0.61400000000000265</c:v>
                </c:pt>
                <c:pt idx="1">
                  <c:v>0.375000000000003</c:v>
                </c:pt>
                <c:pt idx="2">
                  <c:v>0.45900000000000002</c:v>
                </c:pt>
                <c:pt idx="3">
                  <c:v>0.6620000000000078</c:v>
                </c:pt>
                <c:pt idx="4">
                  <c:v>0.81299999999999994</c:v>
                </c:pt>
                <c:pt idx="5">
                  <c:v>0.86500000000000365</c:v>
                </c:pt>
                <c:pt idx="6">
                  <c:v>0.76200000000000678</c:v>
                </c:pt>
                <c:pt idx="7">
                  <c:v>0.58599999999999997</c:v>
                </c:pt>
                <c:pt idx="8">
                  <c:v>0.36300000000000032</c:v>
                </c:pt>
                <c:pt idx="9">
                  <c:v>0.29400000000000032</c:v>
                </c:pt>
                <c:pt idx="10">
                  <c:v>0.437000000000003</c:v>
                </c:pt>
              </c:numCache>
            </c:numRef>
          </c:xVal>
          <c:yVal>
            <c:numRef>
              <c:f>(results!$C$40:$C$41,results!$C$43,results!$C$46,results!$C$49,results!$C$54,results!$C$58,results!$C$61,results!$C$64,results!$C$66:$C$67)</c:f>
              <c:numCache>
                <c:formatCode>General</c:formatCode>
                <c:ptCount val="11"/>
                <c:pt idx="0">
                  <c:v>24.739599999999989</c:v>
                </c:pt>
                <c:pt idx="1">
                  <c:v>22.86</c:v>
                </c:pt>
                <c:pt idx="2">
                  <c:v>19.05</c:v>
                </c:pt>
                <c:pt idx="3">
                  <c:v>12.7</c:v>
                </c:pt>
                <c:pt idx="4">
                  <c:v>6.35</c:v>
                </c:pt>
                <c:pt idx="5">
                  <c:v>0</c:v>
                </c:pt>
                <c:pt idx="6">
                  <c:v>-6.35</c:v>
                </c:pt>
                <c:pt idx="7">
                  <c:v>-12.7</c:v>
                </c:pt>
                <c:pt idx="8">
                  <c:v>-19.05</c:v>
                </c:pt>
                <c:pt idx="9">
                  <c:v>-22.86</c:v>
                </c:pt>
                <c:pt idx="10">
                  <c:v>-24.739599999999989</c:v>
                </c:pt>
              </c:numCache>
            </c:numRef>
          </c:yVal>
          <c:smooth val="1"/>
        </c:ser>
        <c:axId val="104340096"/>
        <c:axId val="104342272"/>
      </c:scatterChart>
      <c:valAx>
        <c:axId val="104340096"/>
        <c:scaling>
          <c:orientation val="minMax"/>
          <c:max val="0.95000000000000062"/>
          <c:min val="0.25"/>
        </c:scaling>
        <c:axPos val="b"/>
        <c:majorGridlines>
          <c:spPr>
            <a:ln>
              <a:solidFill>
                <a:sysClr val="windowText" lastClr="000000"/>
              </a:solidFill>
            </a:ln>
          </c:spPr>
        </c:majorGridlines>
        <c:title>
          <c:tx>
            <c:rich>
              <a:bodyPr/>
              <a:lstStyle/>
              <a:p>
                <a:pPr>
                  <a:defRPr sz="1000"/>
                </a:pPr>
                <a:r>
                  <a:rPr lang="en-US" sz="1000">
                    <a:latin typeface="Times New Roman" pitchFamily="18" charset="0"/>
                    <a:cs typeface="Times New Roman" pitchFamily="18" charset="0"/>
                  </a:rPr>
                  <a:t>Relative Power Distribution</a:t>
                </a:r>
              </a:p>
            </c:rich>
          </c:tx>
          <c:layout>
            <c:manualLayout>
              <c:xMode val="edge"/>
              <c:yMode val="edge"/>
              <c:x val="0.41428888411693482"/>
              <c:y val="0.94790600122357949"/>
            </c:manualLayout>
          </c:layout>
        </c:title>
        <c:numFmt formatCode="0.00" sourceLinked="0"/>
        <c:tickLblPos val="low"/>
        <c:spPr>
          <a:ln>
            <a:solidFill>
              <a:sysClr val="windowText" lastClr="000000"/>
            </a:solidFill>
          </a:ln>
        </c:spPr>
        <c:txPr>
          <a:bodyPr/>
          <a:lstStyle/>
          <a:p>
            <a:pPr>
              <a:defRPr sz="800" b="1">
                <a:latin typeface="Times New Roman" pitchFamily="18" charset="0"/>
                <a:cs typeface="Times New Roman" pitchFamily="18" charset="0"/>
              </a:defRPr>
            </a:pPr>
            <a:endParaRPr lang="en-US"/>
          </a:p>
        </c:txPr>
        <c:crossAx val="104342272"/>
        <c:crosses val="autoZero"/>
        <c:crossBetween val="midCat"/>
        <c:majorUnit val="0.05"/>
      </c:valAx>
      <c:valAx>
        <c:axId val="104342272"/>
        <c:scaling>
          <c:orientation val="minMax"/>
          <c:max val="27"/>
          <c:min val="-27"/>
        </c:scaling>
        <c:axPos val="l"/>
        <c:majorGridlines>
          <c:spPr>
            <a:ln>
              <a:solidFill>
                <a:sysClr val="windowText" lastClr="000000"/>
              </a:solidFill>
            </a:ln>
          </c:spPr>
        </c:majorGridlines>
        <c:title>
          <c:tx>
            <c:rich>
              <a:bodyPr rot="-5400000" vert="horz"/>
              <a:lstStyle/>
              <a:p>
                <a:pPr>
                  <a:defRPr sz="1000"/>
                </a:pPr>
                <a:r>
                  <a:rPr lang="en-US" sz="1000">
                    <a:latin typeface="Times New Roman" pitchFamily="18" charset="0"/>
                    <a:cs typeface="Times New Roman" pitchFamily="18" charset="0"/>
                  </a:rPr>
                  <a:t>Distance From</a:t>
                </a:r>
                <a:r>
                  <a:rPr lang="en-US" sz="1000" baseline="0">
                    <a:latin typeface="Times New Roman" pitchFamily="18" charset="0"/>
                    <a:cs typeface="Times New Roman" pitchFamily="18" charset="0"/>
                  </a:rPr>
                  <a:t> Horizontal Midplane (cm)</a:t>
                </a:r>
                <a:endParaRPr lang="en-US" sz="1000">
                  <a:latin typeface="Times New Roman" pitchFamily="18" charset="0"/>
                  <a:cs typeface="Times New Roman" pitchFamily="18" charset="0"/>
                </a:endParaRPr>
              </a:p>
            </c:rich>
          </c:tx>
        </c:title>
        <c:numFmt formatCode="General" sourceLinked="1"/>
        <c:majorTickMark val="none"/>
        <c:tickLblPos val="nextTo"/>
        <c:spPr>
          <a:ln>
            <a:solidFill>
              <a:sysClr val="windowText" lastClr="000000"/>
            </a:solidFill>
          </a:ln>
        </c:spPr>
        <c:txPr>
          <a:bodyPr/>
          <a:lstStyle/>
          <a:p>
            <a:pPr>
              <a:defRPr sz="800" b="1">
                <a:latin typeface="Times New Roman" pitchFamily="18" charset="0"/>
                <a:cs typeface="Times New Roman" pitchFamily="18" charset="0"/>
              </a:defRPr>
            </a:pPr>
            <a:endParaRPr lang="en-US"/>
          </a:p>
        </c:txPr>
        <c:crossAx val="104340096"/>
        <c:crosses val="autoZero"/>
        <c:crossBetween val="midCat"/>
        <c:majorUnit val="3"/>
      </c:valAx>
      <c:spPr>
        <a:noFill/>
        <a:ln>
          <a:solidFill>
            <a:sysClr val="windowText" lastClr="000000"/>
          </a:solidFill>
        </a:ln>
      </c:spPr>
    </c:plotArea>
    <c:legend>
      <c:legendPos val="r"/>
      <c:legendEntry>
        <c:idx val="0"/>
        <c:txPr>
          <a:bodyPr/>
          <a:lstStyle/>
          <a:p>
            <a:pPr>
              <a:defRPr sz="1000">
                <a:latin typeface="Times New Roman" pitchFamily="18" charset="0"/>
                <a:cs typeface="Times New Roman" pitchFamily="18" charset="0"/>
              </a:defRPr>
            </a:pPr>
            <a:endParaRPr lang="en-US"/>
          </a:p>
        </c:txPr>
      </c:legendEntry>
      <c:legendEntry>
        <c:idx val="1"/>
        <c:txPr>
          <a:bodyPr/>
          <a:lstStyle/>
          <a:p>
            <a:pPr>
              <a:defRPr sz="1000">
                <a:latin typeface="Times New Roman" pitchFamily="18" charset="0"/>
                <a:cs typeface="Times New Roman" pitchFamily="18" charset="0"/>
              </a:defRPr>
            </a:pPr>
            <a:endParaRPr lang="en-US"/>
          </a:p>
        </c:txPr>
      </c:legendEntry>
      <c:layout>
        <c:manualLayout>
          <c:xMode val="edge"/>
          <c:yMode val="edge"/>
          <c:x val="0.16913945756780646"/>
          <c:y val="0.37602540636368004"/>
          <c:w val="0.2133772601341499"/>
          <c:h val="0.14985696689229727"/>
        </c:manualLayout>
      </c:layout>
      <c:overlay val="1"/>
      <c:spPr>
        <a:solidFill>
          <a:sysClr val="window" lastClr="FFFFFF"/>
        </a:solidFill>
        <a:ln>
          <a:solidFill>
            <a:sysClr val="windowText" lastClr="000000"/>
          </a:solidFill>
        </a:ln>
      </c:spPr>
      <c:txPr>
        <a:bodyPr/>
        <a:lstStyle/>
        <a:p>
          <a:pPr>
            <a:defRPr sz="1000">
              <a:latin typeface="Times New Roman" pitchFamily="18" charset="0"/>
              <a:cs typeface="Times New Roman" pitchFamily="18" charset="0"/>
            </a:defRPr>
          </a:pPr>
          <a:endParaRPr lang="en-US"/>
        </a:p>
      </c:txPr>
    </c:legend>
    <c:plotVisOnly val="1"/>
    <c:dispBlanksAs val="gap"/>
  </c:chart>
  <c:spPr>
    <a:ln>
      <a:solidFill>
        <a:sysClr val="windowText" lastClr="000000"/>
      </a:solidFill>
    </a:ln>
  </c:sp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1231461067366565"/>
          <c:y val="4.5751633986928483E-2"/>
          <c:w val="0.84768538932633419"/>
          <c:h val="0.8200110647933716"/>
        </c:manualLayout>
      </c:layout>
      <c:scatterChart>
        <c:scatterStyle val="smoothMarker"/>
        <c:ser>
          <c:idx val="0"/>
          <c:order val="0"/>
          <c:tx>
            <c:v>Calculated</c:v>
          </c:tx>
          <c:spPr>
            <a:ln w="19050">
              <a:solidFill>
                <a:srgbClr val="0000FF"/>
              </a:solidFill>
            </a:ln>
          </c:spPr>
          <c:marker>
            <c:spPr>
              <a:solidFill>
                <a:srgbClr val="0000FF"/>
              </a:solidFill>
            </c:spPr>
          </c:marker>
          <c:xVal>
            <c:numRef>
              <c:f>(results!$I$8,results!$I$11,results!$I$14,results!$I$20,results!$I$23,results!$I$26,results!$I$29)</c:f>
              <c:numCache>
                <c:formatCode>0.000</c:formatCode>
                <c:ptCount val="7"/>
                <c:pt idx="0">
                  <c:v>0.24003276848774621</c:v>
                </c:pt>
                <c:pt idx="1">
                  <c:v>0.47039121709058651</c:v>
                </c:pt>
                <c:pt idx="2">
                  <c:v>0.65918553489481468</c:v>
                </c:pt>
                <c:pt idx="3">
                  <c:v>0.74912387134638014</c:v>
                </c:pt>
                <c:pt idx="4">
                  <c:v>0.61134386858179779</c:v>
                </c:pt>
                <c:pt idx="5">
                  <c:v>0.41793913270741956</c:v>
                </c:pt>
                <c:pt idx="6">
                  <c:v>0.16623219839591621</c:v>
                </c:pt>
              </c:numCache>
            </c:numRef>
          </c:xVal>
          <c:yVal>
            <c:numRef>
              <c:f>(results!$C$44,results!$C$47,results!$C$50,results!$C$56,results!$C$59,results!$C$62,results!$C$65)</c:f>
              <c:numCache>
                <c:formatCode>General</c:formatCode>
                <c:ptCount val="7"/>
                <c:pt idx="0">
                  <c:v>19.05</c:v>
                </c:pt>
                <c:pt idx="1">
                  <c:v>12.7</c:v>
                </c:pt>
                <c:pt idx="2">
                  <c:v>6.35</c:v>
                </c:pt>
                <c:pt idx="3">
                  <c:v>0</c:v>
                </c:pt>
                <c:pt idx="4">
                  <c:v>-6.35</c:v>
                </c:pt>
                <c:pt idx="5">
                  <c:v>-12.7</c:v>
                </c:pt>
                <c:pt idx="6">
                  <c:v>-19.05</c:v>
                </c:pt>
              </c:numCache>
            </c:numRef>
          </c:yVal>
          <c:smooth val="1"/>
        </c:ser>
        <c:ser>
          <c:idx val="1"/>
          <c:order val="1"/>
          <c:tx>
            <c:v>Experimental</c:v>
          </c:tx>
          <c:spPr>
            <a:ln w="19050">
              <a:solidFill>
                <a:srgbClr val="FF0000"/>
              </a:solidFill>
            </a:ln>
          </c:spPr>
          <c:marker>
            <c:spPr>
              <a:solidFill>
                <a:srgbClr val="FF0000"/>
              </a:solidFill>
              <a:ln>
                <a:solidFill>
                  <a:srgbClr val="FF0000"/>
                </a:solidFill>
              </a:ln>
            </c:spPr>
          </c:marker>
          <c:errBars>
            <c:errDir val="x"/>
            <c:errBarType val="both"/>
            <c:errValType val="cust"/>
            <c:plus>
              <c:numRef>
                <c:f>(results!$L$8,results!$L$11,results!$L$14,results!$L$20,results!$L$23,results!$L$26,results!$L$29)</c:f>
                <c:numCache>
                  <c:formatCode>General</c:formatCode>
                  <c:ptCount val="7"/>
                  <c:pt idx="0">
                    <c:v>1.7748380207782549E-2</c:v>
                  </c:pt>
                  <c:pt idx="1">
                    <c:v>3.585031380615801E-2</c:v>
                  </c:pt>
                  <c:pt idx="2">
                    <c:v>5.0558134854839121E-2</c:v>
                  </c:pt>
                  <c:pt idx="3">
                    <c:v>5.911412690719605E-2</c:v>
                  </c:pt>
                  <c:pt idx="4">
                    <c:v>4.4901280605345824E-2</c:v>
                  </c:pt>
                  <c:pt idx="5">
                    <c:v>2.9557063453597689E-2</c:v>
                  </c:pt>
                  <c:pt idx="6">
                    <c:v>1.0182337649086449E-2</c:v>
                  </c:pt>
                </c:numCache>
              </c:numRef>
            </c:plus>
            <c:minus>
              <c:numRef>
                <c:f>(results!$L$8,results!$L$11,results!$L$14,results!$L$20,results!$L$23,results!$L$26,results!$L$29)</c:f>
                <c:numCache>
                  <c:formatCode>General</c:formatCode>
                  <c:ptCount val="7"/>
                  <c:pt idx="0">
                    <c:v>1.7748380207782549E-2</c:v>
                  </c:pt>
                  <c:pt idx="1">
                    <c:v>3.585031380615801E-2</c:v>
                  </c:pt>
                  <c:pt idx="2">
                    <c:v>5.0558134854839121E-2</c:v>
                  </c:pt>
                  <c:pt idx="3">
                    <c:v>5.911412690719605E-2</c:v>
                  </c:pt>
                  <c:pt idx="4">
                    <c:v>4.4901280605345824E-2</c:v>
                  </c:pt>
                  <c:pt idx="5">
                    <c:v>2.9557063453597689E-2</c:v>
                  </c:pt>
                  <c:pt idx="6">
                    <c:v>1.0182337649086449E-2</c:v>
                  </c:pt>
                </c:numCache>
              </c:numRef>
            </c:minus>
            <c:spPr>
              <a:ln>
                <a:solidFill>
                  <a:srgbClr val="FF0000"/>
                </a:solidFill>
              </a:ln>
            </c:spPr>
          </c:errBars>
          <c:xVal>
            <c:numRef>
              <c:f>(results!$K$8,results!$K$11,results!$K$14,results!$K$20,results!$K$23,results!$K$26,results!$K$29)</c:f>
              <c:numCache>
                <c:formatCode>0.000</c:formatCode>
                <c:ptCount val="7"/>
                <c:pt idx="0">
                  <c:v>0.251</c:v>
                </c:pt>
                <c:pt idx="1">
                  <c:v>0.50700000000000001</c:v>
                </c:pt>
                <c:pt idx="2">
                  <c:v>0.71500000000000064</c:v>
                </c:pt>
                <c:pt idx="3">
                  <c:v>0.83600000000000063</c:v>
                </c:pt>
                <c:pt idx="4">
                  <c:v>0.63500000000000678</c:v>
                </c:pt>
                <c:pt idx="5">
                  <c:v>0.41800000000000032</c:v>
                </c:pt>
                <c:pt idx="6">
                  <c:v>0.14400000000000004</c:v>
                </c:pt>
              </c:numCache>
            </c:numRef>
          </c:xVal>
          <c:yVal>
            <c:numRef>
              <c:f>(results!$C$44,results!$C$47,results!$C$50,results!$C$56,results!$C$59,results!$C$62,results!$C$65)</c:f>
              <c:numCache>
                <c:formatCode>General</c:formatCode>
                <c:ptCount val="7"/>
                <c:pt idx="0">
                  <c:v>19.05</c:v>
                </c:pt>
                <c:pt idx="1">
                  <c:v>12.7</c:v>
                </c:pt>
                <c:pt idx="2">
                  <c:v>6.35</c:v>
                </c:pt>
                <c:pt idx="3">
                  <c:v>0</c:v>
                </c:pt>
                <c:pt idx="4">
                  <c:v>-6.35</c:v>
                </c:pt>
                <c:pt idx="5">
                  <c:v>-12.7</c:v>
                </c:pt>
                <c:pt idx="6">
                  <c:v>-19.05</c:v>
                </c:pt>
              </c:numCache>
            </c:numRef>
          </c:yVal>
          <c:smooth val="1"/>
        </c:ser>
        <c:axId val="104364288"/>
        <c:axId val="104366464"/>
      </c:scatterChart>
      <c:valAx>
        <c:axId val="104364288"/>
        <c:scaling>
          <c:orientation val="minMax"/>
          <c:max val="0.95000000000000062"/>
          <c:min val="0.1"/>
        </c:scaling>
        <c:axPos val="b"/>
        <c:majorGridlines>
          <c:spPr>
            <a:ln>
              <a:solidFill>
                <a:schemeClr val="tx1"/>
              </a:solidFill>
            </a:ln>
          </c:spPr>
        </c:majorGridlines>
        <c:title>
          <c:tx>
            <c:rich>
              <a:bodyPr/>
              <a:lstStyle/>
              <a:p>
                <a:pPr>
                  <a:defRPr sz="1000"/>
                </a:pPr>
                <a:r>
                  <a:rPr lang="en-US" sz="1000">
                    <a:latin typeface="Times New Roman" pitchFamily="18" charset="0"/>
                    <a:cs typeface="Times New Roman" pitchFamily="18" charset="0"/>
                  </a:rPr>
                  <a:t>Relative Power Distribution</a:t>
                </a:r>
              </a:p>
            </c:rich>
          </c:tx>
          <c:layout>
            <c:manualLayout>
              <c:xMode val="edge"/>
              <c:yMode val="edge"/>
              <c:x val="0.39679055118110235"/>
              <c:y val="0.93954248366013071"/>
            </c:manualLayout>
          </c:layout>
        </c:title>
        <c:numFmt formatCode="0.00" sourceLinked="0"/>
        <c:majorTickMark val="cross"/>
        <c:tickLblPos val="low"/>
        <c:spPr>
          <a:ln>
            <a:solidFill>
              <a:sysClr val="windowText" lastClr="000000"/>
            </a:solidFill>
          </a:ln>
        </c:spPr>
        <c:txPr>
          <a:bodyPr/>
          <a:lstStyle/>
          <a:p>
            <a:pPr>
              <a:defRPr sz="800" b="1">
                <a:latin typeface="Times New Roman" pitchFamily="18" charset="0"/>
                <a:cs typeface="Times New Roman" pitchFamily="18" charset="0"/>
              </a:defRPr>
            </a:pPr>
            <a:endParaRPr lang="en-US"/>
          </a:p>
        </c:txPr>
        <c:crossAx val="104366464"/>
        <c:crosses val="autoZero"/>
        <c:crossBetween val="midCat"/>
        <c:majorUnit val="0.05"/>
      </c:valAx>
      <c:valAx>
        <c:axId val="104366464"/>
        <c:scaling>
          <c:orientation val="minMax"/>
          <c:max val="21"/>
          <c:min val="-21"/>
        </c:scaling>
        <c:axPos val="l"/>
        <c:majorGridlines>
          <c:spPr>
            <a:ln>
              <a:solidFill>
                <a:sysClr val="windowText" lastClr="000000"/>
              </a:solidFill>
            </a:ln>
          </c:spPr>
        </c:majorGridlines>
        <c:title>
          <c:tx>
            <c:rich>
              <a:bodyPr rot="-5400000" vert="horz"/>
              <a:lstStyle/>
              <a:p>
                <a:pPr>
                  <a:defRPr sz="1000"/>
                </a:pPr>
                <a:r>
                  <a:rPr lang="en-US" sz="1000">
                    <a:latin typeface="Times New Roman" pitchFamily="18" charset="0"/>
                    <a:cs typeface="Times New Roman" pitchFamily="18" charset="0"/>
                  </a:rPr>
                  <a:t>Distance From Horizontal Midplane (cm)</a:t>
                </a:r>
              </a:p>
            </c:rich>
          </c:tx>
        </c:title>
        <c:numFmt formatCode="General" sourceLinked="1"/>
        <c:majorTickMark val="none"/>
        <c:tickLblPos val="nextTo"/>
        <c:spPr>
          <a:ln>
            <a:solidFill>
              <a:sysClr val="windowText" lastClr="000000"/>
            </a:solidFill>
          </a:ln>
        </c:spPr>
        <c:txPr>
          <a:bodyPr/>
          <a:lstStyle/>
          <a:p>
            <a:pPr>
              <a:defRPr sz="800" b="1">
                <a:latin typeface="Times New Roman" pitchFamily="18" charset="0"/>
                <a:cs typeface="Times New Roman" pitchFamily="18" charset="0"/>
              </a:defRPr>
            </a:pPr>
            <a:endParaRPr lang="en-US"/>
          </a:p>
        </c:txPr>
        <c:crossAx val="104364288"/>
        <c:crosses val="autoZero"/>
        <c:crossBetween val="midCat"/>
        <c:majorUnit val="3"/>
      </c:valAx>
      <c:spPr>
        <a:ln>
          <a:solidFill>
            <a:schemeClr val="tx1"/>
          </a:solidFill>
        </a:ln>
      </c:spPr>
    </c:plotArea>
    <c:legend>
      <c:legendPos val="r"/>
      <c:legendEntry>
        <c:idx val="0"/>
        <c:txPr>
          <a:bodyPr/>
          <a:lstStyle/>
          <a:p>
            <a:pPr>
              <a:defRPr sz="1000">
                <a:latin typeface="Times New Roman" pitchFamily="18" charset="0"/>
                <a:cs typeface="Times New Roman" pitchFamily="18" charset="0"/>
              </a:defRPr>
            </a:pPr>
            <a:endParaRPr lang="en-US"/>
          </a:p>
        </c:txPr>
      </c:legendEntry>
      <c:legendEntry>
        <c:idx val="1"/>
        <c:txPr>
          <a:bodyPr/>
          <a:lstStyle/>
          <a:p>
            <a:pPr>
              <a:defRPr sz="1000">
                <a:latin typeface="Times New Roman" pitchFamily="18" charset="0"/>
                <a:cs typeface="Times New Roman" pitchFamily="18" charset="0"/>
              </a:defRPr>
            </a:pPr>
            <a:endParaRPr lang="en-US"/>
          </a:p>
        </c:txPr>
      </c:legendEntry>
      <c:layout>
        <c:manualLayout>
          <c:xMode val="edge"/>
          <c:yMode val="edge"/>
          <c:x val="0.15999825021872513"/>
          <c:y val="0.38168081930935993"/>
          <c:w val="0.19861417322834637"/>
          <c:h val="0.11330965982193401"/>
        </c:manualLayout>
      </c:layout>
      <c:overlay val="1"/>
      <c:spPr>
        <a:solidFill>
          <a:sysClr val="window" lastClr="FFFFFF"/>
        </a:solidFill>
        <a:ln>
          <a:solidFill>
            <a:sysClr val="windowText" lastClr="000000"/>
          </a:solidFill>
        </a:ln>
      </c:spPr>
      <c:txPr>
        <a:bodyPr/>
        <a:lstStyle/>
        <a:p>
          <a:pPr>
            <a:defRPr sz="1000">
              <a:latin typeface="Times New Roman" pitchFamily="18" charset="0"/>
              <a:cs typeface="Times New Roman" pitchFamily="18" charset="0"/>
            </a:defRPr>
          </a:pPr>
          <a:endParaRPr lang="en-US"/>
        </a:p>
      </c:txPr>
    </c:legend>
    <c:plotVisOnly val="1"/>
    <c:dispBlanksAs val="gap"/>
  </c:chart>
  <c:spPr>
    <a:ln>
      <a:solidFill>
        <a:sysClr val="windowText" lastClr="000000"/>
      </a:solidFill>
    </a:ln>
  </c:sp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197258092738412"/>
          <c:y val="3.5947712418300859E-2"/>
          <c:w val="0.84694085739282976"/>
          <c:h val="0.83308296021820749"/>
        </c:manualLayout>
      </c:layout>
      <c:scatterChart>
        <c:scatterStyle val="smoothMarker"/>
        <c:ser>
          <c:idx val="0"/>
          <c:order val="0"/>
          <c:tx>
            <c:v>IFE Calculated</c:v>
          </c:tx>
          <c:spPr>
            <a:ln w="19050">
              <a:solidFill>
                <a:srgbClr val="0000FF"/>
              </a:solidFill>
            </a:ln>
          </c:spPr>
          <c:marker>
            <c:spPr>
              <a:solidFill>
                <a:srgbClr val="0000FF"/>
              </a:solidFill>
            </c:spPr>
          </c:marker>
          <c:xVal>
            <c:numRef>
              <c:f>results!$D$51:$D$56</c:f>
              <c:numCache>
                <c:formatCode>General</c:formatCode>
                <c:ptCount val="6"/>
                <c:pt idx="0">
                  <c:v>7.3863199999999996</c:v>
                </c:pt>
                <c:pt idx="1">
                  <c:v>8.4023200000000013</c:v>
                </c:pt>
                <c:pt idx="2">
                  <c:v>9.4183199999999996</c:v>
                </c:pt>
                <c:pt idx="3">
                  <c:v>10.43432</c:v>
                </c:pt>
                <c:pt idx="4">
                  <c:v>11.45032</c:v>
                </c:pt>
                <c:pt idx="5">
                  <c:v>12.466320000000001</c:v>
                </c:pt>
              </c:numCache>
            </c:numRef>
          </c:xVal>
          <c:yVal>
            <c:numRef>
              <c:f>results!$C$15:$C$20</c:f>
              <c:numCache>
                <c:formatCode>0.000</c:formatCode>
                <c:ptCount val="6"/>
                <c:pt idx="0">
                  <c:v>1.2616457439956692</c:v>
                </c:pt>
                <c:pt idx="1">
                  <c:v>1.039980148485748</c:v>
                </c:pt>
                <c:pt idx="2">
                  <c:v>1</c:v>
                </c:pt>
                <c:pt idx="3">
                  <c:v>1.0192370555667061</c:v>
                </c:pt>
                <c:pt idx="4">
                  <c:v>1.0409713415386979</c:v>
                </c:pt>
                <c:pt idx="5">
                  <c:v>1.1430424490120661</c:v>
                </c:pt>
              </c:numCache>
            </c:numRef>
          </c:yVal>
          <c:smooth val="1"/>
        </c:ser>
        <c:ser>
          <c:idx val="1"/>
          <c:order val="1"/>
          <c:tx>
            <c:v>IFE Experimental</c:v>
          </c:tx>
          <c:spPr>
            <a:ln w="19050">
              <a:solidFill>
                <a:srgbClr val="FF0000"/>
              </a:solidFill>
            </a:ln>
          </c:spPr>
          <c:marker>
            <c:spPr>
              <a:solidFill>
                <a:srgbClr val="FF0000"/>
              </a:solidFill>
            </c:spPr>
          </c:marker>
          <c:errBars>
            <c:errDir val="y"/>
            <c:errBarType val="both"/>
            <c:errValType val="cust"/>
            <c:plus>
              <c:numRef>
                <c:f>results!$F$15:$F$20</c:f>
                <c:numCache>
                  <c:formatCode>General</c:formatCode>
                  <c:ptCount val="6"/>
                  <c:pt idx="0">
                    <c:v>9.0509667991878248E-2</c:v>
                  </c:pt>
                  <c:pt idx="1">
                    <c:v>7.4953318805774063E-2</c:v>
                  </c:pt>
                  <c:pt idx="2">
                    <c:v>7.0710678118654793E-2</c:v>
                  </c:pt>
                  <c:pt idx="3">
                    <c:v>7.1417784899842546E-2</c:v>
                  </c:pt>
                  <c:pt idx="4">
                    <c:v>7.0710678118654793E-2</c:v>
                  </c:pt>
                  <c:pt idx="5">
                    <c:v>7.6367532368147154E-2</c:v>
                  </c:pt>
                </c:numCache>
              </c:numRef>
            </c:plus>
            <c:minus>
              <c:numRef>
                <c:f>results!$F$15:$F$20</c:f>
                <c:numCache>
                  <c:formatCode>General</c:formatCode>
                  <c:ptCount val="6"/>
                  <c:pt idx="0">
                    <c:v>9.0509667991878248E-2</c:v>
                  </c:pt>
                  <c:pt idx="1">
                    <c:v>7.4953318805774063E-2</c:v>
                  </c:pt>
                  <c:pt idx="2">
                    <c:v>7.0710678118654793E-2</c:v>
                  </c:pt>
                  <c:pt idx="3">
                    <c:v>7.1417784899842546E-2</c:v>
                  </c:pt>
                  <c:pt idx="4">
                    <c:v>7.0710678118654793E-2</c:v>
                  </c:pt>
                  <c:pt idx="5">
                    <c:v>7.6367532368147154E-2</c:v>
                  </c:pt>
                </c:numCache>
              </c:numRef>
            </c:minus>
            <c:spPr>
              <a:ln>
                <a:solidFill>
                  <a:srgbClr val="C00000"/>
                </a:solidFill>
              </a:ln>
            </c:spPr>
          </c:errBars>
          <c:xVal>
            <c:numRef>
              <c:f>results!$D$51:$D$56</c:f>
              <c:numCache>
                <c:formatCode>General</c:formatCode>
                <c:ptCount val="6"/>
                <c:pt idx="0">
                  <c:v>7.3863199999999996</c:v>
                </c:pt>
                <c:pt idx="1">
                  <c:v>8.4023200000000013</c:v>
                </c:pt>
                <c:pt idx="2">
                  <c:v>9.4183199999999996</c:v>
                </c:pt>
                <c:pt idx="3">
                  <c:v>10.43432</c:v>
                </c:pt>
                <c:pt idx="4">
                  <c:v>11.45032</c:v>
                </c:pt>
                <c:pt idx="5">
                  <c:v>12.466320000000001</c:v>
                </c:pt>
              </c:numCache>
            </c:numRef>
          </c:xVal>
          <c:yVal>
            <c:numRef>
              <c:f>results!$E$15:$E$20</c:f>
              <c:numCache>
                <c:formatCode>0.000</c:formatCode>
                <c:ptCount val="6"/>
                <c:pt idx="0">
                  <c:v>1.28</c:v>
                </c:pt>
                <c:pt idx="1">
                  <c:v>1.06</c:v>
                </c:pt>
                <c:pt idx="2">
                  <c:v>1</c:v>
                </c:pt>
                <c:pt idx="3">
                  <c:v>1.01</c:v>
                </c:pt>
                <c:pt idx="4">
                  <c:v>1</c:v>
                </c:pt>
                <c:pt idx="5">
                  <c:v>1.08</c:v>
                </c:pt>
              </c:numCache>
            </c:numRef>
          </c:yVal>
          <c:smooth val="1"/>
        </c:ser>
        <c:ser>
          <c:idx val="2"/>
          <c:order val="2"/>
          <c:tx>
            <c:v>OFE Calculated</c:v>
          </c:tx>
          <c:spPr>
            <a:ln w="19050">
              <a:solidFill>
                <a:srgbClr val="00B050"/>
              </a:solidFill>
            </a:ln>
          </c:spPr>
          <c:marker>
            <c:spPr>
              <a:solidFill>
                <a:srgbClr val="00B050"/>
              </a:solidFill>
              <a:ln>
                <a:solidFill>
                  <a:srgbClr val="00B050"/>
                </a:solidFill>
              </a:ln>
            </c:spPr>
          </c:marker>
          <c:xVal>
            <c:numRef>
              <c:f>results!$E$51:$E$56</c:f>
              <c:numCache>
                <c:formatCode>General</c:formatCode>
                <c:ptCount val="6"/>
                <c:pt idx="0">
                  <c:v>15.389860000000002</c:v>
                </c:pt>
                <c:pt idx="1">
                  <c:v>16.469360000000002</c:v>
                </c:pt>
                <c:pt idx="2">
                  <c:v>17.548860000000001</c:v>
                </c:pt>
                <c:pt idx="3">
                  <c:v>18.628360000000001</c:v>
                </c:pt>
                <c:pt idx="4">
                  <c:v>19.707860000000135</c:v>
                </c:pt>
                <c:pt idx="5">
                  <c:v>20.78736</c:v>
                </c:pt>
              </c:numCache>
            </c:numRef>
          </c:xVal>
          <c:yVal>
            <c:numRef>
              <c:f>results!$I$15:$I$20</c:f>
              <c:numCache>
                <c:formatCode>0.000</c:formatCode>
                <c:ptCount val="6"/>
                <c:pt idx="0">
                  <c:v>1.226419546103598</c:v>
                </c:pt>
                <c:pt idx="1">
                  <c:v>1.1901535215129873</c:v>
                </c:pt>
                <c:pt idx="2">
                  <c:v>1.1484266324583015</c:v>
                </c:pt>
                <c:pt idx="3">
                  <c:v>1.1047939594977927</c:v>
                </c:pt>
                <c:pt idx="4">
                  <c:v>1.1689080267135767</c:v>
                </c:pt>
                <c:pt idx="5">
                  <c:v>1.271100624322423</c:v>
                </c:pt>
              </c:numCache>
            </c:numRef>
          </c:yVal>
          <c:smooth val="1"/>
        </c:ser>
        <c:ser>
          <c:idx val="3"/>
          <c:order val="3"/>
          <c:tx>
            <c:v>OFE Experimental</c:v>
          </c:tx>
          <c:spPr>
            <a:ln w="19050">
              <a:solidFill>
                <a:srgbClr val="7030A0"/>
              </a:solidFill>
            </a:ln>
          </c:spPr>
          <c:marker>
            <c:spPr>
              <a:solidFill>
                <a:srgbClr val="7030A0"/>
              </a:solidFill>
            </c:spPr>
          </c:marker>
          <c:errBars>
            <c:errDir val="y"/>
            <c:errBarType val="both"/>
            <c:errValType val="cust"/>
            <c:plus>
              <c:numRef>
                <c:f>results!$L$15:$L$20</c:f>
                <c:numCache>
                  <c:formatCode>General</c:formatCode>
                  <c:ptCount val="6"/>
                  <c:pt idx="0">
                    <c:v>7.9903066274079879E-2</c:v>
                  </c:pt>
                  <c:pt idx="1">
                    <c:v>8.0610173055266743E-2</c:v>
                  </c:pt>
                  <c:pt idx="2">
                    <c:v>7.9195959492893403E-2</c:v>
                  </c:pt>
                  <c:pt idx="3">
                    <c:v>7.7781745930520424E-2</c:v>
                  </c:pt>
                  <c:pt idx="4">
                    <c:v>8.2024386617639763E-2</c:v>
                  </c:pt>
                  <c:pt idx="5">
                    <c:v>9.2630988335437744E-2</c:v>
                  </c:pt>
                </c:numCache>
              </c:numRef>
            </c:plus>
            <c:minus>
              <c:numRef>
                <c:f>results!$L$15:$L$20</c:f>
                <c:numCache>
                  <c:formatCode>General</c:formatCode>
                  <c:ptCount val="6"/>
                  <c:pt idx="0">
                    <c:v>7.9903066274079879E-2</c:v>
                  </c:pt>
                  <c:pt idx="1">
                    <c:v>8.0610173055266743E-2</c:v>
                  </c:pt>
                  <c:pt idx="2">
                    <c:v>7.9195959492893403E-2</c:v>
                  </c:pt>
                  <c:pt idx="3">
                    <c:v>7.7781745930520424E-2</c:v>
                  </c:pt>
                  <c:pt idx="4">
                    <c:v>8.2024386617639763E-2</c:v>
                  </c:pt>
                  <c:pt idx="5">
                    <c:v>9.2630988335437744E-2</c:v>
                  </c:pt>
                </c:numCache>
              </c:numRef>
            </c:minus>
            <c:spPr>
              <a:ln>
                <a:solidFill>
                  <a:srgbClr val="7030A0"/>
                </a:solidFill>
              </a:ln>
            </c:spPr>
          </c:errBars>
          <c:xVal>
            <c:numRef>
              <c:f>results!$E$51:$E$56</c:f>
              <c:numCache>
                <c:formatCode>General</c:formatCode>
                <c:ptCount val="6"/>
                <c:pt idx="0">
                  <c:v>15.389860000000002</c:v>
                </c:pt>
                <c:pt idx="1">
                  <c:v>16.469360000000002</c:v>
                </c:pt>
                <c:pt idx="2">
                  <c:v>17.548860000000001</c:v>
                </c:pt>
                <c:pt idx="3">
                  <c:v>18.628360000000001</c:v>
                </c:pt>
                <c:pt idx="4">
                  <c:v>19.707860000000135</c:v>
                </c:pt>
                <c:pt idx="5">
                  <c:v>20.78736</c:v>
                </c:pt>
              </c:numCache>
            </c:numRef>
          </c:xVal>
          <c:yVal>
            <c:numRef>
              <c:f>results!$K$15:$K$20</c:f>
              <c:numCache>
                <c:formatCode>0.000</c:formatCode>
                <c:ptCount val="6"/>
                <c:pt idx="0">
                  <c:v>1.1299999999999866</c:v>
                </c:pt>
                <c:pt idx="1">
                  <c:v>1.1399999999999866</c:v>
                </c:pt>
                <c:pt idx="2">
                  <c:v>1.1200000000000001</c:v>
                </c:pt>
                <c:pt idx="3">
                  <c:v>1.1000000000000001</c:v>
                </c:pt>
                <c:pt idx="4">
                  <c:v>1.159999999999987</c:v>
                </c:pt>
                <c:pt idx="5">
                  <c:v>1.31</c:v>
                </c:pt>
              </c:numCache>
            </c:numRef>
          </c:yVal>
          <c:smooth val="1"/>
        </c:ser>
        <c:axId val="104390656"/>
        <c:axId val="104392576"/>
      </c:scatterChart>
      <c:valAx>
        <c:axId val="104390656"/>
        <c:scaling>
          <c:orientation val="minMax"/>
          <c:max val="21"/>
          <c:min val="7"/>
        </c:scaling>
        <c:axPos val="b"/>
        <c:majorGridlines>
          <c:spPr>
            <a:ln>
              <a:solidFill>
                <a:sysClr val="windowText" lastClr="000000"/>
              </a:solidFill>
            </a:ln>
          </c:spPr>
        </c:majorGridlines>
        <c:title>
          <c:tx>
            <c:rich>
              <a:bodyPr/>
              <a:lstStyle/>
              <a:p>
                <a:pPr>
                  <a:defRPr sz="1000">
                    <a:latin typeface="Times New Roman" pitchFamily="18" charset="0"/>
                    <a:cs typeface="Times New Roman" pitchFamily="18" charset="0"/>
                  </a:defRPr>
                </a:pPr>
                <a:r>
                  <a:rPr lang="en-US" sz="1000">
                    <a:latin typeface="Times New Roman" pitchFamily="18" charset="0"/>
                    <a:cs typeface="Times New Roman" pitchFamily="18" charset="0"/>
                  </a:rPr>
                  <a:t>Radial Distance From Centerline</a:t>
                </a:r>
                <a:r>
                  <a:rPr lang="en-US" sz="1000" baseline="0">
                    <a:latin typeface="Times New Roman" pitchFamily="18" charset="0"/>
                    <a:cs typeface="Times New Roman" pitchFamily="18" charset="0"/>
                  </a:rPr>
                  <a:t> (cm)</a:t>
                </a:r>
                <a:endParaRPr lang="en-US" sz="1000">
                  <a:latin typeface="Times New Roman" pitchFamily="18" charset="0"/>
                  <a:cs typeface="Times New Roman" pitchFamily="18" charset="0"/>
                </a:endParaRPr>
              </a:p>
            </c:rich>
          </c:tx>
          <c:layout>
            <c:manualLayout>
              <c:xMode val="edge"/>
              <c:yMode val="edge"/>
              <c:x val="0.35508503937008007"/>
              <c:y val="0.93627450980392157"/>
            </c:manualLayout>
          </c:layout>
        </c:title>
        <c:numFmt formatCode="General" sourceLinked="1"/>
        <c:majorTickMark val="none"/>
        <c:tickLblPos val="nextTo"/>
        <c:spPr>
          <a:ln>
            <a:solidFill>
              <a:sysClr val="windowText" lastClr="000000"/>
            </a:solidFill>
          </a:ln>
        </c:spPr>
        <c:txPr>
          <a:bodyPr rot="0" vert="horz"/>
          <a:lstStyle/>
          <a:p>
            <a:pPr>
              <a:defRPr sz="800" b="1">
                <a:latin typeface="Times New Roman" pitchFamily="18" charset="0"/>
                <a:cs typeface="Times New Roman" pitchFamily="18" charset="0"/>
              </a:defRPr>
            </a:pPr>
            <a:endParaRPr lang="en-US"/>
          </a:p>
        </c:txPr>
        <c:crossAx val="104392576"/>
        <c:crosses val="autoZero"/>
        <c:crossBetween val="midCat"/>
        <c:majorUnit val="1"/>
      </c:valAx>
      <c:valAx>
        <c:axId val="104392576"/>
        <c:scaling>
          <c:orientation val="minMax"/>
          <c:max val="1.45"/>
          <c:min val="0.70000000000000062"/>
        </c:scaling>
        <c:axPos val="l"/>
        <c:majorGridlines>
          <c:spPr>
            <a:ln>
              <a:solidFill>
                <a:sysClr val="windowText" lastClr="000000"/>
              </a:solidFill>
            </a:ln>
          </c:spPr>
        </c:majorGridlines>
        <c:title>
          <c:tx>
            <c:rich>
              <a:bodyPr/>
              <a:lstStyle/>
              <a:p>
                <a:pPr>
                  <a:defRPr sz="1000">
                    <a:latin typeface="Times New Roman" pitchFamily="18" charset="0"/>
                    <a:cs typeface="Times New Roman" pitchFamily="18" charset="0"/>
                  </a:defRPr>
                </a:pPr>
                <a:r>
                  <a:rPr lang="en-US" sz="1000">
                    <a:latin typeface="Times New Roman" pitchFamily="18" charset="0"/>
                    <a:cs typeface="Times New Roman" pitchFamily="18" charset="0"/>
                  </a:rPr>
                  <a:t>Relative Power Distribution</a:t>
                </a:r>
              </a:p>
            </c:rich>
          </c:tx>
        </c:title>
        <c:numFmt formatCode="0.00" sourceLinked="0"/>
        <c:majorTickMark val="none"/>
        <c:tickLblPos val="nextTo"/>
        <c:spPr>
          <a:ln>
            <a:solidFill>
              <a:schemeClr val="tx1"/>
            </a:solidFill>
          </a:ln>
        </c:spPr>
        <c:txPr>
          <a:bodyPr/>
          <a:lstStyle/>
          <a:p>
            <a:pPr>
              <a:defRPr sz="800" b="1">
                <a:latin typeface="Times New Roman" pitchFamily="18" charset="0"/>
                <a:cs typeface="Times New Roman" pitchFamily="18" charset="0"/>
              </a:defRPr>
            </a:pPr>
            <a:endParaRPr lang="en-US"/>
          </a:p>
        </c:txPr>
        <c:crossAx val="104390656"/>
        <c:crosses val="autoZero"/>
        <c:crossBetween val="midCat"/>
        <c:majorUnit val="0.05"/>
      </c:valAx>
    </c:plotArea>
    <c:legend>
      <c:legendPos val="r"/>
      <c:legendEntry>
        <c:idx val="0"/>
        <c:txPr>
          <a:bodyPr/>
          <a:lstStyle/>
          <a:p>
            <a:pPr>
              <a:defRPr sz="1000">
                <a:latin typeface="Times New Roman" pitchFamily="18" charset="0"/>
                <a:cs typeface="Times New Roman" pitchFamily="18" charset="0"/>
              </a:defRPr>
            </a:pPr>
            <a:endParaRPr lang="en-US"/>
          </a:p>
        </c:txPr>
      </c:legendEntry>
      <c:legendEntry>
        <c:idx val="1"/>
        <c:txPr>
          <a:bodyPr/>
          <a:lstStyle/>
          <a:p>
            <a:pPr>
              <a:defRPr sz="1000">
                <a:latin typeface="Times New Roman" pitchFamily="18" charset="0"/>
                <a:cs typeface="Times New Roman" pitchFamily="18" charset="0"/>
              </a:defRPr>
            </a:pPr>
            <a:endParaRPr lang="en-US"/>
          </a:p>
        </c:txPr>
      </c:legendEntry>
      <c:legendEntry>
        <c:idx val="2"/>
        <c:txPr>
          <a:bodyPr/>
          <a:lstStyle/>
          <a:p>
            <a:pPr>
              <a:defRPr sz="1000">
                <a:latin typeface="Times New Roman" pitchFamily="18" charset="0"/>
                <a:cs typeface="Times New Roman" pitchFamily="18" charset="0"/>
              </a:defRPr>
            </a:pPr>
            <a:endParaRPr lang="en-US"/>
          </a:p>
        </c:txPr>
      </c:legendEntry>
      <c:legendEntry>
        <c:idx val="3"/>
        <c:txPr>
          <a:bodyPr/>
          <a:lstStyle/>
          <a:p>
            <a:pPr>
              <a:defRPr sz="1000">
                <a:latin typeface="Times New Roman" pitchFamily="18" charset="0"/>
                <a:cs typeface="Times New Roman" pitchFamily="18" charset="0"/>
              </a:defRPr>
            </a:pPr>
            <a:endParaRPr lang="en-US"/>
          </a:p>
        </c:txPr>
      </c:legendEntry>
      <c:layout>
        <c:manualLayout>
          <c:xMode val="edge"/>
          <c:yMode val="edge"/>
          <c:x val="0.36260402449693779"/>
          <c:y val="3.9682466162317943E-2"/>
          <c:w val="0.2360323709536308"/>
          <c:h val="0.20838222428078837"/>
        </c:manualLayout>
      </c:layout>
      <c:overlay val="1"/>
      <c:spPr>
        <a:solidFill>
          <a:schemeClr val="bg1"/>
        </a:solidFill>
        <a:ln>
          <a:solidFill>
            <a:schemeClr val="tx1"/>
          </a:solidFill>
        </a:ln>
      </c:spPr>
      <c:txPr>
        <a:bodyPr/>
        <a:lstStyle/>
        <a:p>
          <a:pPr>
            <a:defRPr sz="1000">
              <a:latin typeface="Times New Roman" pitchFamily="18" charset="0"/>
              <a:cs typeface="Times New Roman" pitchFamily="18" charset="0"/>
            </a:defRPr>
          </a:pPr>
          <a:endParaRPr lang="en-US"/>
        </a:p>
      </c:txPr>
    </c:legend>
    <c:plotVisOnly val="1"/>
    <c:dispBlanksAs val="gap"/>
  </c:chart>
  <c:spPr>
    <a:ln>
      <a:solidFill>
        <a:sysClr val="windowText" lastClr="000000"/>
      </a:solidFill>
    </a:ln>
  </c:sp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1699438611840186"/>
          <c:y val="4.0204678362573076E-2"/>
          <c:w val="0.84133894721493152"/>
          <c:h val="0.80600652714463328"/>
        </c:manualLayout>
      </c:layout>
      <c:scatterChart>
        <c:scatterStyle val="smoothMarker"/>
        <c:ser>
          <c:idx val="0"/>
          <c:order val="0"/>
          <c:tx>
            <c:v>Calculated</c:v>
          </c:tx>
          <c:spPr>
            <a:ln w="19050">
              <a:solidFill>
                <a:srgbClr val="0000FF"/>
              </a:solidFill>
            </a:ln>
          </c:spPr>
          <c:marker>
            <c:spPr>
              <a:solidFill>
                <a:srgbClr val="0000FF"/>
              </a:solidFill>
            </c:spPr>
          </c:marker>
          <c:xVal>
            <c:numRef>
              <c:f>(results!$C$6,results!$C$9,results!$C$12,results!$C$15,results!$C$21,results!$C$24,results!$C$27)</c:f>
              <c:numCache>
                <c:formatCode>0.000</c:formatCode>
                <c:ptCount val="7"/>
                <c:pt idx="0">
                  <c:v>0.79385089441715562</c:v>
                </c:pt>
                <c:pt idx="1">
                  <c:v>1.0425685212418145</c:v>
                </c:pt>
                <c:pt idx="2">
                  <c:v>1.2054559455447855</c:v>
                </c:pt>
                <c:pt idx="3">
                  <c:v>1.2616457439956692</c:v>
                </c:pt>
                <c:pt idx="4">
                  <c:v>1.2032116811579112</c:v>
                </c:pt>
                <c:pt idx="5">
                  <c:v>1.0390018406945438</c:v>
                </c:pt>
                <c:pt idx="6">
                  <c:v>0.78970061974191486</c:v>
                </c:pt>
              </c:numCache>
            </c:numRef>
          </c:xVal>
          <c:yVal>
            <c:numRef>
              <c:f>(results!$C$42,results!$C$45,results!$C$48,results!$C$51,results!$C$57,results!$C$60,results!$C$63)</c:f>
              <c:numCache>
                <c:formatCode>General</c:formatCode>
                <c:ptCount val="7"/>
                <c:pt idx="0">
                  <c:v>19.05</c:v>
                </c:pt>
                <c:pt idx="1">
                  <c:v>12.7</c:v>
                </c:pt>
                <c:pt idx="2">
                  <c:v>6.35</c:v>
                </c:pt>
                <c:pt idx="3">
                  <c:v>0</c:v>
                </c:pt>
                <c:pt idx="4">
                  <c:v>-6.35</c:v>
                </c:pt>
                <c:pt idx="5">
                  <c:v>-12.7</c:v>
                </c:pt>
                <c:pt idx="6">
                  <c:v>-19.05</c:v>
                </c:pt>
              </c:numCache>
            </c:numRef>
          </c:yVal>
          <c:smooth val="1"/>
        </c:ser>
        <c:ser>
          <c:idx val="1"/>
          <c:order val="1"/>
          <c:tx>
            <c:v>Experimental</c:v>
          </c:tx>
          <c:spPr>
            <a:ln w="19050">
              <a:solidFill>
                <a:srgbClr val="FF0000"/>
              </a:solidFill>
            </a:ln>
          </c:spPr>
          <c:marker>
            <c:spPr>
              <a:solidFill>
                <a:srgbClr val="FF0000"/>
              </a:solidFill>
            </c:spPr>
          </c:marker>
          <c:errBars>
            <c:errDir val="x"/>
            <c:errBarType val="both"/>
            <c:errValType val="cust"/>
            <c:plus>
              <c:numRef>
                <c:f>(results!$F$6,results!$F$9,results!$F$12,results!$F$15,results!$F$21,results!$F$24,results!$F$27)</c:f>
                <c:numCache>
                  <c:formatCode>General</c:formatCode>
                  <c:ptCount val="7"/>
                  <c:pt idx="0">
                    <c:v>5.4447222151364182E-2</c:v>
                  </c:pt>
                  <c:pt idx="1">
                    <c:v>7.4246212024587518E-2</c:v>
                  </c:pt>
                  <c:pt idx="2">
                    <c:v>8.6267027304758812E-2</c:v>
                  </c:pt>
                  <c:pt idx="3">
                    <c:v>9.0509667991878248E-2</c:v>
                  </c:pt>
                  <c:pt idx="4">
                    <c:v>8.6267027304758812E-2</c:v>
                  </c:pt>
                  <c:pt idx="5">
                    <c:v>7.4953318805774063E-2</c:v>
                  </c:pt>
                  <c:pt idx="6">
                    <c:v>5.1618795026617981E-2</c:v>
                  </c:pt>
                </c:numCache>
              </c:numRef>
            </c:plus>
            <c:minus>
              <c:numRef>
                <c:f>(results!$F$6,results!$F$9,results!$F$12,results!$F$15,results!$F$21,results!$F$24,results!$F$27)</c:f>
                <c:numCache>
                  <c:formatCode>General</c:formatCode>
                  <c:ptCount val="7"/>
                  <c:pt idx="0">
                    <c:v>5.4447222151364182E-2</c:v>
                  </c:pt>
                  <c:pt idx="1">
                    <c:v>7.4246212024587518E-2</c:v>
                  </c:pt>
                  <c:pt idx="2">
                    <c:v>8.6267027304758812E-2</c:v>
                  </c:pt>
                  <c:pt idx="3">
                    <c:v>9.0509667991878248E-2</c:v>
                  </c:pt>
                  <c:pt idx="4">
                    <c:v>8.6267027304758812E-2</c:v>
                  </c:pt>
                  <c:pt idx="5">
                    <c:v>7.4953318805774063E-2</c:v>
                  </c:pt>
                  <c:pt idx="6">
                    <c:v>5.1618795026617981E-2</c:v>
                  </c:pt>
                </c:numCache>
              </c:numRef>
            </c:minus>
            <c:spPr>
              <a:ln>
                <a:solidFill>
                  <a:srgbClr val="FF0000"/>
                </a:solidFill>
              </a:ln>
            </c:spPr>
          </c:errBars>
          <c:xVal>
            <c:numRef>
              <c:f>(results!$E$6,results!$E$9,results!$E$12,results!$E$15,results!$E$21,results!$E$24,results!$E$27)</c:f>
              <c:numCache>
                <c:formatCode>0.000</c:formatCode>
                <c:ptCount val="7"/>
                <c:pt idx="0">
                  <c:v>0.77000000000000679</c:v>
                </c:pt>
                <c:pt idx="1">
                  <c:v>1.05</c:v>
                </c:pt>
                <c:pt idx="2">
                  <c:v>1.22</c:v>
                </c:pt>
                <c:pt idx="3">
                  <c:v>1.28</c:v>
                </c:pt>
                <c:pt idx="4">
                  <c:v>1.22</c:v>
                </c:pt>
                <c:pt idx="5">
                  <c:v>1.06</c:v>
                </c:pt>
                <c:pt idx="6">
                  <c:v>0.73000000000000065</c:v>
                </c:pt>
              </c:numCache>
            </c:numRef>
          </c:xVal>
          <c:yVal>
            <c:numRef>
              <c:f>(results!$C$42,results!$C$45,results!$C$48,results!$C$51,results!$C$57,results!$C$60,results!$C$63)</c:f>
              <c:numCache>
                <c:formatCode>General</c:formatCode>
                <c:ptCount val="7"/>
                <c:pt idx="0">
                  <c:v>19.05</c:v>
                </c:pt>
                <c:pt idx="1">
                  <c:v>12.7</c:v>
                </c:pt>
                <c:pt idx="2">
                  <c:v>6.35</c:v>
                </c:pt>
                <c:pt idx="3">
                  <c:v>0</c:v>
                </c:pt>
                <c:pt idx="4">
                  <c:v>-6.35</c:v>
                </c:pt>
                <c:pt idx="5">
                  <c:v>-12.7</c:v>
                </c:pt>
                <c:pt idx="6">
                  <c:v>-19.05</c:v>
                </c:pt>
              </c:numCache>
            </c:numRef>
          </c:yVal>
          <c:smooth val="1"/>
        </c:ser>
        <c:axId val="126759296"/>
        <c:axId val="126761216"/>
      </c:scatterChart>
      <c:valAx>
        <c:axId val="126759296"/>
        <c:scaling>
          <c:orientation val="minMax"/>
          <c:max val="1.4000000000000019"/>
          <c:min val="0.65000000000000935"/>
        </c:scaling>
        <c:axPos val="b"/>
        <c:majorGridlines>
          <c:spPr>
            <a:ln>
              <a:solidFill>
                <a:sysClr val="windowText" lastClr="000000"/>
              </a:solidFill>
            </a:ln>
          </c:spPr>
        </c:majorGridlines>
        <c:title>
          <c:tx>
            <c:rich>
              <a:bodyPr/>
              <a:lstStyle/>
              <a:p>
                <a:pPr>
                  <a:defRPr sz="1000"/>
                </a:pPr>
                <a:r>
                  <a:rPr lang="en-US" sz="1000">
                    <a:latin typeface="Times New Roman" pitchFamily="18" charset="0"/>
                    <a:cs typeface="Times New Roman" pitchFamily="18" charset="0"/>
                  </a:rPr>
                  <a:t>Relative Power Distribution</a:t>
                </a:r>
              </a:p>
            </c:rich>
          </c:tx>
          <c:layout>
            <c:manualLayout>
              <c:xMode val="edge"/>
              <c:yMode val="edge"/>
              <c:x val="0.39456838728492583"/>
              <c:y val="0.94474547589446289"/>
            </c:manualLayout>
          </c:layout>
        </c:title>
        <c:numFmt formatCode="0.00" sourceLinked="0"/>
        <c:majorTickMark val="cross"/>
        <c:tickLblPos val="low"/>
        <c:spPr>
          <a:ln>
            <a:solidFill>
              <a:sysClr val="windowText" lastClr="000000"/>
            </a:solidFill>
          </a:ln>
        </c:spPr>
        <c:txPr>
          <a:bodyPr/>
          <a:lstStyle/>
          <a:p>
            <a:pPr>
              <a:defRPr sz="800" b="1">
                <a:latin typeface="Times New Roman" pitchFamily="18" charset="0"/>
                <a:cs typeface="Times New Roman" pitchFamily="18" charset="0"/>
              </a:defRPr>
            </a:pPr>
            <a:endParaRPr lang="en-US"/>
          </a:p>
        </c:txPr>
        <c:crossAx val="126761216"/>
        <c:crosses val="autoZero"/>
        <c:crossBetween val="midCat"/>
        <c:majorUnit val="0.05"/>
      </c:valAx>
      <c:valAx>
        <c:axId val="126761216"/>
        <c:scaling>
          <c:orientation val="minMax"/>
          <c:max val="21"/>
          <c:min val="-21"/>
        </c:scaling>
        <c:axPos val="l"/>
        <c:majorGridlines>
          <c:spPr>
            <a:ln>
              <a:solidFill>
                <a:sysClr val="windowText" lastClr="000000"/>
              </a:solidFill>
            </a:ln>
          </c:spPr>
        </c:majorGridlines>
        <c:title>
          <c:tx>
            <c:rich>
              <a:bodyPr rot="-5400000" vert="horz"/>
              <a:lstStyle/>
              <a:p>
                <a:pPr>
                  <a:defRPr sz="1000"/>
                </a:pPr>
                <a:r>
                  <a:rPr lang="en-US" sz="1000">
                    <a:latin typeface="Times New Roman" pitchFamily="18" charset="0"/>
                    <a:cs typeface="Times New Roman" pitchFamily="18" charset="0"/>
                  </a:rPr>
                  <a:t>Distance From Horizontal Midplane (cm)</a:t>
                </a:r>
              </a:p>
            </c:rich>
          </c:tx>
        </c:title>
        <c:numFmt formatCode="General" sourceLinked="1"/>
        <c:majorTickMark val="none"/>
        <c:tickLblPos val="nextTo"/>
        <c:spPr>
          <a:ln>
            <a:solidFill>
              <a:schemeClr val="tx1"/>
            </a:solidFill>
          </a:ln>
        </c:spPr>
        <c:txPr>
          <a:bodyPr/>
          <a:lstStyle/>
          <a:p>
            <a:pPr>
              <a:defRPr sz="800" b="1">
                <a:latin typeface="Times New Roman" pitchFamily="18" charset="0"/>
                <a:cs typeface="Times New Roman" pitchFamily="18" charset="0"/>
              </a:defRPr>
            </a:pPr>
            <a:endParaRPr lang="en-US"/>
          </a:p>
        </c:txPr>
        <c:crossAx val="126759296"/>
        <c:crosses val="autoZero"/>
        <c:crossBetween val="midCat"/>
        <c:majorUnit val="3"/>
      </c:valAx>
    </c:plotArea>
    <c:legend>
      <c:legendPos val="r"/>
      <c:legendEntry>
        <c:idx val="0"/>
        <c:txPr>
          <a:bodyPr/>
          <a:lstStyle/>
          <a:p>
            <a:pPr>
              <a:defRPr sz="1000">
                <a:latin typeface="Times New Roman" pitchFamily="18" charset="0"/>
                <a:cs typeface="Times New Roman" pitchFamily="18" charset="0"/>
              </a:defRPr>
            </a:pPr>
            <a:endParaRPr lang="en-US"/>
          </a:p>
        </c:txPr>
      </c:legendEntry>
      <c:legendEntry>
        <c:idx val="1"/>
        <c:txPr>
          <a:bodyPr/>
          <a:lstStyle/>
          <a:p>
            <a:pPr>
              <a:defRPr sz="1000">
                <a:latin typeface="Times New Roman" pitchFamily="18" charset="0"/>
                <a:cs typeface="Times New Roman" pitchFamily="18" charset="0"/>
              </a:defRPr>
            </a:pPr>
            <a:endParaRPr lang="en-US"/>
          </a:p>
        </c:txPr>
      </c:legendEntry>
      <c:layout>
        <c:manualLayout>
          <c:xMode val="edge"/>
          <c:yMode val="edge"/>
          <c:x val="0.16626071741032394"/>
          <c:y val="0.38282177963049407"/>
          <c:w val="0.22263651939340912"/>
          <c:h val="0.13796161992908768"/>
        </c:manualLayout>
      </c:layout>
      <c:overlay val="1"/>
      <c:spPr>
        <a:solidFill>
          <a:sysClr val="window" lastClr="FFFFFF"/>
        </a:solidFill>
        <a:ln>
          <a:solidFill>
            <a:sysClr val="windowText" lastClr="000000"/>
          </a:solidFill>
        </a:ln>
      </c:spPr>
      <c:txPr>
        <a:bodyPr/>
        <a:lstStyle/>
        <a:p>
          <a:pPr>
            <a:defRPr sz="1000">
              <a:latin typeface="Times New Roman" pitchFamily="18" charset="0"/>
              <a:cs typeface="Times New Roman" pitchFamily="18" charset="0"/>
            </a:defRPr>
          </a:pPr>
          <a:endParaRPr lang="en-US"/>
        </a:p>
      </c:txPr>
    </c:legend>
    <c:plotVisOnly val="1"/>
    <c:dispBlanksAs val="gap"/>
  </c:chart>
  <c:spPr>
    <a:ln>
      <a:solidFill>
        <a:sysClr val="windowText" lastClr="000000"/>
      </a:solidFill>
    </a:ln>
  </c:sp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1699438611840186"/>
          <c:y val="4.0204678362573076E-2"/>
          <c:w val="0.84133894721493152"/>
          <c:h val="0.82062641018557281"/>
        </c:manualLayout>
      </c:layout>
      <c:scatterChart>
        <c:scatterStyle val="smoothMarker"/>
        <c:ser>
          <c:idx val="0"/>
          <c:order val="0"/>
          <c:tx>
            <c:v>Calculated</c:v>
          </c:tx>
          <c:spPr>
            <a:ln w="19050">
              <a:solidFill>
                <a:srgbClr val="0000FF"/>
              </a:solidFill>
            </a:ln>
          </c:spPr>
          <c:marker>
            <c:spPr>
              <a:solidFill>
                <a:srgbClr val="0000FF"/>
              </a:solidFill>
            </c:spPr>
          </c:marker>
          <c:xVal>
            <c:numRef>
              <c:f>(results!$C$4:$C$5,results!$C$7,results!$C$10,results!$C$13,results!$C$18,results!$C$22,results!$C$25,results!$C$28,results!$C$30:$C$31)</c:f>
              <c:numCache>
                <c:formatCode>0.000</c:formatCode>
                <c:ptCount val="11"/>
                <c:pt idx="0">
                  <c:v>0.58954721703022739</c:v>
                </c:pt>
                <c:pt idx="1">
                  <c:v>0.51315808919891859</c:v>
                </c:pt>
                <c:pt idx="2">
                  <c:v>0.63624313060463811</c:v>
                </c:pt>
                <c:pt idx="3">
                  <c:v>0.84200133173378355</c:v>
                </c:pt>
                <c:pt idx="4">
                  <c:v>0.97232009014152065</c:v>
                </c:pt>
                <c:pt idx="5">
                  <c:v>1.0192370555667061</c:v>
                </c:pt>
                <c:pt idx="6">
                  <c:v>0.97126170208566986</c:v>
                </c:pt>
                <c:pt idx="7">
                  <c:v>0.84773620048574794</c:v>
                </c:pt>
                <c:pt idx="8">
                  <c:v>0.6362618943775995</c:v>
                </c:pt>
                <c:pt idx="9">
                  <c:v>0.51137616406573139</c:v>
                </c:pt>
                <c:pt idx="10">
                  <c:v>0.59106766923259957</c:v>
                </c:pt>
              </c:numCache>
            </c:numRef>
          </c:xVal>
          <c:yVal>
            <c:numRef>
              <c:f>(results!$C$40:$C$41,results!$C$43,results!$C$46,results!$C$49,results!$C$54,results!$C$58,results!$C$61,results!$C$64,results!$C$66:$C$67)</c:f>
              <c:numCache>
                <c:formatCode>General</c:formatCode>
                <c:ptCount val="11"/>
                <c:pt idx="0">
                  <c:v>24.739599999999989</c:v>
                </c:pt>
                <c:pt idx="1">
                  <c:v>22.86</c:v>
                </c:pt>
                <c:pt idx="2">
                  <c:v>19.05</c:v>
                </c:pt>
                <c:pt idx="3">
                  <c:v>12.7</c:v>
                </c:pt>
                <c:pt idx="4">
                  <c:v>6.35</c:v>
                </c:pt>
                <c:pt idx="5">
                  <c:v>0</c:v>
                </c:pt>
                <c:pt idx="6">
                  <c:v>-6.35</c:v>
                </c:pt>
                <c:pt idx="7">
                  <c:v>-12.7</c:v>
                </c:pt>
                <c:pt idx="8">
                  <c:v>-19.05</c:v>
                </c:pt>
                <c:pt idx="9">
                  <c:v>-22.86</c:v>
                </c:pt>
                <c:pt idx="10">
                  <c:v>-24.739599999999989</c:v>
                </c:pt>
              </c:numCache>
            </c:numRef>
          </c:yVal>
          <c:smooth val="1"/>
        </c:ser>
        <c:ser>
          <c:idx val="1"/>
          <c:order val="1"/>
          <c:tx>
            <c:v>Experimental</c:v>
          </c:tx>
          <c:spPr>
            <a:ln w="19050">
              <a:solidFill>
                <a:srgbClr val="FF0000"/>
              </a:solidFill>
            </a:ln>
          </c:spPr>
          <c:marker>
            <c:spPr>
              <a:solidFill>
                <a:srgbClr val="FF0000"/>
              </a:solidFill>
            </c:spPr>
          </c:marker>
          <c:errBars>
            <c:errDir val="x"/>
            <c:errBarType val="both"/>
            <c:errValType val="cust"/>
            <c:plus>
              <c:numRef>
                <c:f>(results!$F$4:$F$5,results!$F$7,results!$F$10,results!$F$13,results!$F$18,results!$F$22,results!$F$25,results!$F$28,results!$F$30:$F$31)</c:f>
                <c:numCache>
                  <c:formatCode>General</c:formatCode>
                  <c:ptCount val="11"/>
                  <c:pt idx="0">
                    <c:v>4.7376154339498933E-2</c:v>
                  </c:pt>
                  <c:pt idx="1">
                    <c:v>3.6062445840513956E-2</c:v>
                  </c:pt>
                  <c:pt idx="2">
                    <c:v>4.3133513652379406E-2</c:v>
                  </c:pt>
                  <c:pt idx="3">
                    <c:v>5.7275649276110362E-2</c:v>
                  </c:pt>
                  <c:pt idx="4">
                    <c:v>6.7882250993909432E-2</c:v>
                  </c:pt>
                  <c:pt idx="5">
                    <c:v>7.1417784899842546E-2</c:v>
                  </c:pt>
                  <c:pt idx="6">
                    <c:v>6.7882250993909432E-2</c:v>
                  </c:pt>
                  <c:pt idx="7">
                    <c:v>5.8689862838483452E-2</c:v>
                  </c:pt>
                  <c:pt idx="8">
                    <c:v>4.4547727214752503E-2</c:v>
                  </c:pt>
                  <c:pt idx="9">
                    <c:v>3.7476659402887032E-2</c:v>
                  </c:pt>
                  <c:pt idx="10">
                    <c:v>4.3133513652379406E-2</c:v>
                  </c:pt>
                </c:numCache>
              </c:numRef>
            </c:plus>
            <c:minus>
              <c:numRef>
                <c:f>(results!$F$4:$F$5,results!$F$7,results!$F$10,results!$F$13,results!$F$18,results!$F$22,results!$F$25,results!$F$28,results!$F$30:$F$31)</c:f>
                <c:numCache>
                  <c:formatCode>General</c:formatCode>
                  <c:ptCount val="11"/>
                  <c:pt idx="0">
                    <c:v>4.7376154339498933E-2</c:v>
                  </c:pt>
                  <c:pt idx="1">
                    <c:v>3.6062445840513956E-2</c:v>
                  </c:pt>
                  <c:pt idx="2">
                    <c:v>4.3133513652379406E-2</c:v>
                  </c:pt>
                  <c:pt idx="3">
                    <c:v>5.7275649276110362E-2</c:v>
                  </c:pt>
                  <c:pt idx="4">
                    <c:v>6.7882250993909432E-2</c:v>
                  </c:pt>
                  <c:pt idx="5">
                    <c:v>7.1417784899842546E-2</c:v>
                  </c:pt>
                  <c:pt idx="6">
                    <c:v>6.7882250993909432E-2</c:v>
                  </c:pt>
                  <c:pt idx="7">
                    <c:v>5.8689862838483452E-2</c:v>
                  </c:pt>
                  <c:pt idx="8">
                    <c:v>4.4547727214752503E-2</c:v>
                  </c:pt>
                  <c:pt idx="9">
                    <c:v>3.7476659402887032E-2</c:v>
                  </c:pt>
                  <c:pt idx="10">
                    <c:v>4.3133513652379406E-2</c:v>
                  </c:pt>
                </c:numCache>
              </c:numRef>
            </c:minus>
            <c:spPr>
              <a:ln>
                <a:solidFill>
                  <a:srgbClr val="FF0000"/>
                </a:solidFill>
              </a:ln>
            </c:spPr>
          </c:errBars>
          <c:xVal>
            <c:numRef>
              <c:f>(results!$E$4:$E$5,results!$E$7,results!$E$10,results!$E$13,results!$E$18,results!$E$22,results!$E$25,results!$E$28,results!$E$30:$E$31)</c:f>
              <c:numCache>
                <c:formatCode>0.000</c:formatCode>
                <c:ptCount val="11"/>
                <c:pt idx="0">
                  <c:v>0.67000000000000781</c:v>
                </c:pt>
                <c:pt idx="1">
                  <c:v>0.51</c:v>
                </c:pt>
                <c:pt idx="2">
                  <c:v>0.61000000000000065</c:v>
                </c:pt>
                <c:pt idx="3">
                  <c:v>0.81</c:v>
                </c:pt>
                <c:pt idx="4">
                  <c:v>0.96000000000000063</c:v>
                </c:pt>
                <c:pt idx="5">
                  <c:v>1.01</c:v>
                </c:pt>
                <c:pt idx="6">
                  <c:v>0.96000000000000063</c:v>
                </c:pt>
                <c:pt idx="7">
                  <c:v>0.83000000000000063</c:v>
                </c:pt>
                <c:pt idx="8">
                  <c:v>0.63000000000000667</c:v>
                </c:pt>
                <c:pt idx="9">
                  <c:v>0.53</c:v>
                </c:pt>
                <c:pt idx="10">
                  <c:v>0.61000000000000065</c:v>
                </c:pt>
              </c:numCache>
            </c:numRef>
          </c:xVal>
          <c:yVal>
            <c:numRef>
              <c:f>(results!$C$40:$C$41,results!$C$43,results!$C$46,results!$C$49,results!$C$54,results!$C$58,results!$C$61,results!$C$64,results!$C$66:$C$67)</c:f>
              <c:numCache>
                <c:formatCode>General</c:formatCode>
                <c:ptCount val="11"/>
                <c:pt idx="0">
                  <c:v>24.739599999999989</c:v>
                </c:pt>
                <c:pt idx="1">
                  <c:v>22.86</c:v>
                </c:pt>
                <c:pt idx="2">
                  <c:v>19.05</c:v>
                </c:pt>
                <c:pt idx="3">
                  <c:v>12.7</c:v>
                </c:pt>
                <c:pt idx="4">
                  <c:v>6.35</c:v>
                </c:pt>
                <c:pt idx="5">
                  <c:v>0</c:v>
                </c:pt>
                <c:pt idx="6">
                  <c:v>-6.35</c:v>
                </c:pt>
                <c:pt idx="7">
                  <c:v>-12.7</c:v>
                </c:pt>
                <c:pt idx="8">
                  <c:v>-19.05</c:v>
                </c:pt>
                <c:pt idx="9">
                  <c:v>-22.86</c:v>
                </c:pt>
                <c:pt idx="10">
                  <c:v>-24.739599999999989</c:v>
                </c:pt>
              </c:numCache>
            </c:numRef>
          </c:yVal>
          <c:smooth val="1"/>
        </c:ser>
        <c:axId val="126775296"/>
        <c:axId val="126777216"/>
      </c:scatterChart>
      <c:valAx>
        <c:axId val="126775296"/>
        <c:scaling>
          <c:orientation val="minMax"/>
          <c:max val="1.1000000000000001"/>
          <c:min val="0.45"/>
        </c:scaling>
        <c:axPos val="b"/>
        <c:majorGridlines>
          <c:spPr>
            <a:ln>
              <a:solidFill>
                <a:sysClr val="windowText" lastClr="000000"/>
              </a:solidFill>
            </a:ln>
          </c:spPr>
        </c:majorGridlines>
        <c:title>
          <c:tx>
            <c:rich>
              <a:bodyPr/>
              <a:lstStyle/>
              <a:p>
                <a:pPr>
                  <a:defRPr sz="1000"/>
                </a:pPr>
                <a:r>
                  <a:rPr lang="en-US" sz="1000">
                    <a:latin typeface="Times New Roman" pitchFamily="18" charset="0"/>
                    <a:cs typeface="Times New Roman" pitchFamily="18" charset="0"/>
                  </a:rPr>
                  <a:t>Relative Power Distribution</a:t>
                </a:r>
              </a:p>
            </c:rich>
          </c:tx>
          <c:layout>
            <c:manualLayout>
              <c:xMode val="edge"/>
              <c:yMode val="edge"/>
              <c:x val="0.3901753426655003"/>
              <c:y val="0.94700292397660757"/>
            </c:manualLayout>
          </c:layout>
        </c:title>
        <c:numFmt formatCode="0.00" sourceLinked="0"/>
        <c:tickLblPos val="low"/>
        <c:spPr>
          <a:ln>
            <a:solidFill>
              <a:sysClr val="windowText" lastClr="000000"/>
            </a:solidFill>
          </a:ln>
        </c:spPr>
        <c:txPr>
          <a:bodyPr/>
          <a:lstStyle/>
          <a:p>
            <a:pPr>
              <a:defRPr sz="800" b="1">
                <a:latin typeface="Times New Roman" pitchFamily="18" charset="0"/>
                <a:cs typeface="Times New Roman" pitchFamily="18" charset="0"/>
              </a:defRPr>
            </a:pPr>
            <a:endParaRPr lang="en-US"/>
          </a:p>
        </c:txPr>
        <c:crossAx val="126777216"/>
        <c:crosses val="autoZero"/>
        <c:crossBetween val="midCat"/>
        <c:majorUnit val="0.05"/>
      </c:valAx>
      <c:valAx>
        <c:axId val="126777216"/>
        <c:scaling>
          <c:orientation val="minMax"/>
          <c:max val="27"/>
          <c:min val="-27"/>
        </c:scaling>
        <c:axPos val="l"/>
        <c:majorGridlines>
          <c:spPr>
            <a:ln>
              <a:solidFill>
                <a:schemeClr val="tx1"/>
              </a:solidFill>
            </a:ln>
          </c:spPr>
        </c:majorGridlines>
        <c:title>
          <c:tx>
            <c:rich>
              <a:bodyPr rot="-5400000" vert="horz"/>
              <a:lstStyle/>
              <a:p>
                <a:pPr>
                  <a:defRPr sz="1000"/>
                </a:pPr>
                <a:r>
                  <a:rPr lang="en-US" sz="1000">
                    <a:latin typeface="Times New Roman" pitchFamily="18" charset="0"/>
                    <a:cs typeface="Times New Roman" pitchFamily="18" charset="0"/>
                  </a:rPr>
                  <a:t>Distance From Horizontal</a:t>
                </a:r>
                <a:r>
                  <a:rPr lang="en-US" sz="1000" baseline="0">
                    <a:latin typeface="Times New Roman" pitchFamily="18" charset="0"/>
                    <a:cs typeface="Times New Roman" pitchFamily="18" charset="0"/>
                  </a:rPr>
                  <a:t> Midplane (cm)</a:t>
                </a:r>
                <a:endParaRPr lang="en-US" sz="1000">
                  <a:latin typeface="Times New Roman" pitchFamily="18" charset="0"/>
                  <a:cs typeface="Times New Roman" pitchFamily="18" charset="0"/>
                </a:endParaRPr>
              </a:p>
            </c:rich>
          </c:tx>
        </c:title>
        <c:numFmt formatCode="General" sourceLinked="1"/>
        <c:majorTickMark val="none"/>
        <c:tickLblPos val="nextTo"/>
        <c:spPr>
          <a:ln>
            <a:solidFill>
              <a:sysClr val="windowText" lastClr="000000"/>
            </a:solidFill>
          </a:ln>
        </c:spPr>
        <c:txPr>
          <a:bodyPr/>
          <a:lstStyle/>
          <a:p>
            <a:pPr>
              <a:defRPr sz="800" b="1">
                <a:latin typeface="Times New Roman" pitchFamily="18" charset="0"/>
                <a:cs typeface="Times New Roman" pitchFamily="18" charset="0"/>
              </a:defRPr>
            </a:pPr>
            <a:endParaRPr lang="en-US"/>
          </a:p>
        </c:txPr>
        <c:crossAx val="126775296"/>
        <c:crosses val="autoZero"/>
        <c:crossBetween val="midCat"/>
        <c:majorUnit val="3"/>
      </c:valAx>
    </c:plotArea>
    <c:legend>
      <c:legendPos val="r"/>
      <c:legendEntry>
        <c:idx val="0"/>
        <c:txPr>
          <a:bodyPr/>
          <a:lstStyle/>
          <a:p>
            <a:pPr>
              <a:defRPr sz="1000">
                <a:latin typeface="Times New Roman" pitchFamily="18" charset="0"/>
                <a:cs typeface="Times New Roman" pitchFamily="18" charset="0"/>
              </a:defRPr>
            </a:pPr>
            <a:endParaRPr lang="en-US"/>
          </a:p>
        </c:txPr>
      </c:legendEntry>
      <c:legendEntry>
        <c:idx val="1"/>
        <c:txPr>
          <a:bodyPr/>
          <a:lstStyle/>
          <a:p>
            <a:pPr>
              <a:defRPr sz="1000">
                <a:latin typeface="Times New Roman" pitchFamily="18" charset="0"/>
                <a:cs typeface="Times New Roman" pitchFamily="18" charset="0"/>
              </a:defRPr>
            </a:pPr>
            <a:endParaRPr lang="en-US"/>
          </a:p>
        </c:txPr>
      </c:legendEntry>
      <c:layout>
        <c:manualLayout>
          <c:xMode val="edge"/>
          <c:yMode val="edge"/>
          <c:x val="0.17575573053368329"/>
          <c:y val="0.3906837013020521"/>
          <c:w val="0.21745133420822482"/>
          <c:h val="0.12526102822673482"/>
        </c:manualLayout>
      </c:layout>
      <c:overlay val="1"/>
      <c:spPr>
        <a:solidFill>
          <a:sysClr val="window" lastClr="FFFFFF"/>
        </a:solidFill>
        <a:ln>
          <a:solidFill>
            <a:sysClr val="windowText" lastClr="000000"/>
          </a:solidFill>
        </a:ln>
      </c:spPr>
      <c:txPr>
        <a:bodyPr/>
        <a:lstStyle/>
        <a:p>
          <a:pPr>
            <a:defRPr sz="1000">
              <a:latin typeface="Times New Roman" pitchFamily="18" charset="0"/>
              <a:cs typeface="Times New Roman" pitchFamily="18" charset="0"/>
            </a:defRPr>
          </a:pPr>
          <a:endParaRPr lang="en-US"/>
        </a:p>
      </c:txPr>
    </c:legend>
    <c:plotVisOnly val="1"/>
    <c:dispBlanksAs val="gap"/>
  </c:chart>
  <c:spPr>
    <a:noFill/>
    <a:ln>
      <a:solidFill>
        <a:sysClr val="windowText" lastClr="000000"/>
      </a:solidFill>
    </a:ln>
  </c:sp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1699438611840186"/>
          <c:y val="4.0204678362573076E-2"/>
          <c:w val="0.84133894721493152"/>
          <c:h val="0.80966149790486763"/>
        </c:manualLayout>
      </c:layout>
      <c:scatterChart>
        <c:scatterStyle val="smoothMarker"/>
        <c:ser>
          <c:idx val="0"/>
          <c:order val="0"/>
          <c:tx>
            <c:v>Calculated</c:v>
          </c:tx>
          <c:spPr>
            <a:ln w="19050">
              <a:solidFill>
                <a:srgbClr val="0000FF"/>
              </a:solidFill>
            </a:ln>
          </c:spPr>
          <c:marker>
            <c:spPr>
              <a:solidFill>
                <a:srgbClr val="0000FF"/>
              </a:solidFill>
            </c:spPr>
          </c:marker>
          <c:xVal>
            <c:numRef>
              <c:f>(results!$C$8,results!$C$11,results!$C$14,results!$C$20,results!$C$23,results!$C$26,results!$C$29)</c:f>
              <c:numCache>
                <c:formatCode>0.000</c:formatCode>
                <c:ptCount val="7"/>
                <c:pt idx="0">
                  <c:v>0.71109421290675878</c:v>
                </c:pt>
                <c:pt idx="1">
                  <c:v>0.94120120544151165</c:v>
                </c:pt>
                <c:pt idx="2">
                  <c:v>1.093274579296176</c:v>
                </c:pt>
                <c:pt idx="3">
                  <c:v>1.1430424490120661</c:v>
                </c:pt>
                <c:pt idx="4">
                  <c:v>1.0902732862700186</c:v>
                </c:pt>
                <c:pt idx="5">
                  <c:v>0.9410307748732395</c:v>
                </c:pt>
                <c:pt idx="6">
                  <c:v>0.71135575415618146</c:v>
                </c:pt>
              </c:numCache>
            </c:numRef>
          </c:xVal>
          <c:yVal>
            <c:numRef>
              <c:f>(results!$C$44,results!$C$47,results!$C$50,results!$C$56,results!$C$59,results!$C$62,results!$C$65)</c:f>
              <c:numCache>
                <c:formatCode>General</c:formatCode>
                <c:ptCount val="7"/>
                <c:pt idx="0">
                  <c:v>19.05</c:v>
                </c:pt>
                <c:pt idx="1">
                  <c:v>12.7</c:v>
                </c:pt>
                <c:pt idx="2">
                  <c:v>6.35</c:v>
                </c:pt>
                <c:pt idx="3">
                  <c:v>0</c:v>
                </c:pt>
                <c:pt idx="4">
                  <c:v>-6.35</c:v>
                </c:pt>
                <c:pt idx="5">
                  <c:v>-12.7</c:v>
                </c:pt>
                <c:pt idx="6">
                  <c:v>-19.05</c:v>
                </c:pt>
              </c:numCache>
            </c:numRef>
          </c:yVal>
          <c:smooth val="1"/>
        </c:ser>
        <c:ser>
          <c:idx val="1"/>
          <c:order val="1"/>
          <c:tx>
            <c:v>Experimental</c:v>
          </c:tx>
          <c:spPr>
            <a:ln w="19050">
              <a:solidFill>
                <a:srgbClr val="FF0000"/>
              </a:solidFill>
            </a:ln>
          </c:spPr>
          <c:marker>
            <c:spPr>
              <a:solidFill>
                <a:srgbClr val="FF0000"/>
              </a:solidFill>
            </c:spPr>
          </c:marker>
          <c:errBars>
            <c:errDir val="x"/>
            <c:errBarType val="both"/>
            <c:errValType val="cust"/>
            <c:plus>
              <c:numRef>
                <c:f>(results!$F$8,results!$F$11,results!$F$14,results!$F$20,results!$F$23,results!$F$26,results!$F$29)</c:f>
                <c:numCache>
                  <c:formatCode>General</c:formatCode>
                  <c:ptCount val="7"/>
                  <c:pt idx="0">
                    <c:v>4.7376154339498933E-2</c:v>
                  </c:pt>
                  <c:pt idx="1">
                    <c:v>4.8790367901872023E-2</c:v>
                  </c:pt>
                  <c:pt idx="2">
                    <c:v>7.2831998462214415E-2</c:v>
                  </c:pt>
                  <c:pt idx="3">
                    <c:v>7.6367532368147154E-2</c:v>
                  </c:pt>
                  <c:pt idx="4">
                    <c:v>7.4246212024587518E-2</c:v>
                  </c:pt>
                  <c:pt idx="5">
                    <c:v>6.4346717087975833E-2</c:v>
                  </c:pt>
                  <c:pt idx="6">
                    <c:v>4.8083261120685512E-2</c:v>
                  </c:pt>
                </c:numCache>
              </c:numRef>
            </c:plus>
            <c:minus>
              <c:numRef>
                <c:f>(results!$F$8,results!$F$11,results!$F$14,results!$F$20,results!$F$23,results!$F$26,results!$F$29)</c:f>
                <c:numCache>
                  <c:formatCode>General</c:formatCode>
                  <c:ptCount val="7"/>
                  <c:pt idx="0">
                    <c:v>4.7376154339498933E-2</c:v>
                  </c:pt>
                  <c:pt idx="1">
                    <c:v>4.8790367901872023E-2</c:v>
                  </c:pt>
                  <c:pt idx="2">
                    <c:v>7.2831998462214415E-2</c:v>
                  </c:pt>
                  <c:pt idx="3">
                    <c:v>7.6367532368147154E-2</c:v>
                  </c:pt>
                  <c:pt idx="4">
                    <c:v>7.4246212024587518E-2</c:v>
                  </c:pt>
                  <c:pt idx="5">
                    <c:v>6.4346717087975833E-2</c:v>
                  </c:pt>
                  <c:pt idx="6">
                    <c:v>4.8083261120685512E-2</c:v>
                  </c:pt>
                </c:numCache>
              </c:numRef>
            </c:minus>
            <c:spPr>
              <a:ln>
                <a:solidFill>
                  <a:srgbClr val="FF0000"/>
                </a:solidFill>
              </a:ln>
            </c:spPr>
          </c:errBars>
          <c:xVal>
            <c:numRef>
              <c:f>(results!$E$8,results!$E$11,results!$E$14,results!$E$20,results!$E$23,results!$E$26,results!$E$29)</c:f>
              <c:numCache>
                <c:formatCode>0.000</c:formatCode>
                <c:ptCount val="7"/>
                <c:pt idx="0">
                  <c:v>0.67000000000000781</c:v>
                </c:pt>
                <c:pt idx="1">
                  <c:v>0.69000000000000061</c:v>
                </c:pt>
                <c:pt idx="2">
                  <c:v>1.03</c:v>
                </c:pt>
                <c:pt idx="3">
                  <c:v>1.08</c:v>
                </c:pt>
                <c:pt idx="4">
                  <c:v>1.05</c:v>
                </c:pt>
                <c:pt idx="5">
                  <c:v>0.91</c:v>
                </c:pt>
                <c:pt idx="6">
                  <c:v>0.68</c:v>
                </c:pt>
              </c:numCache>
            </c:numRef>
          </c:xVal>
          <c:yVal>
            <c:numRef>
              <c:f>(results!$C$44,results!$C$47,results!$C$50,results!$C$56,results!$C$59,results!$C$62,results!$C$65)</c:f>
              <c:numCache>
                <c:formatCode>General</c:formatCode>
                <c:ptCount val="7"/>
                <c:pt idx="0">
                  <c:v>19.05</c:v>
                </c:pt>
                <c:pt idx="1">
                  <c:v>12.7</c:v>
                </c:pt>
                <c:pt idx="2">
                  <c:v>6.35</c:v>
                </c:pt>
                <c:pt idx="3">
                  <c:v>0</c:v>
                </c:pt>
                <c:pt idx="4">
                  <c:v>-6.35</c:v>
                </c:pt>
                <c:pt idx="5">
                  <c:v>-12.7</c:v>
                </c:pt>
                <c:pt idx="6">
                  <c:v>-19.05</c:v>
                </c:pt>
              </c:numCache>
            </c:numRef>
          </c:yVal>
          <c:smooth val="1"/>
        </c:ser>
        <c:axId val="126795136"/>
        <c:axId val="126797312"/>
      </c:scatterChart>
      <c:valAx>
        <c:axId val="126795136"/>
        <c:scaling>
          <c:orientation val="minMax"/>
          <c:max val="1.2"/>
          <c:min val="0.60000000000000064"/>
        </c:scaling>
        <c:axPos val="b"/>
        <c:majorGridlines>
          <c:spPr>
            <a:ln>
              <a:solidFill>
                <a:sysClr val="windowText" lastClr="000000"/>
              </a:solidFill>
            </a:ln>
          </c:spPr>
        </c:majorGridlines>
        <c:title>
          <c:tx>
            <c:rich>
              <a:bodyPr/>
              <a:lstStyle/>
              <a:p>
                <a:pPr>
                  <a:defRPr sz="1000"/>
                </a:pPr>
                <a:r>
                  <a:rPr lang="en-US" sz="1000">
                    <a:latin typeface="Times New Roman" pitchFamily="18" charset="0"/>
                    <a:cs typeface="Times New Roman" pitchFamily="18" charset="0"/>
                  </a:rPr>
                  <a:t>Relative Power Distribution</a:t>
                </a:r>
              </a:p>
            </c:rich>
          </c:tx>
          <c:layout>
            <c:manualLayout>
              <c:xMode val="edge"/>
              <c:yMode val="edge"/>
              <c:x val="0.39249015748031496"/>
              <c:y val="0.94700292397660757"/>
            </c:manualLayout>
          </c:layout>
        </c:title>
        <c:numFmt formatCode="0.00" sourceLinked="0"/>
        <c:tickLblPos val="low"/>
        <c:spPr>
          <a:ln>
            <a:solidFill>
              <a:sysClr val="windowText" lastClr="000000"/>
            </a:solidFill>
          </a:ln>
        </c:spPr>
        <c:txPr>
          <a:bodyPr/>
          <a:lstStyle/>
          <a:p>
            <a:pPr>
              <a:defRPr sz="800" b="1">
                <a:latin typeface="Times New Roman" pitchFamily="18" charset="0"/>
                <a:cs typeface="Times New Roman" pitchFamily="18" charset="0"/>
              </a:defRPr>
            </a:pPr>
            <a:endParaRPr lang="en-US"/>
          </a:p>
        </c:txPr>
        <c:crossAx val="126797312"/>
        <c:crosses val="autoZero"/>
        <c:crossBetween val="midCat"/>
        <c:majorUnit val="0.05"/>
      </c:valAx>
      <c:valAx>
        <c:axId val="126797312"/>
        <c:scaling>
          <c:orientation val="minMax"/>
          <c:max val="21"/>
          <c:min val="-21"/>
        </c:scaling>
        <c:axPos val="l"/>
        <c:majorGridlines>
          <c:spPr>
            <a:ln>
              <a:solidFill>
                <a:schemeClr val="tx1"/>
              </a:solidFill>
            </a:ln>
          </c:spPr>
        </c:majorGridlines>
        <c:title>
          <c:tx>
            <c:rich>
              <a:bodyPr rot="-5400000" vert="horz"/>
              <a:lstStyle/>
              <a:p>
                <a:pPr>
                  <a:defRPr sz="1000"/>
                </a:pPr>
                <a:r>
                  <a:rPr lang="en-US" sz="1000">
                    <a:latin typeface="Times New Roman" pitchFamily="18" charset="0"/>
                    <a:cs typeface="Times New Roman" pitchFamily="18" charset="0"/>
                  </a:rPr>
                  <a:t>Distance From Horizontal Midplane (cm)</a:t>
                </a:r>
              </a:p>
            </c:rich>
          </c:tx>
        </c:title>
        <c:numFmt formatCode="General" sourceLinked="1"/>
        <c:majorTickMark val="none"/>
        <c:tickLblPos val="nextTo"/>
        <c:spPr>
          <a:ln>
            <a:solidFill>
              <a:sysClr val="windowText" lastClr="000000"/>
            </a:solidFill>
          </a:ln>
        </c:spPr>
        <c:txPr>
          <a:bodyPr/>
          <a:lstStyle/>
          <a:p>
            <a:pPr>
              <a:defRPr sz="800" b="1" baseline="0">
                <a:latin typeface="Times New Roman" pitchFamily="18" charset="0"/>
                <a:cs typeface="Times New Roman" pitchFamily="18" charset="0"/>
              </a:defRPr>
            </a:pPr>
            <a:endParaRPr lang="en-US"/>
          </a:p>
        </c:txPr>
        <c:crossAx val="126795136"/>
        <c:crosses val="autoZero"/>
        <c:crossBetween val="midCat"/>
        <c:majorUnit val="3"/>
      </c:valAx>
    </c:plotArea>
    <c:legend>
      <c:legendPos val="r"/>
      <c:legendEntry>
        <c:idx val="0"/>
        <c:txPr>
          <a:bodyPr/>
          <a:lstStyle/>
          <a:p>
            <a:pPr>
              <a:defRPr sz="1000">
                <a:latin typeface="Times New Roman" pitchFamily="18" charset="0"/>
                <a:cs typeface="Times New Roman" pitchFamily="18" charset="0"/>
              </a:defRPr>
            </a:pPr>
            <a:endParaRPr lang="en-US"/>
          </a:p>
        </c:txPr>
      </c:legendEntry>
      <c:legendEntry>
        <c:idx val="1"/>
        <c:txPr>
          <a:bodyPr/>
          <a:lstStyle/>
          <a:p>
            <a:pPr>
              <a:defRPr sz="1000">
                <a:latin typeface="Times New Roman" pitchFamily="18" charset="0"/>
                <a:cs typeface="Times New Roman" pitchFamily="18" charset="0"/>
              </a:defRPr>
            </a:pPr>
            <a:endParaRPr lang="en-US"/>
          </a:p>
        </c:txPr>
      </c:legendEntry>
      <c:layout>
        <c:manualLayout>
          <c:xMode val="edge"/>
          <c:yMode val="edge"/>
          <c:x val="0.17939212598425197"/>
          <c:y val="0.38341465626678944"/>
          <c:w val="0.21661802274715691"/>
          <c:h val="0.11378722215669462"/>
        </c:manualLayout>
      </c:layout>
      <c:overlay val="1"/>
      <c:spPr>
        <a:solidFill>
          <a:sysClr val="window" lastClr="FFFFFF"/>
        </a:solidFill>
        <a:ln>
          <a:solidFill>
            <a:sysClr val="windowText" lastClr="000000"/>
          </a:solidFill>
        </a:ln>
      </c:spPr>
      <c:txPr>
        <a:bodyPr/>
        <a:lstStyle/>
        <a:p>
          <a:pPr>
            <a:defRPr sz="1000">
              <a:latin typeface="Times New Roman" pitchFamily="18" charset="0"/>
              <a:cs typeface="Times New Roman" pitchFamily="18" charset="0"/>
            </a:defRPr>
          </a:pPr>
          <a:endParaRPr lang="en-US"/>
        </a:p>
      </c:txPr>
    </c:legend>
    <c:plotVisOnly val="1"/>
    <c:dispBlanksAs val="gap"/>
  </c:chart>
  <c:spPr>
    <a:ln>
      <a:solidFill>
        <a:sysClr val="windowText" lastClr="000000"/>
      </a:solidFill>
    </a:ln>
  </c:sp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1699438611840186"/>
          <c:y val="4.0204678362573076E-2"/>
          <c:w val="0.84133894721493152"/>
          <c:h val="0.80966149790486763"/>
        </c:manualLayout>
      </c:layout>
      <c:scatterChart>
        <c:scatterStyle val="smoothMarker"/>
        <c:ser>
          <c:idx val="0"/>
          <c:order val="0"/>
          <c:tx>
            <c:v>Calculated</c:v>
          </c:tx>
          <c:spPr>
            <a:ln w="19050">
              <a:solidFill>
                <a:srgbClr val="0000FF"/>
              </a:solidFill>
            </a:ln>
          </c:spPr>
          <c:marker>
            <c:spPr>
              <a:solidFill>
                <a:srgbClr val="0000FF"/>
              </a:solidFill>
            </c:spPr>
          </c:marker>
          <c:xVal>
            <c:numRef>
              <c:f>(results!$I$6,results!$I$9,results!$I$12,results!$I$15,results!$I$21,results!$I$24,results!$I$27)</c:f>
              <c:numCache>
                <c:formatCode>0.000</c:formatCode>
                <c:ptCount val="7"/>
                <c:pt idx="0">
                  <c:v>0.76383692805405723</c:v>
                </c:pt>
                <c:pt idx="1">
                  <c:v>1.0117421325750746</c:v>
                </c:pt>
                <c:pt idx="2">
                  <c:v>1.1665205189542109</c:v>
                </c:pt>
                <c:pt idx="3">
                  <c:v>1.226419546103598</c:v>
                </c:pt>
                <c:pt idx="4">
                  <c:v>1.1706200665736421</c:v>
                </c:pt>
                <c:pt idx="5">
                  <c:v>1.0160020935748195</c:v>
                </c:pt>
                <c:pt idx="6">
                  <c:v>0.76635599810817834</c:v>
                </c:pt>
              </c:numCache>
            </c:numRef>
          </c:xVal>
          <c:yVal>
            <c:numRef>
              <c:f>(results!$C$42,results!$C$45,results!$C$48,results!$C$51,results!$C$57,results!$C$60,results!$C$63)</c:f>
              <c:numCache>
                <c:formatCode>General</c:formatCode>
                <c:ptCount val="7"/>
                <c:pt idx="0">
                  <c:v>19.05</c:v>
                </c:pt>
                <c:pt idx="1">
                  <c:v>12.7</c:v>
                </c:pt>
                <c:pt idx="2">
                  <c:v>6.35</c:v>
                </c:pt>
                <c:pt idx="3">
                  <c:v>0</c:v>
                </c:pt>
                <c:pt idx="4">
                  <c:v>-6.35</c:v>
                </c:pt>
                <c:pt idx="5">
                  <c:v>-12.7</c:v>
                </c:pt>
                <c:pt idx="6">
                  <c:v>-19.05</c:v>
                </c:pt>
              </c:numCache>
            </c:numRef>
          </c:yVal>
          <c:smooth val="1"/>
        </c:ser>
        <c:ser>
          <c:idx val="1"/>
          <c:order val="1"/>
          <c:tx>
            <c:v>Experimental</c:v>
          </c:tx>
          <c:spPr>
            <a:ln w="19050">
              <a:solidFill>
                <a:srgbClr val="FF0000"/>
              </a:solidFill>
            </a:ln>
          </c:spPr>
          <c:marker>
            <c:spPr>
              <a:solidFill>
                <a:srgbClr val="FF0000"/>
              </a:solidFill>
            </c:spPr>
          </c:marker>
          <c:errBars>
            <c:errDir val="x"/>
            <c:errBarType val="both"/>
            <c:errValType val="cust"/>
            <c:plus>
              <c:numRef>
                <c:f>(results!$L$6,results!$L$9,results!$L$12,results!$L$15,results!$L$21,results!$L$24,results!$L$27)</c:f>
                <c:numCache>
                  <c:formatCode>General</c:formatCode>
                  <c:ptCount val="7"/>
                  <c:pt idx="0">
                    <c:v>5.3740115370177345E-2</c:v>
                  </c:pt>
                  <c:pt idx="1">
                    <c:v>6.9296464556282647E-2</c:v>
                  </c:pt>
                  <c:pt idx="2">
                    <c:v>7.9195959492893403E-2</c:v>
                  </c:pt>
                  <c:pt idx="3">
                    <c:v>7.9903066274079879E-2</c:v>
                  </c:pt>
                  <c:pt idx="4">
                    <c:v>7.9195959492893403E-2</c:v>
                  </c:pt>
                  <c:pt idx="5">
                    <c:v>7.0003571337468512E-2</c:v>
                  </c:pt>
                  <c:pt idx="6">
                    <c:v>5.515432893255072E-2</c:v>
                  </c:pt>
                </c:numCache>
              </c:numRef>
            </c:plus>
            <c:minus>
              <c:numRef>
                <c:f>(results!$L$6,results!$L$9,results!$L$12,results!$L$15,results!$L$21,results!$L$24,results!$L$27)</c:f>
                <c:numCache>
                  <c:formatCode>General</c:formatCode>
                  <c:ptCount val="7"/>
                  <c:pt idx="0">
                    <c:v>5.3740115370177345E-2</c:v>
                  </c:pt>
                  <c:pt idx="1">
                    <c:v>6.9296464556282647E-2</c:v>
                  </c:pt>
                  <c:pt idx="2">
                    <c:v>7.9195959492893403E-2</c:v>
                  </c:pt>
                  <c:pt idx="3">
                    <c:v>7.9903066274079879E-2</c:v>
                  </c:pt>
                  <c:pt idx="4">
                    <c:v>7.9195959492893403E-2</c:v>
                  </c:pt>
                  <c:pt idx="5">
                    <c:v>7.0003571337468512E-2</c:v>
                  </c:pt>
                  <c:pt idx="6">
                    <c:v>5.515432893255072E-2</c:v>
                  </c:pt>
                </c:numCache>
              </c:numRef>
            </c:minus>
            <c:spPr>
              <a:ln>
                <a:solidFill>
                  <a:srgbClr val="FF0000"/>
                </a:solidFill>
              </a:ln>
            </c:spPr>
          </c:errBars>
          <c:xVal>
            <c:numRef>
              <c:f>(results!$K$6,results!$K$9,results!$K$12,results!$K$15,results!$K$21,results!$K$24,results!$K$27)</c:f>
              <c:numCache>
                <c:formatCode>0.000</c:formatCode>
                <c:ptCount val="7"/>
                <c:pt idx="0">
                  <c:v>0.76000000000000678</c:v>
                </c:pt>
                <c:pt idx="1">
                  <c:v>0.98</c:v>
                </c:pt>
                <c:pt idx="2">
                  <c:v>1.1200000000000001</c:v>
                </c:pt>
                <c:pt idx="3">
                  <c:v>1.1299999999999866</c:v>
                </c:pt>
                <c:pt idx="4">
                  <c:v>1.1200000000000001</c:v>
                </c:pt>
                <c:pt idx="5">
                  <c:v>0.99</c:v>
                </c:pt>
                <c:pt idx="6">
                  <c:v>0.78</c:v>
                </c:pt>
              </c:numCache>
            </c:numRef>
          </c:xVal>
          <c:yVal>
            <c:numRef>
              <c:f>(results!$C$42,results!$C$45,results!$C$48,results!$C$51,results!$C$57,results!$C$60,results!$C$63)</c:f>
              <c:numCache>
                <c:formatCode>General</c:formatCode>
                <c:ptCount val="7"/>
                <c:pt idx="0">
                  <c:v>19.05</c:v>
                </c:pt>
                <c:pt idx="1">
                  <c:v>12.7</c:v>
                </c:pt>
                <c:pt idx="2">
                  <c:v>6.35</c:v>
                </c:pt>
                <c:pt idx="3">
                  <c:v>0</c:v>
                </c:pt>
                <c:pt idx="4">
                  <c:v>-6.35</c:v>
                </c:pt>
                <c:pt idx="5">
                  <c:v>-12.7</c:v>
                </c:pt>
                <c:pt idx="6">
                  <c:v>-19.05</c:v>
                </c:pt>
              </c:numCache>
            </c:numRef>
          </c:yVal>
          <c:smooth val="1"/>
        </c:ser>
        <c:axId val="127601664"/>
        <c:axId val="127612032"/>
      </c:scatterChart>
      <c:valAx>
        <c:axId val="127601664"/>
        <c:scaling>
          <c:orientation val="minMax"/>
          <c:max val="1.25"/>
          <c:min val="0.70000000000000062"/>
        </c:scaling>
        <c:axPos val="b"/>
        <c:majorGridlines>
          <c:spPr>
            <a:ln>
              <a:solidFill>
                <a:schemeClr val="tx1"/>
              </a:solidFill>
            </a:ln>
          </c:spPr>
        </c:majorGridlines>
        <c:title>
          <c:tx>
            <c:rich>
              <a:bodyPr/>
              <a:lstStyle/>
              <a:p>
                <a:pPr>
                  <a:defRPr sz="1000"/>
                </a:pPr>
                <a:r>
                  <a:rPr lang="en-US" sz="1000">
                    <a:latin typeface="Times New Roman" pitchFamily="18" charset="0"/>
                    <a:cs typeface="Times New Roman" pitchFamily="18" charset="0"/>
                  </a:rPr>
                  <a:t>Relative Power Distribution</a:t>
                </a:r>
              </a:p>
            </c:rich>
          </c:tx>
          <c:layout>
            <c:manualLayout>
              <c:xMode val="edge"/>
              <c:yMode val="edge"/>
              <c:x val="0.39249015748031496"/>
              <c:y val="0.93238304093567248"/>
            </c:manualLayout>
          </c:layout>
        </c:title>
        <c:numFmt formatCode="0.00" sourceLinked="0"/>
        <c:tickLblPos val="low"/>
        <c:spPr>
          <a:ln>
            <a:solidFill>
              <a:sysClr val="windowText" lastClr="000000"/>
            </a:solidFill>
          </a:ln>
        </c:spPr>
        <c:txPr>
          <a:bodyPr/>
          <a:lstStyle/>
          <a:p>
            <a:pPr>
              <a:defRPr sz="800" b="1">
                <a:latin typeface="Times New Roman" pitchFamily="18" charset="0"/>
                <a:cs typeface="Times New Roman" pitchFamily="18" charset="0"/>
              </a:defRPr>
            </a:pPr>
            <a:endParaRPr lang="en-US"/>
          </a:p>
        </c:txPr>
        <c:crossAx val="127612032"/>
        <c:crosses val="autoZero"/>
        <c:crossBetween val="midCat"/>
        <c:majorUnit val="0.05"/>
      </c:valAx>
      <c:valAx>
        <c:axId val="127612032"/>
        <c:scaling>
          <c:orientation val="minMax"/>
          <c:max val="21"/>
          <c:min val="-21"/>
        </c:scaling>
        <c:axPos val="l"/>
        <c:majorGridlines>
          <c:spPr>
            <a:ln>
              <a:solidFill>
                <a:sysClr val="windowText" lastClr="000000"/>
              </a:solidFill>
            </a:ln>
          </c:spPr>
        </c:majorGridlines>
        <c:title>
          <c:tx>
            <c:rich>
              <a:bodyPr rot="-5400000" vert="horz"/>
              <a:lstStyle/>
              <a:p>
                <a:pPr>
                  <a:defRPr sz="1000"/>
                </a:pPr>
                <a:r>
                  <a:rPr lang="en-US" sz="1000">
                    <a:latin typeface="Times New Roman" pitchFamily="18" charset="0"/>
                    <a:cs typeface="Times New Roman" pitchFamily="18" charset="0"/>
                  </a:rPr>
                  <a:t>Distance From Horizontal Midplane (cm)</a:t>
                </a:r>
              </a:p>
            </c:rich>
          </c:tx>
        </c:title>
        <c:numFmt formatCode="General" sourceLinked="1"/>
        <c:majorTickMark val="none"/>
        <c:tickLblPos val="nextTo"/>
        <c:spPr>
          <a:ln>
            <a:solidFill>
              <a:sysClr val="windowText" lastClr="000000"/>
            </a:solidFill>
          </a:ln>
        </c:spPr>
        <c:txPr>
          <a:bodyPr/>
          <a:lstStyle/>
          <a:p>
            <a:pPr>
              <a:defRPr sz="800" b="1">
                <a:latin typeface="Times New Roman" pitchFamily="18" charset="0"/>
                <a:cs typeface="Times New Roman" pitchFamily="18" charset="0"/>
              </a:defRPr>
            </a:pPr>
            <a:endParaRPr lang="en-US"/>
          </a:p>
        </c:txPr>
        <c:crossAx val="127601664"/>
        <c:crosses val="autoZero"/>
        <c:crossBetween val="midCat"/>
        <c:majorUnit val="3"/>
      </c:valAx>
    </c:plotArea>
    <c:legend>
      <c:legendPos val="r"/>
      <c:legendEntry>
        <c:idx val="0"/>
        <c:txPr>
          <a:bodyPr/>
          <a:lstStyle/>
          <a:p>
            <a:pPr>
              <a:defRPr sz="1000">
                <a:latin typeface="Times New Roman" pitchFamily="18" charset="0"/>
                <a:cs typeface="Times New Roman" pitchFamily="18" charset="0"/>
              </a:defRPr>
            </a:pPr>
            <a:endParaRPr lang="en-US"/>
          </a:p>
        </c:txPr>
      </c:legendEntry>
      <c:legendEntry>
        <c:idx val="1"/>
        <c:txPr>
          <a:bodyPr/>
          <a:lstStyle/>
          <a:p>
            <a:pPr>
              <a:defRPr sz="1000">
                <a:latin typeface="Times New Roman" pitchFamily="18" charset="0"/>
                <a:cs typeface="Times New Roman" pitchFamily="18" charset="0"/>
              </a:defRPr>
            </a:pPr>
            <a:endParaRPr lang="en-US"/>
          </a:p>
        </c:txPr>
      </c:legendEntry>
      <c:layout>
        <c:manualLayout>
          <c:xMode val="edge"/>
          <c:yMode val="edge"/>
          <c:x val="0.1867153105861806"/>
          <c:y val="0.38054963717770912"/>
          <c:w val="0.2321735783027101"/>
          <c:h val="0.11562914929751429"/>
        </c:manualLayout>
      </c:layout>
      <c:overlay val="1"/>
      <c:spPr>
        <a:solidFill>
          <a:sysClr val="window" lastClr="FFFFFF"/>
        </a:solidFill>
        <a:ln>
          <a:solidFill>
            <a:sysClr val="windowText" lastClr="000000"/>
          </a:solidFill>
        </a:ln>
      </c:spPr>
      <c:txPr>
        <a:bodyPr/>
        <a:lstStyle/>
        <a:p>
          <a:pPr>
            <a:defRPr sz="1000">
              <a:latin typeface="Times New Roman" pitchFamily="18" charset="0"/>
              <a:cs typeface="Times New Roman" pitchFamily="18" charset="0"/>
            </a:defRPr>
          </a:pPr>
          <a:endParaRPr lang="en-US"/>
        </a:p>
      </c:txPr>
    </c:legend>
    <c:plotVisOnly val="1"/>
    <c:dispBlanksAs val="gap"/>
  </c:chart>
  <c:spPr>
    <a:ln>
      <a:solidFill>
        <a:sysClr val="windowText" lastClr="000000"/>
      </a:solidFill>
    </a:ln>
  </c:sp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1699438611840186"/>
          <c:y val="4.0204678362573076E-2"/>
          <c:w val="0.84133894721493152"/>
          <c:h val="0.81697143942533734"/>
        </c:manualLayout>
      </c:layout>
      <c:scatterChart>
        <c:scatterStyle val="smoothMarker"/>
        <c:ser>
          <c:idx val="0"/>
          <c:order val="0"/>
          <c:tx>
            <c:v>Calculated</c:v>
          </c:tx>
          <c:spPr>
            <a:ln w="19050">
              <a:solidFill>
                <a:srgbClr val="0000FF"/>
              </a:solidFill>
            </a:ln>
          </c:spPr>
          <c:marker>
            <c:spPr>
              <a:solidFill>
                <a:srgbClr val="0000FF"/>
              </a:solidFill>
            </c:spPr>
          </c:marker>
          <c:xVal>
            <c:numRef>
              <c:f>(results!$I$4:$I$5,results!$I$7,results!$I$10,results!$I$13,results!$I$18,results!$I$22,results!$I$25,results!$I$28,results!$I$30:$I$31)</c:f>
              <c:numCache>
                <c:formatCode>0.000</c:formatCode>
                <c:ptCount val="11"/>
                <c:pt idx="0">
                  <c:v>0.6336003301941977</c:v>
                </c:pt>
                <c:pt idx="1">
                  <c:v>0.56024441996478735</c:v>
                </c:pt>
                <c:pt idx="2">
                  <c:v>0.6909870457178362</c:v>
                </c:pt>
                <c:pt idx="3">
                  <c:v>0.91777581764688321</c:v>
                </c:pt>
                <c:pt idx="4">
                  <c:v>1.0603561714401561</c:v>
                </c:pt>
                <c:pt idx="5">
                  <c:v>1.1047939594977927</c:v>
                </c:pt>
                <c:pt idx="6">
                  <c:v>1.0568131228657984</c:v>
                </c:pt>
                <c:pt idx="7">
                  <c:v>0.92006491316284933</c:v>
                </c:pt>
                <c:pt idx="8">
                  <c:v>0.69371376243541061</c:v>
                </c:pt>
                <c:pt idx="9">
                  <c:v>0.56214720322581113</c:v>
                </c:pt>
                <c:pt idx="10">
                  <c:v>0.62833958448413663</c:v>
                </c:pt>
              </c:numCache>
            </c:numRef>
          </c:xVal>
          <c:yVal>
            <c:numRef>
              <c:f>(results!$C$40:$C$41,results!$C$43,results!$C$46,results!$C$49,results!$C$54,results!$C$58,results!$C$61,results!$C$64,results!$C$66,results!$C$67)</c:f>
              <c:numCache>
                <c:formatCode>General</c:formatCode>
                <c:ptCount val="11"/>
                <c:pt idx="0">
                  <c:v>24.739599999999989</c:v>
                </c:pt>
                <c:pt idx="1">
                  <c:v>22.86</c:v>
                </c:pt>
                <c:pt idx="2">
                  <c:v>19.05</c:v>
                </c:pt>
                <c:pt idx="3">
                  <c:v>12.7</c:v>
                </c:pt>
                <c:pt idx="4">
                  <c:v>6.35</c:v>
                </c:pt>
                <c:pt idx="5">
                  <c:v>0</c:v>
                </c:pt>
                <c:pt idx="6">
                  <c:v>-6.35</c:v>
                </c:pt>
                <c:pt idx="7">
                  <c:v>-12.7</c:v>
                </c:pt>
                <c:pt idx="8">
                  <c:v>-19.05</c:v>
                </c:pt>
                <c:pt idx="9">
                  <c:v>-22.86</c:v>
                </c:pt>
                <c:pt idx="10">
                  <c:v>-24.739599999999989</c:v>
                </c:pt>
              </c:numCache>
            </c:numRef>
          </c:yVal>
          <c:smooth val="1"/>
        </c:ser>
        <c:ser>
          <c:idx val="1"/>
          <c:order val="1"/>
          <c:tx>
            <c:v>Experimental</c:v>
          </c:tx>
          <c:spPr>
            <a:ln w="19050">
              <a:solidFill>
                <a:srgbClr val="FF0000"/>
              </a:solidFill>
            </a:ln>
          </c:spPr>
          <c:marker>
            <c:spPr>
              <a:solidFill>
                <a:srgbClr val="FF0000"/>
              </a:solidFill>
            </c:spPr>
          </c:marker>
          <c:errBars>
            <c:errDir val="x"/>
            <c:errBarType val="both"/>
            <c:errValType val="cust"/>
            <c:plus>
              <c:numRef>
                <c:f>(results!$L$4:$L$5,results!$L$7,results!$L$10,results!$L$13,results!$L$18,results!$L$22,results!$L$25,results!$L$28,results!$L$30:$L$31)</c:f>
                <c:numCache>
                  <c:formatCode>General</c:formatCode>
                  <c:ptCount val="11"/>
                  <c:pt idx="0">
                    <c:v>5.6568542494923796E-2</c:v>
                  </c:pt>
                  <c:pt idx="1">
                    <c:v>4.1719300090006323E-2</c:v>
                  </c:pt>
                  <c:pt idx="2">
                    <c:v>5.2325901807804533E-2</c:v>
                  </c:pt>
                  <c:pt idx="3">
                    <c:v>6.7882250993909432E-2</c:v>
                  </c:pt>
                  <c:pt idx="4">
                    <c:v>7.5660425586960608E-2</c:v>
                  </c:pt>
                  <c:pt idx="5">
                    <c:v>7.7781745930520424E-2</c:v>
                  </c:pt>
                  <c:pt idx="6">
                    <c:v>7.707463914933467E-2</c:v>
                  </c:pt>
                  <c:pt idx="7">
                    <c:v>6.7175144212722027E-2</c:v>
                  </c:pt>
                  <c:pt idx="8">
                    <c:v>5.1618795026617981E-2</c:v>
                  </c:pt>
                  <c:pt idx="9">
                    <c:v>4.0305086527633434E-2</c:v>
                  </c:pt>
                  <c:pt idx="10">
                    <c:v>5.1618795026617981E-2</c:v>
                  </c:pt>
                </c:numCache>
              </c:numRef>
            </c:plus>
            <c:minus>
              <c:numRef>
                <c:f>(results!$L$4:$L$5,results!$L$7,results!$L$10,results!$L$13,results!$L$18,results!$L$22,results!$L$25,results!$L$28,results!$L$30:$L$31)</c:f>
                <c:numCache>
                  <c:formatCode>General</c:formatCode>
                  <c:ptCount val="11"/>
                  <c:pt idx="0">
                    <c:v>5.6568542494923796E-2</c:v>
                  </c:pt>
                  <c:pt idx="1">
                    <c:v>4.1719300090006323E-2</c:v>
                  </c:pt>
                  <c:pt idx="2">
                    <c:v>5.2325901807804533E-2</c:v>
                  </c:pt>
                  <c:pt idx="3">
                    <c:v>6.7882250993909432E-2</c:v>
                  </c:pt>
                  <c:pt idx="4">
                    <c:v>7.5660425586960608E-2</c:v>
                  </c:pt>
                  <c:pt idx="5">
                    <c:v>7.7781745930520424E-2</c:v>
                  </c:pt>
                  <c:pt idx="6">
                    <c:v>7.707463914933467E-2</c:v>
                  </c:pt>
                  <c:pt idx="7">
                    <c:v>6.7175144212722027E-2</c:v>
                  </c:pt>
                  <c:pt idx="8">
                    <c:v>5.1618795026617981E-2</c:v>
                  </c:pt>
                  <c:pt idx="9">
                    <c:v>4.0305086527633434E-2</c:v>
                  </c:pt>
                  <c:pt idx="10">
                    <c:v>5.1618795026617981E-2</c:v>
                  </c:pt>
                </c:numCache>
              </c:numRef>
            </c:minus>
            <c:spPr>
              <a:ln>
                <a:solidFill>
                  <a:srgbClr val="FF0000"/>
                </a:solidFill>
              </a:ln>
            </c:spPr>
          </c:errBars>
          <c:xVal>
            <c:numRef>
              <c:f>(results!$K$4:$K$5,results!$K$7,results!$K$10,results!$K$13,results!$K$18,results!$K$22,results!$K$25,results!$K$28,results!$K$30:$K$31)</c:f>
              <c:numCache>
                <c:formatCode>0.000</c:formatCode>
                <c:ptCount val="11"/>
                <c:pt idx="0">
                  <c:v>0.8</c:v>
                </c:pt>
                <c:pt idx="1">
                  <c:v>0.59</c:v>
                </c:pt>
                <c:pt idx="2">
                  <c:v>0.74000000000000365</c:v>
                </c:pt>
                <c:pt idx="3">
                  <c:v>0.96000000000000063</c:v>
                </c:pt>
                <c:pt idx="4">
                  <c:v>1.07</c:v>
                </c:pt>
                <c:pt idx="5">
                  <c:v>1.1000000000000001</c:v>
                </c:pt>
                <c:pt idx="6">
                  <c:v>1.0900000000000001</c:v>
                </c:pt>
                <c:pt idx="7">
                  <c:v>0.95000000000000062</c:v>
                </c:pt>
                <c:pt idx="8">
                  <c:v>0.73000000000000065</c:v>
                </c:pt>
                <c:pt idx="9">
                  <c:v>0.56999999999999995</c:v>
                </c:pt>
                <c:pt idx="10">
                  <c:v>0.73000000000000065</c:v>
                </c:pt>
              </c:numCache>
            </c:numRef>
          </c:xVal>
          <c:yVal>
            <c:numRef>
              <c:f>(results!$C$40,results!$C$41,results!$C$43,results!$C$46,results!$C$49,results!$C$54,results!$C$58,results!$C$61,results!$C$64,results!$C$66:$C$67)</c:f>
              <c:numCache>
                <c:formatCode>General</c:formatCode>
                <c:ptCount val="11"/>
                <c:pt idx="0">
                  <c:v>24.739599999999989</c:v>
                </c:pt>
                <c:pt idx="1">
                  <c:v>22.86</c:v>
                </c:pt>
                <c:pt idx="2">
                  <c:v>19.05</c:v>
                </c:pt>
                <c:pt idx="3">
                  <c:v>12.7</c:v>
                </c:pt>
                <c:pt idx="4">
                  <c:v>6.35</c:v>
                </c:pt>
                <c:pt idx="5">
                  <c:v>0</c:v>
                </c:pt>
                <c:pt idx="6">
                  <c:v>-6.35</c:v>
                </c:pt>
                <c:pt idx="7">
                  <c:v>-12.7</c:v>
                </c:pt>
                <c:pt idx="8">
                  <c:v>-19.05</c:v>
                </c:pt>
                <c:pt idx="9">
                  <c:v>-22.86</c:v>
                </c:pt>
                <c:pt idx="10">
                  <c:v>-24.739599999999989</c:v>
                </c:pt>
              </c:numCache>
            </c:numRef>
          </c:yVal>
          <c:smooth val="1"/>
        </c:ser>
        <c:axId val="127629952"/>
        <c:axId val="127640320"/>
      </c:scatterChart>
      <c:valAx>
        <c:axId val="127629952"/>
        <c:scaling>
          <c:orientation val="minMax"/>
          <c:max val="1.2000000000000099"/>
          <c:min val="0.5"/>
        </c:scaling>
        <c:axPos val="b"/>
        <c:majorGridlines>
          <c:spPr>
            <a:ln>
              <a:solidFill>
                <a:sysClr val="windowText" lastClr="000000"/>
              </a:solidFill>
            </a:ln>
          </c:spPr>
        </c:majorGridlines>
        <c:title>
          <c:tx>
            <c:rich>
              <a:bodyPr/>
              <a:lstStyle/>
              <a:p>
                <a:pPr>
                  <a:defRPr sz="1000"/>
                </a:pPr>
                <a:r>
                  <a:rPr lang="en-US" sz="1000">
                    <a:latin typeface="Times New Roman" pitchFamily="18" charset="0"/>
                    <a:cs typeface="Times New Roman" pitchFamily="18" charset="0"/>
                  </a:rPr>
                  <a:t>Relative Power Distribution</a:t>
                </a:r>
              </a:p>
            </c:rich>
          </c:tx>
          <c:layout>
            <c:manualLayout>
              <c:xMode val="edge"/>
              <c:yMode val="edge"/>
              <c:x val="0.39249015748031496"/>
              <c:y val="0.92872807017544101"/>
            </c:manualLayout>
          </c:layout>
        </c:title>
        <c:numFmt formatCode="0.00" sourceLinked="0"/>
        <c:tickLblPos val="low"/>
        <c:spPr>
          <a:ln>
            <a:solidFill>
              <a:sysClr val="windowText" lastClr="000000"/>
            </a:solidFill>
          </a:ln>
        </c:spPr>
        <c:txPr>
          <a:bodyPr/>
          <a:lstStyle/>
          <a:p>
            <a:pPr>
              <a:defRPr sz="800" b="1">
                <a:latin typeface="Times New Roman" pitchFamily="18" charset="0"/>
                <a:cs typeface="Times New Roman" pitchFamily="18" charset="0"/>
              </a:defRPr>
            </a:pPr>
            <a:endParaRPr lang="en-US"/>
          </a:p>
        </c:txPr>
        <c:crossAx val="127640320"/>
        <c:crosses val="autoZero"/>
        <c:crossBetween val="midCat"/>
        <c:majorUnit val="0.05"/>
      </c:valAx>
      <c:valAx>
        <c:axId val="127640320"/>
        <c:scaling>
          <c:orientation val="minMax"/>
          <c:max val="27"/>
          <c:min val="-27"/>
        </c:scaling>
        <c:axPos val="l"/>
        <c:majorGridlines>
          <c:spPr>
            <a:ln>
              <a:solidFill>
                <a:sysClr val="windowText" lastClr="000000"/>
              </a:solidFill>
            </a:ln>
          </c:spPr>
        </c:majorGridlines>
        <c:title>
          <c:tx>
            <c:rich>
              <a:bodyPr rot="-5400000" vert="horz"/>
              <a:lstStyle/>
              <a:p>
                <a:pPr>
                  <a:defRPr sz="1000"/>
                </a:pPr>
                <a:r>
                  <a:rPr lang="en-US" sz="1000">
                    <a:latin typeface="Times New Roman" pitchFamily="18" charset="0"/>
                    <a:cs typeface="Times New Roman" pitchFamily="18" charset="0"/>
                  </a:rPr>
                  <a:t>Distance From</a:t>
                </a:r>
                <a:r>
                  <a:rPr lang="en-US" sz="1000" baseline="0">
                    <a:latin typeface="Times New Roman" pitchFamily="18" charset="0"/>
                    <a:cs typeface="Times New Roman" pitchFamily="18" charset="0"/>
                  </a:rPr>
                  <a:t> Horizontal Midplane (cm)</a:t>
                </a:r>
                <a:endParaRPr lang="en-US" sz="1000">
                  <a:latin typeface="Times New Roman" pitchFamily="18" charset="0"/>
                  <a:cs typeface="Times New Roman" pitchFamily="18" charset="0"/>
                </a:endParaRPr>
              </a:p>
            </c:rich>
          </c:tx>
        </c:title>
        <c:numFmt formatCode="General" sourceLinked="1"/>
        <c:majorTickMark val="none"/>
        <c:tickLblPos val="nextTo"/>
        <c:spPr>
          <a:ln>
            <a:solidFill>
              <a:schemeClr val="tx1"/>
            </a:solidFill>
          </a:ln>
        </c:spPr>
        <c:txPr>
          <a:bodyPr/>
          <a:lstStyle/>
          <a:p>
            <a:pPr>
              <a:defRPr sz="800" b="1">
                <a:latin typeface="Times New Roman" pitchFamily="18" charset="0"/>
                <a:cs typeface="Times New Roman" pitchFamily="18" charset="0"/>
              </a:defRPr>
            </a:pPr>
            <a:endParaRPr lang="en-US"/>
          </a:p>
        </c:txPr>
        <c:crossAx val="127629952"/>
        <c:crosses val="autoZero"/>
        <c:crossBetween val="midCat"/>
        <c:majorUnit val="3"/>
      </c:valAx>
    </c:plotArea>
    <c:legend>
      <c:legendPos val="r"/>
      <c:legendEntry>
        <c:idx val="0"/>
        <c:txPr>
          <a:bodyPr/>
          <a:lstStyle/>
          <a:p>
            <a:pPr>
              <a:defRPr sz="1000">
                <a:latin typeface="Times New Roman" pitchFamily="18" charset="0"/>
                <a:cs typeface="Times New Roman" pitchFamily="18" charset="0"/>
              </a:defRPr>
            </a:pPr>
            <a:endParaRPr lang="en-US"/>
          </a:p>
        </c:txPr>
      </c:legendEntry>
      <c:legendEntry>
        <c:idx val="1"/>
        <c:txPr>
          <a:bodyPr/>
          <a:lstStyle/>
          <a:p>
            <a:pPr>
              <a:defRPr sz="1000">
                <a:latin typeface="Times New Roman" pitchFamily="18" charset="0"/>
                <a:cs typeface="Times New Roman" pitchFamily="18" charset="0"/>
              </a:defRPr>
            </a:pPr>
            <a:endParaRPr lang="en-US"/>
          </a:p>
        </c:txPr>
      </c:legendEntry>
      <c:layout>
        <c:manualLayout>
          <c:xMode val="edge"/>
          <c:yMode val="edge"/>
          <c:x val="0.16913945756780646"/>
          <c:y val="0.3906453605064073"/>
          <c:w val="0.21569207494896472"/>
          <c:h val="0.12526102822673482"/>
        </c:manualLayout>
      </c:layout>
      <c:overlay val="1"/>
      <c:spPr>
        <a:solidFill>
          <a:sysClr val="window" lastClr="FFFFFF"/>
        </a:solidFill>
        <a:ln>
          <a:solidFill>
            <a:sysClr val="windowText" lastClr="000000"/>
          </a:solidFill>
        </a:ln>
      </c:spPr>
      <c:txPr>
        <a:bodyPr/>
        <a:lstStyle/>
        <a:p>
          <a:pPr>
            <a:defRPr sz="1000">
              <a:latin typeface="Times New Roman" pitchFamily="18" charset="0"/>
              <a:cs typeface="Times New Roman" pitchFamily="18" charset="0"/>
            </a:defRPr>
          </a:pPr>
          <a:endParaRPr lang="en-US"/>
        </a:p>
      </c:txPr>
    </c:legend>
    <c:plotVisOnly val="1"/>
    <c:dispBlanksAs val="gap"/>
  </c:chart>
  <c:spPr>
    <a:ln>
      <a:solidFill>
        <a:sysClr val="windowText" lastClr="000000"/>
      </a:solidFill>
    </a:ln>
  </c:spPr>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1699438611840186"/>
          <c:y val="4.0204678362573076E-2"/>
          <c:w val="0.84133894721493152"/>
          <c:h val="0.80235155638440214"/>
        </c:manualLayout>
      </c:layout>
      <c:scatterChart>
        <c:scatterStyle val="smoothMarker"/>
        <c:ser>
          <c:idx val="0"/>
          <c:order val="0"/>
          <c:tx>
            <c:v>Calculated</c:v>
          </c:tx>
          <c:spPr>
            <a:ln w="19050">
              <a:solidFill>
                <a:srgbClr val="0000FF"/>
              </a:solidFill>
            </a:ln>
          </c:spPr>
          <c:marker>
            <c:spPr>
              <a:solidFill>
                <a:srgbClr val="0000FF"/>
              </a:solidFill>
            </c:spPr>
          </c:marker>
          <c:xVal>
            <c:numRef>
              <c:f>(results!$I$8,results!$I$11,results!$I$14,results!$I$20,results!$I$23,results!$I$26,results!$I$29)</c:f>
              <c:numCache>
                <c:formatCode>0.000</c:formatCode>
                <c:ptCount val="7"/>
                <c:pt idx="0">
                  <c:v>0.81889112394374464</c:v>
                </c:pt>
                <c:pt idx="1">
                  <c:v>1.060593502774849</c:v>
                </c:pt>
                <c:pt idx="2">
                  <c:v>1.2192413907555504</c:v>
                </c:pt>
                <c:pt idx="3">
                  <c:v>1.271100624322423</c:v>
                </c:pt>
                <c:pt idx="4">
                  <c:v>1.21751777684391</c:v>
                </c:pt>
                <c:pt idx="5">
                  <c:v>1.0705603002189819</c:v>
                </c:pt>
                <c:pt idx="6">
                  <c:v>0.82708475357626499</c:v>
                </c:pt>
              </c:numCache>
            </c:numRef>
          </c:xVal>
          <c:yVal>
            <c:numRef>
              <c:f>(results!$C$44,results!$C$47,results!$C$50,results!$C$56,results!$C$59,results!$C$62,results!$C$65)</c:f>
              <c:numCache>
                <c:formatCode>General</c:formatCode>
                <c:ptCount val="7"/>
                <c:pt idx="0">
                  <c:v>19.05</c:v>
                </c:pt>
                <c:pt idx="1">
                  <c:v>12.7</c:v>
                </c:pt>
                <c:pt idx="2">
                  <c:v>6.35</c:v>
                </c:pt>
                <c:pt idx="3">
                  <c:v>0</c:v>
                </c:pt>
                <c:pt idx="4">
                  <c:v>-6.35</c:v>
                </c:pt>
                <c:pt idx="5">
                  <c:v>-12.7</c:v>
                </c:pt>
                <c:pt idx="6">
                  <c:v>-19.05</c:v>
                </c:pt>
              </c:numCache>
            </c:numRef>
          </c:yVal>
          <c:smooth val="1"/>
        </c:ser>
        <c:ser>
          <c:idx val="1"/>
          <c:order val="1"/>
          <c:tx>
            <c:v>Experimental</c:v>
          </c:tx>
          <c:spPr>
            <a:ln w="19050">
              <a:solidFill>
                <a:srgbClr val="FF0000"/>
              </a:solidFill>
            </a:ln>
          </c:spPr>
          <c:marker>
            <c:spPr>
              <a:solidFill>
                <a:srgbClr val="FF0000"/>
              </a:solidFill>
            </c:spPr>
          </c:marker>
          <c:errBars>
            <c:errDir val="x"/>
            <c:errBarType val="both"/>
            <c:errValType val="cust"/>
            <c:plus>
              <c:numRef>
                <c:f>(results!$L$8,results!$L$11,results!$L$14,results!$L$20,results!$L$23,results!$L$26,results!$L$29)</c:f>
                <c:numCache>
                  <c:formatCode>General</c:formatCode>
                  <c:ptCount val="7"/>
                  <c:pt idx="0">
                    <c:v>6.2932503525602784E-2</c:v>
                  </c:pt>
                  <c:pt idx="1">
                    <c:v>8.1317279836452969E-2</c:v>
                  </c:pt>
                  <c:pt idx="2">
                    <c:v>9.3338095116625747E-2</c:v>
                  </c:pt>
                  <c:pt idx="3">
                    <c:v>9.2630988335437744E-2</c:v>
                  </c:pt>
                  <c:pt idx="4">
                    <c:v>9.4045201897810835E-2</c:v>
                  </c:pt>
                  <c:pt idx="5">
                    <c:v>8.2024386617639763E-2</c:v>
                  </c:pt>
                  <c:pt idx="6">
                    <c:v>6.4346717087975833E-2</c:v>
                  </c:pt>
                </c:numCache>
              </c:numRef>
            </c:plus>
            <c:minus>
              <c:numRef>
                <c:f>(results!$L$8,results!$L$11,results!$L$14,results!$L$20,results!$L$23,results!$L$26,results!$L$29)</c:f>
                <c:numCache>
                  <c:formatCode>General</c:formatCode>
                  <c:ptCount val="7"/>
                  <c:pt idx="0">
                    <c:v>6.2932503525602784E-2</c:v>
                  </c:pt>
                  <c:pt idx="1">
                    <c:v>8.1317279836452969E-2</c:v>
                  </c:pt>
                  <c:pt idx="2">
                    <c:v>9.3338095116625747E-2</c:v>
                  </c:pt>
                  <c:pt idx="3">
                    <c:v>9.2630988335437744E-2</c:v>
                  </c:pt>
                  <c:pt idx="4">
                    <c:v>9.4045201897810835E-2</c:v>
                  </c:pt>
                  <c:pt idx="5">
                    <c:v>8.2024386617639763E-2</c:v>
                  </c:pt>
                  <c:pt idx="6">
                    <c:v>6.4346717087975833E-2</c:v>
                  </c:pt>
                </c:numCache>
              </c:numRef>
            </c:minus>
            <c:spPr>
              <a:ln>
                <a:solidFill>
                  <a:srgbClr val="FF0000"/>
                </a:solidFill>
              </a:ln>
            </c:spPr>
          </c:errBars>
          <c:xVal>
            <c:numRef>
              <c:f>(results!$K$8,results!$K$11,results!$K$14,results!$K$20,results!$K$23,results!$K$26,results!$K$29)</c:f>
              <c:numCache>
                <c:formatCode>0.000</c:formatCode>
                <c:ptCount val="7"/>
                <c:pt idx="0">
                  <c:v>0.89</c:v>
                </c:pt>
                <c:pt idx="1">
                  <c:v>1.1499999999999866</c:v>
                </c:pt>
                <c:pt idx="2">
                  <c:v>1.32</c:v>
                </c:pt>
                <c:pt idx="3">
                  <c:v>1.31</c:v>
                </c:pt>
                <c:pt idx="4">
                  <c:v>1.33</c:v>
                </c:pt>
                <c:pt idx="5">
                  <c:v>1.159999999999987</c:v>
                </c:pt>
                <c:pt idx="6">
                  <c:v>0.91</c:v>
                </c:pt>
              </c:numCache>
            </c:numRef>
          </c:xVal>
          <c:yVal>
            <c:numRef>
              <c:f>(results!$C$44,results!$C$47,results!$C$50,results!$C$56,results!$C$59,results!$C$62,results!$C$65)</c:f>
              <c:numCache>
                <c:formatCode>General</c:formatCode>
                <c:ptCount val="7"/>
                <c:pt idx="0">
                  <c:v>19.05</c:v>
                </c:pt>
                <c:pt idx="1">
                  <c:v>12.7</c:v>
                </c:pt>
                <c:pt idx="2">
                  <c:v>6.35</c:v>
                </c:pt>
                <c:pt idx="3">
                  <c:v>0</c:v>
                </c:pt>
                <c:pt idx="4">
                  <c:v>-6.35</c:v>
                </c:pt>
                <c:pt idx="5">
                  <c:v>-12.7</c:v>
                </c:pt>
                <c:pt idx="6">
                  <c:v>-19.05</c:v>
                </c:pt>
              </c:numCache>
            </c:numRef>
          </c:yVal>
          <c:smooth val="1"/>
        </c:ser>
        <c:axId val="127654144"/>
        <c:axId val="127668608"/>
      </c:scatterChart>
      <c:valAx>
        <c:axId val="127654144"/>
        <c:scaling>
          <c:orientation val="minMax"/>
          <c:max val="1.4500000000000011"/>
          <c:min val="0.80000000000001004"/>
        </c:scaling>
        <c:axPos val="b"/>
        <c:majorGridlines>
          <c:spPr>
            <a:ln>
              <a:solidFill>
                <a:sysClr val="windowText" lastClr="000000"/>
              </a:solidFill>
            </a:ln>
          </c:spPr>
        </c:majorGridlines>
        <c:title>
          <c:tx>
            <c:rich>
              <a:bodyPr/>
              <a:lstStyle/>
              <a:p>
                <a:pPr>
                  <a:defRPr sz="1000"/>
                </a:pPr>
                <a:r>
                  <a:rPr lang="en-US" sz="1000">
                    <a:latin typeface="Times New Roman" pitchFamily="18" charset="0"/>
                    <a:cs typeface="Times New Roman" pitchFamily="18" charset="0"/>
                  </a:rPr>
                  <a:t>Relative Power Distribution</a:t>
                </a:r>
              </a:p>
            </c:rich>
          </c:tx>
          <c:layout>
            <c:manualLayout>
              <c:xMode val="edge"/>
              <c:yMode val="edge"/>
              <c:x val="0.39249015748031496"/>
              <c:y val="0.92507309941520466"/>
            </c:manualLayout>
          </c:layout>
        </c:title>
        <c:numFmt formatCode="0.00" sourceLinked="0"/>
        <c:tickLblPos val="low"/>
        <c:spPr>
          <a:ln>
            <a:solidFill>
              <a:schemeClr val="tx1"/>
            </a:solidFill>
          </a:ln>
        </c:spPr>
        <c:txPr>
          <a:bodyPr/>
          <a:lstStyle/>
          <a:p>
            <a:pPr>
              <a:defRPr sz="800" b="1">
                <a:latin typeface="Times New Roman" pitchFamily="18" charset="0"/>
                <a:cs typeface="Times New Roman" pitchFamily="18" charset="0"/>
              </a:defRPr>
            </a:pPr>
            <a:endParaRPr lang="en-US"/>
          </a:p>
        </c:txPr>
        <c:crossAx val="127668608"/>
        <c:crosses val="autoZero"/>
        <c:crossBetween val="midCat"/>
        <c:majorUnit val="0.05"/>
      </c:valAx>
      <c:valAx>
        <c:axId val="127668608"/>
        <c:scaling>
          <c:orientation val="minMax"/>
          <c:max val="21"/>
          <c:min val="-21"/>
        </c:scaling>
        <c:axPos val="l"/>
        <c:majorGridlines>
          <c:spPr>
            <a:ln>
              <a:solidFill>
                <a:sysClr val="windowText" lastClr="000000"/>
              </a:solidFill>
            </a:ln>
          </c:spPr>
        </c:majorGridlines>
        <c:title>
          <c:tx>
            <c:rich>
              <a:bodyPr rot="-5400000" vert="horz"/>
              <a:lstStyle/>
              <a:p>
                <a:pPr>
                  <a:defRPr sz="1000"/>
                </a:pPr>
                <a:r>
                  <a:rPr lang="en-US" sz="1000">
                    <a:latin typeface="Times New Roman" pitchFamily="18" charset="0"/>
                    <a:cs typeface="Times New Roman" pitchFamily="18" charset="0"/>
                  </a:rPr>
                  <a:t>Distance From Horizontal Midplane (cm)</a:t>
                </a:r>
              </a:p>
            </c:rich>
          </c:tx>
        </c:title>
        <c:numFmt formatCode="General" sourceLinked="1"/>
        <c:majorTickMark val="none"/>
        <c:tickLblPos val="nextTo"/>
        <c:spPr>
          <a:ln>
            <a:solidFill>
              <a:sysClr val="windowText" lastClr="000000"/>
            </a:solidFill>
          </a:ln>
        </c:spPr>
        <c:txPr>
          <a:bodyPr/>
          <a:lstStyle/>
          <a:p>
            <a:pPr>
              <a:defRPr sz="800" b="1">
                <a:latin typeface="Times New Roman" pitchFamily="18" charset="0"/>
                <a:cs typeface="Times New Roman" pitchFamily="18" charset="0"/>
              </a:defRPr>
            </a:pPr>
            <a:endParaRPr lang="en-US"/>
          </a:p>
        </c:txPr>
        <c:crossAx val="127654144"/>
        <c:crosses val="autoZero"/>
        <c:crossBetween val="midCat"/>
        <c:majorUnit val="3"/>
      </c:valAx>
    </c:plotArea>
    <c:legend>
      <c:legendPos val="r"/>
      <c:legendEntry>
        <c:idx val="0"/>
        <c:txPr>
          <a:bodyPr/>
          <a:lstStyle/>
          <a:p>
            <a:pPr>
              <a:defRPr sz="1000">
                <a:latin typeface="Times New Roman" pitchFamily="18" charset="0"/>
                <a:cs typeface="Times New Roman" pitchFamily="18" charset="0"/>
              </a:defRPr>
            </a:pPr>
            <a:endParaRPr lang="en-US"/>
          </a:p>
        </c:txPr>
      </c:legendEntry>
      <c:legendEntry>
        <c:idx val="1"/>
        <c:txPr>
          <a:bodyPr/>
          <a:lstStyle/>
          <a:p>
            <a:pPr>
              <a:defRPr sz="1000">
                <a:latin typeface="Times New Roman" pitchFamily="18" charset="0"/>
                <a:cs typeface="Times New Roman" pitchFamily="18" charset="0"/>
              </a:defRPr>
            </a:pPr>
            <a:endParaRPr lang="en-US"/>
          </a:p>
        </c:txPr>
      </c:legendEntry>
      <c:layout>
        <c:manualLayout>
          <c:xMode val="edge"/>
          <c:yMode val="edge"/>
          <c:x val="0.17504864391951006"/>
          <c:y val="0.37728166332150193"/>
          <c:w val="0.19439580052493441"/>
          <c:h val="0.11889712315372343"/>
        </c:manualLayout>
      </c:layout>
      <c:overlay val="1"/>
      <c:spPr>
        <a:solidFill>
          <a:sysClr val="window" lastClr="FFFFFF"/>
        </a:solidFill>
        <a:ln>
          <a:solidFill>
            <a:sysClr val="windowText" lastClr="000000"/>
          </a:solidFill>
        </a:ln>
      </c:spPr>
      <c:txPr>
        <a:bodyPr/>
        <a:lstStyle/>
        <a:p>
          <a:pPr>
            <a:defRPr sz="1000">
              <a:latin typeface="Times New Roman" pitchFamily="18" charset="0"/>
              <a:cs typeface="Times New Roman" pitchFamily="18" charset="0"/>
            </a:defRPr>
          </a:pPr>
          <a:endParaRPr lang="en-US"/>
        </a:p>
      </c:txPr>
    </c:legend>
    <c:plotVisOnly val="1"/>
    <c:dispBlanksAs val="gap"/>
  </c:chart>
  <c:spPr>
    <a:ln>
      <a:solidFill>
        <a:sysClr val="windowText" lastClr="000000"/>
      </a:solidFill>
    </a:ln>
  </c:spPr>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1776717814119422"/>
          <c:y val="3.0555555555555582E-2"/>
          <c:w val="0.79758530183726206"/>
          <c:h val="0.84134711286089725"/>
        </c:manualLayout>
      </c:layout>
      <c:scatterChart>
        <c:scatterStyle val="lineMarker"/>
        <c:ser>
          <c:idx val="1"/>
          <c:order val="0"/>
          <c:tx>
            <c:v>VESTA keff</c:v>
          </c:tx>
          <c:spPr>
            <a:ln w="19050">
              <a:solidFill>
                <a:srgbClr val="0000FF"/>
              </a:solidFill>
            </a:ln>
          </c:spPr>
          <c:marker>
            <c:symbol val="star"/>
            <c:size val="8"/>
            <c:spPr>
              <a:noFill/>
              <a:ln>
                <a:solidFill>
                  <a:srgbClr val="0000FF"/>
                </a:solidFill>
              </a:ln>
            </c:spPr>
          </c:marker>
          <c:xVal>
            <c:numRef>
              <c:f>keff!$I$3:$I$25</c:f>
              <c:numCache>
                <c:formatCode>General</c:formatCode>
                <c:ptCount val="23"/>
                <c:pt idx="0">
                  <c:v>0</c:v>
                </c:pt>
                <c:pt idx="1">
                  <c:v>0.57013888888888964</c:v>
                </c:pt>
                <c:pt idx="2">
                  <c:v>1.3909722222222225</c:v>
                </c:pt>
                <c:pt idx="3">
                  <c:v>2.3909722222222225</c:v>
                </c:pt>
                <c:pt idx="4">
                  <c:v>3.3909722222222225</c:v>
                </c:pt>
                <c:pt idx="5">
                  <c:v>4.3909722222222225</c:v>
                </c:pt>
                <c:pt idx="6">
                  <c:v>5.3909722222222216</c:v>
                </c:pt>
                <c:pt idx="7">
                  <c:v>6.3909722222222216</c:v>
                </c:pt>
                <c:pt idx="8">
                  <c:v>7.3909722222222216</c:v>
                </c:pt>
                <c:pt idx="9">
                  <c:v>8.3909722222222225</c:v>
                </c:pt>
                <c:pt idx="10">
                  <c:v>9.3909722222222225</c:v>
                </c:pt>
                <c:pt idx="11">
                  <c:v>10.390972222222222</c:v>
                </c:pt>
                <c:pt idx="12">
                  <c:v>11.390972222222222</c:v>
                </c:pt>
                <c:pt idx="13">
                  <c:v>12.390972222222222</c:v>
                </c:pt>
                <c:pt idx="14">
                  <c:v>13.390972222222222</c:v>
                </c:pt>
                <c:pt idx="15">
                  <c:v>14.390972222222222</c:v>
                </c:pt>
                <c:pt idx="16">
                  <c:v>15.390972222222222</c:v>
                </c:pt>
                <c:pt idx="17">
                  <c:v>16.390972222222221</c:v>
                </c:pt>
                <c:pt idx="18">
                  <c:v>17.390972222222221</c:v>
                </c:pt>
                <c:pt idx="19">
                  <c:v>18.390972222222221</c:v>
                </c:pt>
                <c:pt idx="20">
                  <c:v>19.390972222222221</c:v>
                </c:pt>
                <c:pt idx="21">
                  <c:v>20.390972222222221</c:v>
                </c:pt>
                <c:pt idx="22">
                  <c:v>20.459999999999987</c:v>
                </c:pt>
              </c:numCache>
            </c:numRef>
          </c:xVal>
          <c:yVal>
            <c:numRef>
              <c:f>keff!$K$3:$K$25</c:f>
              <c:numCache>
                <c:formatCode>General</c:formatCode>
                <c:ptCount val="23"/>
                <c:pt idx="0">
                  <c:v>1.01637</c:v>
                </c:pt>
                <c:pt idx="1">
                  <c:v>1.0109899999999998</c:v>
                </c:pt>
                <c:pt idx="2">
                  <c:v>1.0116899999999998</c:v>
                </c:pt>
                <c:pt idx="3">
                  <c:v>1.0192299999999905</c:v>
                </c:pt>
                <c:pt idx="4">
                  <c:v>1.02027</c:v>
                </c:pt>
                <c:pt idx="5">
                  <c:v>1.0197999999999889</c:v>
                </c:pt>
                <c:pt idx="6">
                  <c:v>1.0198499999999917</c:v>
                </c:pt>
                <c:pt idx="7">
                  <c:v>1.0188699999999922</c:v>
                </c:pt>
                <c:pt idx="8">
                  <c:v>1.0183199999999999</c:v>
                </c:pt>
                <c:pt idx="9">
                  <c:v>1.0176099999999912</c:v>
                </c:pt>
                <c:pt idx="10">
                  <c:v>1.01664</c:v>
                </c:pt>
                <c:pt idx="11">
                  <c:v>1.0157899999999978</c:v>
                </c:pt>
                <c:pt idx="12">
                  <c:v>1.0144500000000001</c:v>
                </c:pt>
                <c:pt idx="13">
                  <c:v>1.0136099999999912</c:v>
                </c:pt>
                <c:pt idx="14">
                  <c:v>1.0123800000000001</c:v>
                </c:pt>
                <c:pt idx="15">
                  <c:v>1.0115399999999914</c:v>
                </c:pt>
                <c:pt idx="16">
                  <c:v>1.0099099999999905</c:v>
                </c:pt>
                <c:pt idx="17">
                  <c:v>1.00848</c:v>
                </c:pt>
                <c:pt idx="18">
                  <c:v>1.0074099999999913</c:v>
                </c:pt>
                <c:pt idx="19">
                  <c:v>1.0061199999999999</c:v>
                </c:pt>
                <c:pt idx="20">
                  <c:v>1.0047599999999999</c:v>
                </c:pt>
                <c:pt idx="21">
                  <c:v>1.0031599999999998</c:v>
                </c:pt>
                <c:pt idx="22">
                  <c:v>1.0035299999999889</c:v>
                </c:pt>
              </c:numCache>
            </c:numRef>
          </c:yVal>
        </c:ser>
        <c:ser>
          <c:idx val="2"/>
          <c:order val="1"/>
          <c:tx>
            <c:v>ALEPH keff</c:v>
          </c:tx>
          <c:spPr>
            <a:ln w="19050">
              <a:solidFill>
                <a:srgbClr val="FF0000"/>
              </a:solidFill>
            </a:ln>
          </c:spPr>
          <c:marker>
            <c:symbol val="triangle"/>
            <c:size val="8"/>
            <c:spPr>
              <a:solidFill>
                <a:srgbClr val="FF0000"/>
              </a:solidFill>
              <a:ln>
                <a:solidFill>
                  <a:srgbClr val="FF0000"/>
                </a:solidFill>
              </a:ln>
            </c:spPr>
          </c:marker>
          <c:xVal>
            <c:numRef>
              <c:f>keff!$R$3:$R$26</c:f>
              <c:numCache>
                <c:formatCode>General</c:formatCode>
                <c:ptCount val="24"/>
                <c:pt idx="0">
                  <c:v>0</c:v>
                </c:pt>
                <c:pt idx="1">
                  <c:v>0.19004629629629788</c:v>
                </c:pt>
                <c:pt idx="2">
                  <c:v>0.38009259259259282</c:v>
                </c:pt>
                <c:pt idx="3">
                  <c:v>0.57013888888888964</c:v>
                </c:pt>
                <c:pt idx="4">
                  <c:v>1.0253472222222222</c:v>
                </c:pt>
                <c:pt idx="5">
                  <c:v>1.4805555555555561</c:v>
                </c:pt>
                <c:pt idx="6">
                  <c:v>1.9357638888888886</c:v>
                </c:pt>
                <c:pt idx="7">
                  <c:v>2.3909722222222207</c:v>
                </c:pt>
                <c:pt idx="8">
                  <c:v>3.3909722222222207</c:v>
                </c:pt>
                <c:pt idx="9">
                  <c:v>5.3909722222222216</c:v>
                </c:pt>
                <c:pt idx="10">
                  <c:v>7.3909722222222216</c:v>
                </c:pt>
                <c:pt idx="11">
                  <c:v>9.3909722222222225</c:v>
                </c:pt>
                <c:pt idx="12">
                  <c:v>10.390972222222222</c:v>
                </c:pt>
                <c:pt idx="13">
                  <c:v>11.390972222222222</c:v>
                </c:pt>
                <c:pt idx="14">
                  <c:v>12.390972222222222</c:v>
                </c:pt>
                <c:pt idx="15">
                  <c:v>13.390972222222222</c:v>
                </c:pt>
                <c:pt idx="16">
                  <c:v>14.390972222222222</c:v>
                </c:pt>
                <c:pt idx="17">
                  <c:v>15.390972222222222</c:v>
                </c:pt>
                <c:pt idx="18">
                  <c:v>16.390972222222221</c:v>
                </c:pt>
                <c:pt idx="19">
                  <c:v>17.224305555555553</c:v>
                </c:pt>
                <c:pt idx="20">
                  <c:v>18.057638888888892</c:v>
                </c:pt>
                <c:pt idx="21">
                  <c:v>18.890972222222221</c:v>
                </c:pt>
                <c:pt idx="22">
                  <c:v>19.724305555555553</c:v>
                </c:pt>
                <c:pt idx="23">
                  <c:v>20.459999999999987</c:v>
                </c:pt>
              </c:numCache>
            </c:numRef>
          </c:xVal>
          <c:yVal>
            <c:numRef>
              <c:f>keff!$T$3:$T$26</c:f>
              <c:numCache>
                <c:formatCode>General</c:formatCode>
                <c:ptCount val="24"/>
                <c:pt idx="0">
                  <c:v>1.0217199999999922</c:v>
                </c:pt>
                <c:pt idx="1">
                  <c:v>1.0140499999999999</c:v>
                </c:pt>
                <c:pt idx="2">
                  <c:v>1.01325</c:v>
                </c:pt>
                <c:pt idx="3">
                  <c:v>1.0145899999999999</c:v>
                </c:pt>
                <c:pt idx="4">
                  <c:v>1.0133599999999998</c:v>
                </c:pt>
                <c:pt idx="5">
                  <c:v>1.0149999999999912</c:v>
                </c:pt>
                <c:pt idx="6">
                  <c:v>1.0183199999999999</c:v>
                </c:pt>
                <c:pt idx="7">
                  <c:v>1.0205500000000001</c:v>
                </c:pt>
                <c:pt idx="8">
                  <c:v>1.0218899999999922</c:v>
                </c:pt>
                <c:pt idx="9">
                  <c:v>1.0217599999999998</c:v>
                </c:pt>
                <c:pt idx="10">
                  <c:v>1.0201499999999999</c:v>
                </c:pt>
                <c:pt idx="11">
                  <c:v>1.0179699999999889</c:v>
                </c:pt>
                <c:pt idx="12">
                  <c:v>1.01701</c:v>
                </c:pt>
                <c:pt idx="13">
                  <c:v>1.0158399999999905</c:v>
                </c:pt>
                <c:pt idx="14">
                  <c:v>1.01485</c:v>
                </c:pt>
                <c:pt idx="15">
                  <c:v>1.0136199999999922</c:v>
                </c:pt>
                <c:pt idx="16">
                  <c:v>1.0126599999999999</c:v>
                </c:pt>
                <c:pt idx="17">
                  <c:v>1.0110899999999998</c:v>
                </c:pt>
                <c:pt idx="18">
                  <c:v>1.0102599999999999</c:v>
                </c:pt>
                <c:pt idx="19">
                  <c:v>1.0088299999999912</c:v>
                </c:pt>
                <c:pt idx="20">
                  <c:v>1.0076399999999905</c:v>
                </c:pt>
                <c:pt idx="21">
                  <c:v>1.00613</c:v>
                </c:pt>
                <c:pt idx="22">
                  <c:v>1.0044899999999999</c:v>
                </c:pt>
                <c:pt idx="23">
                  <c:v>1.0015299999999889</c:v>
                </c:pt>
              </c:numCache>
            </c:numRef>
          </c:yVal>
        </c:ser>
        <c:axId val="139093120"/>
        <c:axId val="139095040"/>
      </c:scatterChart>
      <c:scatterChart>
        <c:scatterStyle val="lineMarker"/>
        <c:ser>
          <c:idx val="0"/>
          <c:order val="2"/>
          <c:tx>
            <c:v>VESTA CE Location</c:v>
          </c:tx>
          <c:spPr>
            <a:ln w="25400">
              <a:solidFill>
                <a:srgbClr val="3399FF"/>
              </a:solidFill>
              <a:prstDash val="sysDash"/>
            </a:ln>
          </c:spPr>
          <c:marker>
            <c:symbol val="none"/>
          </c:marker>
          <c:xVal>
            <c:numRef>
              <c:f>keff!$N$2:$N$46</c:f>
              <c:numCache>
                <c:formatCode>0.00</c:formatCode>
                <c:ptCount val="45"/>
                <c:pt idx="0">
                  <c:v>0</c:v>
                </c:pt>
                <c:pt idx="1">
                  <c:v>0.57013888888888964</c:v>
                </c:pt>
                <c:pt idx="2">
                  <c:v>0.57013888888888964</c:v>
                </c:pt>
                <c:pt idx="3">
                  <c:v>1.3909722222222225</c:v>
                </c:pt>
                <c:pt idx="4">
                  <c:v>1.3909722222222225</c:v>
                </c:pt>
                <c:pt idx="5">
                  <c:v>2.3909722222222225</c:v>
                </c:pt>
                <c:pt idx="6">
                  <c:v>2.3909722222222225</c:v>
                </c:pt>
                <c:pt idx="7">
                  <c:v>3.3909722222222225</c:v>
                </c:pt>
                <c:pt idx="8">
                  <c:v>3.3909722222222225</c:v>
                </c:pt>
                <c:pt idx="9">
                  <c:v>4.3909722222222225</c:v>
                </c:pt>
                <c:pt idx="10">
                  <c:v>4.3909722222222225</c:v>
                </c:pt>
                <c:pt idx="11">
                  <c:v>5.3909722222222216</c:v>
                </c:pt>
                <c:pt idx="12">
                  <c:v>5.3909722222222216</c:v>
                </c:pt>
                <c:pt idx="13">
                  <c:v>6.3909722222222216</c:v>
                </c:pt>
                <c:pt idx="14">
                  <c:v>6.3909722222222216</c:v>
                </c:pt>
                <c:pt idx="15">
                  <c:v>7.3909722222222216</c:v>
                </c:pt>
                <c:pt idx="16">
                  <c:v>7.3909722222222216</c:v>
                </c:pt>
                <c:pt idx="17">
                  <c:v>8.3909722222222225</c:v>
                </c:pt>
                <c:pt idx="18">
                  <c:v>8.3909722222222225</c:v>
                </c:pt>
                <c:pt idx="19">
                  <c:v>9.3909722222222225</c:v>
                </c:pt>
                <c:pt idx="20">
                  <c:v>9.3909722222222225</c:v>
                </c:pt>
                <c:pt idx="21">
                  <c:v>10.390972222222222</c:v>
                </c:pt>
                <c:pt idx="22">
                  <c:v>10.390972222222222</c:v>
                </c:pt>
                <c:pt idx="23">
                  <c:v>11.390972222222222</c:v>
                </c:pt>
                <c:pt idx="24">
                  <c:v>11.390972222222222</c:v>
                </c:pt>
                <c:pt idx="25">
                  <c:v>12.390972222222222</c:v>
                </c:pt>
                <c:pt idx="26">
                  <c:v>12.390972222222222</c:v>
                </c:pt>
                <c:pt idx="27">
                  <c:v>13.390972222222222</c:v>
                </c:pt>
                <c:pt idx="28">
                  <c:v>13.390972222222222</c:v>
                </c:pt>
                <c:pt idx="29">
                  <c:v>14.390972222222222</c:v>
                </c:pt>
                <c:pt idx="30">
                  <c:v>14.390972222222222</c:v>
                </c:pt>
                <c:pt idx="31">
                  <c:v>15.390972222222222</c:v>
                </c:pt>
                <c:pt idx="32">
                  <c:v>15.390972222222222</c:v>
                </c:pt>
                <c:pt idx="33">
                  <c:v>16.390972222222221</c:v>
                </c:pt>
                <c:pt idx="34">
                  <c:v>16.390972222222221</c:v>
                </c:pt>
                <c:pt idx="35">
                  <c:v>17.390972222222221</c:v>
                </c:pt>
                <c:pt idx="36">
                  <c:v>17.390972222222221</c:v>
                </c:pt>
                <c:pt idx="37">
                  <c:v>18.390972222222221</c:v>
                </c:pt>
                <c:pt idx="38">
                  <c:v>18.390972222222221</c:v>
                </c:pt>
                <c:pt idx="39">
                  <c:v>19.390972222222221</c:v>
                </c:pt>
                <c:pt idx="40">
                  <c:v>19.390972222222221</c:v>
                </c:pt>
                <c:pt idx="41">
                  <c:v>20.390972222222221</c:v>
                </c:pt>
                <c:pt idx="42">
                  <c:v>20.390972222222221</c:v>
                </c:pt>
                <c:pt idx="43">
                  <c:v>20.459999999999987</c:v>
                </c:pt>
                <c:pt idx="44">
                  <c:v>20.459999999999987</c:v>
                </c:pt>
              </c:numCache>
            </c:numRef>
          </c:xVal>
          <c:yVal>
            <c:numRef>
              <c:f>keff!$O$2:$O$46</c:f>
              <c:numCache>
                <c:formatCode>0.000</c:formatCode>
                <c:ptCount val="45"/>
                <c:pt idx="0">
                  <c:v>46.550580000000004</c:v>
                </c:pt>
                <c:pt idx="1">
                  <c:v>46.550580000000004</c:v>
                </c:pt>
                <c:pt idx="2">
                  <c:v>50.076100000000011</c:v>
                </c:pt>
                <c:pt idx="3">
                  <c:v>50.076100000000011</c:v>
                </c:pt>
                <c:pt idx="4">
                  <c:v>51.600100000000012</c:v>
                </c:pt>
                <c:pt idx="5">
                  <c:v>51.600100000000012</c:v>
                </c:pt>
                <c:pt idx="6">
                  <c:v>53.073300000000003</c:v>
                </c:pt>
                <c:pt idx="7">
                  <c:v>53.073300000000003</c:v>
                </c:pt>
                <c:pt idx="8">
                  <c:v>53.390800000000006</c:v>
                </c:pt>
                <c:pt idx="9">
                  <c:v>53.390800000000006</c:v>
                </c:pt>
                <c:pt idx="10">
                  <c:v>53.581299999999999</c:v>
                </c:pt>
                <c:pt idx="11">
                  <c:v>53.581299999999999</c:v>
                </c:pt>
                <c:pt idx="12">
                  <c:v>53.746400000000001</c:v>
                </c:pt>
                <c:pt idx="13">
                  <c:v>53.746400000000001</c:v>
                </c:pt>
                <c:pt idx="14">
                  <c:v>53.903879999999994</c:v>
                </c:pt>
                <c:pt idx="15">
                  <c:v>53.903879999999994</c:v>
                </c:pt>
                <c:pt idx="16">
                  <c:v>54.124860000000005</c:v>
                </c:pt>
                <c:pt idx="17">
                  <c:v>54.124860000000005</c:v>
                </c:pt>
                <c:pt idx="18">
                  <c:v>54.381399999999999</c:v>
                </c:pt>
                <c:pt idx="19">
                  <c:v>54.381399999999999</c:v>
                </c:pt>
                <c:pt idx="20">
                  <c:v>54.660800000000002</c:v>
                </c:pt>
                <c:pt idx="21">
                  <c:v>54.660800000000002</c:v>
                </c:pt>
                <c:pt idx="22">
                  <c:v>55.018940000000008</c:v>
                </c:pt>
                <c:pt idx="23">
                  <c:v>55.018940000000008</c:v>
                </c:pt>
                <c:pt idx="24">
                  <c:v>55.382160000000006</c:v>
                </c:pt>
                <c:pt idx="25">
                  <c:v>55.382160000000006</c:v>
                </c:pt>
                <c:pt idx="26">
                  <c:v>55.892700000000012</c:v>
                </c:pt>
                <c:pt idx="27">
                  <c:v>55.892700000000012</c:v>
                </c:pt>
                <c:pt idx="28">
                  <c:v>56.421020000000006</c:v>
                </c:pt>
                <c:pt idx="29">
                  <c:v>56.421020000000006</c:v>
                </c:pt>
                <c:pt idx="30">
                  <c:v>57.017920000000004</c:v>
                </c:pt>
                <c:pt idx="31">
                  <c:v>57.017920000000004</c:v>
                </c:pt>
                <c:pt idx="32">
                  <c:v>57.701180000000001</c:v>
                </c:pt>
                <c:pt idx="33">
                  <c:v>57.701180000000001</c:v>
                </c:pt>
                <c:pt idx="34">
                  <c:v>58.470800000000004</c:v>
                </c:pt>
                <c:pt idx="35">
                  <c:v>58.470800000000004</c:v>
                </c:pt>
                <c:pt idx="36">
                  <c:v>59.334399999999995</c:v>
                </c:pt>
                <c:pt idx="37">
                  <c:v>59.334399999999995</c:v>
                </c:pt>
                <c:pt idx="38">
                  <c:v>60.286900000000003</c:v>
                </c:pt>
                <c:pt idx="39">
                  <c:v>60.286900000000003</c:v>
                </c:pt>
                <c:pt idx="40">
                  <c:v>61.417199999999994</c:v>
                </c:pt>
                <c:pt idx="41">
                  <c:v>61.417199999999994</c:v>
                </c:pt>
                <c:pt idx="42">
                  <c:v>62.687200000000004</c:v>
                </c:pt>
                <c:pt idx="43">
                  <c:v>62.687200000000004</c:v>
                </c:pt>
                <c:pt idx="44">
                  <c:v>62.774868099999999</c:v>
                </c:pt>
              </c:numCache>
            </c:numRef>
          </c:yVal>
        </c:ser>
        <c:ser>
          <c:idx val="3"/>
          <c:order val="3"/>
          <c:tx>
            <c:v>ALEPH CE Location</c:v>
          </c:tx>
          <c:spPr>
            <a:ln w="25400">
              <a:solidFill>
                <a:srgbClr val="FF6600"/>
              </a:solidFill>
              <a:prstDash val="sysDash"/>
            </a:ln>
          </c:spPr>
          <c:marker>
            <c:symbol val="none"/>
          </c:marker>
          <c:xVal>
            <c:numRef>
              <c:f>keff!$W$2:$W$48</c:f>
              <c:numCache>
                <c:formatCode>0.00</c:formatCode>
                <c:ptCount val="47"/>
                <c:pt idx="0">
                  <c:v>0</c:v>
                </c:pt>
                <c:pt idx="1">
                  <c:v>0.19004629629629788</c:v>
                </c:pt>
                <c:pt idx="2">
                  <c:v>0.19004629629629788</c:v>
                </c:pt>
                <c:pt idx="3">
                  <c:v>0.38009259259259282</c:v>
                </c:pt>
                <c:pt idx="4">
                  <c:v>0.38009259259259282</c:v>
                </c:pt>
                <c:pt idx="5">
                  <c:v>0.57013888888888964</c:v>
                </c:pt>
                <c:pt idx="6">
                  <c:v>0.57013888888888964</c:v>
                </c:pt>
                <c:pt idx="7">
                  <c:v>1.0253472222222222</c:v>
                </c:pt>
                <c:pt idx="8">
                  <c:v>1.0253472222222222</c:v>
                </c:pt>
                <c:pt idx="9">
                  <c:v>1.4805555555555561</c:v>
                </c:pt>
                <c:pt idx="10">
                  <c:v>1.4805555555555561</c:v>
                </c:pt>
                <c:pt idx="11">
                  <c:v>1.9357638888888886</c:v>
                </c:pt>
                <c:pt idx="12">
                  <c:v>1.9357638888888886</c:v>
                </c:pt>
                <c:pt idx="13">
                  <c:v>2.3909722222222207</c:v>
                </c:pt>
                <c:pt idx="14">
                  <c:v>2.3909722222222207</c:v>
                </c:pt>
                <c:pt idx="15">
                  <c:v>3.3909722222222207</c:v>
                </c:pt>
                <c:pt idx="16">
                  <c:v>3.3909722222222207</c:v>
                </c:pt>
                <c:pt idx="17">
                  <c:v>5.3909722222222216</c:v>
                </c:pt>
                <c:pt idx="18">
                  <c:v>5.3909722222222216</c:v>
                </c:pt>
                <c:pt idx="19">
                  <c:v>7.3909722222222216</c:v>
                </c:pt>
                <c:pt idx="20">
                  <c:v>7.3909722222222216</c:v>
                </c:pt>
                <c:pt idx="21">
                  <c:v>9.3909722222222225</c:v>
                </c:pt>
                <c:pt idx="22">
                  <c:v>9.3909722222222225</c:v>
                </c:pt>
                <c:pt idx="23">
                  <c:v>10.390972222222222</c:v>
                </c:pt>
                <c:pt idx="24">
                  <c:v>10.390972222222222</c:v>
                </c:pt>
                <c:pt idx="25">
                  <c:v>11.390972222222222</c:v>
                </c:pt>
                <c:pt idx="26">
                  <c:v>11.390972222222222</c:v>
                </c:pt>
                <c:pt idx="27">
                  <c:v>12.390972222222222</c:v>
                </c:pt>
                <c:pt idx="28">
                  <c:v>12.390972222222222</c:v>
                </c:pt>
                <c:pt idx="29">
                  <c:v>13.390972222222222</c:v>
                </c:pt>
                <c:pt idx="30">
                  <c:v>13.390972222222222</c:v>
                </c:pt>
                <c:pt idx="31">
                  <c:v>14.390972222222222</c:v>
                </c:pt>
                <c:pt idx="32">
                  <c:v>14.390972222222222</c:v>
                </c:pt>
                <c:pt idx="33">
                  <c:v>15.390972222222222</c:v>
                </c:pt>
                <c:pt idx="34">
                  <c:v>15.390972222222222</c:v>
                </c:pt>
                <c:pt idx="35">
                  <c:v>16.390972222222221</c:v>
                </c:pt>
                <c:pt idx="36">
                  <c:v>16.390972222222221</c:v>
                </c:pt>
                <c:pt idx="37">
                  <c:v>17.224305555555553</c:v>
                </c:pt>
                <c:pt idx="38">
                  <c:v>17.224305555555553</c:v>
                </c:pt>
                <c:pt idx="39">
                  <c:v>18.057638888888892</c:v>
                </c:pt>
                <c:pt idx="40">
                  <c:v>18.057638888888892</c:v>
                </c:pt>
                <c:pt idx="41">
                  <c:v>18.890972222222221</c:v>
                </c:pt>
                <c:pt idx="42">
                  <c:v>18.890972222222221</c:v>
                </c:pt>
                <c:pt idx="43">
                  <c:v>19.724305555555553</c:v>
                </c:pt>
                <c:pt idx="44">
                  <c:v>19.724305555555553</c:v>
                </c:pt>
                <c:pt idx="45">
                  <c:v>20.459999999999987</c:v>
                </c:pt>
                <c:pt idx="46">
                  <c:v>20.459999999999987</c:v>
                </c:pt>
              </c:numCache>
            </c:numRef>
          </c:xVal>
          <c:yVal>
            <c:numRef>
              <c:f>keff!$X$2:$X$48</c:f>
              <c:numCache>
                <c:formatCode>0.000</c:formatCode>
                <c:ptCount val="47"/>
                <c:pt idx="0">
                  <c:v>47.138166666666407</c:v>
                </c:pt>
                <c:pt idx="1">
                  <c:v>47.138166666666407</c:v>
                </c:pt>
                <c:pt idx="2">
                  <c:v>48.313340000000004</c:v>
                </c:pt>
                <c:pt idx="3">
                  <c:v>48.313340000000004</c:v>
                </c:pt>
                <c:pt idx="4">
                  <c:v>49.488513333333337</c:v>
                </c:pt>
                <c:pt idx="5">
                  <c:v>49.488513333333337</c:v>
                </c:pt>
                <c:pt idx="6">
                  <c:v>50.516204201580095</c:v>
                </c:pt>
                <c:pt idx="7">
                  <c:v>50.516204201580095</c:v>
                </c:pt>
                <c:pt idx="8">
                  <c:v>51.352777087533291</c:v>
                </c:pt>
                <c:pt idx="9">
                  <c:v>51.352777087533291</c:v>
                </c:pt>
                <c:pt idx="10">
                  <c:v>52.102077073000004</c:v>
                </c:pt>
                <c:pt idx="11">
                  <c:v>52.102077073000004</c:v>
                </c:pt>
                <c:pt idx="12">
                  <c:v>52.76410229190553</c:v>
                </c:pt>
                <c:pt idx="13">
                  <c:v>52.76410229190553</c:v>
                </c:pt>
                <c:pt idx="14">
                  <c:v>53.205755959010361</c:v>
                </c:pt>
                <c:pt idx="15">
                  <c:v>53.205755959010361</c:v>
                </c:pt>
                <c:pt idx="16">
                  <c:v>53.532807924663544</c:v>
                </c:pt>
                <c:pt idx="17">
                  <c:v>53.532807924663544</c:v>
                </c:pt>
                <c:pt idx="18">
                  <c:v>53.939152490769963</c:v>
                </c:pt>
                <c:pt idx="19">
                  <c:v>53.939152490769963</c:v>
                </c:pt>
                <c:pt idx="20">
                  <c:v>54.419147681252973</c:v>
                </c:pt>
                <c:pt idx="21">
                  <c:v>54.419147681252973</c:v>
                </c:pt>
                <c:pt idx="22">
                  <c:v>54.854255604015194</c:v>
                </c:pt>
                <c:pt idx="23">
                  <c:v>54.854255604015194</c:v>
                </c:pt>
                <c:pt idx="24">
                  <c:v>55.215645888208314</c:v>
                </c:pt>
                <c:pt idx="25">
                  <c:v>55.215645888208314</c:v>
                </c:pt>
                <c:pt idx="26">
                  <c:v>55.636520812195513</c:v>
                </c:pt>
                <c:pt idx="27">
                  <c:v>55.636520812195513</c:v>
                </c:pt>
                <c:pt idx="28">
                  <c:v>56.12504208716328</c:v>
                </c:pt>
                <c:pt idx="29">
                  <c:v>56.12504208716328</c:v>
                </c:pt>
                <c:pt idx="30">
                  <c:v>56.689037248656476</c:v>
                </c:pt>
                <c:pt idx="31">
                  <c:v>56.689037248656476</c:v>
                </c:pt>
                <c:pt idx="32">
                  <c:v>57.335999656576114</c:v>
                </c:pt>
                <c:pt idx="33">
                  <c:v>57.335999656576114</c:v>
                </c:pt>
                <c:pt idx="34">
                  <c:v>58.073088495180265</c:v>
                </c:pt>
                <c:pt idx="35">
                  <c:v>58.073088495180265</c:v>
                </c:pt>
                <c:pt idx="36">
                  <c:v>58.82982885569087</c:v>
                </c:pt>
                <c:pt idx="37">
                  <c:v>58.82982885569087</c:v>
                </c:pt>
                <c:pt idx="38">
                  <c:v>59.596069881665876</c:v>
                </c:pt>
                <c:pt idx="39">
                  <c:v>59.596069881665876</c:v>
                </c:pt>
                <c:pt idx="40">
                  <c:v>60.437388940273522</c:v>
                </c:pt>
                <c:pt idx="41">
                  <c:v>60.437388940273522</c:v>
                </c:pt>
                <c:pt idx="42">
                  <c:v>61.357219986125038</c:v>
                </c:pt>
                <c:pt idx="43">
                  <c:v>61.357219986125038</c:v>
                </c:pt>
                <c:pt idx="44">
                  <c:v>62.295509331575182</c:v>
                </c:pt>
                <c:pt idx="45">
                  <c:v>62.295509331575182</c:v>
                </c:pt>
                <c:pt idx="46">
                  <c:v>62.774868099999999</c:v>
                </c:pt>
              </c:numCache>
            </c:numRef>
          </c:yVal>
        </c:ser>
        <c:ser>
          <c:idx val="4"/>
          <c:order val="4"/>
          <c:tx>
            <c:v>Logged CE Location</c:v>
          </c:tx>
          <c:spPr>
            <a:ln w="31750">
              <a:solidFill>
                <a:schemeClr val="tx1"/>
              </a:solidFill>
              <a:prstDash val="sysDot"/>
            </a:ln>
          </c:spPr>
          <c:marker>
            <c:symbol val="none"/>
          </c:marker>
          <c:xVal>
            <c:numRef>
              <c:f>cy4CEs!$F$3:$F$25</c:f>
              <c:numCache>
                <c:formatCode>General</c:formatCode>
                <c:ptCount val="23"/>
                <c:pt idx="0">
                  <c:v>0</c:v>
                </c:pt>
                <c:pt idx="1">
                  <c:v>0.57013888888888964</c:v>
                </c:pt>
                <c:pt idx="2">
                  <c:v>1.3909722222222225</c:v>
                </c:pt>
                <c:pt idx="3">
                  <c:v>2.3909722222222225</c:v>
                </c:pt>
                <c:pt idx="4">
                  <c:v>3.3909722222222225</c:v>
                </c:pt>
                <c:pt idx="5">
                  <c:v>4.3909722222222225</c:v>
                </c:pt>
                <c:pt idx="6">
                  <c:v>5.3909722222222216</c:v>
                </c:pt>
                <c:pt idx="7">
                  <c:v>6.3909722222222216</c:v>
                </c:pt>
                <c:pt idx="8">
                  <c:v>7.3909722222222216</c:v>
                </c:pt>
                <c:pt idx="9">
                  <c:v>8.3909722222222225</c:v>
                </c:pt>
                <c:pt idx="10">
                  <c:v>9.3909722222222225</c:v>
                </c:pt>
                <c:pt idx="11">
                  <c:v>10.390972222222222</c:v>
                </c:pt>
                <c:pt idx="12">
                  <c:v>11.390972222222222</c:v>
                </c:pt>
                <c:pt idx="13">
                  <c:v>12.390972222222222</c:v>
                </c:pt>
                <c:pt idx="14">
                  <c:v>13.390972222222222</c:v>
                </c:pt>
                <c:pt idx="15">
                  <c:v>14.390972222222222</c:v>
                </c:pt>
                <c:pt idx="16">
                  <c:v>15.390972222222222</c:v>
                </c:pt>
                <c:pt idx="17">
                  <c:v>16.390972222222221</c:v>
                </c:pt>
                <c:pt idx="18">
                  <c:v>17.390972222222221</c:v>
                </c:pt>
                <c:pt idx="19">
                  <c:v>18.390972222222221</c:v>
                </c:pt>
                <c:pt idx="20">
                  <c:v>19.390972222222221</c:v>
                </c:pt>
                <c:pt idx="21">
                  <c:v>20.390972222222221</c:v>
                </c:pt>
                <c:pt idx="22">
                  <c:v>20.459999999999987</c:v>
                </c:pt>
              </c:numCache>
            </c:numRef>
          </c:xVal>
          <c:yVal>
            <c:numRef>
              <c:f>cy4CEs!$E$3:$E$25</c:f>
              <c:numCache>
                <c:formatCode>0.00000</c:formatCode>
                <c:ptCount val="23"/>
                <c:pt idx="0">
                  <c:v>46.550580000000004</c:v>
                </c:pt>
                <c:pt idx="1">
                  <c:v>50.076100000000011</c:v>
                </c:pt>
                <c:pt idx="2">
                  <c:v>51.600100000000012</c:v>
                </c:pt>
                <c:pt idx="3">
                  <c:v>53.073300000000003</c:v>
                </c:pt>
                <c:pt idx="4">
                  <c:v>53.390800000000006</c:v>
                </c:pt>
                <c:pt idx="5">
                  <c:v>53.581299999999999</c:v>
                </c:pt>
                <c:pt idx="6">
                  <c:v>53.746400000000001</c:v>
                </c:pt>
                <c:pt idx="7">
                  <c:v>53.903879999999994</c:v>
                </c:pt>
                <c:pt idx="8">
                  <c:v>54.124860000000005</c:v>
                </c:pt>
                <c:pt idx="9">
                  <c:v>54.381399999999999</c:v>
                </c:pt>
                <c:pt idx="10">
                  <c:v>54.660800000000002</c:v>
                </c:pt>
                <c:pt idx="11">
                  <c:v>55.018940000000008</c:v>
                </c:pt>
                <c:pt idx="12">
                  <c:v>55.382160000000006</c:v>
                </c:pt>
                <c:pt idx="13">
                  <c:v>55.892700000000012</c:v>
                </c:pt>
                <c:pt idx="14">
                  <c:v>56.421020000000006</c:v>
                </c:pt>
                <c:pt idx="15">
                  <c:v>57.017920000000004</c:v>
                </c:pt>
                <c:pt idx="16">
                  <c:v>57.701180000000001</c:v>
                </c:pt>
                <c:pt idx="17">
                  <c:v>58.470800000000004</c:v>
                </c:pt>
                <c:pt idx="18">
                  <c:v>59.334399999999995</c:v>
                </c:pt>
                <c:pt idx="19">
                  <c:v>60.286900000000003</c:v>
                </c:pt>
                <c:pt idx="20">
                  <c:v>61.417199999999994</c:v>
                </c:pt>
                <c:pt idx="21">
                  <c:v>62.687200000000004</c:v>
                </c:pt>
                <c:pt idx="22">
                  <c:v>62.774868099999999</c:v>
                </c:pt>
              </c:numCache>
            </c:numRef>
          </c:yVal>
        </c:ser>
        <c:axId val="139099136"/>
        <c:axId val="139097216"/>
      </c:scatterChart>
      <c:valAx>
        <c:axId val="139093120"/>
        <c:scaling>
          <c:orientation val="minMax"/>
        </c:scaling>
        <c:axPos val="b"/>
        <c:majorGridlines>
          <c:spPr>
            <a:ln>
              <a:solidFill>
                <a:sysClr val="windowText" lastClr="000000"/>
              </a:solidFill>
            </a:ln>
          </c:spPr>
        </c:majorGridlines>
        <c:title>
          <c:tx>
            <c:rich>
              <a:bodyPr/>
              <a:lstStyle/>
              <a:p>
                <a:pPr>
                  <a:defRPr sz="1100"/>
                </a:pPr>
                <a:r>
                  <a:rPr lang="en-US" sz="1100"/>
                  <a:t>Days into Cycle 4</a:t>
                </a:r>
              </a:p>
            </c:rich>
          </c:tx>
          <c:layout>
            <c:manualLayout>
              <c:xMode val="edge"/>
              <c:yMode val="edge"/>
              <c:x val="0.42101487314086328"/>
              <c:y val="0.94196762904636533"/>
            </c:manualLayout>
          </c:layout>
        </c:title>
        <c:numFmt formatCode="#,##0.0" sourceLinked="0"/>
        <c:tickLblPos val="nextTo"/>
        <c:spPr>
          <a:ln>
            <a:solidFill>
              <a:sysClr val="windowText" lastClr="000000"/>
            </a:solidFill>
          </a:ln>
        </c:spPr>
        <c:crossAx val="139095040"/>
        <c:crosses val="autoZero"/>
        <c:crossBetween val="midCat"/>
        <c:majorUnit val="2.5"/>
      </c:valAx>
      <c:valAx>
        <c:axId val="139095040"/>
        <c:scaling>
          <c:orientation val="minMax"/>
          <c:max val="1.0249999999999913"/>
          <c:min val="1"/>
        </c:scaling>
        <c:axPos val="l"/>
        <c:majorGridlines>
          <c:spPr>
            <a:ln>
              <a:solidFill>
                <a:sysClr val="windowText" lastClr="000000"/>
              </a:solidFill>
            </a:ln>
          </c:spPr>
        </c:majorGridlines>
        <c:title>
          <c:tx>
            <c:rich>
              <a:bodyPr rot="-5400000" vert="horz"/>
              <a:lstStyle/>
              <a:p>
                <a:pPr>
                  <a:defRPr sz="1100"/>
                </a:pPr>
                <a:r>
                  <a:rPr lang="en-US" sz="1100"/>
                  <a:t>k</a:t>
                </a:r>
                <a:r>
                  <a:rPr lang="en-US" sz="1100" baseline="-25000"/>
                  <a:t>eff</a:t>
                </a:r>
              </a:p>
            </c:rich>
          </c:tx>
          <c:layout>
            <c:manualLayout>
              <c:xMode val="edge"/>
              <c:yMode val="edge"/>
              <c:x val="6.4102143482064741E-3"/>
              <c:y val="0.40812957590827625"/>
            </c:manualLayout>
          </c:layout>
        </c:title>
        <c:numFmt formatCode="#,##0.000" sourceLinked="0"/>
        <c:tickLblPos val="nextTo"/>
        <c:spPr>
          <a:ln>
            <a:solidFill>
              <a:sysClr val="windowText" lastClr="000000"/>
            </a:solidFill>
          </a:ln>
        </c:spPr>
        <c:crossAx val="139093120"/>
        <c:crosses val="autoZero"/>
        <c:crossBetween val="midCat"/>
        <c:majorUnit val="2.5000000000000092E-3"/>
      </c:valAx>
      <c:valAx>
        <c:axId val="139097216"/>
        <c:scaling>
          <c:orientation val="minMax"/>
          <c:max val="65"/>
          <c:min val="45"/>
        </c:scaling>
        <c:axPos val="r"/>
        <c:title>
          <c:tx>
            <c:rich>
              <a:bodyPr rot="-5400000" vert="horz"/>
              <a:lstStyle/>
              <a:p>
                <a:pPr>
                  <a:defRPr sz="1100"/>
                </a:pPr>
                <a:r>
                  <a:rPr lang="en-US" sz="1100"/>
                  <a:t>Distance from Core Axial Midplane (cm)</a:t>
                </a:r>
              </a:p>
            </c:rich>
          </c:tx>
          <c:layout>
            <c:manualLayout>
              <c:xMode val="edge"/>
              <c:yMode val="edge"/>
              <c:x val="0.96283118256051603"/>
              <c:y val="0.15431027536031691"/>
            </c:manualLayout>
          </c:layout>
        </c:title>
        <c:numFmt formatCode="0" sourceLinked="0"/>
        <c:tickLblPos val="nextTo"/>
        <c:spPr>
          <a:ln>
            <a:solidFill>
              <a:schemeClr val="tx1"/>
            </a:solidFill>
          </a:ln>
        </c:spPr>
        <c:crossAx val="139099136"/>
        <c:crosses val="max"/>
        <c:crossBetween val="midCat"/>
        <c:majorUnit val="2"/>
      </c:valAx>
      <c:valAx>
        <c:axId val="139099136"/>
        <c:scaling>
          <c:orientation val="minMax"/>
        </c:scaling>
        <c:delete val="1"/>
        <c:axPos val="b"/>
        <c:numFmt formatCode="0.00" sourceLinked="1"/>
        <c:tickLblPos val="none"/>
        <c:crossAx val="139097216"/>
        <c:crosses val="autoZero"/>
        <c:crossBetween val="midCat"/>
      </c:valAx>
    </c:plotArea>
    <c:legend>
      <c:legendPos val="r"/>
      <c:layout>
        <c:manualLayout>
          <c:xMode val="edge"/>
          <c:yMode val="edge"/>
          <c:x val="0.44267351997666982"/>
          <c:y val="1.7389314822489295E-2"/>
          <c:w val="0.29323308544765236"/>
          <c:h val="0.22998774001933991"/>
        </c:manualLayout>
      </c:layout>
      <c:overlay val="1"/>
      <c:spPr>
        <a:solidFill>
          <a:schemeClr val="bg1"/>
        </a:solidFill>
        <a:ln>
          <a:solidFill>
            <a:schemeClr val="tx1"/>
          </a:solidFill>
        </a:ln>
      </c:spPr>
    </c:legend>
    <c:plotVisOnly val="1"/>
    <c:dispBlanksAs val="gap"/>
  </c:chart>
  <c:spPr>
    <a:ln>
      <a:solidFill>
        <a:sysClr val="windowText" lastClr="000000"/>
      </a:solidFill>
    </a:ln>
  </c:spPr>
  <c:txPr>
    <a:bodyPr/>
    <a:lstStyle/>
    <a:p>
      <a:pPr>
        <a:defRPr sz="1000">
          <a:latin typeface="Times New Roman" pitchFamily="18" charset="0"/>
          <a:cs typeface="Times New Roman" pitchFamily="18" charset="0"/>
        </a:defRPr>
      </a:pPr>
      <a:endParaRPr lang="en-US"/>
    </a:p>
  </c:txPr>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2087744240303309"/>
          <c:y val="2.1296296296296278E-2"/>
          <c:w val="0.76156897054534844"/>
          <c:h val="0.85886756342957815"/>
        </c:manualLayout>
      </c:layout>
      <c:scatterChart>
        <c:scatterStyle val="lineMarker"/>
        <c:ser>
          <c:idx val="1"/>
          <c:order val="0"/>
          <c:tx>
            <c:v>VESTA keff</c:v>
          </c:tx>
          <c:spPr>
            <a:ln w="19050">
              <a:solidFill>
                <a:srgbClr val="0000FF"/>
              </a:solidFill>
            </a:ln>
          </c:spPr>
          <c:marker>
            <c:symbol val="star"/>
            <c:size val="8"/>
            <c:spPr>
              <a:noFill/>
              <a:ln>
                <a:solidFill>
                  <a:srgbClr val="0000FF"/>
                </a:solidFill>
              </a:ln>
            </c:spPr>
          </c:marker>
          <c:xVal>
            <c:numRef>
              <c:f>keff!$I$3:$I$28</c:f>
              <c:numCache>
                <c:formatCode>General</c:formatCode>
                <c:ptCount val="26"/>
                <c:pt idx="0">
                  <c:v>0</c:v>
                </c:pt>
                <c:pt idx="1">
                  <c:v>0.5</c:v>
                </c:pt>
                <c:pt idx="2">
                  <c:v>1.1599999999999875</c:v>
                </c:pt>
                <c:pt idx="3">
                  <c:v>1.83</c:v>
                </c:pt>
                <c:pt idx="4">
                  <c:v>2.8299999999999987</c:v>
                </c:pt>
                <c:pt idx="5">
                  <c:v>3.8299999999999987</c:v>
                </c:pt>
                <c:pt idx="6">
                  <c:v>4.83</c:v>
                </c:pt>
                <c:pt idx="7">
                  <c:v>5.83</c:v>
                </c:pt>
                <c:pt idx="8">
                  <c:v>6.83</c:v>
                </c:pt>
                <c:pt idx="9">
                  <c:v>7.83</c:v>
                </c:pt>
                <c:pt idx="10">
                  <c:v>8.8700000000000028</c:v>
                </c:pt>
                <c:pt idx="11">
                  <c:v>9.8700000000000028</c:v>
                </c:pt>
                <c:pt idx="12">
                  <c:v>10.83</c:v>
                </c:pt>
                <c:pt idx="13">
                  <c:v>11.89</c:v>
                </c:pt>
                <c:pt idx="14">
                  <c:v>12.67</c:v>
                </c:pt>
                <c:pt idx="15">
                  <c:v>13.67</c:v>
                </c:pt>
                <c:pt idx="16">
                  <c:v>14.89</c:v>
                </c:pt>
                <c:pt idx="17">
                  <c:v>15.870000000000006</c:v>
                </c:pt>
                <c:pt idx="18">
                  <c:v>16.829999999999988</c:v>
                </c:pt>
                <c:pt idx="19">
                  <c:v>17.829999999999988</c:v>
                </c:pt>
                <c:pt idx="20">
                  <c:v>18.87</c:v>
                </c:pt>
                <c:pt idx="21">
                  <c:v>19.829999999999988</c:v>
                </c:pt>
                <c:pt idx="22">
                  <c:v>20.89</c:v>
                </c:pt>
                <c:pt idx="23">
                  <c:v>21.830000000000005</c:v>
                </c:pt>
                <c:pt idx="24">
                  <c:v>22.830000000000005</c:v>
                </c:pt>
                <c:pt idx="25">
                  <c:v>23.09</c:v>
                </c:pt>
              </c:numCache>
            </c:numRef>
          </c:xVal>
          <c:yVal>
            <c:numRef>
              <c:f>keff!$K$3:$K$28</c:f>
              <c:numCache>
                <c:formatCode>General</c:formatCode>
                <c:ptCount val="26"/>
                <c:pt idx="0">
                  <c:v>1.0049399999999884</c:v>
                </c:pt>
                <c:pt idx="1">
                  <c:v>1.0092599999999998</c:v>
                </c:pt>
                <c:pt idx="2">
                  <c:v>1.01065</c:v>
                </c:pt>
                <c:pt idx="3">
                  <c:v>1.0104599999999999</c:v>
                </c:pt>
                <c:pt idx="4">
                  <c:v>1.011169999999987</c:v>
                </c:pt>
                <c:pt idx="5">
                  <c:v>1.0109899999999998</c:v>
                </c:pt>
                <c:pt idx="6">
                  <c:v>1.0105</c:v>
                </c:pt>
                <c:pt idx="7">
                  <c:v>1.0101599999999999</c:v>
                </c:pt>
                <c:pt idx="8">
                  <c:v>1.0102100000000001</c:v>
                </c:pt>
                <c:pt idx="9">
                  <c:v>1.0090899999999998</c:v>
                </c:pt>
                <c:pt idx="10">
                  <c:v>1.0091599999999998</c:v>
                </c:pt>
                <c:pt idx="11">
                  <c:v>1.0083500000000001</c:v>
                </c:pt>
                <c:pt idx="12">
                  <c:v>1.0074699999999854</c:v>
                </c:pt>
                <c:pt idx="13">
                  <c:v>1.00657</c:v>
                </c:pt>
                <c:pt idx="14">
                  <c:v>1.00691</c:v>
                </c:pt>
                <c:pt idx="15">
                  <c:v>1.00617</c:v>
                </c:pt>
                <c:pt idx="16">
                  <c:v>1.004729999999987</c:v>
                </c:pt>
                <c:pt idx="17">
                  <c:v>1.00505</c:v>
                </c:pt>
                <c:pt idx="18">
                  <c:v>1.0034199999999998</c:v>
                </c:pt>
                <c:pt idx="19">
                  <c:v>1.0030199999999998</c:v>
                </c:pt>
                <c:pt idx="20">
                  <c:v>1.0019099999999854</c:v>
                </c:pt>
                <c:pt idx="21">
                  <c:v>1.0014699999999854</c:v>
                </c:pt>
                <c:pt idx="22">
                  <c:v>1.00054</c:v>
                </c:pt>
                <c:pt idx="23">
                  <c:v>0.99851999999999297</c:v>
                </c:pt>
                <c:pt idx="24">
                  <c:v>0.99775000000000003</c:v>
                </c:pt>
                <c:pt idx="25">
                  <c:v>0.99885000000000002</c:v>
                </c:pt>
              </c:numCache>
            </c:numRef>
          </c:yVal>
        </c:ser>
        <c:ser>
          <c:idx val="2"/>
          <c:order val="1"/>
          <c:tx>
            <c:v>ALEPH keff</c:v>
          </c:tx>
          <c:spPr>
            <a:ln w="19050">
              <a:solidFill>
                <a:srgbClr val="FF0000"/>
              </a:solidFill>
            </a:ln>
          </c:spPr>
          <c:marker>
            <c:symbol val="triangle"/>
            <c:size val="8"/>
            <c:spPr>
              <a:solidFill>
                <a:srgbClr val="FF0000"/>
              </a:solidFill>
              <a:ln>
                <a:solidFill>
                  <a:srgbClr val="FF0000"/>
                </a:solidFill>
              </a:ln>
            </c:spPr>
          </c:marker>
          <c:xVal>
            <c:numRef>
              <c:f>keff!$R$3:$R$25</c:f>
              <c:numCache>
                <c:formatCode>0.00</c:formatCode>
                <c:ptCount val="23"/>
                <c:pt idx="0">
                  <c:v>0</c:v>
                </c:pt>
                <c:pt idx="1">
                  <c:v>0.16666666666666669</c:v>
                </c:pt>
                <c:pt idx="2">
                  <c:v>0.33333333333333337</c:v>
                </c:pt>
                <c:pt idx="3">
                  <c:v>0.5</c:v>
                </c:pt>
                <c:pt idx="4">
                  <c:v>0.94333333333333369</c:v>
                </c:pt>
                <c:pt idx="5">
                  <c:v>1.83</c:v>
                </c:pt>
                <c:pt idx="6">
                  <c:v>4.33</c:v>
                </c:pt>
                <c:pt idx="7">
                  <c:v>7.33</c:v>
                </c:pt>
                <c:pt idx="8">
                  <c:v>10.33</c:v>
                </c:pt>
                <c:pt idx="9">
                  <c:v>12.33</c:v>
                </c:pt>
                <c:pt idx="10">
                  <c:v>13.83</c:v>
                </c:pt>
                <c:pt idx="11">
                  <c:v>15.33</c:v>
                </c:pt>
                <c:pt idx="12">
                  <c:v>16.329999999999988</c:v>
                </c:pt>
                <c:pt idx="13">
                  <c:v>17.329999999999988</c:v>
                </c:pt>
                <c:pt idx="14">
                  <c:v>18.329999999999988</c:v>
                </c:pt>
                <c:pt idx="15">
                  <c:v>19.163333333332961</c:v>
                </c:pt>
                <c:pt idx="16">
                  <c:v>19.996666666666666</c:v>
                </c:pt>
                <c:pt idx="17">
                  <c:v>20.663333333332954</c:v>
                </c:pt>
                <c:pt idx="18">
                  <c:v>21.329999999999988</c:v>
                </c:pt>
                <c:pt idx="19">
                  <c:v>21.830000000000005</c:v>
                </c:pt>
                <c:pt idx="20">
                  <c:v>22.330000000000005</c:v>
                </c:pt>
                <c:pt idx="21">
                  <c:v>22.830000000000005</c:v>
                </c:pt>
                <c:pt idx="22">
                  <c:v>23.089999999999989</c:v>
                </c:pt>
              </c:numCache>
            </c:numRef>
          </c:xVal>
          <c:yVal>
            <c:numRef>
              <c:f>keff!$T$3:$T$25</c:f>
              <c:numCache>
                <c:formatCode>General</c:formatCode>
                <c:ptCount val="23"/>
                <c:pt idx="0">
                  <c:v>1.0116199999999884</c:v>
                </c:pt>
                <c:pt idx="1">
                  <c:v>1.00803</c:v>
                </c:pt>
                <c:pt idx="2">
                  <c:v>1.0102800000000001</c:v>
                </c:pt>
                <c:pt idx="3">
                  <c:v>1.0144199999999999</c:v>
                </c:pt>
                <c:pt idx="4">
                  <c:v>1.0134599999999998</c:v>
                </c:pt>
                <c:pt idx="5">
                  <c:v>1.01318</c:v>
                </c:pt>
                <c:pt idx="6">
                  <c:v>1.0131199999999998</c:v>
                </c:pt>
                <c:pt idx="7">
                  <c:v>1.0129899999999998</c:v>
                </c:pt>
                <c:pt idx="8">
                  <c:v>1.0108199999999998</c:v>
                </c:pt>
                <c:pt idx="9">
                  <c:v>1.0089699999999877</c:v>
                </c:pt>
                <c:pt idx="10">
                  <c:v>1.00851</c:v>
                </c:pt>
                <c:pt idx="11">
                  <c:v>1.0065199999999999</c:v>
                </c:pt>
                <c:pt idx="12">
                  <c:v>1.00545</c:v>
                </c:pt>
                <c:pt idx="13">
                  <c:v>1.0047199999999998</c:v>
                </c:pt>
                <c:pt idx="14">
                  <c:v>1.0033699999999857</c:v>
                </c:pt>
                <c:pt idx="15">
                  <c:v>1.0022899999999999</c:v>
                </c:pt>
                <c:pt idx="16">
                  <c:v>1.0012799999999884</c:v>
                </c:pt>
                <c:pt idx="17">
                  <c:v>1.00058</c:v>
                </c:pt>
                <c:pt idx="18">
                  <c:v>0.99935999999999958</c:v>
                </c:pt>
                <c:pt idx="19">
                  <c:v>0.99848999999999422</c:v>
                </c:pt>
                <c:pt idx="20">
                  <c:v>0.99787999999999999</c:v>
                </c:pt>
                <c:pt idx="21">
                  <c:v>0.99770000000000003</c:v>
                </c:pt>
                <c:pt idx="22">
                  <c:v>0.99707999999999997</c:v>
                </c:pt>
              </c:numCache>
            </c:numRef>
          </c:yVal>
        </c:ser>
        <c:axId val="139393664"/>
        <c:axId val="139416320"/>
      </c:scatterChart>
      <c:scatterChart>
        <c:scatterStyle val="lineMarker"/>
        <c:ser>
          <c:idx val="0"/>
          <c:order val="2"/>
          <c:tx>
            <c:v>VESTA CE Location</c:v>
          </c:tx>
          <c:spPr>
            <a:ln w="25400">
              <a:solidFill>
                <a:srgbClr val="3399FF"/>
              </a:solidFill>
              <a:prstDash val="sysDash"/>
            </a:ln>
          </c:spPr>
          <c:marker>
            <c:symbol val="none"/>
          </c:marker>
          <c:xVal>
            <c:numRef>
              <c:f>keff!$N$2:$N$49</c:f>
              <c:numCache>
                <c:formatCode>0.00</c:formatCode>
                <c:ptCount val="48"/>
                <c:pt idx="0">
                  <c:v>0</c:v>
                </c:pt>
                <c:pt idx="1">
                  <c:v>0.5</c:v>
                </c:pt>
                <c:pt idx="2">
                  <c:v>0.5</c:v>
                </c:pt>
                <c:pt idx="3">
                  <c:v>1.1599999999999875</c:v>
                </c:pt>
                <c:pt idx="4">
                  <c:v>1.1599999999999875</c:v>
                </c:pt>
                <c:pt idx="5">
                  <c:v>1.83</c:v>
                </c:pt>
                <c:pt idx="6">
                  <c:v>1.83</c:v>
                </c:pt>
                <c:pt idx="7">
                  <c:v>2.8299999999999987</c:v>
                </c:pt>
                <c:pt idx="8">
                  <c:v>2.8299999999999987</c:v>
                </c:pt>
                <c:pt idx="9">
                  <c:v>3.8299999999999987</c:v>
                </c:pt>
                <c:pt idx="10">
                  <c:v>3.8299999999999987</c:v>
                </c:pt>
                <c:pt idx="11">
                  <c:v>4.83</c:v>
                </c:pt>
                <c:pt idx="12">
                  <c:v>4.83</c:v>
                </c:pt>
                <c:pt idx="13">
                  <c:v>5.83</c:v>
                </c:pt>
                <c:pt idx="14">
                  <c:v>5.83</c:v>
                </c:pt>
                <c:pt idx="15">
                  <c:v>6.83</c:v>
                </c:pt>
                <c:pt idx="16">
                  <c:v>6.83</c:v>
                </c:pt>
                <c:pt idx="17">
                  <c:v>7.83</c:v>
                </c:pt>
                <c:pt idx="18">
                  <c:v>7.83</c:v>
                </c:pt>
                <c:pt idx="19">
                  <c:v>8.8700000000000028</c:v>
                </c:pt>
                <c:pt idx="20">
                  <c:v>8.8700000000000028</c:v>
                </c:pt>
                <c:pt idx="21">
                  <c:v>9.8700000000000028</c:v>
                </c:pt>
                <c:pt idx="22">
                  <c:v>9.8700000000000028</c:v>
                </c:pt>
                <c:pt idx="23">
                  <c:v>10.83</c:v>
                </c:pt>
                <c:pt idx="24">
                  <c:v>10.83</c:v>
                </c:pt>
                <c:pt idx="25">
                  <c:v>11.89</c:v>
                </c:pt>
                <c:pt idx="26">
                  <c:v>11.89</c:v>
                </c:pt>
                <c:pt idx="27">
                  <c:v>12.67</c:v>
                </c:pt>
                <c:pt idx="28">
                  <c:v>12.67</c:v>
                </c:pt>
                <c:pt idx="29">
                  <c:v>13.67</c:v>
                </c:pt>
                <c:pt idx="30">
                  <c:v>13.67</c:v>
                </c:pt>
                <c:pt idx="31">
                  <c:v>14.89</c:v>
                </c:pt>
                <c:pt idx="32">
                  <c:v>14.89</c:v>
                </c:pt>
                <c:pt idx="33">
                  <c:v>15.870000000000006</c:v>
                </c:pt>
                <c:pt idx="34">
                  <c:v>15.870000000000006</c:v>
                </c:pt>
                <c:pt idx="35">
                  <c:v>16.829999999999988</c:v>
                </c:pt>
                <c:pt idx="36">
                  <c:v>16.829999999999988</c:v>
                </c:pt>
                <c:pt idx="37">
                  <c:v>17.829999999999988</c:v>
                </c:pt>
                <c:pt idx="38">
                  <c:v>17.829999999999988</c:v>
                </c:pt>
                <c:pt idx="39">
                  <c:v>18.87</c:v>
                </c:pt>
                <c:pt idx="40">
                  <c:v>18.87</c:v>
                </c:pt>
                <c:pt idx="41">
                  <c:v>19.829999999999988</c:v>
                </c:pt>
                <c:pt idx="42">
                  <c:v>19.829999999999988</c:v>
                </c:pt>
                <c:pt idx="43">
                  <c:v>20.89</c:v>
                </c:pt>
                <c:pt idx="44">
                  <c:v>20.89</c:v>
                </c:pt>
                <c:pt idx="45">
                  <c:v>21.830000000000005</c:v>
                </c:pt>
                <c:pt idx="46">
                  <c:v>22.830000000000005</c:v>
                </c:pt>
                <c:pt idx="47">
                  <c:v>23.09</c:v>
                </c:pt>
              </c:numCache>
            </c:numRef>
          </c:xVal>
          <c:yVal>
            <c:numRef>
              <c:f>keff!$O$2:$O$49</c:f>
              <c:numCache>
                <c:formatCode>0.000</c:formatCode>
                <c:ptCount val="48"/>
                <c:pt idx="0">
                  <c:v>45.262800000000013</c:v>
                </c:pt>
                <c:pt idx="1">
                  <c:v>45.262800000000013</c:v>
                </c:pt>
                <c:pt idx="2">
                  <c:v>49.580800000000004</c:v>
                </c:pt>
                <c:pt idx="3">
                  <c:v>49.580800000000004</c:v>
                </c:pt>
                <c:pt idx="4">
                  <c:v>51.206400000000002</c:v>
                </c:pt>
                <c:pt idx="5">
                  <c:v>51.206400000000002</c:v>
                </c:pt>
                <c:pt idx="6">
                  <c:v>51.663600000000002</c:v>
                </c:pt>
                <c:pt idx="7">
                  <c:v>51.663600000000002</c:v>
                </c:pt>
                <c:pt idx="8">
                  <c:v>51.943000000000005</c:v>
                </c:pt>
                <c:pt idx="9">
                  <c:v>51.943000000000005</c:v>
                </c:pt>
                <c:pt idx="10">
                  <c:v>52.095400000000012</c:v>
                </c:pt>
                <c:pt idx="11">
                  <c:v>52.095400000000012</c:v>
                </c:pt>
                <c:pt idx="12">
                  <c:v>52.197000000000003</c:v>
                </c:pt>
                <c:pt idx="13">
                  <c:v>52.197000000000003</c:v>
                </c:pt>
                <c:pt idx="14">
                  <c:v>52.374799999999993</c:v>
                </c:pt>
                <c:pt idx="15">
                  <c:v>52.374799999999993</c:v>
                </c:pt>
                <c:pt idx="16">
                  <c:v>52.578000000000003</c:v>
                </c:pt>
                <c:pt idx="17">
                  <c:v>52.578000000000003</c:v>
                </c:pt>
                <c:pt idx="18">
                  <c:v>52.806599999999996</c:v>
                </c:pt>
                <c:pt idx="19">
                  <c:v>52.806599999999996</c:v>
                </c:pt>
                <c:pt idx="20">
                  <c:v>53.111400000000003</c:v>
                </c:pt>
                <c:pt idx="21">
                  <c:v>53.111400000000003</c:v>
                </c:pt>
                <c:pt idx="22">
                  <c:v>53.467000000000006</c:v>
                </c:pt>
                <c:pt idx="23">
                  <c:v>53.467000000000006</c:v>
                </c:pt>
                <c:pt idx="24">
                  <c:v>53.873400000000004</c:v>
                </c:pt>
                <c:pt idx="25">
                  <c:v>53.873400000000004</c:v>
                </c:pt>
                <c:pt idx="26">
                  <c:v>54.355999999999995</c:v>
                </c:pt>
                <c:pt idx="27">
                  <c:v>54.355999999999995</c:v>
                </c:pt>
                <c:pt idx="28">
                  <c:v>54.813199999999995</c:v>
                </c:pt>
                <c:pt idx="29">
                  <c:v>54.813199999999995</c:v>
                </c:pt>
                <c:pt idx="30">
                  <c:v>55.422800000000002</c:v>
                </c:pt>
                <c:pt idx="31">
                  <c:v>55.422800000000002</c:v>
                </c:pt>
                <c:pt idx="32">
                  <c:v>56.2102</c:v>
                </c:pt>
                <c:pt idx="33">
                  <c:v>56.2102</c:v>
                </c:pt>
                <c:pt idx="34">
                  <c:v>57.02300000000001</c:v>
                </c:pt>
                <c:pt idx="35">
                  <c:v>57.02300000000001</c:v>
                </c:pt>
                <c:pt idx="36">
                  <c:v>57.785000000000011</c:v>
                </c:pt>
                <c:pt idx="37">
                  <c:v>57.785000000000011</c:v>
                </c:pt>
                <c:pt idx="38">
                  <c:v>58.775600000000011</c:v>
                </c:pt>
                <c:pt idx="39">
                  <c:v>58.775600000000011</c:v>
                </c:pt>
                <c:pt idx="40">
                  <c:v>59.918600000000005</c:v>
                </c:pt>
                <c:pt idx="41">
                  <c:v>59.918600000000005</c:v>
                </c:pt>
                <c:pt idx="42">
                  <c:v>61.137800000000006</c:v>
                </c:pt>
                <c:pt idx="43">
                  <c:v>61.137800000000006</c:v>
                </c:pt>
                <c:pt idx="44">
                  <c:v>62.738000000000063</c:v>
                </c:pt>
                <c:pt idx="45">
                  <c:v>64.338200000000001</c:v>
                </c:pt>
                <c:pt idx="46">
                  <c:v>66.725799999999978</c:v>
                </c:pt>
                <c:pt idx="47">
                  <c:v>68.58</c:v>
                </c:pt>
              </c:numCache>
            </c:numRef>
          </c:yVal>
        </c:ser>
        <c:ser>
          <c:idx val="3"/>
          <c:order val="3"/>
          <c:tx>
            <c:v>ALEPH CE Location</c:v>
          </c:tx>
          <c:spPr>
            <a:ln w="25400">
              <a:solidFill>
                <a:srgbClr val="FF6600"/>
              </a:solidFill>
              <a:prstDash val="sysDash"/>
            </a:ln>
          </c:spPr>
          <c:marker>
            <c:symbol val="none"/>
          </c:marker>
          <c:xVal>
            <c:numRef>
              <c:f>keff!$W$2:$W$46</c:f>
              <c:numCache>
                <c:formatCode>0.00</c:formatCode>
                <c:ptCount val="45"/>
                <c:pt idx="0">
                  <c:v>0</c:v>
                </c:pt>
                <c:pt idx="1">
                  <c:v>0.16666666666666669</c:v>
                </c:pt>
                <c:pt idx="2">
                  <c:v>0.16666666666666669</c:v>
                </c:pt>
                <c:pt idx="3">
                  <c:v>0.33333333333333337</c:v>
                </c:pt>
                <c:pt idx="4">
                  <c:v>0.33333333333333337</c:v>
                </c:pt>
                <c:pt idx="5">
                  <c:v>0.5</c:v>
                </c:pt>
                <c:pt idx="6">
                  <c:v>0.5</c:v>
                </c:pt>
                <c:pt idx="7">
                  <c:v>0.94333333333333369</c:v>
                </c:pt>
                <c:pt idx="8">
                  <c:v>0.94333333333333369</c:v>
                </c:pt>
                <c:pt idx="9">
                  <c:v>1.83</c:v>
                </c:pt>
                <c:pt idx="10">
                  <c:v>1.83</c:v>
                </c:pt>
                <c:pt idx="11">
                  <c:v>4.33</c:v>
                </c:pt>
                <c:pt idx="12">
                  <c:v>4.33</c:v>
                </c:pt>
                <c:pt idx="13">
                  <c:v>7.33</c:v>
                </c:pt>
                <c:pt idx="14">
                  <c:v>7.33</c:v>
                </c:pt>
                <c:pt idx="15">
                  <c:v>10.33</c:v>
                </c:pt>
                <c:pt idx="16">
                  <c:v>10.33</c:v>
                </c:pt>
                <c:pt idx="17">
                  <c:v>12.33</c:v>
                </c:pt>
                <c:pt idx="18">
                  <c:v>12.33</c:v>
                </c:pt>
                <c:pt idx="19">
                  <c:v>13.83</c:v>
                </c:pt>
                <c:pt idx="20">
                  <c:v>13.83</c:v>
                </c:pt>
                <c:pt idx="21">
                  <c:v>15.33</c:v>
                </c:pt>
                <c:pt idx="22">
                  <c:v>15.33</c:v>
                </c:pt>
                <c:pt idx="23">
                  <c:v>16.329999999999988</c:v>
                </c:pt>
                <c:pt idx="24">
                  <c:v>16.329999999999988</c:v>
                </c:pt>
                <c:pt idx="25">
                  <c:v>17.329999999999988</c:v>
                </c:pt>
                <c:pt idx="26">
                  <c:v>17.329999999999988</c:v>
                </c:pt>
                <c:pt idx="27">
                  <c:v>18.329999999999988</c:v>
                </c:pt>
                <c:pt idx="28">
                  <c:v>18.329999999999988</c:v>
                </c:pt>
                <c:pt idx="29">
                  <c:v>19.163333333332961</c:v>
                </c:pt>
                <c:pt idx="30">
                  <c:v>19.163333333332961</c:v>
                </c:pt>
                <c:pt idx="31">
                  <c:v>19.996666666666666</c:v>
                </c:pt>
                <c:pt idx="32">
                  <c:v>19.996666666666666</c:v>
                </c:pt>
                <c:pt idx="33">
                  <c:v>20.663333333332954</c:v>
                </c:pt>
                <c:pt idx="34">
                  <c:v>20.663333333332954</c:v>
                </c:pt>
                <c:pt idx="35">
                  <c:v>21.329999999999988</c:v>
                </c:pt>
                <c:pt idx="36">
                  <c:v>21.329999999999988</c:v>
                </c:pt>
                <c:pt idx="37">
                  <c:v>21.830000000000005</c:v>
                </c:pt>
                <c:pt idx="38">
                  <c:v>21.830000000000005</c:v>
                </c:pt>
                <c:pt idx="39">
                  <c:v>22.330000000000005</c:v>
                </c:pt>
                <c:pt idx="40">
                  <c:v>22.330000000000005</c:v>
                </c:pt>
                <c:pt idx="41">
                  <c:v>22.830000000000005</c:v>
                </c:pt>
                <c:pt idx="42">
                  <c:v>22.830000000000005</c:v>
                </c:pt>
                <c:pt idx="43">
                  <c:v>23.089999999999989</c:v>
                </c:pt>
                <c:pt idx="44">
                  <c:v>23.089999999999989</c:v>
                </c:pt>
              </c:numCache>
            </c:numRef>
          </c:xVal>
          <c:yVal>
            <c:numRef>
              <c:f>keff!$X$2:$X$46</c:f>
              <c:numCache>
                <c:formatCode>0.000</c:formatCode>
                <c:ptCount val="45"/>
                <c:pt idx="0">
                  <c:v>45.982466666665907</c:v>
                </c:pt>
                <c:pt idx="1">
                  <c:v>45.982466666665907</c:v>
                </c:pt>
                <c:pt idx="2">
                  <c:v>47.421800000000005</c:v>
                </c:pt>
                <c:pt idx="3">
                  <c:v>47.421800000000005</c:v>
                </c:pt>
                <c:pt idx="4">
                  <c:v>48.861133333333328</c:v>
                </c:pt>
                <c:pt idx="5">
                  <c:v>48.861133333333328</c:v>
                </c:pt>
                <c:pt idx="6">
                  <c:v>50.221063628925513</c:v>
                </c:pt>
                <c:pt idx="7">
                  <c:v>50.221063628925513</c:v>
                </c:pt>
                <c:pt idx="8">
                  <c:v>51.264137287276128</c:v>
                </c:pt>
                <c:pt idx="9">
                  <c:v>51.264137287276128</c:v>
                </c:pt>
                <c:pt idx="10">
                  <c:v>51.911305226220982</c:v>
                </c:pt>
                <c:pt idx="11">
                  <c:v>51.911305226220982</c:v>
                </c:pt>
                <c:pt idx="12">
                  <c:v>52.420713486515311</c:v>
                </c:pt>
                <c:pt idx="13">
                  <c:v>52.420713486515311</c:v>
                </c:pt>
                <c:pt idx="14">
                  <c:v>53.162489462653795</c:v>
                </c:pt>
                <c:pt idx="15">
                  <c:v>53.162489462653795</c:v>
                </c:pt>
                <c:pt idx="16">
                  <c:v>54.124287290989542</c:v>
                </c:pt>
                <c:pt idx="17">
                  <c:v>54.124287290989542</c:v>
                </c:pt>
                <c:pt idx="18">
                  <c:v>55.063165136590413</c:v>
                </c:pt>
                <c:pt idx="19">
                  <c:v>55.063165136590413</c:v>
                </c:pt>
                <c:pt idx="20">
                  <c:v>56.048767164905598</c:v>
                </c:pt>
                <c:pt idx="21">
                  <c:v>56.048767164905598</c:v>
                </c:pt>
                <c:pt idx="22">
                  <c:v>56.982684799932159</c:v>
                </c:pt>
                <c:pt idx="23">
                  <c:v>56.982684799932159</c:v>
                </c:pt>
                <c:pt idx="24">
                  <c:v>57.832622685159961</c:v>
                </c:pt>
                <c:pt idx="25">
                  <c:v>57.832622685159961</c:v>
                </c:pt>
                <c:pt idx="26">
                  <c:v>58.785908274293249</c:v>
                </c:pt>
                <c:pt idx="27">
                  <c:v>58.785908274293249</c:v>
                </c:pt>
                <c:pt idx="28">
                  <c:v>59.769735692701815</c:v>
                </c:pt>
                <c:pt idx="29">
                  <c:v>59.769735692701815</c:v>
                </c:pt>
                <c:pt idx="30">
                  <c:v>60.794149235534533</c:v>
                </c:pt>
                <c:pt idx="31">
                  <c:v>60.794149235534533</c:v>
                </c:pt>
                <c:pt idx="32">
                  <c:v>61.83883831719853</c:v>
                </c:pt>
                <c:pt idx="33">
                  <c:v>61.83883831719853</c:v>
                </c:pt>
                <c:pt idx="34">
                  <c:v>62.904497253620875</c:v>
                </c:pt>
                <c:pt idx="35">
                  <c:v>62.904497253620875</c:v>
                </c:pt>
                <c:pt idx="36">
                  <c:v>63.950653658086424</c:v>
                </c:pt>
                <c:pt idx="37">
                  <c:v>63.950653658086424</c:v>
                </c:pt>
                <c:pt idx="38">
                  <c:v>64.963219724191646</c:v>
                </c:pt>
                <c:pt idx="39">
                  <c:v>64.963219724191646</c:v>
                </c:pt>
                <c:pt idx="40">
                  <c:v>66.092750536348248</c:v>
                </c:pt>
                <c:pt idx="41">
                  <c:v>66.092750536348248</c:v>
                </c:pt>
                <c:pt idx="42">
                  <c:v>67.634423377218425</c:v>
                </c:pt>
                <c:pt idx="43">
                  <c:v>67.634423377218425</c:v>
                </c:pt>
                <c:pt idx="44">
                  <c:v>68.58</c:v>
                </c:pt>
              </c:numCache>
            </c:numRef>
          </c:yVal>
        </c:ser>
        <c:ser>
          <c:idx val="4"/>
          <c:order val="4"/>
          <c:tx>
            <c:v>Logged CE Location</c:v>
          </c:tx>
          <c:spPr>
            <a:ln w="31750">
              <a:solidFill>
                <a:schemeClr val="tx1"/>
              </a:solidFill>
              <a:prstDash val="sysDot"/>
            </a:ln>
          </c:spPr>
          <c:marker>
            <c:symbol val="none"/>
          </c:marker>
          <c:xVal>
            <c:numRef>
              <c:f>cy16CEs!$F$3:$F$30</c:f>
              <c:numCache>
                <c:formatCode>General</c:formatCode>
                <c:ptCount val="28"/>
                <c:pt idx="0">
                  <c:v>0</c:v>
                </c:pt>
                <c:pt idx="1">
                  <c:v>0.5</c:v>
                </c:pt>
                <c:pt idx="2">
                  <c:v>0.83000000000000063</c:v>
                </c:pt>
                <c:pt idx="3">
                  <c:v>1.1599999999999875</c:v>
                </c:pt>
                <c:pt idx="4">
                  <c:v>1.5</c:v>
                </c:pt>
                <c:pt idx="5">
                  <c:v>1.83</c:v>
                </c:pt>
                <c:pt idx="6">
                  <c:v>2.8299999999999987</c:v>
                </c:pt>
                <c:pt idx="7">
                  <c:v>3.8299999999999987</c:v>
                </c:pt>
                <c:pt idx="8">
                  <c:v>4.83</c:v>
                </c:pt>
                <c:pt idx="9">
                  <c:v>5.83</c:v>
                </c:pt>
                <c:pt idx="10">
                  <c:v>6.83</c:v>
                </c:pt>
                <c:pt idx="11">
                  <c:v>7.83</c:v>
                </c:pt>
                <c:pt idx="12">
                  <c:v>8.8700000000000028</c:v>
                </c:pt>
                <c:pt idx="13">
                  <c:v>9.8700000000000028</c:v>
                </c:pt>
                <c:pt idx="14">
                  <c:v>10.83</c:v>
                </c:pt>
                <c:pt idx="15">
                  <c:v>11.89</c:v>
                </c:pt>
                <c:pt idx="16">
                  <c:v>12.67</c:v>
                </c:pt>
                <c:pt idx="17">
                  <c:v>13.67</c:v>
                </c:pt>
                <c:pt idx="18">
                  <c:v>14.89</c:v>
                </c:pt>
                <c:pt idx="19">
                  <c:v>15.870000000000006</c:v>
                </c:pt>
                <c:pt idx="20">
                  <c:v>16.829999999999988</c:v>
                </c:pt>
                <c:pt idx="21">
                  <c:v>17.829999999999988</c:v>
                </c:pt>
                <c:pt idx="22">
                  <c:v>18.87</c:v>
                </c:pt>
                <c:pt idx="23">
                  <c:v>19.829999999999988</c:v>
                </c:pt>
                <c:pt idx="24">
                  <c:v>20.89</c:v>
                </c:pt>
                <c:pt idx="25">
                  <c:v>21.830000000000005</c:v>
                </c:pt>
                <c:pt idx="26">
                  <c:v>22.830000000000005</c:v>
                </c:pt>
                <c:pt idx="27">
                  <c:v>23.09</c:v>
                </c:pt>
              </c:numCache>
            </c:numRef>
          </c:xVal>
          <c:yVal>
            <c:numRef>
              <c:f>cy16CEs!$E$3:$E$30</c:f>
              <c:numCache>
                <c:formatCode>0.00000</c:formatCode>
                <c:ptCount val="28"/>
                <c:pt idx="0">
                  <c:v>45.262800000000013</c:v>
                </c:pt>
                <c:pt idx="1">
                  <c:v>49.580800000000004</c:v>
                </c:pt>
                <c:pt idx="2">
                  <c:v>50.622200000000063</c:v>
                </c:pt>
                <c:pt idx="3">
                  <c:v>51.206400000000002</c:v>
                </c:pt>
                <c:pt idx="4">
                  <c:v>51.562000000000012</c:v>
                </c:pt>
                <c:pt idx="5">
                  <c:v>51.663600000000002</c:v>
                </c:pt>
                <c:pt idx="6">
                  <c:v>51.943000000000005</c:v>
                </c:pt>
                <c:pt idx="7">
                  <c:v>52.095400000000012</c:v>
                </c:pt>
                <c:pt idx="8">
                  <c:v>52.197000000000003</c:v>
                </c:pt>
                <c:pt idx="9">
                  <c:v>52.374799999999993</c:v>
                </c:pt>
                <c:pt idx="10">
                  <c:v>52.578000000000003</c:v>
                </c:pt>
                <c:pt idx="11">
                  <c:v>52.806599999999996</c:v>
                </c:pt>
                <c:pt idx="12">
                  <c:v>53.111400000000003</c:v>
                </c:pt>
                <c:pt idx="13">
                  <c:v>53.467000000000006</c:v>
                </c:pt>
                <c:pt idx="14">
                  <c:v>53.873400000000004</c:v>
                </c:pt>
                <c:pt idx="15">
                  <c:v>54.355999999999995</c:v>
                </c:pt>
                <c:pt idx="16">
                  <c:v>54.813199999999995</c:v>
                </c:pt>
                <c:pt idx="17">
                  <c:v>55.422800000000002</c:v>
                </c:pt>
                <c:pt idx="18">
                  <c:v>56.2102</c:v>
                </c:pt>
                <c:pt idx="19">
                  <c:v>57.02300000000001</c:v>
                </c:pt>
                <c:pt idx="20">
                  <c:v>57.785000000000011</c:v>
                </c:pt>
                <c:pt idx="21">
                  <c:v>58.775600000000011</c:v>
                </c:pt>
                <c:pt idx="22">
                  <c:v>59.918600000000005</c:v>
                </c:pt>
                <c:pt idx="23">
                  <c:v>61.137800000000006</c:v>
                </c:pt>
                <c:pt idx="24">
                  <c:v>62.738000000000063</c:v>
                </c:pt>
                <c:pt idx="25">
                  <c:v>64.338200000000001</c:v>
                </c:pt>
                <c:pt idx="26">
                  <c:v>66.725799999999978</c:v>
                </c:pt>
                <c:pt idx="27">
                  <c:v>68.58</c:v>
                </c:pt>
              </c:numCache>
            </c:numRef>
          </c:yVal>
        </c:ser>
        <c:axId val="139420416"/>
        <c:axId val="139418240"/>
      </c:scatterChart>
      <c:valAx>
        <c:axId val="139393664"/>
        <c:scaling>
          <c:orientation val="minMax"/>
        </c:scaling>
        <c:axPos val="b"/>
        <c:majorGridlines>
          <c:spPr>
            <a:ln>
              <a:solidFill>
                <a:sysClr val="windowText" lastClr="000000"/>
              </a:solidFill>
            </a:ln>
          </c:spPr>
        </c:majorGridlines>
        <c:title>
          <c:tx>
            <c:rich>
              <a:bodyPr/>
              <a:lstStyle/>
              <a:p>
                <a:pPr>
                  <a:defRPr sz="1100"/>
                </a:pPr>
                <a:r>
                  <a:rPr lang="en-US" sz="1100"/>
                  <a:t>Days into Cycle 16</a:t>
                </a:r>
              </a:p>
            </c:rich>
          </c:tx>
        </c:title>
        <c:numFmt formatCode="#,##0.0" sourceLinked="0"/>
        <c:tickLblPos val="nextTo"/>
        <c:spPr>
          <a:ln>
            <a:solidFill>
              <a:sysClr val="windowText" lastClr="000000"/>
            </a:solidFill>
          </a:ln>
        </c:spPr>
        <c:txPr>
          <a:bodyPr/>
          <a:lstStyle/>
          <a:p>
            <a:pPr>
              <a:defRPr sz="1000"/>
            </a:pPr>
            <a:endParaRPr lang="en-US"/>
          </a:p>
        </c:txPr>
        <c:crossAx val="139416320"/>
        <c:crosses val="autoZero"/>
        <c:crossBetween val="midCat"/>
        <c:majorUnit val="2.5"/>
      </c:valAx>
      <c:valAx>
        <c:axId val="139416320"/>
        <c:scaling>
          <c:orientation val="minMax"/>
        </c:scaling>
        <c:axPos val="l"/>
        <c:majorGridlines>
          <c:spPr>
            <a:ln>
              <a:solidFill>
                <a:sysClr val="windowText" lastClr="000000"/>
              </a:solidFill>
            </a:ln>
          </c:spPr>
        </c:majorGridlines>
        <c:title>
          <c:tx>
            <c:rich>
              <a:bodyPr rot="-5400000" vert="horz"/>
              <a:lstStyle/>
              <a:p>
                <a:pPr>
                  <a:defRPr sz="1100"/>
                </a:pPr>
                <a:r>
                  <a:rPr lang="en-US" sz="1100"/>
                  <a:t>k</a:t>
                </a:r>
                <a:r>
                  <a:rPr lang="en-US" sz="1100" baseline="-25000"/>
                  <a:t>eff</a:t>
                </a:r>
              </a:p>
            </c:rich>
          </c:tx>
          <c:layout>
            <c:manualLayout>
              <c:xMode val="edge"/>
              <c:yMode val="edge"/>
              <c:x val="4.7127442403032951E-3"/>
              <c:y val="0.41173965096468207"/>
            </c:manualLayout>
          </c:layout>
        </c:title>
        <c:numFmt formatCode="#,##0.000" sourceLinked="0"/>
        <c:tickLblPos val="nextTo"/>
        <c:spPr>
          <a:ln>
            <a:solidFill>
              <a:sysClr val="windowText" lastClr="000000"/>
            </a:solidFill>
          </a:ln>
        </c:spPr>
        <c:txPr>
          <a:bodyPr/>
          <a:lstStyle/>
          <a:p>
            <a:pPr>
              <a:defRPr sz="1000"/>
            </a:pPr>
            <a:endParaRPr lang="en-US"/>
          </a:p>
        </c:txPr>
        <c:crossAx val="139393664"/>
        <c:crosses val="autoZero"/>
        <c:crossBetween val="midCat"/>
      </c:valAx>
      <c:valAx>
        <c:axId val="139418240"/>
        <c:scaling>
          <c:orientation val="minMax"/>
          <c:max val="70"/>
          <c:min val="45"/>
        </c:scaling>
        <c:axPos val="r"/>
        <c:title>
          <c:tx>
            <c:rich>
              <a:bodyPr rot="-5400000" vert="horz"/>
              <a:lstStyle/>
              <a:p>
                <a:pPr>
                  <a:defRPr sz="1100"/>
                </a:pPr>
                <a:r>
                  <a:rPr lang="en-US" sz="1100"/>
                  <a:t>Distance from Core Axial Midplane (cm)</a:t>
                </a:r>
              </a:p>
            </c:rich>
          </c:tx>
          <c:layout>
            <c:manualLayout>
              <c:xMode val="edge"/>
              <c:yMode val="edge"/>
              <c:x val="0.95859310855373869"/>
              <c:y val="0.1331819099535623"/>
            </c:manualLayout>
          </c:layout>
        </c:title>
        <c:numFmt formatCode="0.0" sourceLinked="0"/>
        <c:tickLblPos val="nextTo"/>
        <c:spPr>
          <a:ln>
            <a:solidFill>
              <a:schemeClr val="tx1"/>
            </a:solidFill>
          </a:ln>
        </c:spPr>
        <c:txPr>
          <a:bodyPr/>
          <a:lstStyle/>
          <a:p>
            <a:pPr>
              <a:defRPr sz="1000"/>
            </a:pPr>
            <a:endParaRPr lang="en-US"/>
          </a:p>
        </c:txPr>
        <c:crossAx val="139420416"/>
        <c:crosses val="max"/>
        <c:crossBetween val="midCat"/>
        <c:majorUnit val="2.5"/>
      </c:valAx>
      <c:valAx>
        <c:axId val="139420416"/>
        <c:scaling>
          <c:orientation val="minMax"/>
        </c:scaling>
        <c:delete val="1"/>
        <c:axPos val="b"/>
        <c:numFmt formatCode="0.00" sourceLinked="1"/>
        <c:tickLblPos val="none"/>
        <c:crossAx val="139418240"/>
        <c:crosses val="autoZero"/>
        <c:crossBetween val="midCat"/>
      </c:valAx>
    </c:plotArea>
    <c:legend>
      <c:legendPos val="r"/>
      <c:layout>
        <c:manualLayout>
          <c:xMode val="edge"/>
          <c:yMode val="edge"/>
          <c:x val="0.44463230290658079"/>
          <c:y val="1.6006853310003118E-2"/>
          <c:w val="0.27584220375231139"/>
          <c:h val="0.22674066783318775"/>
        </c:manualLayout>
      </c:layout>
      <c:overlay val="1"/>
      <c:spPr>
        <a:solidFill>
          <a:schemeClr val="bg1"/>
        </a:solidFill>
        <a:ln>
          <a:solidFill>
            <a:schemeClr val="tx1"/>
          </a:solidFill>
        </a:ln>
      </c:spPr>
      <c:txPr>
        <a:bodyPr/>
        <a:lstStyle/>
        <a:p>
          <a:pPr>
            <a:defRPr sz="1000"/>
          </a:pPr>
          <a:endParaRPr lang="en-US"/>
        </a:p>
      </c:txPr>
    </c:legend>
    <c:plotVisOnly val="1"/>
    <c:dispBlanksAs val="gap"/>
  </c:chart>
  <c:spPr>
    <a:ln>
      <a:solidFill>
        <a:sysClr val="windowText" lastClr="000000"/>
      </a:solidFill>
    </a:ln>
  </c:spPr>
  <c:txPr>
    <a:bodyPr/>
    <a:lstStyle/>
    <a:p>
      <a:pPr>
        <a:defRPr sz="1200">
          <a:latin typeface="Times New Roman" pitchFamily="18" charset="0"/>
          <a:cs typeface="Times New Roman" pitchFamily="18" charset="0"/>
        </a:defRPr>
      </a:pPr>
      <a:endParaRPr lang="en-US"/>
    </a:p>
  </c:txPr>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lang val="en-US"/>
  <c:chart>
    <c:plotArea>
      <c:layout>
        <c:manualLayout>
          <c:layoutTarget val="inner"/>
          <c:xMode val="edge"/>
          <c:yMode val="edge"/>
          <c:x val="0.13699794737196491"/>
          <c:y val="3.2400589101620032E-2"/>
          <c:w val="0.7366878659398346"/>
          <c:h val="0.83400331537505179"/>
        </c:manualLayout>
      </c:layout>
      <c:scatterChart>
        <c:scatterStyle val="lineMarker"/>
        <c:ser>
          <c:idx val="1"/>
          <c:order val="0"/>
          <c:tx>
            <c:v>VESTA keff</c:v>
          </c:tx>
          <c:spPr>
            <a:ln w="19050">
              <a:solidFill>
                <a:srgbClr val="0000FF"/>
              </a:solidFill>
            </a:ln>
          </c:spPr>
          <c:marker>
            <c:symbol val="star"/>
            <c:size val="8"/>
            <c:spPr>
              <a:noFill/>
              <a:ln>
                <a:solidFill>
                  <a:srgbClr val="0000FF"/>
                </a:solidFill>
              </a:ln>
            </c:spPr>
          </c:marker>
          <c:xVal>
            <c:numRef>
              <c:f>keff!$I$3:$I$27</c:f>
              <c:numCache>
                <c:formatCode>General</c:formatCode>
                <c:ptCount val="25"/>
                <c:pt idx="0">
                  <c:v>0</c:v>
                </c:pt>
                <c:pt idx="1">
                  <c:v>0.4</c:v>
                </c:pt>
                <c:pt idx="2">
                  <c:v>1.4</c:v>
                </c:pt>
                <c:pt idx="3">
                  <c:v>2.4</c:v>
                </c:pt>
                <c:pt idx="4">
                  <c:v>3.4</c:v>
                </c:pt>
                <c:pt idx="5">
                  <c:v>4.4000000000000004</c:v>
                </c:pt>
                <c:pt idx="6">
                  <c:v>5.4</c:v>
                </c:pt>
                <c:pt idx="7">
                  <c:v>6.4</c:v>
                </c:pt>
                <c:pt idx="8">
                  <c:v>7.4</c:v>
                </c:pt>
                <c:pt idx="9">
                  <c:v>8.4</c:v>
                </c:pt>
                <c:pt idx="10">
                  <c:v>9.4</c:v>
                </c:pt>
                <c:pt idx="11">
                  <c:v>10.4</c:v>
                </c:pt>
                <c:pt idx="12">
                  <c:v>11.4</c:v>
                </c:pt>
                <c:pt idx="13">
                  <c:v>12.4</c:v>
                </c:pt>
                <c:pt idx="14">
                  <c:v>13.4</c:v>
                </c:pt>
                <c:pt idx="15">
                  <c:v>14.4</c:v>
                </c:pt>
                <c:pt idx="16">
                  <c:v>15.4</c:v>
                </c:pt>
                <c:pt idx="17">
                  <c:v>16.399999999999999</c:v>
                </c:pt>
                <c:pt idx="18">
                  <c:v>17.399999999999999</c:v>
                </c:pt>
                <c:pt idx="19">
                  <c:v>18.399999999999999</c:v>
                </c:pt>
                <c:pt idx="20">
                  <c:v>19.399999999999999</c:v>
                </c:pt>
                <c:pt idx="21">
                  <c:v>20.399999999999999</c:v>
                </c:pt>
                <c:pt idx="22">
                  <c:v>21.4</c:v>
                </c:pt>
                <c:pt idx="23">
                  <c:v>22.4</c:v>
                </c:pt>
                <c:pt idx="24">
                  <c:v>23.19</c:v>
                </c:pt>
              </c:numCache>
            </c:numRef>
          </c:xVal>
          <c:yVal>
            <c:numRef>
              <c:f>keff!$K$3:$K$27</c:f>
              <c:numCache>
                <c:formatCode>General</c:formatCode>
                <c:ptCount val="25"/>
                <c:pt idx="0">
                  <c:v>1.01257</c:v>
                </c:pt>
                <c:pt idx="1">
                  <c:v>1.0039399999999892</c:v>
                </c:pt>
                <c:pt idx="2">
                  <c:v>1.0092099999999922</c:v>
                </c:pt>
                <c:pt idx="3">
                  <c:v>1.0081100000000001</c:v>
                </c:pt>
                <c:pt idx="4">
                  <c:v>1.0077499999999917</c:v>
                </c:pt>
                <c:pt idx="5">
                  <c:v>1.0071299999999905</c:v>
                </c:pt>
                <c:pt idx="6">
                  <c:v>1.0063199999999999</c:v>
                </c:pt>
                <c:pt idx="7">
                  <c:v>1.0060500000000001</c:v>
                </c:pt>
                <c:pt idx="8">
                  <c:v>1.0054899999999998</c:v>
                </c:pt>
                <c:pt idx="9">
                  <c:v>1.0051199999999998</c:v>
                </c:pt>
                <c:pt idx="10">
                  <c:v>1.0043500000000001</c:v>
                </c:pt>
                <c:pt idx="11">
                  <c:v>1.0040100000000001</c:v>
                </c:pt>
                <c:pt idx="12">
                  <c:v>1.0039199999999917</c:v>
                </c:pt>
                <c:pt idx="13">
                  <c:v>1.00305</c:v>
                </c:pt>
                <c:pt idx="14">
                  <c:v>1.0028899999999998</c:v>
                </c:pt>
                <c:pt idx="15">
                  <c:v>1.0022</c:v>
                </c:pt>
                <c:pt idx="16">
                  <c:v>1.00207</c:v>
                </c:pt>
                <c:pt idx="17">
                  <c:v>1.00118</c:v>
                </c:pt>
                <c:pt idx="18">
                  <c:v>1.0005500000000001</c:v>
                </c:pt>
                <c:pt idx="19">
                  <c:v>1.00017</c:v>
                </c:pt>
                <c:pt idx="20">
                  <c:v>0.99950000000000006</c:v>
                </c:pt>
                <c:pt idx="21">
                  <c:v>0.99873999999999996</c:v>
                </c:pt>
                <c:pt idx="22">
                  <c:v>0.99631999999999565</c:v>
                </c:pt>
                <c:pt idx="23">
                  <c:v>0.99746999999999553</c:v>
                </c:pt>
                <c:pt idx="24">
                  <c:v>0.99883999999999951</c:v>
                </c:pt>
              </c:numCache>
            </c:numRef>
          </c:yVal>
        </c:ser>
        <c:ser>
          <c:idx val="2"/>
          <c:order val="1"/>
          <c:tx>
            <c:v>ALEPH keff</c:v>
          </c:tx>
          <c:spPr>
            <a:ln w="19050">
              <a:solidFill>
                <a:srgbClr val="FF0000"/>
              </a:solidFill>
            </a:ln>
          </c:spPr>
          <c:marker>
            <c:symbol val="triangle"/>
            <c:size val="8"/>
            <c:spPr>
              <a:solidFill>
                <a:srgbClr val="FF0000"/>
              </a:solidFill>
              <a:ln>
                <a:solidFill>
                  <a:srgbClr val="FF0000"/>
                </a:solidFill>
              </a:ln>
            </c:spPr>
          </c:marker>
          <c:xVal>
            <c:numRef>
              <c:f>keff!$R$3:$R$27</c:f>
              <c:numCache>
                <c:formatCode>0.00</c:formatCode>
                <c:ptCount val="25"/>
                <c:pt idx="0">
                  <c:v>0</c:v>
                </c:pt>
                <c:pt idx="1">
                  <c:v>0.2</c:v>
                </c:pt>
                <c:pt idx="2">
                  <c:v>0.40000000000000008</c:v>
                </c:pt>
                <c:pt idx="3">
                  <c:v>0.73333333333333361</c:v>
                </c:pt>
                <c:pt idx="4">
                  <c:v>1.0666666666666669</c:v>
                </c:pt>
                <c:pt idx="5">
                  <c:v>1.4000000000000004</c:v>
                </c:pt>
                <c:pt idx="6">
                  <c:v>2.4000000000000004</c:v>
                </c:pt>
                <c:pt idx="7">
                  <c:v>5.4</c:v>
                </c:pt>
                <c:pt idx="8">
                  <c:v>7.9</c:v>
                </c:pt>
                <c:pt idx="9">
                  <c:v>10.4</c:v>
                </c:pt>
                <c:pt idx="10">
                  <c:v>12.4</c:v>
                </c:pt>
                <c:pt idx="11">
                  <c:v>13.9</c:v>
                </c:pt>
                <c:pt idx="12">
                  <c:v>15.4</c:v>
                </c:pt>
                <c:pt idx="13">
                  <c:v>16.399999999999999</c:v>
                </c:pt>
                <c:pt idx="14">
                  <c:v>17.399999999999999</c:v>
                </c:pt>
                <c:pt idx="15">
                  <c:v>18.233333333333082</c:v>
                </c:pt>
                <c:pt idx="16">
                  <c:v>19.066666666666666</c:v>
                </c:pt>
                <c:pt idx="17">
                  <c:v>19.899999999999999</c:v>
                </c:pt>
                <c:pt idx="18">
                  <c:v>20.566666666666666</c:v>
                </c:pt>
                <c:pt idx="19">
                  <c:v>21.4</c:v>
                </c:pt>
                <c:pt idx="20">
                  <c:v>21.9</c:v>
                </c:pt>
                <c:pt idx="21">
                  <c:v>22.316666666666691</c:v>
                </c:pt>
                <c:pt idx="22">
                  <c:v>22.650000000000031</c:v>
                </c:pt>
                <c:pt idx="23">
                  <c:v>22.9</c:v>
                </c:pt>
                <c:pt idx="24">
                  <c:v>23.189999999999987</c:v>
                </c:pt>
              </c:numCache>
            </c:numRef>
          </c:xVal>
          <c:yVal>
            <c:numRef>
              <c:f>keff!$T$3:$T$27</c:f>
              <c:numCache>
                <c:formatCode>General</c:formatCode>
                <c:ptCount val="25"/>
                <c:pt idx="0">
                  <c:v>1.01833</c:v>
                </c:pt>
                <c:pt idx="1">
                  <c:v>1.0101199999999999</c:v>
                </c:pt>
                <c:pt idx="2">
                  <c:v>1.0077699999999892</c:v>
                </c:pt>
                <c:pt idx="3">
                  <c:v>1.0055899999999998</c:v>
                </c:pt>
                <c:pt idx="4">
                  <c:v>1.0082100000000001</c:v>
                </c:pt>
                <c:pt idx="5">
                  <c:v>1.0099699999999889</c:v>
                </c:pt>
                <c:pt idx="6">
                  <c:v>1.0098999999999887</c:v>
                </c:pt>
                <c:pt idx="7">
                  <c:v>1.0085500000000001</c:v>
                </c:pt>
                <c:pt idx="8">
                  <c:v>1.00814</c:v>
                </c:pt>
                <c:pt idx="9">
                  <c:v>1.0073599999999998</c:v>
                </c:pt>
                <c:pt idx="10">
                  <c:v>1.0055299999999889</c:v>
                </c:pt>
                <c:pt idx="11">
                  <c:v>1.00498</c:v>
                </c:pt>
                <c:pt idx="12">
                  <c:v>1.00308</c:v>
                </c:pt>
                <c:pt idx="13">
                  <c:v>1.0030299999999905</c:v>
                </c:pt>
                <c:pt idx="14">
                  <c:v>1.0019799999999905</c:v>
                </c:pt>
                <c:pt idx="15">
                  <c:v>1.0014899999999998</c:v>
                </c:pt>
                <c:pt idx="16">
                  <c:v>1.0007599999999999</c:v>
                </c:pt>
                <c:pt idx="17">
                  <c:v>0.99951999999999519</c:v>
                </c:pt>
                <c:pt idx="18">
                  <c:v>0.99873000000000001</c:v>
                </c:pt>
                <c:pt idx="19">
                  <c:v>0.99639999999999951</c:v>
                </c:pt>
                <c:pt idx="20">
                  <c:v>0.99665999999999999</c:v>
                </c:pt>
                <c:pt idx="21">
                  <c:v>0.99709999999999999</c:v>
                </c:pt>
                <c:pt idx="22">
                  <c:v>0.99734</c:v>
                </c:pt>
                <c:pt idx="23">
                  <c:v>0.99728000000000006</c:v>
                </c:pt>
                <c:pt idx="24">
                  <c:v>0.9962299999999995</c:v>
                </c:pt>
              </c:numCache>
            </c:numRef>
          </c:yVal>
        </c:ser>
        <c:axId val="139451776"/>
        <c:axId val="140322304"/>
      </c:scatterChart>
      <c:scatterChart>
        <c:scatterStyle val="lineMarker"/>
        <c:ser>
          <c:idx val="0"/>
          <c:order val="2"/>
          <c:tx>
            <c:v>VESTA CE Location</c:v>
          </c:tx>
          <c:spPr>
            <a:ln w="25400">
              <a:solidFill>
                <a:srgbClr val="3399FF"/>
              </a:solidFill>
              <a:prstDash val="sysDash"/>
            </a:ln>
          </c:spPr>
          <c:marker>
            <c:symbol val="none"/>
          </c:marker>
          <c:xVal>
            <c:numRef>
              <c:f>keff!$N$2:$N$50</c:f>
              <c:numCache>
                <c:formatCode>0.00</c:formatCode>
                <c:ptCount val="49"/>
                <c:pt idx="0">
                  <c:v>0</c:v>
                </c:pt>
                <c:pt idx="1">
                  <c:v>0.4</c:v>
                </c:pt>
                <c:pt idx="2">
                  <c:v>0.4</c:v>
                </c:pt>
                <c:pt idx="3">
                  <c:v>1.4</c:v>
                </c:pt>
                <c:pt idx="4">
                  <c:v>1.4</c:v>
                </c:pt>
                <c:pt idx="5">
                  <c:v>2.4</c:v>
                </c:pt>
                <c:pt idx="6">
                  <c:v>2.4</c:v>
                </c:pt>
                <c:pt idx="7">
                  <c:v>3.4</c:v>
                </c:pt>
                <c:pt idx="8">
                  <c:v>3.4</c:v>
                </c:pt>
                <c:pt idx="9">
                  <c:v>4.4000000000000004</c:v>
                </c:pt>
                <c:pt idx="10">
                  <c:v>4.4000000000000004</c:v>
                </c:pt>
                <c:pt idx="11">
                  <c:v>5.4</c:v>
                </c:pt>
                <c:pt idx="12">
                  <c:v>5.4</c:v>
                </c:pt>
                <c:pt idx="13">
                  <c:v>6.4</c:v>
                </c:pt>
                <c:pt idx="14">
                  <c:v>6.4</c:v>
                </c:pt>
                <c:pt idx="15">
                  <c:v>7.4</c:v>
                </c:pt>
                <c:pt idx="16">
                  <c:v>7.4</c:v>
                </c:pt>
                <c:pt idx="17">
                  <c:v>8.4</c:v>
                </c:pt>
                <c:pt idx="18">
                  <c:v>8.4</c:v>
                </c:pt>
                <c:pt idx="19">
                  <c:v>9.4</c:v>
                </c:pt>
                <c:pt idx="20">
                  <c:v>9.4</c:v>
                </c:pt>
                <c:pt idx="21">
                  <c:v>10.4</c:v>
                </c:pt>
                <c:pt idx="22">
                  <c:v>10.4</c:v>
                </c:pt>
                <c:pt idx="23">
                  <c:v>11.4</c:v>
                </c:pt>
                <c:pt idx="24">
                  <c:v>11.4</c:v>
                </c:pt>
                <c:pt idx="25">
                  <c:v>12.4</c:v>
                </c:pt>
                <c:pt idx="26">
                  <c:v>12.4</c:v>
                </c:pt>
                <c:pt idx="27">
                  <c:v>13.4</c:v>
                </c:pt>
                <c:pt idx="28">
                  <c:v>13.4</c:v>
                </c:pt>
                <c:pt idx="29">
                  <c:v>14.4</c:v>
                </c:pt>
                <c:pt idx="30">
                  <c:v>14.4</c:v>
                </c:pt>
                <c:pt idx="31">
                  <c:v>15.4</c:v>
                </c:pt>
                <c:pt idx="32">
                  <c:v>15.4</c:v>
                </c:pt>
                <c:pt idx="33">
                  <c:v>16.399999999999999</c:v>
                </c:pt>
                <c:pt idx="34">
                  <c:v>16.399999999999999</c:v>
                </c:pt>
                <c:pt idx="35">
                  <c:v>17.399999999999999</c:v>
                </c:pt>
                <c:pt idx="36">
                  <c:v>17.399999999999999</c:v>
                </c:pt>
                <c:pt idx="37">
                  <c:v>18.399999999999999</c:v>
                </c:pt>
                <c:pt idx="38">
                  <c:v>18.399999999999999</c:v>
                </c:pt>
                <c:pt idx="39">
                  <c:v>19.399999999999999</c:v>
                </c:pt>
                <c:pt idx="40">
                  <c:v>19.399999999999999</c:v>
                </c:pt>
                <c:pt idx="41">
                  <c:v>20.399999999999999</c:v>
                </c:pt>
                <c:pt idx="42">
                  <c:v>20.399999999999999</c:v>
                </c:pt>
                <c:pt idx="43">
                  <c:v>21.4</c:v>
                </c:pt>
                <c:pt idx="44">
                  <c:v>21.4</c:v>
                </c:pt>
                <c:pt idx="45">
                  <c:v>22.4</c:v>
                </c:pt>
                <c:pt idx="46">
                  <c:v>22.4</c:v>
                </c:pt>
                <c:pt idx="47">
                  <c:v>23.19</c:v>
                </c:pt>
                <c:pt idx="48">
                  <c:v>23.19</c:v>
                </c:pt>
              </c:numCache>
            </c:numRef>
          </c:xVal>
          <c:yVal>
            <c:numRef>
              <c:f>keff!$O$2:$O$50</c:f>
              <c:numCache>
                <c:formatCode>0.000</c:formatCode>
                <c:ptCount val="49"/>
                <c:pt idx="0">
                  <c:v>46.151799999999994</c:v>
                </c:pt>
                <c:pt idx="1">
                  <c:v>46.151799999999994</c:v>
                </c:pt>
                <c:pt idx="2">
                  <c:v>48.501300000000001</c:v>
                </c:pt>
                <c:pt idx="3">
                  <c:v>48.501300000000001</c:v>
                </c:pt>
                <c:pt idx="4">
                  <c:v>51.181000000000004</c:v>
                </c:pt>
                <c:pt idx="5">
                  <c:v>51.181000000000004</c:v>
                </c:pt>
                <c:pt idx="6">
                  <c:v>51.422300000000163</c:v>
                </c:pt>
                <c:pt idx="7">
                  <c:v>51.422300000000163</c:v>
                </c:pt>
                <c:pt idx="8">
                  <c:v>51.511199999999995</c:v>
                </c:pt>
                <c:pt idx="9">
                  <c:v>51.511199999999995</c:v>
                </c:pt>
                <c:pt idx="10">
                  <c:v>51.587400000000002</c:v>
                </c:pt>
                <c:pt idx="11">
                  <c:v>51.587400000000002</c:v>
                </c:pt>
                <c:pt idx="12">
                  <c:v>51.689000000000007</c:v>
                </c:pt>
                <c:pt idx="13">
                  <c:v>51.689000000000007</c:v>
                </c:pt>
                <c:pt idx="14">
                  <c:v>51.851559999999999</c:v>
                </c:pt>
                <c:pt idx="15">
                  <c:v>51.851559999999999</c:v>
                </c:pt>
                <c:pt idx="16">
                  <c:v>52.082700000000003</c:v>
                </c:pt>
                <c:pt idx="17">
                  <c:v>52.082700000000003</c:v>
                </c:pt>
                <c:pt idx="18">
                  <c:v>52.334160000000004</c:v>
                </c:pt>
                <c:pt idx="19">
                  <c:v>52.334160000000004</c:v>
                </c:pt>
                <c:pt idx="20">
                  <c:v>52.64658</c:v>
                </c:pt>
                <c:pt idx="21">
                  <c:v>52.64658</c:v>
                </c:pt>
                <c:pt idx="22">
                  <c:v>53.047900000000006</c:v>
                </c:pt>
                <c:pt idx="23">
                  <c:v>53.047900000000006</c:v>
                </c:pt>
                <c:pt idx="24">
                  <c:v>53.502560000000003</c:v>
                </c:pt>
                <c:pt idx="25">
                  <c:v>53.502560000000003</c:v>
                </c:pt>
                <c:pt idx="26">
                  <c:v>53.987699999999997</c:v>
                </c:pt>
                <c:pt idx="27">
                  <c:v>53.987699999999997</c:v>
                </c:pt>
                <c:pt idx="28">
                  <c:v>54.607460000000003</c:v>
                </c:pt>
                <c:pt idx="29">
                  <c:v>54.607460000000003</c:v>
                </c:pt>
                <c:pt idx="30">
                  <c:v>55.232300000000286</c:v>
                </c:pt>
                <c:pt idx="31">
                  <c:v>55.232300000000286</c:v>
                </c:pt>
                <c:pt idx="32">
                  <c:v>56.009540000000008</c:v>
                </c:pt>
                <c:pt idx="33">
                  <c:v>56.009540000000008</c:v>
                </c:pt>
                <c:pt idx="34">
                  <c:v>56.79948000000001</c:v>
                </c:pt>
                <c:pt idx="35">
                  <c:v>56.79948000000001</c:v>
                </c:pt>
                <c:pt idx="36">
                  <c:v>57.757059999999996</c:v>
                </c:pt>
                <c:pt idx="37">
                  <c:v>57.757059999999996</c:v>
                </c:pt>
                <c:pt idx="38">
                  <c:v>58.793380000000013</c:v>
                </c:pt>
                <c:pt idx="39">
                  <c:v>58.793380000000013</c:v>
                </c:pt>
                <c:pt idx="40">
                  <c:v>60.02020000000001</c:v>
                </c:pt>
                <c:pt idx="41">
                  <c:v>60.02020000000001</c:v>
                </c:pt>
                <c:pt idx="42">
                  <c:v>61.417199999999994</c:v>
                </c:pt>
                <c:pt idx="43">
                  <c:v>61.417199999999994</c:v>
                </c:pt>
                <c:pt idx="44">
                  <c:v>62.458600000000004</c:v>
                </c:pt>
                <c:pt idx="45">
                  <c:v>62.458600000000004</c:v>
                </c:pt>
                <c:pt idx="46">
                  <c:v>65.316100000000006</c:v>
                </c:pt>
                <c:pt idx="47">
                  <c:v>65.316100000000006</c:v>
                </c:pt>
                <c:pt idx="48" formatCode="General">
                  <c:v>68.58</c:v>
                </c:pt>
              </c:numCache>
            </c:numRef>
          </c:yVal>
        </c:ser>
        <c:ser>
          <c:idx val="3"/>
          <c:order val="3"/>
          <c:tx>
            <c:v>ALEPH CE Location</c:v>
          </c:tx>
          <c:spPr>
            <a:ln w="25400">
              <a:solidFill>
                <a:srgbClr val="FF6600"/>
              </a:solidFill>
              <a:prstDash val="sysDash"/>
            </a:ln>
          </c:spPr>
          <c:marker>
            <c:symbol val="none"/>
          </c:marker>
          <c:xVal>
            <c:numRef>
              <c:f>keff!$W$2:$W$50</c:f>
              <c:numCache>
                <c:formatCode>0.00</c:formatCode>
                <c:ptCount val="49"/>
                <c:pt idx="0">
                  <c:v>0</c:v>
                </c:pt>
                <c:pt idx="1">
                  <c:v>0.2</c:v>
                </c:pt>
                <c:pt idx="2">
                  <c:v>0.2</c:v>
                </c:pt>
                <c:pt idx="3">
                  <c:v>0.40000000000000008</c:v>
                </c:pt>
                <c:pt idx="4">
                  <c:v>0.40000000000000008</c:v>
                </c:pt>
                <c:pt idx="5">
                  <c:v>0.73333333333333361</c:v>
                </c:pt>
                <c:pt idx="6">
                  <c:v>0.73333333333333361</c:v>
                </c:pt>
                <c:pt idx="7">
                  <c:v>1.0666666666666669</c:v>
                </c:pt>
                <c:pt idx="8">
                  <c:v>1.0666666666666669</c:v>
                </c:pt>
                <c:pt idx="9">
                  <c:v>1.4000000000000004</c:v>
                </c:pt>
                <c:pt idx="10">
                  <c:v>1.4000000000000004</c:v>
                </c:pt>
                <c:pt idx="11">
                  <c:v>2.4000000000000004</c:v>
                </c:pt>
                <c:pt idx="12">
                  <c:v>2.4000000000000004</c:v>
                </c:pt>
                <c:pt idx="13">
                  <c:v>5.4</c:v>
                </c:pt>
                <c:pt idx="14">
                  <c:v>5.4</c:v>
                </c:pt>
                <c:pt idx="15">
                  <c:v>7.9</c:v>
                </c:pt>
                <c:pt idx="16">
                  <c:v>7.9</c:v>
                </c:pt>
                <c:pt idx="17">
                  <c:v>10.4</c:v>
                </c:pt>
                <c:pt idx="18">
                  <c:v>10.4</c:v>
                </c:pt>
                <c:pt idx="19">
                  <c:v>12.4</c:v>
                </c:pt>
                <c:pt idx="20">
                  <c:v>12.4</c:v>
                </c:pt>
                <c:pt idx="21">
                  <c:v>13.9</c:v>
                </c:pt>
                <c:pt idx="22">
                  <c:v>13.9</c:v>
                </c:pt>
                <c:pt idx="23">
                  <c:v>15.4</c:v>
                </c:pt>
                <c:pt idx="24">
                  <c:v>15.4</c:v>
                </c:pt>
                <c:pt idx="25">
                  <c:v>16.399999999999999</c:v>
                </c:pt>
                <c:pt idx="26">
                  <c:v>16.399999999999999</c:v>
                </c:pt>
                <c:pt idx="27">
                  <c:v>17.399999999999999</c:v>
                </c:pt>
                <c:pt idx="28">
                  <c:v>17.399999999999999</c:v>
                </c:pt>
                <c:pt idx="29">
                  <c:v>18.233333333333082</c:v>
                </c:pt>
                <c:pt idx="30">
                  <c:v>18.233333333333082</c:v>
                </c:pt>
                <c:pt idx="31">
                  <c:v>19.066666666666666</c:v>
                </c:pt>
                <c:pt idx="32">
                  <c:v>19.066666666666666</c:v>
                </c:pt>
                <c:pt idx="33">
                  <c:v>19.899999999999999</c:v>
                </c:pt>
                <c:pt idx="34">
                  <c:v>19.899999999999999</c:v>
                </c:pt>
                <c:pt idx="35">
                  <c:v>20.566666666666666</c:v>
                </c:pt>
                <c:pt idx="36">
                  <c:v>20.566666666666666</c:v>
                </c:pt>
                <c:pt idx="37">
                  <c:v>21.4</c:v>
                </c:pt>
                <c:pt idx="38">
                  <c:v>21.4</c:v>
                </c:pt>
                <c:pt idx="39">
                  <c:v>21.9</c:v>
                </c:pt>
                <c:pt idx="40">
                  <c:v>21.9</c:v>
                </c:pt>
                <c:pt idx="41">
                  <c:v>22.316666666666691</c:v>
                </c:pt>
                <c:pt idx="42">
                  <c:v>22.316666666666691</c:v>
                </c:pt>
                <c:pt idx="43">
                  <c:v>22.650000000000031</c:v>
                </c:pt>
                <c:pt idx="44">
                  <c:v>22.650000000000031</c:v>
                </c:pt>
                <c:pt idx="45">
                  <c:v>22.9</c:v>
                </c:pt>
                <c:pt idx="46">
                  <c:v>22.9</c:v>
                </c:pt>
                <c:pt idx="47">
                  <c:v>23.189999999999987</c:v>
                </c:pt>
                <c:pt idx="48">
                  <c:v>23.189999999999987</c:v>
                </c:pt>
              </c:numCache>
            </c:numRef>
          </c:xVal>
          <c:yVal>
            <c:numRef>
              <c:f>keff!$X$2:$X$50</c:f>
              <c:numCache>
                <c:formatCode>0.000</c:formatCode>
                <c:ptCount val="49"/>
                <c:pt idx="0">
                  <c:v>46.739176000000249</c:v>
                </c:pt>
                <c:pt idx="1">
                  <c:v>46.739176000000249</c:v>
                </c:pt>
                <c:pt idx="2">
                  <c:v>47.913927999999999</c:v>
                </c:pt>
                <c:pt idx="3">
                  <c:v>47.913927999999999</c:v>
                </c:pt>
                <c:pt idx="4">
                  <c:v>48.947917200000006</c:v>
                </c:pt>
                <c:pt idx="5">
                  <c:v>48.947917200000006</c:v>
                </c:pt>
                <c:pt idx="6">
                  <c:v>49.841146399999992</c:v>
                </c:pt>
                <c:pt idx="7">
                  <c:v>49.841146399999992</c:v>
                </c:pt>
                <c:pt idx="8">
                  <c:v>50.734378400000011</c:v>
                </c:pt>
                <c:pt idx="9">
                  <c:v>50.734378400000011</c:v>
                </c:pt>
                <c:pt idx="10">
                  <c:v>51.300261724289371</c:v>
                </c:pt>
                <c:pt idx="11">
                  <c:v>51.300261724289371</c:v>
                </c:pt>
                <c:pt idx="12">
                  <c:v>51.554065335541125</c:v>
                </c:pt>
                <c:pt idx="13">
                  <c:v>51.554065335541125</c:v>
                </c:pt>
                <c:pt idx="14">
                  <c:v>51.935854075365363</c:v>
                </c:pt>
                <c:pt idx="15">
                  <c:v>51.935854075365363</c:v>
                </c:pt>
                <c:pt idx="16">
                  <c:v>52.624984161368033</c:v>
                </c:pt>
                <c:pt idx="17">
                  <c:v>52.624984161368033</c:v>
                </c:pt>
                <c:pt idx="18">
                  <c:v>53.54075128874144</c:v>
                </c:pt>
                <c:pt idx="19">
                  <c:v>53.54075128874144</c:v>
                </c:pt>
                <c:pt idx="20">
                  <c:v>54.451652091054044</c:v>
                </c:pt>
                <c:pt idx="21">
                  <c:v>54.451652091054044</c:v>
                </c:pt>
                <c:pt idx="22">
                  <c:v>55.422052438911663</c:v>
                </c:pt>
                <c:pt idx="23">
                  <c:v>55.422052438911663</c:v>
                </c:pt>
                <c:pt idx="24">
                  <c:v>56.378748761393254</c:v>
                </c:pt>
                <c:pt idx="25">
                  <c:v>56.378748761393254</c:v>
                </c:pt>
                <c:pt idx="26">
                  <c:v>57.286583622144207</c:v>
                </c:pt>
                <c:pt idx="27">
                  <c:v>57.286583622144207</c:v>
                </c:pt>
                <c:pt idx="28">
                  <c:v>58.221703452861121</c:v>
                </c:pt>
                <c:pt idx="29">
                  <c:v>58.221703452861121</c:v>
                </c:pt>
                <c:pt idx="30">
                  <c:v>59.160140804992011</c:v>
                </c:pt>
                <c:pt idx="31">
                  <c:v>59.160140804992011</c:v>
                </c:pt>
                <c:pt idx="32">
                  <c:v>60.16124044027088</c:v>
                </c:pt>
                <c:pt idx="33">
                  <c:v>60.16124044027088</c:v>
                </c:pt>
                <c:pt idx="34">
                  <c:v>61.089935787580281</c:v>
                </c:pt>
                <c:pt idx="35">
                  <c:v>61.089935787580281</c:v>
                </c:pt>
                <c:pt idx="36">
                  <c:v>62.005254870352005</c:v>
                </c:pt>
                <c:pt idx="37">
                  <c:v>62.005254870352005</c:v>
                </c:pt>
                <c:pt idx="38">
                  <c:v>63.068321181845604</c:v>
                </c:pt>
                <c:pt idx="39">
                  <c:v>63.068321181845604</c:v>
                </c:pt>
                <c:pt idx="40">
                  <c:v>64.317897388475103</c:v>
                </c:pt>
                <c:pt idx="41">
                  <c:v>64.317897388475103</c:v>
                </c:pt>
                <c:pt idx="42">
                  <c:v>65.656158195200959</c:v>
                </c:pt>
                <c:pt idx="43">
                  <c:v>65.656158195200959</c:v>
                </c:pt>
                <c:pt idx="44">
                  <c:v>66.831981853722993</c:v>
                </c:pt>
                <c:pt idx="45">
                  <c:v>66.831981853722993</c:v>
                </c:pt>
                <c:pt idx="46">
                  <c:v>67.967938301375426</c:v>
                </c:pt>
                <c:pt idx="47">
                  <c:v>67.967938301375426</c:v>
                </c:pt>
                <c:pt idx="48">
                  <c:v>68.58</c:v>
                </c:pt>
              </c:numCache>
            </c:numRef>
          </c:yVal>
        </c:ser>
        <c:ser>
          <c:idx val="4"/>
          <c:order val="4"/>
          <c:tx>
            <c:v>Logged CE Location</c:v>
          </c:tx>
          <c:spPr>
            <a:ln w="31750">
              <a:solidFill>
                <a:schemeClr val="tx1"/>
              </a:solidFill>
              <a:prstDash val="sysDot"/>
            </a:ln>
          </c:spPr>
          <c:marker>
            <c:symbol val="none"/>
          </c:marker>
          <c:xVal>
            <c:numRef>
              <c:f>cy35CEs!$F$3:$F$27</c:f>
              <c:numCache>
                <c:formatCode>General</c:formatCode>
                <c:ptCount val="25"/>
                <c:pt idx="0">
                  <c:v>0</c:v>
                </c:pt>
                <c:pt idx="1">
                  <c:v>0.4</c:v>
                </c:pt>
                <c:pt idx="2">
                  <c:v>1.4</c:v>
                </c:pt>
                <c:pt idx="3">
                  <c:v>2.4</c:v>
                </c:pt>
                <c:pt idx="4">
                  <c:v>3.4</c:v>
                </c:pt>
                <c:pt idx="5">
                  <c:v>4.4000000000000004</c:v>
                </c:pt>
                <c:pt idx="6">
                  <c:v>5.4</c:v>
                </c:pt>
                <c:pt idx="7">
                  <c:v>6.4</c:v>
                </c:pt>
                <c:pt idx="8">
                  <c:v>7.4</c:v>
                </c:pt>
                <c:pt idx="9">
                  <c:v>8.4</c:v>
                </c:pt>
                <c:pt idx="10">
                  <c:v>9.4</c:v>
                </c:pt>
                <c:pt idx="11">
                  <c:v>10.4</c:v>
                </c:pt>
                <c:pt idx="12">
                  <c:v>11.4</c:v>
                </c:pt>
                <c:pt idx="13">
                  <c:v>12.4</c:v>
                </c:pt>
                <c:pt idx="14">
                  <c:v>13.4</c:v>
                </c:pt>
                <c:pt idx="15">
                  <c:v>14.4</c:v>
                </c:pt>
                <c:pt idx="16">
                  <c:v>15.4</c:v>
                </c:pt>
                <c:pt idx="17">
                  <c:v>16.399999999999999</c:v>
                </c:pt>
                <c:pt idx="18">
                  <c:v>17.399999999999999</c:v>
                </c:pt>
                <c:pt idx="19">
                  <c:v>18.399999999999999</c:v>
                </c:pt>
                <c:pt idx="20">
                  <c:v>19.399999999999999</c:v>
                </c:pt>
                <c:pt idx="21">
                  <c:v>20.399999999999999</c:v>
                </c:pt>
                <c:pt idx="22">
                  <c:v>21.4</c:v>
                </c:pt>
                <c:pt idx="23">
                  <c:v>22.4</c:v>
                </c:pt>
                <c:pt idx="24">
                  <c:v>23.19</c:v>
                </c:pt>
              </c:numCache>
            </c:numRef>
          </c:xVal>
          <c:yVal>
            <c:numRef>
              <c:f>cy35CEs!$E$3:$E$27</c:f>
              <c:numCache>
                <c:formatCode>0.00000</c:formatCode>
                <c:ptCount val="25"/>
                <c:pt idx="0">
                  <c:v>46.151799999999994</c:v>
                </c:pt>
                <c:pt idx="1">
                  <c:v>48.501300000000001</c:v>
                </c:pt>
                <c:pt idx="2">
                  <c:v>51.181000000000004</c:v>
                </c:pt>
                <c:pt idx="3">
                  <c:v>51.422300000000163</c:v>
                </c:pt>
                <c:pt idx="4">
                  <c:v>51.511199999999995</c:v>
                </c:pt>
                <c:pt idx="5">
                  <c:v>51.587400000000002</c:v>
                </c:pt>
                <c:pt idx="6">
                  <c:v>51.689000000000007</c:v>
                </c:pt>
                <c:pt idx="7">
                  <c:v>51.851559999999999</c:v>
                </c:pt>
                <c:pt idx="8">
                  <c:v>52.082700000000003</c:v>
                </c:pt>
                <c:pt idx="9">
                  <c:v>52.334160000000004</c:v>
                </c:pt>
                <c:pt idx="10">
                  <c:v>52.64658</c:v>
                </c:pt>
                <c:pt idx="11">
                  <c:v>53.047900000000006</c:v>
                </c:pt>
                <c:pt idx="12">
                  <c:v>53.502560000000003</c:v>
                </c:pt>
                <c:pt idx="13">
                  <c:v>53.987699999999997</c:v>
                </c:pt>
                <c:pt idx="14">
                  <c:v>54.607460000000003</c:v>
                </c:pt>
                <c:pt idx="15">
                  <c:v>55.232300000000286</c:v>
                </c:pt>
                <c:pt idx="16">
                  <c:v>56.009540000000008</c:v>
                </c:pt>
                <c:pt idx="17">
                  <c:v>56.79948000000001</c:v>
                </c:pt>
                <c:pt idx="18">
                  <c:v>57.757059999999996</c:v>
                </c:pt>
                <c:pt idx="19">
                  <c:v>58.793380000000013</c:v>
                </c:pt>
                <c:pt idx="20">
                  <c:v>60.02020000000001</c:v>
                </c:pt>
                <c:pt idx="21">
                  <c:v>61.417199999999994</c:v>
                </c:pt>
                <c:pt idx="22">
                  <c:v>62.458600000000004</c:v>
                </c:pt>
                <c:pt idx="23">
                  <c:v>65.316100000000006</c:v>
                </c:pt>
                <c:pt idx="24">
                  <c:v>68.58</c:v>
                </c:pt>
              </c:numCache>
            </c:numRef>
          </c:yVal>
        </c:ser>
        <c:axId val="140326400"/>
        <c:axId val="140324224"/>
      </c:scatterChart>
      <c:valAx>
        <c:axId val="139451776"/>
        <c:scaling>
          <c:orientation val="minMax"/>
        </c:scaling>
        <c:axPos val="b"/>
        <c:majorGridlines>
          <c:spPr>
            <a:ln>
              <a:solidFill>
                <a:sysClr val="windowText" lastClr="000000"/>
              </a:solidFill>
            </a:ln>
          </c:spPr>
        </c:majorGridlines>
        <c:title>
          <c:tx>
            <c:rich>
              <a:bodyPr/>
              <a:lstStyle/>
              <a:p>
                <a:pPr>
                  <a:defRPr sz="1100"/>
                </a:pPr>
                <a:r>
                  <a:rPr lang="en-US" sz="1100"/>
                  <a:t>Days into Cycle 35</a:t>
                </a:r>
              </a:p>
            </c:rich>
          </c:tx>
          <c:layout>
            <c:manualLayout>
              <c:xMode val="edge"/>
              <c:yMode val="edge"/>
              <c:x val="0.40590265159162797"/>
              <c:y val="0.93918986930757364"/>
            </c:manualLayout>
          </c:layout>
        </c:title>
        <c:numFmt formatCode="#,##0.0" sourceLinked="0"/>
        <c:tickLblPos val="nextTo"/>
        <c:spPr>
          <a:ln>
            <a:solidFill>
              <a:sysClr val="windowText" lastClr="000000"/>
            </a:solidFill>
          </a:ln>
        </c:spPr>
        <c:crossAx val="140322304"/>
        <c:crosses val="autoZero"/>
        <c:crossBetween val="midCat"/>
        <c:majorUnit val="2.5"/>
      </c:valAx>
      <c:valAx>
        <c:axId val="140322304"/>
        <c:scaling>
          <c:orientation val="minMax"/>
        </c:scaling>
        <c:axPos val="l"/>
        <c:majorGridlines>
          <c:spPr>
            <a:ln>
              <a:solidFill>
                <a:sysClr val="windowText" lastClr="000000"/>
              </a:solidFill>
            </a:ln>
          </c:spPr>
        </c:majorGridlines>
        <c:title>
          <c:tx>
            <c:rich>
              <a:bodyPr rot="-5400000" vert="horz"/>
              <a:lstStyle/>
              <a:p>
                <a:pPr>
                  <a:defRPr sz="1100"/>
                </a:pPr>
                <a:r>
                  <a:rPr lang="en-US" sz="1100"/>
                  <a:t>k</a:t>
                </a:r>
                <a:r>
                  <a:rPr lang="en-US" sz="1100" baseline="-25000"/>
                  <a:t>eff</a:t>
                </a:r>
              </a:p>
            </c:rich>
          </c:tx>
          <c:layout>
            <c:manualLayout>
              <c:xMode val="edge"/>
              <c:yMode val="edge"/>
              <c:x val="6.4102564102564465E-3"/>
              <c:y val="0.40981596372618595"/>
            </c:manualLayout>
          </c:layout>
        </c:title>
        <c:numFmt formatCode="#,##0.000" sourceLinked="0"/>
        <c:tickLblPos val="nextTo"/>
        <c:spPr>
          <a:ln>
            <a:solidFill>
              <a:sysClr val="windowText" lastClr="000000"/>
            </a:solidFill>
          </a:ln>
        </c:spPr>
        <c:crossAx val="139451776"/>
        <c:crosses val="autoZero"/>
        <c:crossBetween val="midCat"/>
        <c:majorUnit val="2.5000000000000092E-3"/>
      </c:valAx>
      <c:valAx>
        <c:axId val="140324224"/>
        <c:scaling>
          <c:orientation val="minMax"/>
          <c:max val="70"/>
          <c:min val="45"/>
        </c:scaling>
        <c:axPos val="r"/>
        <c:title>
          <c:tx>
            <c:rich>
              <a:bodyPr rot="-5400000" vert="horz"/>
              <a:lstStyle/>
              <a:p>
                <a:pPr>
                  <a:defRPr sz="1100"/>
                </a:pPr>
                <a:r>
                  <a:rPr lang="en-US" sz="1100"/>
                  <a:t>Distance from Core Axial Midplane (cm)</a:t>
                </a:r>
              </a:p>
            </c:rich>
          </c:tx>
        </c:title>
        <c:numFmt formatCode="#,##0.0" sourceLinked="0"/>
        <c:tickLblPos val="nextTo"/>
        <c:spPr>
          <a:ln>
            <a:solidFill>
              <a:schemeClr val="tx1"/>
            </a:solidFill>
          </a:ln>
        </c:spPr>
        <c:crossAx val="140326400"/>
        <c:crosses val="max"/>
        <c:crossBetween val="midCat"/>
        <c:majorUnit val="2.5"/>
      </c:valAx>
      <c:valAx>
        <c:axId val="140326400"/>
        <c:scaling>
          <c:orientation val="minMax"/>
        </c:scaling>
        <c:delete val="1"/>
        <c:axPos val="b"/>
        <c:numFmt formatCode="0.00" sourceLinked="1"/>
        <c:tickLblPos val="none"/>
        <c:crossAx val="140324224"/>
        <c:crosses val="autoZero"/>
        <c:crossBetween val="midCat"/>
      </c:valAx>
    </c:plotArea>
    <c:legend>
      <c:legendPos val="r"/>
      <c:layout>
        <c:manualLayout>
          <c:xMode val="edge"/>
          <c:yMode val="edge"/>
          <c:x val="0.34202032438252938"/>
          <c:y val="5.4045898901812515E-2"/>
          <c:w val="0.31050508109563474"/>
          <c:h val="0.24776848770192678"/>
        </c:manualLayout>
      </c:layout>
      <c:overlay val="1"/>
      <c:spPr>
        <a:solidFill>
          <a:schemeClr val="bg1"/>
        </a:solidFill>
        <a:ln>
          <a:solidFill>
            <a:schemeClr val="tx1"/>
          </a:solidFill>
        </a:ln>
      </c:spPr>
    </c:legend>
    <c:plotVisOnly val="1"/>
    <c:dispBlanksAs val="gap"/>
  </c:chart>
  <c:spPr>
    <a:ln>
      <a:solidFill>
        <a:sysClr val="windowText" lastClr="000000"/>
      </a:solidFill>
    </a:ln>
  </c:spPr>
  <c:txPr>
    <a:bodyPr/>
    <a:lstStyle/>
    <a:p>
      <a:pPr>
        <a:defRPr sz="1000">
          <a:latin typeface="Times New Roman" pitchFamily="18" charset="0"/>
          <a:cs typeface="Times New Roman" pitchFamily="18" charset="0"/>
        </a:defRPr>
      </a:pPr>
      <a:endParaRPr lang="en-US"/>
    </a:p>
  </c:txPr>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9.2380607596464229E-2"/>
          <c:y val="2.2199223170204806E-2"/>
          <c:w val="0.8639603885721181"/>
          <c:h val="0.829425392549618"/>
        </c:manualLayout>
      </c:layout>
      <c:scatterChart>
        <c:scatterStyle val="smoothMarker"/>
        <c:ser>
          <c:idx val="6"/>
          <c:order val="0"/>
          <c:tx>
            <c:v>Meas. (I)</c:v>
          </c:tx>
          <c:spPr>
            <a:ln>
              <a:noFill/>
            </a:ln>
          </c:spPr>
          <c:marker>
            <c:symbol val="star"/>
            <c:size val="7"/>
            <c:spPr>
              <a:noFill/>
              <a:ln w="19050">
                <a:solidFill>
                  <a:srgbClr val="0000FF"/>
                </a:solidFill>
              </a:ln>
            </c:spPr>
          </c:marker>
          <c:xVal>
            <c:numRef>
              <c:f>(Comparison!$L$6,Comparison!$L$8,Comparison!$L$10)</c:f>
              <c:numCache>
                <c:formatCode>0.00%</c:formatCode>
                <c:ptCount val="3"/>
                <c:pt idx="0">
                  <c:v>1.0999999999999998E-2</c:v>
                </c:pt>
                <c:pt idx="1">
                  <c:v>1.2000000000000005E-2</c:v>
                </c:pt>
                <c:pt idx="2">
                  <c:v>1.0999999999999998E-2</c:v>
                </c:pt>
              </c:numCache>
            </c:numRef>
          </c:xVal>
          <c:yVal>
            <c:numRef>
              <c:f>(Comparison!$K$6,Comparison!$K$8,Comparison!$K$10)</c:f>
              <c:numCache>
                <c:formatCode>General</c:formatCode>
                <c:ptCount val="3"/>
                <c:pt idx="0">
                  <c:v>22.224999999999987</c:v>
                </c:pt>
                <c:pt idx="1">
                  <c:v>-0.63500000000000678</c:v>
                </c:pt>
                <c:pt idx="2">
                  <c:v>-23.3934</c:v>
                </c:pt>
              </c:numCache>
            </c:numRef>
          </c:yVal>
          <c:smooth val="1"/>
        </c:ser>
        <c:ser>
          <c:idx val="8"/>
          <c:order val="1"/>
          <c:tx>
            <c:v>VESTA (I)</c:v>
          </c:tx>
          <c:spPr>
            <a:ln w="19050">
              <a:solidFill>
                <a:srgbClr val="0000FF"/>
              </a:solidFill>
            </a:ln>
          </c:spPr>
          <c:marker>
            <c:symbol val="none"/>
          </c:marker>
          <c:xVal>
            <c:numRef>
              <c:f>Comparison!$G$6:$G$29</c:f>
              <c:numCache>
                <c:formatCode>0.00%</c:formatCode>
                <c:ptCount val="24"/>
                <c:pt idx="0">
                  <c:v>1.1036624733479361E-2</c:v>
                </c:pt>
                <c:pt idx="1">
                  <c:v>1.066904825040438E-2</c:v>
                </c:pt>
                <c:pt idx="2">
                  <c:v>1.060980120695991E-2</c:v>
                </c:pt>
                <c:pt idx="3">
                  <c:v>1.0655299070373454E-2</c:v>
                </c:pt>
                <c:pt idx="4">
                  <c:v>1.0805428552310621E-2</c:v>
                </c:pt>
                <c:pt idx="5">
                  <c:v>1.0981194767464609E-2</c:v>
                </c:pt>
                <c:pt idx="6">
                  <c:v>1.1162586802476521E-2</c:v>
                </c:pt>
                <c:pt idx="7">
                  <c:v>1.1262114946900941E-2</c:v>
                </c:pt>
                <c:pt idx="8">
                  <c:v>1.1341298446896681E-2</c:v>
                </c:pt>
                <c:pt idx="9">
                  <c:v>1.1459884512940862E-2</c:v>
                </c:pt>
                <c:pt idx="10">
                  <c:v>1.1533513769931761E-2</c:v>
                </c:pt>
                <c:pt idx="11">
                  <c:v>1.1561538185888804E-2</c:v>
                </c:pt>
                <c:pt idx="12">
                  <c:v>1.1575929645065692E-2</c:v>
                </c:pt>
                <c:pt idx="13">
                  <c:v>1.1561218887627903E-2</c:v>
                </c:pt>
                <c:pt idx="14">
                  <c:v>1.1495970356243817E-2</c:v>
                </c:pt>
                <c:pt idx="15">
                  <c:v>1.1393073750729867E-2</c:v>
                </c:pt>
                <c:pt idx="16">
                  <c:v>1.1256821405418137E-2</c:v>
                </c:pt>
                <c:pt idx="17">
                  <c:v>1.1162259805768101E-2</c:v>
                </c:pt>
                <c:pt idx="18">
                  <c:v>1.1055862082256219E-2</c:v>
                </c:pt>
                <c:pt idx="19">
                  <c:v>1.087723767397567E-2</c:v>
                </c:pt>
                <c:pt idx="20">
                  <c:v>1.069913236735528E-2</c:v>
                </c:pt>
                <c:pt idx="21">
                  <c:v>1.0600180113278701E-2</c:v>
                </c:pt>
                <c:pt idx="22">
                  <c:v>1.0636637026803498E-2</c:v>
                </c:pt>
                <c:pt idx="23">
                  <c:v>1.0921146851135882E-2</c:v>
                </c:pt>
              </c:numCache>
            </c:numRef>
          </c:xVal>
          <c:yVal>
            <c:numRef>
              <c:f>Comparison!$F$6:$F$29</c:f>
              <c:numCache>
                <c:formatCode>General</c:formatCode>
                <c:ptCount val="24"/>
                <c:pt idx="0">
                  <c:v>24.764999999999986</c:v>
                </c:pt>
                <c:pt idx="1">
                  <c:v>23.302500000000002</c:v>
                </c:pt>
                <c:pt idx="2">
                  <c:v>22.224999999999987</c:v>
                </c:pt>
                <c:pt idx="3">
                  <c:v>20.608750000000001</c:v>
                </c:pt>
                <c:pt idx="4">
                  <c:v>17.876249999999889</c:v>
                </c:pt>
                <c:pt idx="5">
                  <c:v>15.143750000000001</c:v>
                </c:pt>
                <c:pt idx="6">
                  <c:v>12.411250000000001</c:v>
                </c:pt>
                <c:pt idx="7">
                  <c:v>10.795000000000002</c:v>
                </c:pt>
                <c:pt idx="8">
                  <c:v>9.1787500000000009</c:v>
                </c:pt>
                <c:pt idx="9">
                  <c:v>6.4462500000000134</c:v>
                </c:pt>
                <c:pt idx="10">
                  <c:v>3.7137499999999997</c:v>
                </c:pt>
                <c:pt idx="11">
                  <c:v>0.98124999999999851</c:v>
                </c:pt>
                <c:pt idx="12">
                  <c:v>-0.63500000000000834</c:v>
                </c:pt>
                <c:pt idx="13">
                  <c:v>-2.2512499999999767</c:v>
                </c:pt>
                <c:pt idx="14">
                  <c:v>-4.9837500000000023</c:v>
                </c:pt>
                <c:pt idx="15">
                  <c:v>-7.7162500000000014</c:v>
                </c:pt>
                <c:pt idx="16">
                  <c:v>-10.44875</c:v>
                </c:pt>
                <c:pt idx="17">
                  <c:v>-12.065000000000024</c:v>
                </c:pt>
                <c:pt idx="18">
                  <c:v>-13.681249999999999</c:v>
                </c:pt>
                <c:pt idx="19">
                  <c:v>-16.41375</c:v>
                </c:pt>
                <c:pt idx="20">
                  <c:v>-19.14625000000003</c:v>
                </c:pt>
                <c:pt idx="21">
                  <c:v>-21.878750000000004</c:v>
                </c:pt>
                <c:pt idx="22">
                  <c:v>-23.494999999999987</c:v>
                </c:pt>
                <c:pt idx="23">
                  <c:v>-24.572499999999771</c:v>
                </c:pt>
              </c:numCache>
            </c:numRef>
          </c:yVal>
          <c:smooth val="1"/>
        </c:ser>
        <c:ser>
          <c:idx val="7"/>
          <c:order val="2"/>
          <c:tx>
            <c:v>ALEPH (I)</c:v>
          </c:tx>
          <c:spPr>
            <a:ln w="19050">
              <a:solidFill>
                <a:srgbClr val="0000FF"/>
              </a:solidFill>
              <a:prstDash val="dash"/>
            </a:ln>
          </c:spPr>
          <c:marker>
            <c:symbol val="none"/>
          </c:marker>
          <c:xVal>
            <c:numRef>
              <c:f>Comparison!$B$6:$B$29</c:f>
              <c:numCache>
                <c:formatCode>0.00%</c:formatCode>
                <c:ptCount val="24"/>
                <c:pt idx="0">
                  <c:v>1.1020198223572836E-2</c:v>
                </c:pt>
                <c:pt idx="1">
                  <c:v>1.0648558595762624E-2</c:v>
                </c:pt>
                <c:pt idx="2">
                  <c:v>1.0569198899700281E-2</c:v>
                </c:pt>
                <c:pt idx="3">
                  <c:v>1.060113970467536E-2</c:v>
                </c:pt>
                <c:pt idx="4">
                  <c:v>1.0750275972359578E-2</c:v>
                </c:pt>
                <c:pt idx="5">
                  <c:v>1.0929480815477623E-2</c:v>
                </c:pt>
                <c:pt idx="6">
                  <c:v>1.1094372702253101E-2</c:v>
                </c:pt>
                <c:pt idx="7">
                  <c:v>1.1189803752568114E-2</c:v>
                </c:pt>
                <c:pt idx="8">
                  <c:v>1.1284504781141841E-2</c:v>
                </c:pt>
                <c:pt idx="9">
                  <c:v>1.140513285999022E-2</c:v>
                </c:pt>
                <c:pt idx="10">
                  <c:v>1.1459168086513385E-2</c:v>
                </c:pt>
                <c:pt idx="11">
                  <c:v>1.1491648382995595E-2</c:v>
                </c:pt>
                <c:pt idx="12">
                  <c:v>1.151944041499098E-2</c:v>
                </c:pt>
                <c:pt idx="13">
                  <c:v>1.1494867864628061E-2</c:v>
                </c:pt>
                <c:pt idx="14">
                  <c:v>1.1434574784457027E-2</c:v>
                </c:pt>
                <c:pt idx="15">
                  <c:v>1.1329954091235179E-2</c:v>
                </c:pt>
                <c:pt idx="16">
                  <c:v>1.1182588000514115E-2</c:v>
                </c:pt>
                <c:pt idx="17">
                  <c:v>1.1097990373047859E-2</c:v>
                </c:pt>
                <c:pt idx="18">
                  <c:v>1.1014641287225443E-2</c:v>
                </c:pt>
                <c:pt idx="19">
                  <c:v>1.082017150251983E-2</c:v>
                </c:pt>
                <c:pt idx="20">
                  <c:v>1.0652737465766121E-2</c:v>
                </c:pt>
                <c:pt idx="21">
                  <c:v>1.0557581117706143E-2</c:v>
                </c:pt>
                <c:pt idx="22">
                  <c:v>1.0617655617378641E-2</c:v>
                </c:pt>
                <c:pt idx="23">
                  <c:v>1.0900721454952923E-2</c:v>
                </c:pt>
              </c:numCache>
            </c:numRef>
          </c:xVal>
          <c:yVal>
            <c:numRef>
              <c:f>Comparison!$A$6:$A$29</c:f>
              <c:numCache>
                <c:formatCode>General</c:formatCode>
                <c:ptCount val="24"/>
                <c:pt idx="0">
                  <c:v>24.764999999999986</c:v>
                </c:pt>
                <c:pt idx="1">
                  <c:v>23.302500000000002</c:v>
                </c:pt>
                <c:pt idx="2">
                  <c:v>22.224999999999987</c:v>
                </c:pt>
                <c:pt idx="3">
                  <c:v>20.608750000000001</c:v>
                </c:pt>
                <c:pt idx="4">
                  <c:v>17.876249999999889</c:v>
                </c:pt>
                <c:pt idx="5">
                  <c:v>15.143750000000001</c:v>
                </c:pt>
                <c:pt idx="6">
                  <c:v>12.411250000000001</c:v>
                </c:pt>
                <c:pt idx="7">
                  <c:v>10.795000000000002</c:v>
                </c:pt>
                <c:pt idx="8">
                  <c:v>9.1787500000000009</c:v>
                </c:pt>
                <c:pt idx="9">
                  <c:v>6.4462500000000134</c:v>
                </c:pt>
                <c:pt idx="10">
                  <c:v>3.7137499999999997</c:v>
                </c:pt>
                <c:pt idx="11">
                  <c:v>0.98124999999999851</c:v>
                </c:pt>
                <c:pt idx="12">
                  <c:v>-0.63500000000000834</c:v>
                </c:pt>
                <c:pt idx="13">
                  <c:v>-2.2512499999999767</c:v>
                </c:pt>
                <c:pt idx="14">
                  <c:v>-4.9837500000000023</c:v>
                </c:pt>
                <c:pt idx="15">
                  <c:v>-7.7162500000000014</c:v>
                </c:pt>
                <c:pt idx="16">
                  <c:v>-10.44875</c:v>
                </c:pt>
                <c:pt idx="17">
                  <c:v>-12.065000000000024</c:v>
                </c:pt>
                <c:pt idx="18">
                  <c:v>-13.681249999999999</c:v>
                </c:pt>
                <c:pt idx="19">
                  <c:v>-16.41375</c:v>
                </c:pt>
                <c:pt idx="20">
                  <c:v>-19.14625000000003</c:v>
                </c:pt>
                <c:pt idx="21">
                  <c:v>-21.878750000000004</c:v>
                </c:pt>
                <c:pt idx="22">
                  <c:v>-23.494999999999987</c:v>
                </c:pt>
                <c:pt idx="23">
                  <c:v>-24.572499999999771</c:v>
                </c:pt>
              </c:numCache>
            </c:numRef>
          </c:yVal>
          <c:smooth val="1"/>
        </c:ser>
        <c:ser>
          <c:idx val="0"/>
          <c:order val="3"/>
          <c:tx>
            <c:v>Meas. (H)</c:v>
          </c:tx>
          <c:spPr>
            <a:ln>
              <a:noFill/>
            </a:ln>
          </c:spPr>
          <c:marker>
            <c:symbol val="triangle"/>
            <c:size val="7"/>
            <c:spPr>
              <a:noFill/>
              <a:ln w="19050">
                <a:solidFill>
                  <a:srgbClr val="008000"/>
                </a:solidFill>
              </a:ln>
            </c:spPr>
          </c:marker>
          <c:xVal>
            <c:numRef>
              <c:f>Comparison!$M$6:$M$10</c:f>
              <c:numCache>
                <c:formatCode>0.00%</c:formatCode>
                <c:ptCount val="5"/>
                <c:pt idx="0">
                  <c:v>1.0500000000000021E-2</c:v>
                </c:pt>
                <c:pt idx="1">
                  <c:v>1.0600000000000021E-2</c:v>
                </c:pt>
                <c:pt idx="2">
                  <c:v>1.0900000000000043E-2</c:v>
                </c:pt>
                <c:pt idx="3">
                  <c:v>1.0600000000000021E-2</c:v>
                </c:pt>
                <c:pt idx="4">
                  <c:v>1.0300000000000005E-2</c:v>
                </c:pt>
              </c:numCache>
            </c:numRef>
          </c:xVal>
          <c:yVal>
            <c:numRef>
              <c:f>Comparison!$K$6:$K$10</c:f>
              <c:numCache>
                <c:formatCode>General</c:formatCode>
                <c:ptCount val="5"/>
                <c:pt idx="0">
                  <c:v>22.224999999999987</c:v>
                </c:pt>
                <c:pt idx="1">
                  <c:v>10.795</c:v>
                </c:pt>
                <c:pt idx="2">
                  <c:v>-0.63500000000000678</c:v>
                </c:pt>
                <c:pt idx="3">
                  <c:v>-12.065000000000024</c:v>
                </c:pt>
                <c:pt idx="4">
                  <c:v>-23.3934</c:v>
                </c:pt>
              </c:numCache>
            </c:numRef>
          </c:yVal>
          <c:smooth val="1"/>
        </c:ser>
        <c:ser>
          <c:idx val="2"/>
          <c:order val="4"/>
          <c:tx>
            <c:v>VESTA (H)</c:v>
          </c:tx>
          <c:spPr>
            <a:ln w="19050">
              <a:solidFill>
                <a:srgbClr val="008000"/>
              </a:solidFill>
            </a:ln>
          </c:spPr>
          <c:marker>
            <c:symbol val="none"/>
          </c:marker>
          <c:xVal>
            <c:numRef>
              <c:f>Comparison!$H$6:$H$29</c:f>
              <c:numCache>
                <c:formatCode>0.00%</c:formatCode>
                <c:ptCount val="24"/>
                <c:pt idx="0">
                  <c:v>1.0330771600125781E-2</c:v>
                </c:pt>
                <c:pt idx="1">
                  <c:v>9.9908278124858259E-3</c:v>
                </c:pt>
                <c:pt idx="2">
                  <c:v>9.952026826780291E-3</c:v>
                </c:pt>
                <c:pt idx="3">
                  <c:v>9.9759763064676387E-3</c:v>
                </c:pt>
                <c:pt idx="4">
                  <c:v>1.004739093808329E-2</c:v>
                </c:pt>
                <c:pt idx="5">
                  <c:v>1.0127290686263182E-2</c:v>
                </c:pt>
                <c:pt idx="6">
                  <c:v>1.0214575185550885E-2</c:v>
                </c:pt>
                <c:pt idx="7">
                  <c:v>1.0258031733847343E-2</c:v>
                </c:pt>
                <c:pt idx="8">
                  <c:v>1.0310292307839274E-2</c:v>
                </c:pt>
                <c:pt idx="9">
                  <c:v>1.0368114397636945E-2</c:v>
                </c:pt>
                <c:pt idx="10">
                  <c:v>1.0412041085971248E-2</c:v>
                </c:pt>
                <c:pt idx="11">
                  <c:v>1.0423701520849852E-2</c:v>
                </c:pt>
                <c:pt idx="12">
                  <c:v>1.0416003448297411E-2</c:v>
                </c:pt>
                <c:pt idx="13">
                  <c:v>1.04175387865998E-2</c:v>
                </c:pt>
                <c:pt idx="14">
                  <c:v>1.0392146020533878E-2</c:v>
                </c:pt>
                <c:pt idx="15">
                  <c:v>1.0333287812830794E-2</c:v>
                </c:pt>
                <c:pt idx="16">
                  <c:v>1.0264820133868386E-2</c:v>
                </c:pt>
                <c:pt idx="17">
                  <c:v>1.0208370910014907E-2</c:v>
                </c:pt>
                <c:pt idx="18">
                  <c:v>1.0163401280424041E-2</c:v>
                </c:pt>
                <c:pt idx="19">
                  <c:v>1.0078133750456214E-2</c:v>
                </c:pt>
                <c:pt idx="20">
                  <c:v>9.9978911524044797E-3</c:v>
                </c:pt>
                <c:pt idx="21">
                  <c:v>9.944023090097235E-3</c:v>
                </c:pt>
                <c:pt idx="22">
                  <c:v>9.9653520229080576E-3</c:v>
                </c:pt>
                <c:pt idx="23">
                  <c:v>1.0218259264108341E-2</c:v>
                </c:pt>
              </c:numCache>
            </c:numRef>
          </c:xVal>
          <c:yVal>
            <c:numRef>
              <c:f>Comparison!$F$6:$F$29</c:f>
              <c:numCache>
                <c:formatCode>General</c:formatCode>
                <c:ptCount val="24"/>
                <c:pt idx="0">
                  <c:v>24.764999999999986</c:v>
                </c:pt>
                <c:pt idx="1">
                  <c:v>23.302500000000002</c:v>
                </c:pt>
                <c:pt idx="2">
                  <c:v>22.224999999999987</c:v>
                </c:pt>
                <c:pt idx="3">
                  <c:v>20.608750000000001</c:v>
                </c:pt>
                <c:pt idx="4">
                  <c:v>17.876249999999889</c:v>
                </c:pt>
                <c:pt idx="5">
                  <c:v>15.143750000000001</c:v>
                </c:pt>
                <c:pt idx="6">
                  <c:v>12.411250000000001</c:v>
                </c:pt>
                <c:pt idx="7">
                  <c:v>10.795000000000002</c:v>
                </c:pt>
                <c:pt idx="8">
                  <c:v>9.1787500000000009</c:v>
                </c:pt>
                <c:pt idx="9">
                  <c:v>6.4462500000000134</c:v>
                </c:pt>
                <c:pt idx="10">
                  <c:v>3.7137499999999997</c:v>
                </c:pt>
                <c:pt idx="11">
                  <c:v>0.98124999999999851</c:v>
                </c:pt>
                <c:pt idx="12">
                  <c:v>-0.63500000000000834</c:v>
                </c:pt>
                <c:pt idx="13">
                  <c:v>-2.2512499999999767</c:v>
                </c:pt>
                <c:pt idx="14">
                  <c:v>-4.9837500000000023</c:v>
                </c:pt>
                <c:pt idx="15">
                  <c:v>-7.7162500000000014</c:v>
                </c:pt>
                <c:pt idx="16">
                  <c:v>-10.44875</c:v>
                </c:pt>
                <c:pt idx="17">
                  <c:v>-12.065000000000024</c:v>
                </c:pt>
                <c:pt idx="18">
                  <c:v>-13.681249999999999</c:v>
                </c:pt>
                <c:pt idx="19">
                  <c:v>-16.41375</c:v>
                </c:pt>
                <c:pt idx="20">
                  <c:v>-19.14625000000003</c:v>
                </c:pt>
                <c:pt idx="21">
                  <c:v>-21.878750000000004</c:v>
                </c:pt>
                <c:pt idx="22">
                  <c:v>-23.494999999999987</c:v>
                </c:pt>
                <c:pt idx="23">
                  <c:v>-24.572499999999771</c:v>
                </c:pt>
              </c:numCache>
            </c:numRef>
          </c:yVal>
          <c:smooth val="1"/>
        </c:ser>
        <c:ser>
          <c:idx val="1"/>
          <c:order val="5"/>
          <c:tx>
            <c:v>ALEPH (H)</c:v>
          </c:tx>
          <c:spPr>
            <a:ln w="19050">
              <a:solidFill>
                <a:srgbClr val="008000"/>
              </a:solidFill>
              <a:prstDash val="dash"/>
            </a:ln>
          </c:spPr>
          <c:marker>
            <c:symbol val="none"/>
          </c:marker>
          <c:xVal>
            <c:numRef>
              <c:f>Comparison!$C$6:$C$29</c:f>
              <c:numCache>
                <c:formatCode>0.00%</c:formatCode>
                <c:ptCount val="24"/>
                <c:pt idx="0">
                  <c:v>1.0307563087438581E-2</c:v>
                </c:pt>
                <c:pt idx="1">
                  <c:v>9.9625882224962936E-3</c:v>
                </c:pt>
                <c:pt idx="2">
                  <c:v>9.9284860409848789E-3</c:v>
                </c:pt>
                <c:pt idx="3">
                  <c:v>9.9518582944653957E-3</c:v>
                </c:pt>
                <c:pt idx="4">
                  <c:v>1.0008794540530601E-2</c:v>
                </c:pt>
                <c:pt idx="5">
                  <c:v>1.0077954757115887E-2</c:v>
                </c:pt>
                <c:pt idx="6">
                  <c:v>1.0152562588430119E-2</c:v>
                </c:pt>
                <c:pt idx="7">
                  <c:v>1.0204739231859961E-2</c:v>
                </c:pt>
                <c:pt idx="8">
                  <c:v>1.0249840234288661E-2</c:v>
                </c:pt>
                <c:pt idx="9">
                  <c:v>1.0280002189836322E-2</c:v>
                </c:pt>
                <c:pt idx="10">
                  <c:v>1.0347020629255252E-2</c:v>
                </c:pt>
                <c:pt idx="11">
                  <c:v>1.0377301368903465E-2</c:v>
                </c:pt>
                <c:pt idx="12">
                  <c:v>1.0380103131473341E-2</c:v>
                </c:pt>
                <c:pt idx="13">
                  <c:v>1.0369723267060867E-2</c:v>
                </c:pt>
                <c:pt idx="14">
                  <c:v>1.0331745980739472E-2</c:v>
                </c:pt>
                <c:pt idx="15">
                  <c:v>1.0259695987685051E-2</c:v>
                </c:pt>
                <c:pt idx="16">
                  <c:v>1.0199895040490806E-2</c:v>
                </c:pt>
                <c:pt idx="17">
                  <c:v>1.0166028520866947E-2</c:v>
                </c:pt>
                <c:pt idx="18">
                  <c:v>1.0117734437458422E-2</c:v>
                </c:pt>
                <c:pt idx="19">
                  <c:v>1.0039381081264759E-2</c:v>
                </c:pt>
                <c:pt idx="20">
                  <c:v>9.9541778367238064E-3</c:v>
                </c:pt>
                <c:pt idx="21">
                  <c:v>9.9225450010690039E-3</c:v>
                </c:pt>
                <c:pt idx="22">
                  <c:v>9.9379800157005527E-3</c:v>
                </c:pt>
                <c:pt idx="23">
                  <c:v>1.0204503942031921E-2</c:v>
                </c:pt>
              </c:numCache>
            </c:numRef>
          </c:xVal>
          <c:yVal>
            <c:numRef>
              <c:f>Comparison!$A$6:$A$29</c:f>
              <c:numCache>
                <c:formatCode>General</c:formatCode>
                <c:ptCount val="24"/>
                <c:pt idx="0">
                  <c:v>24.764999999999986</c:v>
                </c:pt>
                <c:pt idx="1">
                  <c:v>23.302500000000002</c:v>
                </c:pt>
                <c:pt idx="2">
                  <c:v>22.224999999999987</c:v>
                </c:pt>
                <c:pt idx="3">
                  <c:v>20.608750000000001</c:v>
                </c:pt>
                <c:pt idx="4">
                  <c:v>17.876249999999889</c:v>
                </c:pt>
                <c:pt idx="5">
                  <c:v>15.143750000000001</c:v>
                </c:pt>
                <c:pt idx="6">
                  <c:v>12.411250000000001</c:v>
                </c:pt>
                <c:pt idx="7">
                  <c:v>10.795000000000002</c:v>
                </c:pt>
                <c:pt idx="8">
                  <c:v>9.1787500000000009</c:v>
                </c:pt>
                <c:pt idx="9">
                  <c:v>6.4462500000000134</c:v>
                </c:pt>
                <c:pt idx="10">
                  <c:v>3.7137499999999997</c:v>
                </c:pt>
                <c:pt idx="11">
                  <c:v>0.98124999999999851</c:v>
                </c:pt>
                <c:pt idx="12">
                  <c:v>-0.63500000000000834</c:v>
                </c:pt>
                <c:pt idx="13">
                  <c:v>-2.2512499999999767</c:v>
                </c:pt>
                <c:pt idx="14">
                  <c:v>-4.9837500000000023</c:v>
                </c:pt>
                <c:pt idx="15">
                  <c:v>-7.7162500000000014</c:v>
                </c:pt>
                <c:pt idx="16">
                  <c:v>-10.44875</c:v>
                </c:pt>
                <c:pt idx="17">
                  <c:v>-12.065000000000024</c:v>
                </c:pt>
                <c:pt idx="18">
                  <c:v>-13.681249999999999</c:v>
                </c:pt>
                <c:pt idx="19">
                  <c:v>-16.41375</c:v>
                </c:pt>
                <c:pt idx="20">
                  <c:v>-19.14625000000003</c:v>
                </c:pt>
                <c:pt idx="21">
                  <c:v>-21.878750000000004</c:v>
                </c:pt>
                <c:pt idx="22">
                  <c:v>-23.494999999999987</c:v>
                </c:pt>
                <c:pt idx="23">
                  <c:v>-24.572499999999771</c:v>
                </c:pt>
              </c:numCache>
            </c:numRef>
          </c:yVal>
          <c:smooth val="1"/>
        </c:ser>
        <c:ser>
          <c:idx val="3"/>
          <c:order val="6"/>
          <c:tx>
            <c:v>Meas. (O)</c:v>
          </c:tx>
          <c:spPr>
            <a:ln>
              <a:noFill/>
            </a:ln>
          </c:spPr>
          <c:marker>
            <c:symbol val="circle"/>
            <c:size val="7"/>
            <c:spPr>
              <a:noFill/>
              <a:ln w="19050">
                <a:solidFill>
                  <a:srgbClr val="FF0000"/>
                </a:solidFill>
              </a:ln>
            </c:spPr>
          </c:marker>
          <c:xVal>
            <c:numRef>
              <c:f>(Comparison!$N$6,Comparison!$N$8,Comparison!$N$10)</c:f>
              <c:numCache>
                <c:formatCode>0.00%</c:formatCode>
                <c:ptCount val="3"/>
                <c:pt idx="0">
                  <c:v>1.0800000000000021E-2</c:v>
                </c:pt>
                <c:pt idx="1">
                  <c:v>1.3200000000000081E-2</c:v>
                </c:pt>
                <c:pt idx="2">
                  <c:v>1.0600000000000021E-2</c:v>
                </c:pt>
              </c:numCache>
            </c:numRef>
          </c:xVal>
          <c:yVal>
            <c:numRef>
              <c:f>(Comparison!$K$6,Comparison!$K$8,Comparison!$K$10)</c:f>
              <c:numCache>
                <c:formatCode>General</c:formatCode>
                <c:ptCount val="3"/>
                <c:pt idx="0">
                  <c:v>22.224999999999987</c:v>
                </c:pt>
                <c:pt idx="1">
                  <c:v>-0.63500000000000678</c:v>
                </c:pt>
                <c:pt idx="2">
                  <c:v>-23.3934</c:v>
                </c:pt>
              </c:numCache>
            </c:numRef>
          </c:yVal>
          <c:smooth val="1"/>
        </c:ser>
        <c:ser>
          <c:idx val="5"/>
          <c:order val="7"/>
          <c:tx>
            <c:v>VESTA (O)</c:v>
          </c:tx>
          <c:spPr>
            <a:ln w="19050">
              <a:solidFill>
                <a:srgbClr val="FF0000"/>
              </a:solidFill>
            </a:ln>
          </c:spPr>
          <c:marker>
            <c:symbol val="none"/>
          </c:marker>
          <c:xVal>
            <c:numRef>
              <c:f>Comparison!$I$6:$I$29</c:f>
              <c:numCache>
                <c:formatCode>0.00%</c:formatCode>
                <c:ptCount val="24"/>
                <c:pt idx="0">
                  <c:v>1.058143376255271E-2</c:v>
                </c:pt>
                <c:pt idx="1">
                  <c:v>1.0463455559011004E-2</c:v>
                </c:pt>
                <c:pt idx="2">
                  <c:v>1.0507608848251001E-2</c:v>
                </c:pt>
                <c:pt idx="3">
                  <c:v>1.0660077430072521E-2</c:v>
                </c:pt>
                <c:pt idx="4">
                  <c:v>1.0956008378581555E-2</c:v>
                </c:pt>
                <c:pt idx="5">
                  <c:v>1.1312466640937392E-2</c:v>
                </c:pt>
                <c:pt idx="6">
                  <c:v>1.1715665542687973E-2</c:v>
                </c:pt>
                <c:pt idx="7">
                  <c:v>1.197701515288324E-2</c:v>
                </c:pt>
                <c:pt idx="8">
                  <c:v>1.2225066844598884E-2</c:v>
                </c:pt>
                <c:pt idx="9">
                  <c:v>1.2545574974689043E-2</c:v>
                </c:pt>
                <c:pt idx="10">
                  <c:v>1.2747409839553242E-2</c:v>
                </c:pt>
                <c:pt idx="11">
                  <c:v>1.2842406318593841E-2</c:v>
                </c:pt>
                <c:pt idx="12">
                  <c:v>1.2860674772130943E-2</c:v>
                </c:pt>
                <c:pt idx="13">
                  <c:v>1.2815395648206121E-2</c:v>
                </c:pt>
                <c:pt idx="14">
                  <c:v>1.2672424285063648E-2</c:v>
                </c:pt>
                <c:pt idx="15">
                  <c:v>1.2411577143359161E-2</c:v>
                </c:pt>
                <c:pt idx="16">
                  <c:v>1.2003271639473501E-2</c:v>
                </c:pt>
                <c:pt idx="17">
                  <c:v>1.171164225342702E-2</c:v>
                </c:pt>
                <c:pt idx="18">
                  <c:v>1.1447363479784659E-2</c:v>
                </c:pt>
                <c:pt idx="19">
                  <c:v>1.1055006985990032E-2</c:v>
                </c:pt>
                <c:pt idx="20">
                  <c:v>1.072991570444933E-2</c:v>
                </c:pt>
                <c:pt idx="21">
                  <c:v>1.0451920809339569E-2</c:v>
                </c:pt>
                <c:pt idx="22">
                  <c:v>1.0324886262300378E-2</c:v>
                </c:pt>
                <c:pt idx="23">
                  <c:v>1.0380147666002993E-2</c:v>
                </c:pt>
              </c:numCache>
            </c:numRef>
          </c:xVal>
          <c:yVal>
            <c:numRef>
              <c:f>Comparison!$F$6:$F$29</c:f>
              <c:numCache>
                <c:formatCode>General</c:formatCode>
                <c:ptCount val="24"/>
                <c:pt idx="0">
                  <c:v>24.764999999999986</c:v>
                </c:pt>
                <c:pt idx="1">
                  <c:v>23.302500000000002</c:v>
                </c:pt>
                <c:pt idx="2">
                  <c:v>22.224999999999987</c:v>
                </c:pt>
                <c:pt idx="3">
                  <c:v>20.608750000000001</c:v>
                </c:pt>
                <c:pt idx="4">
                  <c:v>17.876249999999889</c:v>
                </c:pt>
                <c:pt idx="5">
                  <c:v>15.143750000000001</c:v>
                </c:pt>
                <c:pt idx="6">
                  <c:v>12.411250000000001</c:v>
                </c:pt>
                <c:pt idx="7">
                  <c:v>10.795000000000002</c:v>
                </c:pt>
                <c:pt idx="8">
                  <c:v>9.1787500000000009</c:v>
                </c:pt>
                <c:pt idx="9">
                  <c:v>6.4462500000000134</c:v>
                </c:pt>
                <c:pt idx="10">
                  <c:v>3.7137499999999997</c:v>
                </c:pt>
                <c:pt idx="11">
                  <c:v>0.98124999999999851</c:v>
                </c:pt>
                <c:pt idx="12">
                  <c:v>-0.63500000000000834</c:v>
                </c:pt>
                <c:pt idx="13">
                  <c:v>-2.2512499999999767</c:v>
                </c:pt>
                <c:pt idx="14">
                  <c:v>-4.9837500000000023</c:v>
                </c:pt>
                <c:pt idx="15">
                  <c:v>-7.7162500000000014</c:v>
                </c:pt>
                <c:pt idx="16">
                  <c:v>-10.44875</c:v>
                </c:pt>
                <c:pt idx="17">
                  <c:v>-12.065000000000024</c:v>
                </c:pt>
                <c:pt idx="18">
                  <c:v>-13.681249999999999</c:v>
                </c:pt>
                <c:pt idx="19">
                  <c:v>-16.41375</c:v>
                </c:pt>
                <c:pt idx="20">
                  <c:v>-19.14625000000003</c:v>
                </c:pt>
                <c:pt idx="21">
                  <c:v>-21.878750000000004</c:v>
                </c:pt>
                <c:pt idx="22">
                  <c:v>-23.494999999999987</c:v>
                </c:pt>
                <c:pt idx="23">
                  <c:v>-24.572499999999771</c:v>
                </c:pt>
              </c:numCache>
            </c:numRef>
          </c:yVal>
          <c:smooth val="1"/>
        </c:ser>
        <c:ser>
          <c:idx val="4"/>
          <c:order val="8"/>
          <c:tx>
            <c:v>ALEPH (O)</c:v>
          </c:tx>
          <c:spPr>
            <a:ln w="19050">
              <a:solidFill>
                <a:srgbClr val="FF0000"/>
              </a:solidFill>
              <a:prstDash val="dash"/>
            </a:ln>
          </c:spPr>
          <c:marker>
            <c:symbol val="none"/>
          </c:marker>
          <c:xVal>
            <c:numRef>
              <c:f>Comparison!$D$6:$D$29</c:f>
              <c:numCache>
                <c:formatCode>0.00%</c:formatCode>
                <c:ptCount val="24"/>
                <c:pt idx="0">
                  <c:v>1.0604750012434341E-2</c:v>
                </c:pt>
                <c:pt idx="1">
                  <c:v>1.0467082595375319E-2</c:v>
                </c:pt>
                <c:pt idx="2">
                  <c:v>1.0504278032972625E-2</c:v>
                </c:pt>
                <c:pt idx="3">
                  <c:v>1.067892529024614E-2</c:v>
                </c:pt>
                <c:pt idx="4">
                  <c:v>1.0986034357032383E-2</c:v>
                </c:pt>
                <c:pt idx="5">
                  <c:v>1.1326299192382401E-2</c:v>
                </c:pt>
                <c:pt idx="6">
                  <c:v>1.1765946108879318E-2</c:v>
                </c:pt>
                <c:pt idx="7">
                  <c:v>1.2011320958024018E-2</c:v>
                </c:pt>
                <c:pt idx="8">
                  <c:v>1.2285246500950905E-2</c:v>
                </c:pt>
                <c:pt idx="9">
                  <c:v>1.2608627698956801E-2</c:v>
                </c:pt>
                <c:pt idx="10">
                  <c:v>1.2854242929773826E-2</c:v>
                </c:pt>
                <c:pt idx="11">
                  <c:v>1.2903892573649238E-2</c:v>
                </c:pt>
                <c:pt idx="12">
                  <c:v>1.291555243885076E-2</c:v>
                </c:pt>
                <c:pt idx="13">
                  <c:v>1.2886951391128007E-2</c:v>
                </c:pt>
                <c:pt idx="14">
                  <c:v>1.2740871220387704E-2</c:v>
                </c:pt>
                <c:pt idx="15">
                  <c:v>1.2470789693956943E-2</c:v>
                </c:pt>
                <c:pt idx="16">
                  <c:v>1.2076098936643078E-2</c:v>
                </c:pt>
                <c:pt idx="17">
                  <c:v>1.1752614733010121E-2</c:v>
                </c:pt>
                <c:pt idx="18">
                  <c:v>1.1493642938735039E-2</c:v>
                </c:pt>
                <c:pt idx="19">
                  <c:v>1.1072668221113045E-2</c:v>
                </c:pt>
                <c:pt idx="20">
                  <c:v>1.0745459792233788E-2</c:v>
                </c:pt>
                <c:pt idx="21">
                  <c:v>1.044140410145176E-2</c:v>
                </c:pt>
                <c:pt idx="22">
                  <c:v>1.0346680436352307E-2</c:v>
                </c:pt>
                <c:pt idx="23">
                  <c:v>1.0387325840398021E-2</c:v>
                </c:pt>
              </c:numCache>
            </c:numRef>
          </c:xVal>
          <c:yVal>
            <c:numRef>
              <c:f>Comparison!$A$6:$A$29</c:f>
              <c:numCache>
                <c:formatCode>General</c:formatCode>
                <c:ptCount val="24"/>
                <c:pt idx="0">
                  <c:v>24.764999999999986</c:v>
                </c:pt>
                <c:pt idx="1">
                  <c:v>23.302500000000002</c:v>
                </c:pt>
                <c:pt idx="2">
                  <c:v>22.224999999999987</c:v>
                </c:pt>
                <c:pt idx="3">
                  <c:v>20.608750000000001</c:v>
                </c:pt>
                <c:pt idx="4">
                  <c:v>17.876249999999889</c:v>
                </c:pt>
                <c:pt idx="5">
                  <c:v>15.143750000000001</c:v>
                </c:pt>
                <c:pt idx="6">
                  <c:v>12.411250000000001</c:v>
                </c:pt>
                <c:pt idx="7">
                  <c:v>10.795000000000002</c:v>
                </c:pt>
                <c:pt idx="8">
                  <c:v>9.1787500000000009</c:v>
                </c:pt>
                <c:pt idx="9">
                  <c:v>6.4462500000000134</c:v>
                </c:pt>
                <c:pt idx="10">
                  <c:v>3.7137499999999997</c:v>
                </c:pt>
                <c:pt idx="11">
                  <c:v>0.98124999999999851</c:v>
                </c:pt>
                <c:pt idx="12">
                  <c:v>-0.63500000000000834</c:v>
                </c:pt>
                <c:pt idx="13">
                  <c:v>-2.2512499999999767</c:v>
                </c:pt>
                <c:pt idx="14">
                  <c:v>-4.9837500000000023</c:v>
                </c:pt>
                <c:pt idx="15">
                  <c:v>-7.7162500000000014</c:v>
                </c:pt>
                <c:pt idx="16">
                  <c:v>-10.44875</c:v>
                </c:pt>
                <c:pt idx="17">
                  <c:v>-12.065000000000024</c:v>
                </c:pt>
                <c:pt idx="18">
                  <c:v>-13.681249999999999</c:v>
                </c:pt>
                <c:pt idx="19">
                  <c:v>-16.41375</c:v>
                </c:pt>
                <c:pt idx="20">
                  <c:v>-19.14625000000003</c:v>
                </c:pt>
                <c:pt idx="21">
                  <c:v>-21.878750000000004</c:v>
                </c:pt>
                <c:pt idx="22">
                  <c:v>-23.494999999999987</c:v>
                </c:pt>
                <c:pt idx="23">
                  <c:v>-24.572499999999771</c:v>
                </c:pt>
              </c:numCache>
            </c:numRef>
          </c:yVal>
          <c:smooth val="1"/>
        </c:ser>
        <c:axId val="144986112"/>
        <c:axId val="144988032"/>
      </c:scatterChart>
      <c:valAx>
        <c:axId val="144986112"/>
        <c:scaling>
          <c:orientation val="minMax"/>
          <c:max val="1.3500000000000151E-2"/>
          <c:min val="9.5000000000000206E-3"/>
        </c:scaling>
        <c:axPos val="b"/>
        <c:majorGridlines>
          <c:spPr>
            <a:ln>
              <a:solidFill>
                <a:sysClr val="windowText" lastClr="000000"/>
              </a:solidFill>
            </a:ln>
          </c:spPr>
        </c:majorGridlines>
        <c:minorGridlines/>
        <c:title>
          <c:tx>
            <c:rich>
              <a:bodyPr/>
              <a:lstStyle/>
              <a:p>
                <a:pPr>
                  <a:defRPr sz="1100"/>
                </a:pPr>
                <a:r>
                  <a:rPr lang="en-US" sz="1100" dirty="0"/>
                  <a:t>Post</a:t>
                </a:r>
                <a:r>
                  <a:rPr lang="en-US" sz="1100" baseline="0" dirty="0"/>
                  <a:t>-Irradiation </a:t>
                </a:r>
                <a:r>
                  <a:rPr lang="en-US" sz="1100" baseline="0" dirty="0" smtClean="0"/>
                  <a:t>U-234/Uranium </a:t>
                </a:r>
                <a:r>
                  <a:rPr lang="en-US" sz="1100" baseline="0" dirty="0"/>
                  <a:t>at. %</a:t>
                </a:r>
                <a:endParaRPr lang="en-US" sz="1100" dirty="0"/>
              </a:p>
            </c:rich>
          </c:tx>
        </c:title>
        <c:numFmt formatCode="0.00%" sourceLinked="0"/>
        <c:tickLblPos val="low"/>
        <c:spPr>
          <a:ln>
            <a:solidFill>
              <a:sysClr val="windowText" lastClr="000000"/>
            </a:solidFill>
          </a:ln>
        </c:spPr>
        <c:txPr>
          <a:bodyPr/>
          <a:lstStyle/>
          <a:p>
            <a:pPr>
              <a:defRPr sz="1000"/>
            </a:pPr>
            <a:endParaRPr lang="en-US"/>
          </a:p>
        </c:txPr>
        <c:crossAx val="144988032"/>
        <c:crosses val="autoZero"/>
        <c:crossBetween val="midCat"/>
        <c:majorUnit val="5.0000000000000131E-4"/>
        <c:minorUnit val="2.5000000000000212E-4"/>
      </c:valAx>
      <c:valAx>
        <c:axId val="144988032"/>
        <c:scaling>
          <c:orientation val="minMax"/>
          <c:max val="30"/>
          <c:min val="-30"/>
        </c:scaling>
        <c:axPos val="l"/>
        <c:majorGridlines>
          <c:spPr>
            <a:ln>
              <a:solidFill>
                <a:sysClr val="windowText" lastClr="000000"/>
              </a:solidFill>
            </a:ln>
          </c:spPr>
        </c:majorGridlines>
        <c:title>
          <c:tx>
            <c:rich>
              <a:bodyPr rot="-5400000" vert="horz"/>
              <a:lstStyle/>
              <a:p>
                <a:pPr>
                  <a:defRPr sz="1100"/>
                </a:pPr>
                <a:r>
                  <a:rPr lang="en-US" sz="1100" b="1" i="0" baseline="0"/>
                  <a:t>Distance From Core Axial Midplane (cm)</a:t>
                </a:r>
                <a:endParaRPr lang="en-US" sz="1100"/>
              </a:p>
            </c:rich>
          </c:tx>
          <c:layout>
            <c:manualLayout>
              <c:xMode val="edge"/>
              <c:yMode val="edge"/>
              <c:x val="6.2758821813940352E-3"/>
              <c:y val="8.1576932817608347E-2"/>
            </c:manualLayout>
          </c:layout>
        </c:title>
        <c:numFmt formatCode="General" sourceLinked="0"/>
        <c:tickLblPos val="low"/>
        <c:spPr>
          <a:ln>
            <a:solidFill>
              <a:schemeClr val="tx1"/>
            </a:solidFill>
          </a:ln>
        </c:spPr>
        <c:txPr>
          <a:bodyPr/>
          <a:lstStyle/>
          <a:p>
            <a:pPr>
              <a:defRPr sz="1000"/>
            </a:pPr>
            <a:endParaRPr lang="en-US"/>
          </a:p>
        </c:txPr>
        <c:crossAx val="144986112"/>
        <c:crosses val="autoZero"/>
        <c:crossBetween val="midCat"/>
        <c:majorUnit val="5"/>
        <c:minorUnit val="2.5"/>
      </c:valAx>
    </c:plotArea>
    <c:legend>
      <c:legendPos val="r"/>
      <c:layout>
        <c:manualLayout>
          <c:xMode val="edge"/>
          <c:yMode val="edge"/>
          <c:x val="0.45691907805263238"/>
          <c:y val="2.2975536268656006E-3"/>
          <c:w val="0.54045458397622437"/>
          <c:h val="0.13705653980752441"/>
        </c:manualLayout>
      </c:layout>
      <c:overlay val="1"/>
      <c:spPr>
        <a:solidFill>
          <a:schemeClr val="bg1"/>
        </a:solidFill>
        <a:ln>
          <a:solidFill>
            <a:sysClr val="windowText" lastClr="000000"/>
          </a:solidFill>
        </a:ln>
      </c:spPr>
      <c:txPr>
        <a:bodyPr/>
        <a:lstStyle/>
        <a:p>
          <a:pPr>
            <a:defRPr sz="800"/>
          </a:pPr>
          <a:endParaRPr lang="en-US"/>
        </a:p>
      </c:txPr>
    </c:legend>
    <c:plotVisOnly val="1"/>
  </c:chart>
  <c:spPr>
    <a:ln>
      <a:solidFill>
        <a:sysClr val="windowText" lastClr="000000"/>
      </a:solidFill>
    </a:ln>
  </c:spPr>
  <c:txPr>
    <a:bodyPr/>
    <a:lstStyle/>
    <a:p>
      <a:pPr>
        <a:defRPr>
          <a:latin typeface="Times New Roman" pitchFamily="18" charset="0"/>
          <a:cs typeface="Times New Roman" pitchFamily="18" charset="0"/>
        </a:defRPr>
      </a:pPr>
      <a:endParaRPr lang="en-US"/>
    </a:p>
  </c:txPr>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9.2699490149938168E-2"/>
          <c:y val="2.7485783027122054E-2"/>
          <c:w val="0.86364150601865486"/>
          <c:h val="0.8437510311211176"/>
        </c:manualLayout>
      </c:layout>
      <c:scatterChart>
        <c:scatterStyle val="smoothMarker"/>
        <c:ser>
          <c:idx val="6"/>
          <c:order val="0"/>
          <c:tx>
            <c:v>Meas. (I)</c:v>
          </c:tx>
          <c:spPr>
            <a:ln>
              <a:noFill/>
            </a:ln>
          </c:spPr>
          <c:marker>
            <c:symbol val="star"/>
            <c:size val="7"/>
            <c:spPr>
              <a:noFill/>
              <a:ln w="19050">
                <a:solidFill>
                  <a:srgbClr val="0000FF"/>
                </a:solidFill>
              </a:ln>
            </c:spPr>
          </c:marker>
          <c:xVal>
            <c:numRef>
              <c:f>(Comparison!$L$33,Comparison!$L$35,Comparison!$L$37)</c:f>
              <c:numCache>
                <c:formatCode>0.00%</c:formatCode>
                <c:ptCount val="3"/>
                <c:pt idx="0">
                  <c:v>0.88260000000000005</c:v>
                </c:pt>
                <c:pt idx="1">
                  <c:v>0.8165</c:v>
                </c:pt>
                <c:pt idx="2">
                  <c:v>0.87810000000000465</c:v>
                </c:pt>
              </c:numCache>
            </c:numRef>
          </c:xVal>
          <c:yVal>
            <c:numRef>
              <c:f>(Comparison!$K$33,Comparison!$K$35,Comparison!$K$37)</c:f>
              <c:numCache>
                <c:formatCode>General</c:formatCode>
                <c:ptCount val="3"/>
                <c:pt idx="0">
                  <c:v>22.224999999999987</c:v>
                </c:pt>
                <c:pt idx="1">
                  <c:v>-0.63500000000000678</c:v>
                </c:pt>
                <c:pt idx="2">
                  <c:v>-23.3934</c:v>
                </c:pt>
              </c:numCache>
            </c:numRef>
          </c:yVal>
          <c:smooth val="1"/>
        </c:ser>
        <c:ser>
          <c:idx val="8"/>
          <c:order val="1"/>
          <c:tx>
            <c:v>VESTA (I)</c:v>
          </c:tx>
          <c:spPr>
            <a:ln w="19050">
              <a:solidFill>
                <a:srgbClr val="0000FF"/>
              </a:solidFill>
            </a:ln>
          </c:spPr>
          <c:marker>
            <c:symbol val="none"/>
          </c:marker>
          <c:xVal>
            <c:numRef>
              <c:f>Comparison!$G$33:$G$56</c:f>
              <c:numCache>
                <c:formatCode>0.00%</c:formatCode>
                <c:ptCount val="24"/>
                <c:pt idx="0">
                  <c:v>0.86875319625115865</c:v>
                </c:pt>
                <c:pt idx="1">
                  <c:v>0.87838061381444565</c:v>
                </c:pt>
                <c:pt idx="2">
                  <c:v>0.87812971939800688</c:v>
                </c:pt>
                <c:pt idx="3">
                  <c:v>0.8737662712403349</c:v>
                </c:pt>
                <c:pt idx="4">
                  <c:v>0.8636764502098927</c:v>
                </c:pt>
                <c:pt idx="5">
                  <c:v>0.8527674444852017</c:v>
                </c:pt>
                <c:pt idx="6">
                  <c:v>0.8425058090054468</c:v>
                </c:pt>
                <c:pt idx="7">
                  <c:v>0.83684639617174861</c:v>
                </c:pt>
                <c:pt idx="8">
                  <c:v>0.83187020770434161</c:v>
                </c:pt>
                <c:pt idx="9">
                  <c:v>0.82486697069209891</c:v>
                </c:pt>
                <c:pt idx="10">
                  <c:v>0.82031738056800518</c:v>
                </c:pt>
                <c:pt idx="11">
                  <c:v>0.81819910896221149</c:v>
                </c:pt>
                <c:pt idx="12">
                  <c:v>0.81788875202241473</c:v>
                </c:pt>
                <c:pt idx="13">
                  <c:v>0.81906013937348765</c:v>
                </c:pt>
                <c:pt idx="14">
                  <c:v>0.82282652110380461</c:v>
                </c:pt>
                <c:pt idx="15">
                  <c:v>0.8288236655107456</c:v>
                </c:pt>
                <c:pt idx="16">
                  <c:v>0.83697684303450215</c:v>
                </c:pt>
                <c:pt idx="17">
                  <c:v>0.84255164117423187</c:v>
                </c:pt>
                <c:pt idx="18">
                  <c:v>0.84851505641735314</c:v>
                </c:pt>
                <c:pt idx="19">
                  <c:v>0.85934515947036261</c:v>
                </c:pt>
                <c:pt idx="20">
                  <c:v>0.87007141810530886</c:v>
                </c:pt>
                <c:pt idx="21">
                  <c:v>0.87860170154123962</c:v>
                </c:pt>
                <c:pt idx="22">
                  <c:v>0.88016679323714753</c:v>
                </c:pt>
                <c:pt idx="23">
                  <c:v>0.87301008508729949</c:v>
                </c:pt>
              </c:numCache>
            </c:numRef>
          </c:xVal>
          <c:yVal>
            <c:numRef>
              <c:f>Comparison!$F$33:$F$56</c:f>
              <c:numCache>
                <c:formatCode>General</c:formatCode>
                <c:ptCount val="24"/>
                <c:pt idx="0">
                  <c:v>24.764999999999986</c:v>
                </c:pt>
                <c:pt idx="1">
                  <c:v>23.302500000000002</c:v>
                </c:pt>
                <c:pt idx="2">
                  <c:v>22.224999999999987</c:v>
                </c:pt>
                <c:pt idx="3">
                  <c:v>20.608750000000001</c:v>
                </c:pt>
                <c:pt idx="4">
                  <c:v>17.876249999999889</c:v>
                </c:pt>
                <c:pt idx="5">
                  <c:v>15.143750000000001</c:v>
                </c:pt>
                <c:pt idx="6">
                  <c:v>12.411250000000001</c:v>
                </c:pt>
                <c:pt idx="7">
                  <c:v>10.795000000000002</c:v>
                </c:pt>
                <c:pt idx="8">
                  <c:v>9.1787500000000009</c:v>
                </c:pt>
                <c:pt idx="9">
                  <c:v>6.4462500000000134</c:v>
                </c:pt>
                <c:pt idx="10">
                  <c:v>3.7137499999999997</c:v>
                </c:pt>
                <c:pt idx="11">
                  <c:v>0.98124999999999851</c:v>
                </c:pt>
                <c:pt idx="12">
                  <c:v>-0.63500000000000834</c:v>
                </c:pt>
                <c:pt idx="13">
                  <c:v>-2.2512499999999767</c:v>
                </c:pt>
                <c:pt idx="14">
                  <c:v>-4.9837500000000023</c:v>
                </c:pt>
                <c:pt idx="15">
                  <c:v>-7.7162500000000014</c:v>
                </c:pt>
                <c:pt idx="16">
                  <c:v>-10.44875</c:v>
                </c:pt>
                <c:pt idx="17">
                  <c:v>-12.065000000000024</c:v>
                </c:pt>
                <c:pt idx="18">
                  <c:v>-13.681249999999999</c:v>
                </c:pt>
                <c:pt idx="19">
                  <c:v>-16.41375</c:v>
                </c:pt>
                <c:pt idx="20">
                  <c:v>-19.14625000000003</c:v>
                </c:pt>
                <c:pt idx="21">
                  <c:v>-21.878750000000004</c:v>
                </c:pt>
                <c:pt idx="22">
                  <c:v>-23.494999999999987</c:v>
                </c:pt>
                <c:pt idx="23">
                  <c:v>-24.572499999999771</c:v>
                </c:pt>
              </c:numCache>
            </c:numRef>
          </c:yVal>
          <c:smooth val="1"/>
        </c:ser>
        <c:ser>
          <c:idx val="7"/>
          <c:order val="2"/>
          <c:tx>
            <c:v>ALEPH (I)</c:v>
          </c:tx>
          <c:spPr>
            <a:ln w="19050">
              <a:solidFill>
                <a:srgbClr val="0000FF"/>
              </a:solidFill>
              <a:prstDash val="dash"/>
            </a:ln>
          </c:spPr>
          <c:marker>
            <c:symbol val="none"/>
          </c:marker>
          <c:xVal>
            <c:numRef>
              <c:f>Comparison!$B$33:$B$56</c:f>
              <c:numCache>
                <c:formatCode>0.00%</c:formatCode>
                <c:ptCount val="24"/>
                <c:pt idx="0">
                  <c:v>0.86816815420039062</c:v>
                </c:pt>
                <c:pt idx="1">
                  <c:v>0.87825046592600742</c:v>
                </c:pt>
                <c:pt idx="2">
                  <c:v>0.87799973393312136</c:v>
                </c:pt>
                <c:pt idx="3">
                  <c:v>0.87353568567839579</c:v>
                </c:pt>
                <c:pt idx="4">
                  <c:v>0.8633064108524019</c:v>
                </c:pt>
                <c:pt idx="5">
                  <c:v>0.85232975296540336</c:v>
                </c:pt>
                <c:pt idx="6">
                  <c:v>0.84176726987867023</c:v>
                </c:pt>
                <c:pt idx="7">
                  <c:v>0.83584476806828034</c:v>
                </c:pt>
                <c:pt idx="8">
                  <c:v>0.83069163347818897</c:v>
                </c:pt>
                <c:pt idx="9">
                  <c:v>0.82367030253310491</c:v>
                </c:pt>
                <c:pt idx="10">
                  <c:v>0.81893890444740269</c:v>
                </c:pt>
                <c:pt idx="11">
                  <c:v>0.81701322342191351</c:v>
                </c:pt>
                <c:pt idx="12">
                  <c:v>0.8166953822029086</c:v>
                </c:pt>
                <c:pt idx="13">
                  <c:v>0.81750395985255386</c:v>
                </c:pt>
                <c:pt idx="14">
                  <c:v>0.82132467631669837</c:v>
                </c:pt>
                <c:pt idx="15">
                  <c:v>0.82717857738955913</c:v>
                </c:pt>
                <c:pt idx="16">
                  <c:v>0.83582534210278892</c:v>
                </c:pt>
                <c:pt idx="17">
                  <c:v>0.84129877807528763</c:v>
                </c:pt>
                <c:pt idx="18">
                  <c:v>0.84744974297872999</c:v>
                </c:pt>
                <c:pt idx="19">
                  <c:v>0.85889313813008872</c:v>
                </c:pt>
                <c:pt idx="20">
                  <c:v>0.86970400277540805</c:v>
                </c:pt>
                <c:pt idx="21">
                  <c:v>0.87838470436623828</c:v>
                </c:pt>
                <c:pt idx="22">
                  <c:v>0.8798796169912072</c:v>
                </c:pt>
                <c:pt idx="23">
                  <c:v>0.87239009399380663</c:v>
                </c:pt>
              </c:numCache>
            </c:numRef>
          </c:xVal>
          <c:yVal>
            <c:numRef>
              <c:f>Comparison!$A$33:$A$56</c:f>
              <c:numCache>
                <c:formatCode>General</c:formatCode>
                <c:ptCount val="24"/>
                <c:pt idx="0">
                  <c:v>24.764999999999986</c:v>
                </c:pt>
                <c:pt idx="1">
                  <c:v>23.302500000000002</c:v>
                </c:pt>
                <c:pt idx="2">
                  <c:v>22.224999999999987</c:v>
                </c:pt>
                <c:pt idx="3">
                  <c:v>20.608750000000001</c:v>
                </c:pt>
                <c:pt idx="4">
                  <c:v>17.876249999999889</c:v>
                </c:pt>
                <c:pt idx="5">
                  <c:v>15.143750000000001</c:v>
                </c:pt>
                <c:pt idx="6">
                  <c:v>12.411250000000001</c:v>
                </c:pt>
                <c:pt idx="7">
                  <c:v>10.795000000000002</c:v>
                </c:pt>
                <c:pt idx="8">
                  <c:v>9.1787500000000009</c:v>
                </c:pt>
                <c:pt idx="9">
                  <c:v>6.4462500000000134</c:v>
                </c:pt>
                <c:pt idx="10">
                  <c:v>3.7137499999999997</c:v>
                </c:pt>
                <c:pt idx="11">
                  <c:v>0.98124999999999851</c:v>
                </c:pt>
                <c:pt idx="12">
                  <c:v>-0.63500000000000834</c:v>
                </c:pt>
                <c:pt idx="13">
                  <c:v>-2.2512499999999767</c:v>
                </c:pt>
                <c:pt idx="14">
                  <c:v>-4.9837500000000023</c:v>
                </c:pt>
                <c:pt idx="15">
                  <c:v>-7.7162500000000014</c:v>
                </c:pt>
                <c:pt idx="16">
                  <c:v>-10.44875</c:v>
                </c:pt>
                <c:pt idx="17">
                  <c:v>-12.065000000000024</c:v>
                </c:pt>
                <c:pt idx="18">
                  <c:v>-13.681249999999999</c:v>
                </c:pt>
                <c:pt idx="19">
                  <c:v>-16.41375</c:v>
                </c:pt>
                <c:pt idx="20">
                  <c:v>-19.14625000000003</c:v>
                </c:pt>
                <c:pt idx="21">
                  <c:v>-21.878750000000004</c:v>
                </c:pt>
                <c:pt idx="22">
                  <c:v>-23.494999999999987</c:v>
                </c:pt>
                <c:pt idx="23">
                  <c:v>-24.572499999999771</c:v>
                </c:pt>
              </c:numCache>
            </c:numRef>
          </c:yVal>
          <c:smooth val="1"/>
        </c:ser>
        <c:ser>
          <c:idx val="0"/>
          <c:order val="3"/>
          <c:tx>
            <c:v>Meas. (H)</c:v>
          </c:tx>
          <c:spPr>
            <a:ln>
              <a:noFill/>
            </a:ln>
          </c:spPr>
          <c:marker>
            <c:symbol val="triangle"/>
            <c:size val="7"/>
            <c:spPr>
              <a:noFill/>
              <a:ln w="19050">
                <a:solidFill>
                  <a:srgbClr val="008000"/>
                </a:solidFill>
              </a:ln>
            </c:spPr>
          </c:marker>
          <c:xVal>
            <c:numRef>
              <c:f>Comparison!$M$33:$M$37</c:f>
              <c:numCache>
                <c:formatCode>0.00%</c:formatCode>
                <c:ptCount val="5"/>
                <c:pt idx="0">
                  <c:v>0.89680000000000004</c:v>
                </c:pt>
                <c:pt idx="1">
                  <c:v>0.87600000000000622</c:v>
                </c:pt>
                <c:pt idx="2">
                  <c:v>0.85990000000000599</c:v>
                </c:pt>
                <c:pt idx="3">
                  <c:v>0.87860000000000782</c:v>
                </c:pt>
                <c:pt idx="4">
                  <c:v>0.90210000000000001</c:v>
                </c:pt>
              </c:numCache>
            </c:numRef>
          </c:xVal>
          <c:yVal>
            <c:numRef>
              <c:f>Comparison!$K$33:$K$37</c:f>
              <c:numCache>
                <c:formatCode>General</c:formatCode>
                <c:ptCount val="5"/>
                <c:pt idx="0">
                  <c:v>22.224999999999987</c:v>
                </c:pt>
                <c:pt idx="1">
                  <c:v>10.795</c:v>
                </c:pt>
                <c:pt idx="2">
                  <c:v>-0.63500000000000678</c:v>
                </c:pt>
                <c:pt idx="3">
                  <c:v>-12.065000000000024</c:v>
                </c:pt>
                <c:pt idx="4">
                  <c:v>-23.3934</c:v>
                </c:pt>
              </c:numCache>
            </c:numRef>
          </c:yVal>
          <c:smooth val="1"/>
        </c:ser>
        <c:ser>
          <c:idx val="2"/>
          <c:order val="4"/>
          <c:tx>
            <c:v>VESTA (H)</c:v>
          </c:tx>
          <c:spPr>
            <a:ln w="19050">
              <a:solidFill>
                <a:srgbClr val="008000"/>
              </a:solidFill>
            </a:ln>
          </c:spPr>
          <c:marker>
            <c:symbol val="none"/>
          </c:marker>
          <c:xVal>
            <c:numRef>
              <c:f>Comparison!$H$33:$H$56</c:f>
              <c:numCache>
                <c:formatCode>0.00%</c:formatCode>
                <c:ptCount val="24"/>
                <c:pt idx="0">
                  <c:v>0.89409743007774301</c:v>
                </c:pt>
                <c:pt idx="1">
                  <c:v>0.90329814127979269</c:v>
                </c:pt>
                <c:pt idx="2">
                  <c:v>0.90283888963014369</c:v>
                </c:pt>
                <c:pt idx="3">
                  <c:v>0.89963365710257837</c:v>
                </c:pt>
                <c:pt idx="4">
                  <c:v>0.89316212896403913</c:v>
                </c:pt>
                <c:pt idx="5">
                  <c:v>0.88656404434724456</c:v>
                </c:pt>
                <c:pt idx="6">
                  <c:v>0.88018581751203662</c:v>
                </c:pt>
                <c:pt idx="7">
                  <c:v>0.87662484454661693</c:v>
                </c:pt>
                <c:pt idx="8">
                  <c:v>0.87350522276443365</c:v>
                </c:pt>
                <c:pt idx="9">
                  <c:v>0.86913941738785261</c:v>
                </c:pt>
                <c:pt idx="10">
                  <c:v>0.86621709002784653</c:v>
                </c:pt>
                <c:pt idx="11">
                  <c:v>0.86489328330399706</c:v>
                </c:pt>
                <c:pt idx="12">
                  <c:v>0.86478326931217075</c:v>
                </c:pt>
                <c:pt idx="13">
                  <c:v>0.86542687842986465</c:v>
                </c:pt>
                <c:pt idx="14">
                  <c:v>0.86771974201920365</c:v>
                </c:pt>
                <c:pt idx="15">
                  <c:v>0.87153457203597784</c:v>
                </c:pt>
                <c:pt idx="16">
                  <c:v>0.87669884974215762</c:v>
                </c:pt>
                <c:pt idx="17">
                  <c:v>0.88025279311482907</c:v>
                </c:pt>
                <c:pt idx="18">
                  <c:v>0.88407881115334264</c:v>
                </c:pt>
                <c:pt idx="19">
                  <c:v>0.89069661998854865</c:v>
                </c:pt>
                <c:pt idx="20">
                  <c:v>0.89727551927444793</c:v>
                </c:pt>
                <c:pt idx="21">
                  <c:v>0.90316381760953324</c:v>
                </c:pt>
                <c:pt idx="22">
                  <c:v>0.90479670395906142</c:v>
                </c:pt>
                <c:pt idx="23">
                  <c:v>0.8981553296071445</c:v>
                </c:pt>
              </c:numCache>
            </c:numRef>
          </c:xVal>
          <c:yVal>
            <c:numRef>
              <c:f>Comparison!$F$33:$F$56</c:f>
              <c:numCache>
                <c:formatCode>General</c:formatCode>
                <c:ptCount val="24"/>
                <c:pt idx="0">
                  <c:v>24.764999999999986</c:v>
                </c:pt>
                <c:pt idx="1">
                  <c:v>23.302500000000002</c:v>
                </c:pt>
                <c:pt idx="2">
                  <c:v>22.224999999999987</c:v>
                </c:pt>
                <c:pt idx="3">
                  <c:v>20.608750000000001</c:v>
                </c:pt>
                <c:pt idx="4">
                  <c:v>17.876249999999889</c:v>
                </c:pt>
                <c:pt idx="5">
                  <c:v>15.143750000000001</c:v>
                </c:pt>
                <c:pt idx="6">
                  <c:v>12.411250000000001</c:v>
                </c:pt>
                <c:pt idx="7">
                  <c:v>10.795000000000002</c:v>
                </c:pt>
                <c:pt idx="8">
                  <c:v>9.1787500000000009</c:v>
                </c:pt>
                <c:pt idx="9">
                  <c:v>6.4462500000000134</c:v>
                </c:pt>
                <c:pt idx="10">
                  <c:v>3.7137499999999997</c:v>
                </c:pt>
                <c:pt idx="11">
                  <c:v>0.98124999999999851</c:v>
                </c:pt>
                <c:pt idx="12">
                  <c:v>-0.63500000000000834</c:v>
                </c:pt>
                <c:pt idx="13">
                  <c:v>-2.2512499999999767</c:v>
                </c:pt>
                <c:pt idx="14">
                  <c:v>-4.9837500000000023</c:v>
                </c:pt>
                <c:pt idx="15">
                  <c:v>-7.7162500000000014</c:v>
                </c:pt>
                <c:pt idx="16">
                  <c:v>-10.44875</c:v>
                </c:pt>
                <c:pt idx="17">
                  <c:v>-12.065000000000024</c:v>
                </c:pt>
                <c:pt idx="18">
                  <c:v>-13.681249999999999</c:v>
                </c:pt>
                <c:pt idx="19">
                  <c:v>-16.41375</c:v>
                </c:pt>
                <c:pt idx="20">
                  <c:v>-19.14625000000003</c:v>
                </c:pt>
                <c:pt idx="21">
                  <c:v>-21.878750000000004</c:v>
                </c:pt>
                <c:pt idx="22">
                  <c:v>-23.494999999999987</c:v>
                </c:pt>
                <c:pt idx="23">
                  <c:v>-24.572499999999771</c:v>
                </c:pt>
              </c:numCache>
            </c:numRef>
          </c:yVal>
          <c:smooth val="1"/>
        </c:ser>
        <c:ser>
          <c:idx val="1"/>
          <c:order val="5"/>
          <c:tx>
            <c:v>ALEPH (H)</c:v>
          </c:tx>
          <c:spPr>
            <a:ln w="19050">
              <a:solidFill>
                <a:srgbClr val="008000"/>
              </a:solidFill>
              <a:prstDash val="dash"/>
            </a:ln>
          </c:spPr>
          <c:marker>
            <c:symbol val="none"/>
          </c:marker>
          <c:xVal>
            <c:numRef>
              <c:f>Comparison!$C$33:$C$56</c:f>
              <c:numCache>
                <c:formatCode>0.00%</c:formatCode>
                <c:ptCount val="24"/>
                <c:pt idx="0">
                  <c:v>0.8938336448208305</c:v>
                </c:pt>
                <c:pt idx="1">
                  <c:v>0.90309576140084702</c:v>
                </c:pt>
                <c:pt idx="2">
                  <c:v>0.90279761943901005</c:v>
                </c:pt>
                <c:pt idx="3">
                  <c:v>0.89960657611777961</c:v>
                </c:pt>
                <c:pt idx="4">
                  <c:v>0.89298683173891358</c:v>
                </c:pt>
                <c:pt idx="5">
                  <c:v>0.88618216134884487</c:v>
                </c:pt>
                <c:pt idx="6">
                  <c:v>0.87997094558922762</c:v>
                </c:pt>
                <c:pt idx="7">
                  <c:v>0.87638712369320004</c:v>
                </c:pt>
                <c:pt idx="8">
                  <c:v>0.87328809583568201</c:v>
                </c:pt>
                <c:pt idx="9">
                  <c:v>0.86882110250415634</c:v>
                </c:pt>
                <c:pt idx="10">
                  <c:v>0.86612021606991341</c:v>
                </c:pt>
                <c:pt idx="11">
                  <c:v>0.86466216216915304</c:v>
                </c:pt>
                <c:pt idx="12">
                  <c:v>0.86460073247304492</c:v>
                </c:pt>
                <c:pt idx="13">
                  <c:v>0.86518992417722052</c:v>
                </c:pt>
                <c:pt idx="14">
                  <c:v>0.86735678041304387</c:v>
                </c:pt>
                <c:pt idx="15">
                  <c:v>0.87130716240910311</c:v>
                </c:pt>
                <c:pt idx="16">
                  <c:v>0.8764508795469077</c:v>
                </c:pt>
                <c:pt idx="17">
                  <c:v>0.87993988858002314</c:v>
                </c:pt>
                <c:pt idx="18">
                  <c:v>0.88374058092529839</c:v>
                </c:pt>
                <c:pt idx="19">
                  <c:v>0.89028541584564136</c:v>
                </c:pt>
                <c:pt idx="20">
                  <c:v>0.89726151063251769</c:v>
                </c:pt>
                <c:pt idx="21">
                  <c:v>0.90303353584806256</c:v>
                </c:pt>
                <c:pt idx="22">
                  <c:v>0.90458358420953111</c:v>
                </c:pt>
                <c:pt idx="23">
                  <c:v>0.89786220599650257</c:v>
                </c:pt>
              </c:numCache>
            </c:numRef>
          </c:xVal>
          <c:yVal>
            <c:numRef>
              <c:f>Comparison!$A$33:$A$56</c:f>
              <c:numCache>
                <c:formatCode>General</c:formatCode>
                <c:ptCount val="24"/>
                <c:pt idx="0">
                  <c:v>24.764999999999986</c:v>
                </c:pt>
                <c:pt idx="1">
                  <c:v>23.302500000000002</c:v>
                </c:pt>
                <c:pt idx="2">
                  <c:v>22.224999999999987</c:v>
                </c:pt>
                <c:pt idx="3">
                  <c:v>20.608750000000001</c:v>
                </c:pt>
                <c:pt idx="4">
                  <c:v>17.876249999999889</c:v>
                </c:pt>
                <c:pt idx="5">
                  <c:v>15.143750000000001</c:v>
                </c:pt>
                <c:pt idx="6">
                  <c:v>12.411250000000001</c:v>
                </c:pt>
                <c:pt idx="7">
                  <c:v>10.795000000000002</c:v>
                </c:pt>
                <c:pt idx="8">
                  <c:v>9.1787500000000009</c:v>
                </c:pt>
                <c:pt idx="9">
                  <c:v>6.4462500000000134</c:v>
                </c:pt>
                <c:pt idx="10">
                  <c:v>3.7137499999999997</c:v>
                </c:pt>
                <c:pt idx="11">
                  <c:v>0.98124999999999851</c:v>
                </c:pt>
                <c:pt idx="12">
                  <c:v>-0.63500000000000834</c:v>
                </c:pt>
                <c:pt idx="13">
                  <c:v>-2.2512499999999767</c:v>
                </c:pt>
                <c:pt idx="14">
                  <c:v>-4.9837500000000023</c:v>
                </c:pt>
                <c:pt idx="15">
                  <c:v>-7.7162500000000014</c:v>
                </c:pt>
                <c:pt idx="16">
                  <c:v>-10.44875</c:v>
                </c:pt>
                <c:pt idx="17">
                  <c:v>-12.065000000000024</c:v>
                </c:pt>
                <c:pt idx="18">
                  <c:v>-13.681249999999999</c:v>
                </c:pt>
                <c:pt idx="19">
                  <c:v>-16.41375</c:v>
                </c:pt>
                <c:pt idx="20">
                  <c:v>-19.14625000000003</c:v>
                </c:pt>
                <c:pt idx="21">
                  <c:v>-21.878750000000004</c:v>
                </c:pt>
                <c:pt idx="22">
                  <c:v>-23.494999999999987</c:v>
                </c:pt>
                <c:pt idx="23">
                  <c:v>-24.572499999999771</c:v>
                </c:pt>
              </c:numCache>
            </c:numRef>
          </c:yVal>
          <c:smooth val="1"/>
        </c:ser>
        <c:ser>
          <c:idx val="3"/>
          <c:order val="6"/>
          <c:tx>
            <c:v>Meas. (O)</c:v>
          </c:tx>
          <c:spPr>
            <a:ln>
              <a:noFill/>
            </a:ln>
          </c:spPr>
          <c:marker>
            <c:symbol val="circle"/>
            <c:size val="7"/>
            <c:spPr>
              <a:noFill/>
              <a:ln w="19050">
                <a:solidFill>
                  <a:srgbClr val="FF0000"/>
                </a:solidFill>
              </a:ln>
            </c:spPr>
          </c:marker>
          <c:xVal>
            <c:numRef>
              <c:f>(Comparison!$N$33,Comparison!$N$35,Comparison!$N$37)</c:f>
              <c:numCache>
                <c:formatCode>0.00%</c:formatCode>
                <c:ptCount val="3"/>
                <c:pt idx="0">
                  <c:v>0.88490000000000002</c:v>
                </c:pt>
                <c:pt idx="1">
                  <c:v>0.77810000000000679</c:v>
                </c:pt>
                <c:pt idx="2">
                  <c:v>0.89680000000000004</c:v>
                </c:pt>
              </c:numCache>
            </c:numRef>
          </c:xVal>
          <c:yVal>
            <c:numRef>
              <c:f>(Comparison!$K$33,Comparison!$K$35,Comparison!$K$37)</c:f>
              <c:numCache>
                <c:formatCode>General</c:formatCode>
                <c:ptCount val="3"/>
                <c:pt idx="0">
                  <c:v>22.224999999999987</c:v>
                </c:pt>
                <c:pt idx="1">
                  <c:v>-0.63500000000000678</c:v>
                </c:pt>
                <c:pt idx="2">
                  <c:v>-23.3934</c:v>
                </c:pt>
              </c:numCache>
            </c:numRef>
          </c:yVal>
          <c:smooth val="1"/>
        </c:ser>
        <c:ser>
          <c:idx val="5"/>
          <c:order val="7"/>
          <c:tx>
            <c:v>VESTA (O)</c:v>
          </c:tx>
          <c:spPr>
            <a:ln w="19050">
              <a:solidFill>
                <a:srgbClr val="FF0000"/>
              </a:solidFill>
            </a:ln>
          </c:spPr>
          <c:marker>
            <c:symbol val="none"/>
          </c:marker>
          <c:xVal>
            <c:numRef>
              <c:f>Comparison!$I$33:$I$56</c:f>
              <c:numCache>
                <c:formatCode>0.00%</c:formatCode>
                <c:ptCount val="24"/>
                <c:pt idx="0">
                  <c:v>0.8874305792211582</c:v>
                </c:pt>
                <c:pt idx="1">
                  <c:v>0.88914729189319885</c:v>
                </c:pt>
                <c:pt idx="2">
                  <c:v>0.88585934806595157</c:v>
                </c:pt>
                <c:pt idx="3">
                  <c:v>0.8785720508552245</c:v>
                </c:pt>
                <c:pt idx="4">
                  <c:v>0.86438058232331261</c:v>
                </c:pt>
                <c:pt idx="5">
                  <c:v>0.84784268824583864</c:v>
                </c:pt>
                <c:pt idx="6">
                  <c:v>0.82922450290967564</c:v>
                </c:pt>
                <c:pt idx="7">
                  <c:v>0.81748091117813571</c:v>
                </c:pt>
                <c:pt idx="8">
                  <c:v>0.80658314174138168</c:v>
                </c:pt>
                <c:pt idx="9">
                  <c:v>0.79165963525070426</c:v>
                </c:pt>
                <c:pt idx="10">
                  <c:v>0.78217764622114772</c:v>
                </c:pt>
                <c:pt idx="11">
                  <c:v>0.77773096621299165</c:v>
                </c:pt>
                <c:pt idx="12">
                  <c:v>0.7773138914075447</c:v>
                </c:pt>
                <c:pt idx="13">
                  <c:v>0.77918742744368863</c:v>
                </c:pt>
                <c:pt idx="14">
                  <c:v>0.78612477888762322</c:v>
                </c:pt>
                <c:pt idx="15">
                  <c:v>0.79833961378636253</c:v>
                </c:pt>
                <c:pt idx="16">
                  <c:v>0.81682711568705968</c:v>
                </c:pt>
                <c:pt idx="17">
                  <c:v>0.82969178542441724</c:v>
                </c:pt>
                <c:pt idx="18">
                  <c:v>0.8417759885427436</c:v>
                </c:pt>
                <c:pt idx="19">
                  <c:v>0.85980199667981605</c:v>
                </c:pt>
                <c:pt idx="20">
                  <c:v>0.87501563235872026</c:v>
                </c:pt>
                <c:pt idx="21">
                  <c:v>0.88821155314548561</c:v>
                </c:pt>
                <c:pt idx="22">
                  <c:v>0.89465201203856093</c:v>
                </c:pt>
                <c:pt idx="23">
                  <c:v>0.8945997729341586</c:v>
                </c:pt>
              </c:numCache>
            </c:numRef>
          </c:xVal>
          <c:yVal>
            <c:numRef>
              <c:f>Comparison!$F$33:$F$56</c:f>
              <c:numCache>
                <c:formatCode>General</c:formatCode>
                <c:ptCount val="24"/>
                <c:pt idx="0">
                  <c:v>24.764999999999986</c:v>
                </c:pt>
                <c:pt idx="1">
                  <c:v>23.302500000000002</c:v>
                </c:pt>
                <c:pt idx="2">
                  <c:v>22.224999999999987</c:v>
                </c:pt>
                <c:pt idx="3">
                  <c:v>20.608750000000001</c:v>
                </c:pt>
                <c:pt idx="4">
                  <c:v>17.876249999999889</c:v>
                </c:pt>
                <c:pt idx="5">
                  <c:v>15.143750000000001</c:v>
                </c:pt>
                <c:pt idx="6">
                  <c:v>12.411250000000001</c:v>
                </c:pt>
                <c:pt idx="7">
                  <c:v>10.795000000000002</c:v>
                </c:pt>
                <c:pt idx="8">
                  <c:v>9.1787500000000009</c:v>
                </c:pt>
                <c:pt idx="9">
                  <c:v>6.4462500000000134</c:v>
                </c:pt>
                <c:pt idx="10">
                  <c:v>3.7137499999999997</c:v>
                </c:pt>
                <c:pt idx="11">
                  <c:v>0.98124999999999851</c:v>
                </c:pt>
                <c:pt idx="12">
                  <c:v>-0.63500000000000834</c:v>
                </c:pt>
                <c:pt idx="13">
                  <c:v>-2.2512499999999767</c:v>
                </c:pt>
                <c:pt idx="14">
                  <c:v>-4.9837500000000023</c:v>
                </c:pt>
                <c:pt idx="15">
                  <c:v>-7.7162500000000014</c:v>
                </c:pt>
                <c:pt idx="16">
                  <c:v>-10.44875</c:v>
                </c:pt>
                <c:pt idx="17">
                  <c:v>-12.065000000000024</c:v>
                </c:pt>
                <c:pt idx="18">
                  <c:v>-13.681249999999999</c:v>
                </c:pt>
                <c:pt idx="19">
                  <c:v>-16.41375</c:v>
                </c:pt>
                <c:pt idx="20">
                  <c:v>-19.14625000000003</c:v>
                </c:pt>
                <c:pt idx="21">
                  <c:v>-21.878750000000004</c:v>
                </c:pt>
                <c:pt idx="22">
                  <c:v>-23.494999999999987</c:v>
                </c:pt>
                <c:pt idx="23">
                  <c:v>-24.572499999999771</c:v>
                </c:pt>
              </c:numCache>
            </c:numRef>
          </c:yVal>
          <c:smooth val="1"/>
        </c:ser>
        <c:ser>
          <c:idx val="4"/>
          <c:order val="8"/>
          <c:tx>
            <c:v>ALEPH (O)</c:v>
          </c:tx>
          <c:spPr>
            <a:ln w="19050">
              <a:solidFill>
                <a:srgbClr val="FF0000"/>
              </a:solidFill>
              <a:prstDash val="dash"/>
            </a:ln>
          </c:spPr>
          <c:marker>
            <c:symbol val="none"/>
          </c:marker>
          <c:xVal>
            <c:numRef>
              <c:f>Comparison!$D$33:$D$56</c:f>
              <c:numCache>
                <c:formatCode>0.00%</c:formatCode>
                <c:ptCount val="24"/>
                <c:pt idx="0">
                  <c:v>0.88601006197301357</c:v>
                </c:pt>
                <c:pt idx="1">
                  <c:v>0.88782179530949457</c:v>
                </c:pt>
                <c:pt idx="2">
                  <c:v>0.88427129878024358</c:v>
                </c:pt>
                <c:pt idx="3">
                  <c:v>0.87669489375122389</c:v>
                </c:pt>
                <c:pt idx="4">
                  <c:v>0.86175114891195159</c:v>
                </c:pt>
                <c:pt idx="5">
                  <c:v>0.84454524656432728</c:v>
                </c:pt>
                <c:pt idx="6">
                  <c:v>0.82471271003607005</c:v>
                </c:pt>
                <c:pt idx="7">
                  <c:v>0.81235906948026138</c:v>
                </c:pt>
                <c:pt idx="8">
                  <c:v>0.80063665395070194</c:v>
                </c:pt>
                <c:pt idx="9">
                  <c:v>0.78480944131889574</c:v>
                </c:pt>
                <c:pt idx="10">
                  <c:v>0.77457114780851699</c:v>
                </c:pt>
                <c:pt idx="11">
                  <c:v>0.77003070017876563</c:v>
                </c:pt>
                <c:pt idx="12">
                  <c:v>0.76947222963644279</c:v>
                </c:pt>
                <c:pt idx="13">
                  <c:v>0.77138961160804975</c:v>
                </c:pt>
                <c:pt idx="14">
                  <c:v>0.77852600670033933</c:v>
                </c:pt>
                <c:pt idx="15">
                  <c:v>0.79168814529163056</c:v>
                </c:pt>
                <c:pt idx="16">
                  <c:v>0.81126877937384079</c:v>
                </c:pt>
                <c:pt idx="17">
                  <c:v>0.82518755660840648</c:v>
                </c:pt>
                <c:pt idx="18">
                  <c:v>0.83795097811970365</c:v>
                </c:pt>
                <c:pt idx="19">
                  <c:v>0.85676947251796765</c:v>
                </c:pt>
                <c:pt idx="20">
                  <c:v>0.87284297428150792</c:v>
                </c:pt>
                <c:pt idx="21">
                  <c:v>0.88688080801032054</c:v>
                </c:pt>
                <c:pt idx="22">
                  <c:v>0.89352778353618878</c:v>
                </c:pt>
                <c:pt idx="23">
                  <c:v>0.89355379730563556</c:v>
                </c:pt>
              </c:numCache>
            </c:numRef>
          </c:xVal>
          <c:yVal>
            <c:numRef>
              <c:f>Comparison!$A$33:$A$56</c:f>
              <c:numCache>
                <c:formatCode>General</c:formatCode>
                <c:ptCount val="24"/>
                <c:pt idx="0">
                  <c:v>24.764999999999986</c:v>
                </c:pt>
                <c:pt idx="1">
                  <c:v>23.302500000000002</c:v>
                </c:pt>
                <c:pt idx="2">
                  <c:v>22.224999999999987</c:v>
                </c:pt>
                <c:pt idx="3">
                  <c:v>20.608750000000001</c:v>
                </c:pt>
                <c:pt idx="4">
                  <c:v>17.876249999999889</c:v>
                </c:pt>
                <c:pt idx="5">
                  <c:v>15.143750000000001</c:v>
                </c:pt>
                <c:pt idx="6">
                  <c:v>12.411250000000001</c:v>
                </c:pt>
                <c:pt idx="7">
                  <c:v>10.795000000000002</c:v>
                </c:pt>
                <c:pt idx="8">
                  <c:v>9.1787500000000009</c:v>
                </c:pt>
                <c:pt idx="9">
                  <c:v>6.4462500000000134</c:v>
                </c:pt>
                <c:pt idx="10">
                  <c:v>3.7137499999999997</c:v>
                </c:pt>
                <c:pt idx="11">
                  <c:v>0.98124999999999851</c:v>
                </c:pt>
                <c:pt idx="12">
                  <c:v>-0.63500000000000834</c:v>
                </c:pt>
                <c:pt idx="13">
                  <c:v>-2.2512499999999767</c:v>
                </c:pt>
                <c:pt idx="14">
                  <c:v>-4.9837500000000023</c:v>
                </c:pt>
                <c:pt idx="15">
                  <c:v>-7.7162500000000014</c:v>
                </c:pt>
                <c:pt idx="16">
                  <c:v>-10.44875</c:v>
                </c:pt>
                <c:pt idx="17">
                  <c:v>-12.065000000000024</c:v>
                </c:pt>
                <c:pt idx="18">
                  <c:v>-13.681249999999999</c:v>
                </c:pt>
                <c:pt idx="19">
                  <c:v>-16.41375</c:v>
                </c:pt>
                <c:pt idx="20">
                  <c:v>-19.14625000000003</c:v>
                </c:pt>
                <c:pt idx="21">
                  <c:v>-21.878750000000004</c:v>
                </c:pt>
                <c:pt idx="22">
                  <c:v>-23.494999999999987</c:v>
                </c:pt>
                <c:pt idx="23">
                  <c:v>-24.572499999999771</c:v>
                </c:pt>
              </c:numCache>
            </c:numRef>
          </c:yVal>
          <c:smooth val="1"/>
        </c:ser>
        <c:axId val="157364224"/>
        <c:axId val="157366144"/>
      </c:scatterChart>
      <c:valAx>
        <c:axId val="157364224"/>
        <c:scaling>
          <c:orientation val="minMax"/>
          <c:max val="0.92500000000000004"/>
          <c:min val="0.75000000000000644"/>
        </c:scaling>
        <c:axPos val="b"/>
        <c:majorGridlines>
          <c:spPr>
            <a:ln>
              <a:solidFill>
                <a:sysClr val="windowText" lastClr="000000"/>
              </a:solidFill>
            </a:ln>
          </c:spPr>
        </c:majorGridlines>
        <c:minorGridlines/>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100" b="1" i="0" u="none" strike="noStrike" kern="1200" baseline="0">
                    <a:solidFill>
                      <a:sysClr val="windowText" lastClr="000000"/>
                    </a:solidFill>
                    <a:latin typeface="Times New Roman" pitchFamily="18" charset="0"/>
                    <a:ea typeface="+mn-ea"/>
                    <a:cs typeface="Times New Roman" pitchFamily="18" charset="0"/>
                  </a:defRPr>
                </a:pPr>
                <a:r>
                  <a:rPr lang="en-US" sz="1100" b="1" i="0" baseline="0" dirty="0"/>
                  <a:t>Post-Irradiation </a:t>
                </a:r>
                <a:r>
                  <a:rPr lang="en-US" sz="1100" b="1" i="0" baseline="0" dirty="0" smtClean="0"/>
                  <a:t>U-235/Uranium </a:t>
                </a:r>
                <a:r>
                  <a:rPr lang="en-US" sz="1100" b="1" i="0" baseline="0" dirty="0"/>
                  <a:t>at. %</a:t>
                </a:r>
                <a:endParaRPr lang="en-US" sz="1100" dirty="0"/>
              </a:p>
            </c:rich>
          </c:tx>
          <c:layout>
            <c:manualLayout>
              <c:xMode val="edge"/>
              <c:yMode val="edge"/>
              <c:x val="0.29984814638476776"/>
              <c:y val="0.95136352014527859"/>
            </c:manualLayout>
          </c:layout>
        </c:title>
        <c:numFmt formatCode="0.0%" sourceLinked="0"/>
        <c:tickLblPos val="low"/>
        <c:spPr>
          <a:ln>
            <a:solidFill>
              <a:sysClr val="windowText" lastClr="000000"/>
            </a:solidFill>
          </a:ln>
        </c:spPr>
        <c:txPr>
          <a:bodyPr/>
          <a:lstStyle/>
          <a:p>
            <a:pPr>
              <a:defRPr sz="1000"/>
            </a:pPr>
            <a:endParaRPr lang="en-US"/>
          </a:p>
        </c:txPr>
        <c:crossAx val="157366144"/>
        <c:crosses val="autoZero"/>
        <c:crossBetween val="midCat"/>
        <c:majorUnit val="2.5000000000000012E-2"/>
        <c:minorUnit val="1.2500000000000023E-2"/>
      </c:valAx>
      <c:valAx>
        <c:axId val="157366144"/>
        <c:scaling>
          <c:orientation val="minMax"/>
          <c:max val="30"/>
          <c:min val="-30"/>
        </c:scaling>
        <c:axPos val="l"/>
        <c:majorGridlines>
          <c:spPr>
            <a:ln>
              <a:solidFill>
                <a:sysClr val="windowText" lastClr="000000"/>
              </a:solidFill>
            </a:ln>
          </c:spPr>
        </c:majorGridlines>
        <c:title>
          <c:tx>
            <c:rich>
              <a:bodyPr rot="-5400000" vert="horz"/>
              <a:lstStyle/>
              <a:p>
                <a:pPr>
                  <a:defRPr sz="1100"/>
                </a:pPr>
                <a:r>
                  <a:rPr lang="en-US" sz="1100" dirty="0"/>
                  <a:t>Distance From Core </a:t>
                </a:r>
                <a:r>
                  <a:rPr lang="en-US" sz="1100" dirty="0" smtClean="0"/>
                  <a:t>Axial </a:t>
                </a:r>
                <a:r>
                  <a:rPr lang="en-US" sz="1100" dirty="0" err="1" smtClean="0"/>
                  <a:t>Midplane</a:t>
                </a:r>
                <a:r>
                  <a:rPr lang="en-US" sz="1100" dirty="0" smtClean="0"/>
                  <a:t> (</a:t>
                </a:r>
                <a:r>
                  <a:rPr lang="en-US" sz="1100" dirty="0"/>
                  <a:t>cm)</a:t>
                </a:r>
              </a:p>
            </c:rich>
          </c:tx>
        </c:title>
        <c:numFmt formatCode="General" sourceLinked="0"/>
        <c:tickLblPos val="low"/>
        <c:spPr>
          <a:ln>
            <a:solidFill>
              <a:schemeClr val="tx1"/>
            </a:solidFill>
          </a:ln>
        </c:spPr>
        <c:txPr>
          <a:bodyPr/>
          <a:lstStyle/>
          <a:p>
            <a:pPr>
              <a:defRPr sz="1000"/>
            </a:pPr>
            <a:endParaRPr lang="en-US"/>
          </a:p>
        </c:txPr>
        <c:crossAx val="157364224"/>
        <c:crosses val="autoZero"/>
        <c:crossBetween val="midCat"/>
        <c:majorUnit val="5"/>
        <c:minorUnit val="2.5"/>
      </c:valAx>
    </c:plotArea>
    <c:legend>
      <c:legendPos val="r"/>
      <c:layout>
        <c:manualLayout>
          <c:xMode val="edge"/>
          <c:yMode val="edge"/>
          <c:x val="9.014601623072975E-2"/>
          <c:y val="2.1060295545248631E-2"/>
          <c:w val="0.56195568226386394"/>
          <c:h val="0.1115935768445611"/>
        </c:manualLayout>
      </c:layout>
      <c:overlay val="1"/>
      <c:spPr>
        <a:solidFill>
          <a:schemeClr val="bg1"/>
        </a:solidFill>
        <a:ln>
          <a:solidFill>
            <a:sysClr val="windowText" lastClr="000000"/>
          </a:solidFill>
        </a:ln>
      </c:spPr>
      <c:txPr>
        <a:bodyPr/>
        <a:lstStyle/>
        <a:p>
          <a:pPr>
            <a:defRPr sz="800"/>
          </a:pPr>
          <a:endParaRPr lang="en-US"/>
        </a:p>
      </c:txPr>
    </c:legend>
    <c:plotVisOnly val="1"/>
  </c:chart>
  <c:spPr>
    <a:ln>
      <a:solidFill>
        <a:sysClr val="windowText" lastClr="000000"/>
      </a:solidFill>
    </a:ln>
  </c:spPr>
  <c:txPr>
    <a:bodyPr/>
    <a:lstStyle/>
    <a:p>
      <a:pPr>
        <a:defRPr>
          <a:latin typeface="Times New Roman" pitchFamily="18" charset="0"/>
          <a:cs typeface="Times New Roman" pitchFamily="18" charset="0"/>
        </a:defRPr>
      </a:pPr>
      <a:endParaRPr lang="en-US"/>
    </a:p>
  </c:txPr>
  <c:externalData r:id="rId1"/>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2354240202733278"/>
          <c:y val="2.8871573344998541E-2"/>
          <c:w val="0.83279859414124968"/>
          <c:h val="0.83857720909886269"/>
        </c:manualLayout>
      </c:layout>
      <c:scatterChart>
        <c:scatterStyle val="smoothMarker"/>
        <c:ser>
          <c:idx val="6"/>
          <c:order val="0"/>
          <c:tx>
            <c:v>Meas. (I)</c:v>
          </c:tx>
          <c:spPr>
            <a:ln>
              <a:noFill/>
            </a:ln>
          </c:spPr>
          <c:marker>
            <c:symbol val="star"/>
            <c:size val="7"/>
            <c:spPr>
              <a:noFill/>
              <a:ln w="19050">
                <a:solidFill>
                  <a:srgbClr val="0000FF"/>
                </a:solidFill>
              </a:ln>
            </c:spPr>
          </c:marker>
          <c:xVal>
            <c:numRef>
              <c:f>(Comparison!$L$60,Comparison!$L$62,Comparison!$L$64)</c:f>
              <c:numCache>
                <c:formatCode>0.00%</c:formatCode>
                <c:ptCount val="3"/>
                <c:pt idx="0">
                  <c:v>4.2100000000000012E-2</c:v>
                </c:pt>
                <c:pt idx="1">
                  <c:v>9.6100000000000005E-2</c:v>
                </c:pt>
                <c:pt idx="2">
                  <c:v>4.5699999999999998E-2</c:v>
                </c:pt>
              </c:numCache>
            </c:numRef>
          </c:xVal>
          <c:yVal>
            <c:numRef>
              <c:f>(Comparison!$K$60,Comparison!$K$62,Comparison!$K$64)</c:f>
              <c:numCache>
                <c:formatCode>General</c:formatCode>
                <c:ptCount val="3"/>
                <c:pt idx="0">
                  <c:v>22.224999999999987</c:v>
                </c:pt>
                <c:pt idx="1">
                  <c:v>-0.63500000000000678</c:v>
                </c:pt>
                <c:pt idx="2">
                  <c:v>-23.3934</c:v>
                </c:pt>
              </c:numCache>
            </c:numRef>
          </c:yVal>
          <c:smooth val="1"/>
        </c:ser>
        <c:ser>
          <c:idx val="8"/>
          <c:order val="1"/>
          <c:tx>
            <c:v>VESTA (I)</c:v>
          </c:tx>
          <c:spPr>
            <a:ln w="19050">
              <a:solidFill>
                <a:srgbClr val="0000FF"/>
              </a:solidFill>
            </a:ln>
          </c:spPr>
          <c:marker>
            <c:symbol val="none"/>
          </c:marker>
          <c:xVal>
            <c:numRef>
              <c:f>Comparison!$G$60:$G$83</c:f>
              <c:numCache>
                <c:formatCode>0.00%</c:formatCode>
                <c:ptCount val="24"/>
                <c:pt idx="0">
                  <c:v>5.2625768980415585E-2</c:v>
                </c:pt>
                <c:pt idx="1">
                  <c:v>4.5889699485841914E-2</c:v>
                </c:pt>
                <c:pt idx="2">
                  <c:v>4.6398989382759694E-2</c:v>
                </c:pt>
                <c:pt idx="3">
                  <c:v>5.0091357357776832E-2</c:v>
                </c:pt>
                <c:pt idx="4">
                  <c:v>5.8303405760426884E-2</c:v>
                </c:pt>
                <c:pt idx="5">
                  <c:v>6.708496239049172E-2</c:v>
                </c:pt>
                <c:pt idx="6">
                  <c:v>7.5271405971400071E-2</c:v>
                </c:pt>
                <c:pt idx="7">
                  <c:v>7.9794448396690573E-2</c:v>
                </c:pt>
                <c:pt idx="8">
                  <c:v>8.3779810128618223E-2</c:v>
                </c:pt>
                <c:pt idx="9">
                  <c:v>8.9345094583854728E-2</c:v>
                </c:pt>
                <c:pt idx="10">
                  <c:v>9.2969370586437727E-2</c:v>
                </c:pt>
                <c:pt idx="11">
                  <c:v>9.4651661566671513E-2</c:v>
                </c:pt>
                <c:pt idx="12">
                  <c:v>9.4887582394514045E-2</c:v>
                </c:pt>
                <c:pt idx="13">
                  <c:v>9.3950700828130201E-2</c:v>
                </c:pt>
                <c:pt idx="14">
                  <c:v>9.0963408181930244E-2</c:v>
                </c:pt>
                <c:pt idx="15">
                  <c:v>8.6204094623269528E-2</c:v>
                </c:pt>
                <c:pt idx="16">
                  <c:v>7.9687298686169639E-2</c:v>
                </c:pt>
                <c:pt idx="17">
                  <c:v>7.5248283713708952E-2</c:v>
                </c:pt>
                <c:pt idx="18">
                  <c:v>7.0492913333426652E-2</c:v>
                </c:pt>
                <c:pt idx="19">
                  <c:v>6.1788948471413876E-2</c:v>
                </c:pt>
                <c:pt idx="20">
                  <c:v>5.3150044850147522E-2</c:v>
                </c:pt>
                <c:pt idx="21">
                  <c:v>4.6069423360254776E-2</c:v>
                </c:pt>
                <c:pt idx="22">
                  <c:v>4.445300144930267E-2</c:v>
                </c:pt>
                <c:pt idx="23">
                  <c:v>4.9443102240335574E-2</c:v>
                </c:pt>
              </c:numCache>
            </c:numRef>
          </c:xVal>
          <c:yVal>
            <c:numRef>
              <c:f>Comparison!$F$60:$F$83</c:f>
              <c:numCache>
                <c:formatCode>General</c:formatCode>
                <c:ptCount val="24"/>
                <c:pt idx="0">
                  <c:v>24.764999999999986</c:v>
                </c:pt>
                <c:pt idx="1">
                  <c:v>23.302500000000002</c:v>
                </c:pt>
                <c:pt idx="2">
                  <c:v>22.224999999999987</c:v>
                </c:pt>
                <c:pt idx="3">
                  <c:v>20.608750000000001</c:v>
                </c:pt>
                <c:pt idx="4">
                  <c:v>17.876249999999889</c:v>
                </c:pt>
                <c:pt idx="5">
                  <c:v>15.143750000000001</c:v>
                </c:pt>
                <c:pt idx="6">
                  <c:v>12.411250000000001</c:v>
                </c:pt>
                <c:pt idx="7">
                  <c:v>10.795000000000002</c:v>
                </c:pt>
                <c:pt idx="8">
                  <c:v>9.1787500000000009</c:v>
                </c:pt>
                <c:pt idx="9">
                  <c:v>6.4462500000000134</c:v>
                </c:pt>
                <c:pt idx="10">
                  <c:v>3.7137499999999997</c:v>
                </c:pt>
                <c:pt idx="11">
                  <c:v>0.98124999999999851</c:v>
                </c:pt>
                <c:pt idx="12">
                  <c:v>-0.63500000000000834</c:v>
                </c:pt>
                <c:pt idx="13">
                  <c:v>-2.2512499999999767</c:v>
                </c:pt>
                <c:pt idx="14">
                  <c:v>-4.9837500000000023</c:v>
                </c:pt>
                <c:pt idx="15">
                  <c:v>-7.7162500000000014</c:v>
                </c:pt>
                <c:pt idx="16">
                  <c:v>-10.44875</c:v>
                </c:pt>
                <c:pt idx="17">
                  <c:v>-12.065000000000024</c:v>
                </c:pt>
                <c:pt idx="18">
                  <c:v>-13.681249999999999</c:v>
                </c:pt>
                <c:pt idx="19">
                  <c:v>-16.41375</c:v>
                </c:pt>
                <c:pt idx="20">
                  <c:v>-19.14625000000003</c:v>
                </c:pt>
                <c:pt idx="21">
                  <c:v>-21.878750000000004</c:v>
                </c:pt>
                <c:pt idx="22">
                  <c:v>-23.494999999999987</c:v>
                </c:pt>
                <c:pt idx="23">
                  <c:v>-24.572499999999771</c:v>
                </c:pt>
              </c:numCache>
            </c:numRef>
          </c:yVal>
          <c:smooth val="1"/>
        </c:ser>
        <c:ser>
          <c:idx val="7"/>
          <c:order val="2"/>
          <c:tx>
            <c:v>ALEPH (I)</c:v>
          </c:tx>
          <c:spPr>
            <a:ln w="19050">
              <a:solidFill>
                <a:srgbClr val="0000FF"/>
              </a:solidFill>
              <a:prstDash val="dash"/>
            </a:ln>
          </c:spPr>
          <c:marker>
            <c:symbol val="none"/>
          </c:marker>
          <c:xVal>
            <c:numRef>
              <c:f>Comparison!$B$60:$B$83</c:f>
              <c:numCache>
                <c:formatCode>0.00%</c:formatCode>
                <c:ptCount val="24"/>
                <c:pt idx="0">
                  <c:v>5.2988478483276383E-2</c:v>
                </c:pt>
                <c:pt idx="1">
                  <c:v>4.6031682247335184E-2</c:v>
                </c:pt>
                <c:pt idx="2">
                  <c:v>4.6553044331216584E-2</c:v>
                </c:pt>
                <c:pt idx="3">
                  <c:v>5.0327974846234448E-2</c:v>
                </c:pt>
                <c:pt idx="4">
                  <c:v>5.8657623034285504E-2</c:v>
                </c:pt>
                <c:pt idx="5">
                  <c:v>6.7511569362215432E-2</c:v>
                </c:pt>
                <c:pt idx="6">
                  <c:v>7.5911102866919669E-2</c:v>
                </c:pt>
                <c:pt idx="7">
                  <c:v>8.0573111621837931E-2</c:v>
                </c:pt>
                <c:pt idx="8">
                  <c:v>8.4634529887287799E-2</c:v>
                </c:pt>
                <c:pt idx="9">
                  <c:v>9.0357898336271822E-2</c:v>
                </c:pt>
                <c:pt idx="10">
                  <c:v>9.4262325065607777E-2</c:v>
                </c:pt>
                <c:pt idx="11">
                  <c:v>9.5907868960555268E-2</c:v>
                </c:pt>
                <c:pt idx="12">
                  <c:v>9.6047449067929724E-2</c:v>
                </c:pt>
                <c:pt idx="13">
                  <c:v>9.5315818669721802E-2</c:v>
                </c:pt>
                <c:pt idx="14">
                  <c:v>9.2284599141140428E-2</c:v>
                </c:pt>
                <c:pt idx="15">
                  <c:v>8.7404007134506592E-2</c:v>
                </c:pt>
                <c:pt idx="16">
                  <c:v>8.0647023750104227E-2</c:v>
                </c:pt>
                <c:pt idx="17">
                  <c:v>7.6260795949447124E-2</c:v>
                </c:pt>
                <c:pt idx="18">
                  <c:v>7.1268631145257111E-2</c:v>
                </c:pt>
                <c:pt idx="19">
                  <c:v>6.2327807646834113E-2</c:v>
                </c:pt>
                <c:pt idx="20">
                  <c:v>5.3511338860396232E-2</c:v>
                </c:pt>
                <c:pt idx="21">
                  <c:v>4.6289008472831045E-2</c:v>
                </c:pt>
                <c:pt idx="22">
                  <c:v>4.4667815943845758E-2</c:v>
                </c:pt>
                <c:pt idx="23">
                  <c:v>4.9890266880789923E-2</c:v>
                </c:pt>
              </c:numCache>
            </c:numRef>
          </c:xVal>
          <c:yVal>
            <c:numRef>
              <c:f>Comparison!$A$60:$A$83</c:f>
              <c:numCache>
                <c:formatCode>General</c:formatCode>
                <c:ptCount val="24"/>
                <c:pt idx="0">
                  <c:v>24.764999999999986</c:v>
                </c:pt>
                <c:pt idx="1">
                  <c:v>23.302500000000002</c:v>
                </c:pt>
                <c:pt idx="2">
                  <c:v>22.224999999999987</c:v>
                </c:pt>
                <c:pt idx="3">
                  <c:v>20.608750000000001</c:v>
                </c:pt>
                <c:pt idx="4">
                  <c:v>17.876249999999889</c:v>
                </c:pt>
                <c:pt idx="5">
                  <c:v>15.143750000000001</c:v>
                </c:pt>
                <c:pt idx="6">
                  <c:v>12.411250000000001</c:v>
                </c:pt>
                <c:pt idx="7">
                  <c:v>10.795000000000002</c:v>
                </c:pt>
                <c:pt idx="8">
                  <c:v>9.1787500000000009</c:v>
                </c:pt>
                <c:pt idx="9">
                  <c:v>6.4462500000000134</c:v>
                </c:pt>
                <c:pt idx="10">
                  <c:v>3.7137499999999997</c:v>
                </c:pt>
                <c:pt idx="11">
                  <c:v>0.98124999999999851</c:v>
                </c:pt>
                <c:pt idx="12">
                  <c:v>-0.63500000000000834</c:v>
                </c:pt>
                <c:pt idx="13">
                  <c:v>-2.2512499999999767</c:v>
                </c:pt>
                <c:pt idx="14">
                  <c:v>-4.9837500000000023</c:v>
                </c:pt>
                <c:pt idx="15">
                  <c:v>-7.7162500000000014</c:v>
                </c:pt>
                <c:pt idx="16">
                  <c:v>-10.44875</c:v>
                </c:pt>
                <c:pt idx="17">
                  <c:v>-12.065000000000024</c:v>
                </c:pt>
                <c:pt idx="18">
                  <c:v>-13.681249999999999</c:v>
                </c:pt>
                <c:pt idx="19">
                  <c:v>-16.41375</c:v>
                </c:pt>
                <c:pt idx="20">
                  <c:v>-19.14625000000003</c:v>
                </c:pt>
                <c:pt idx="21">
                  <c:v>-21.878750000000004</c:v>
                </c:pt>
                <c:pt idx="22">
                  <c:v>-23.494999999999987</c:v>
                </c:pt>
                <c:pt idx="23">
                  <c:v>-24.572499999999771</c:v>
                </c:pt>
              </c:numCache>
            </c:numRef>
          </c:yVal>
          <c:smooth val="1"/>
        </c:ser>
        <c:ser>
          <c:idx val="0"/>
          <c:order val="3"/>
          <c:tx>
            <c:v>Meas. (H)</c:v>
          </c:tx>
          <c:spPr>
            <a:ln>
              <a:noFill/>
            </a:ln>
          </c:spPr>
          <c:marker>
            <c:symbol val="triangle"/>
            <c:size val="7"/>
            <c:spPr>
              <a:noFill/>
              <a:ln w="19050">
                <a:solidFill>
                  <a:srgbClr val="008000"/>
                </a:solidFill>
              </a:ln>
            </c:spPr>
          </c:marker>
          <c:xVal>
            <c:numRef>
              <c:f>Comparison!$M$60:$M$64</c:f>
              <c:numCache>
                <c:formatCode>0.00%</c:formatCode>
                <c:ptCount val="5"/>
                <c:pt idx="0">
                  <c:v>3.1700000000000006E-2</c:v>
                </c:pt>
                <c:pt idx="1">
                  <c:v>4.9700000000000133E-2</c:v>
                </c:pt>
                <c:pt idx="2">
                  <c:v>6.2800000000000022E-2</c:v>
                </c:pt>
                <c:pt idx="3">
                  <c:v>4.7900000000000012E-2</c:v>
                </c:pt>
                <c:pt idx="4">
                  <c:v>2.7600000000000329E-2</c:v>
                </c:pt>
              </c:numCache>
            </c:numRef>
          </c:xVal>
          <c:yVal>
            <c:numRef>
              <c:f>Comparison!$K$60:$K$64</c:f>
              <c:numCache>
                <c:formatCode>General</c:formatCode>
                <c:ptCount val="5"/>
                <c:pt idx="0">
                  <c:v>22.224999999999987</c:v>
                </c:pt>
                <c:pt idx="1">
                  <c:v>10.795</c:v>
                </c:pt>
                <c:pt idx="2">
                  <c:v>-0.63500000000000678</c:v>
                </c:pt>
                <c:pt idx="3">
                  <c:v>-12.065000000000024</c:v>
                </c:pt>
                <c:pt idx="4">
                  <c:v>-23.3934</c:v>
                </c:pt>
              </c:numCache>
            </c:numRef>
          </c:yVal>
          <c:smooth val="1"/>
        </c:ser>
        <c:ser>
          <c:idx val="2"/>
          <c:order val="4"/>
          <c:tx>
            <c:v>VESTA (H)</c:v>
          </c:tx>
          <c:spPr>
            <a:ln w="19050">
              <a:solidFill>
                <a:srgbClr val="008000"/>
              </a:solidFill>
            </a:ln>
          </c:spPr>
          <c:marker>
            <c:symbol val="none"/>
          </c:marker>
          <c:xVal>
            <c:numRef>
              <c:f>Comparison!$H$60:$H$83</c:f>
              <c:numCache>
                <c:formatCode>0.00%</c:formatCode>
                <c:ptCount val="24"/>
                <c:pt idx="0">
                  <c:v>3.3546349170376411E-2</c:v>
                </c:pt>
                <c:pt idx="1">
                  <c:v>2.7038661469962012E-2</c:v>
                </c:pt>
                <c:pt idx="2">
                  <c:v>2.7624336582905664E-2</c:v>
                </c:pt>
                <c:pt idx="3">
                  <c:v>3.03762492566866E-2</c:v>
                </c:pt>
                <c:pt idx="4">
                  <c:v>3.5795801196607135E-2</c:v>
                </c:pt>
                <c:pt idx="5">
                  <c:v>4.1259816657405676E-2</c:v>
                </c:pt>
                <c:pt idx="6">
                  <c:v>4.6514569774798946E-2</c:v>
                </c:pt>
                <c:pt idx="7">
                  <c:v>4.9442355279860857E-2</c:v>
                </c:pt>
                <c:pt idx="8">
                  <c:v>5.1989983523236333E-2</c:v>
                </c:pt>
                <c:pt idx="9">
                  <c:v>5.5556334894540024E-2</c:v>
                </c:pt>
                <c:pt idx="10">
                  <c:v>5.7938273379747503E-2</c:v>
                </c:pt>
                <c:pt idx="11">
                  <c:v>5.9037882483449163E-2</c:v>
                </c:pt>
                <c:pt idx="12">
                  <c:v>5.9119449018007822E-2</c:v>
                </c:pt>
                <c:pt idx="13">
                  <c:v>5.8600838192462659E-2</c:v>
                </c:pt>
                <c:pt idx="14">
                  <c:v>5.6714111051962973E-2</c:v>
                </c:pt>
                <c:pt idx="15">
                  <c:v>5.3605532230546919E-2</c:v>
                </c:pt>
                <c:pt idx="16">
                  <c:v>4.9377251830482929E-2</c:v>
                </c:pt>
                <c:pt idx="17">
                  <c:v>4.6469054676607065E-2</c:v>
                </c:pt>
                <c:pt idx="18">
                  <c:v>4.3312813080844982E-2</c:v>
                </c:pt>
                <c:pt idx="19">
                  <c:v>3.7843276733826009E-2</c:v>
                </c:pt>
                <c:pt idx="20">
                  <c:v>3.2376849956048212E-2</c:v>
                </c:pt>
                <c:pt idx="21">
                  <c:v>2.7388032568604358E-2</c:v>
                </c:pt>
                <c:pt idx="22">
                  <c:v>2.5803185333387438E-2</c:v>
                </c:pt>
                <c:pt idx="23">
                  <c:v>3.0495033573758656E-2</c:v>
                </c:pt>
              </c:numCache>
            </c:numRef>
          </c:xVal>
          <c:yVal>
            <c:numRef>
              <c:f>Comparison!$F$60:$F$83</c:f>
              <c:numCache>
                <c:formatCode>General</c:formatCode>
                <c:ptCount val="24"/>
                <c:pt idx="0">
                  <c:v>24.764999999999986</c:v>
                </c:pt>
                <c:pt idx="1">
                  <c:v>23.302500000000002</c:v>
                </c:pt>
                <c:pt idx="2">
                  <c:v>22.224999999999987</c:v>
                </c:pt>
                <c:pt idx="3">
                  <c:v>20.608750000000001</c:v>
                </c:pt>
                <c:pt idx="4">
                  <c:v>17.876249999999889</c:v>
                </c:pt>
                <c:pt idx="5">
                  <c:v>15.143750000000001</c:v>
                </c:pt>
                <c:pt idx="6">
                  <c:v>12.411250000000001</c:v>
                </c:pt>
                <c:pt idx="7">
                  <c:v>10.795000000000002</c:v>
                </c:pt>
                <c:pt idx="8">
                  <c:v>9.1787500000000009</c:v>
                </c:pt>
                <c:pt idx="9">
                  <c:v>6.4462500000000134</c:v>
                </c:pt>
                <c:pt idx="10">
                  <c:v>3.7137499999999997</c:v>
                </c:pt>
                <c:pt idx="11">
                  <c:v>0.98124999999999851</c:v>
                </c:pt>
                <c:pt idx="12">
                  <c:v>-0.63500000000000834</c:v>
                </c:pt>
                <c:pt idx="13">
                  <c:v>-2.2512499999999767</c:v>
                </c:pt>
                <c:pt idx="14">
                  <c:v>-4.9837500000000023</c:v>
                </c:pt>
                <c:pt idx="15">
                  <c:v>-7.7162500000000014</c:v>
                </c:pt>
                <c:pt idx="16">
                  <c:v>-10.44875</c:v>
                </c:pt>
                <c:pt idx="17">
                  <c:v>-12.065000000000024</c:v>
                </c:pt>
                <c:pt idx="18">
                  <c:v>-13.681249999999999</c:v>
                </c:pt>
                <c:pt idx="19">
                  <c:v>-16.41375</c:v>
                </c:pt>
                <c:pt idx="20">
                  <c:v>-19.14625000000003</c:v>
                </c:pt>
                <c:pt idx="21">
                  <c:v>-21.878750000000004</c:v>
                </c:pt>
                <c:pt idx="22">
                  <c:v>-23.494999999999987</c:v>
                </c:pt>
                <c:pt idx="23">
                  <c:v>-24.572499999999771</c:v>
                </c:pt>
              </c:numCache>
            </c:numRef>
          </c:yVal>
          <c:smooth val="1"/>
        </c:ser>
        <c:ser>
          <c:idx val="1"/>
          <c:order val="5"/>
          <c:tx>
            <c:v>ALEPH (H)</c:v>
          </c:tx>
          <c:spPr>
            <a:ln w="19050">
              <a:solidFill>
                <a:srgbClr val="008000"/>
              </a:solidFill>
              <a:prstDash val="dash"/>
            </a:ln>
          </c:spPr>
          <c:marker>
            <c:symbol val="none"/>
          </c:marker>
          <c:xVal>
            <c:numRef>
              <c:f>Comparison!$C$60:$C$83</c:f>
              <c:numCache>
                <c:formatCode>0.00%</c:formatCode>
                <c:ptCount val="24"/>
                <c:pt idx="0">
                  <c:v>3.3784646880301132E-2</c:v>
                </c:pt>
                <c:pt idx="1">
                  <c:v>2.7109355241572416E-2</c:v>
                </c:pt>
                <c:pt idx="2">
                  <c:v>2.7742304933447971E-2</c:v>
                </c:pt>
                <c:pt idx="3">
                  <c:v>3.0499767315534412E-2</c:v>
                </c:pt>
                <c:pt idx="4">
                  <c:v>3.5982222187691391E-2</c:v>
                </c:pt>
                <c:pt idx="5">
                  <c:v>4.1516151208140492E-2</c:v>
                </c:pt>
                <c:pt idx="6">
                  <c:v>4.6843373620905557E-2</c:v>
                </c:pt>
                <c:pt idx="7">
                  <c:v>4.9728638742530841E-2</c:v>
                </c:pt>
                <c:pt idx="8">
                  <c:v>5.2234299542215833E-2</c:v>
                </c:pt>
                <c:pt idx="9">
                  <c:v>5.5858053095514427E-2</c:v>
                </c:pt>
                <c:pt idx="10">
                  <c:v>5.8233459706348384E-2</c:v>
                </c:pt>
                <c:pt idx="11">
                  <c:v>5.9362286284259914E-2</c:v>
                </c:pt>
                <c:pt idx="12">
                  <c:v>5.9458788649634033E-2</c:v>
                </c:pt>
                <c:pt idx="13">
                  <c:v>5.9000968411168572E-2</c:v>
                </c:pt>
                <c:pt idx="14">
                  <c:v>5.7117557361167672E-2</c:v>
                </c:pt>
                <c:pt idx="15">
                  <c:v>5.3847235131954017E-2</c:v>
                </c:pt>
                <c:pt idx="16">
                  <c:v>4.9726389564672284E-2</c:v>
                </c:pt>
                <c:pt idx="17">
                  <c:v>4.6844596480635374E-2</c:v>
                </c:pt>
                <c:pt idx="18">
                  <c:v>4.3650485565950276E-2</c:v>
                </c:pt>
                <c:pt idx="19">
                  <c:v>3.8120629079542077E-2</c:v>
                </c:pt>
                <c:pt idx="20">
                  <c:v>3.2563532272734716E-2</c:v>
                </c:pt>
                <c:pt idx="21">
                  <c:v>2.7547950757432091E-2</c:v>
                </c:pt>
                <c:pt idx="22">
                  <c:v>2.5956995822347142E-2</c:v>
                </c:pt>
                <c:pt idx="23">
                  <c:v>3.0752551323556938E-2</c:v>
                </c:pt>
              </c:numCache>
            </c:numRef>
          </c:xVal>
          <c:yVal>
            <c:numRef>
              <c:f>Comparison!$A$60:$A$83</c:f>
              <c:numCache>
                <c:formatCode>General</c:formatCode>
                <c:ptCount val="24"/>
                <c:pt idx="0">
                  <c:v>24.764999999999986</c:v>
                </c:pt>
                <c:pt idx="1">
                  <c:v>23.302500000000002</c:v>
                </c:pt>
                <c:pt idx="2">
                  <c:v>22.224999999999987</c:v>
                </c:pt>
                <c:pt idx="3">
                  <c:v>20.608750000000001</c:v>
                </c:pt>
                <c:pt idx="4">
                  <c:v>17.876249999999889</c:v>
                </c:pt>
                <c:pt idx="5">
                  <c:v>15.143750000000001</c:v>
                </c:pt>
                <c:pt idx="6">
                  <c:v>12.411250000000001</c:v>
                </c:pt>
                <c:pt idx="7">
                  <c:v>10.795000000000002</c:v>
                </c:pt>
                <c:pt idx="8">
                  <c:v>9.1787500000000009</c:v>
                </c:pt>
                <c:pt idx="9">
                  <c:v>6.4462500000000134</c:v>
                </c:pt>
                <c:pt idx="10">
                  <c:v>3.7137499999999997</c:v>
                </c:pt>
                <c:pt idx="11">
                  <c:v>0.98124999999999851</c:v>
                </c:pt>
                <c:pt idx="12">
                  <c:v>-0.63500000000000834</c:v>
                </c:pt>
                <c:pt idx="13">
                  <c:v>-2.2512499999999767</c:v>
                </c:pt>
                <c:pt idx="14">
                  <c:v>-4.9837500000000023</c:v>
                </c:pt>
                <c:pt idx="15">
                  <c:v>-7.7162500000000014</c:v>
                </c:pt>
                <c:pt idx="16">
                  <c:v>-10.44875</c:v>
                </c:pt>
                <c:pt idx="17">
                  <c:v>-12.065000000000024</c:v>
                </c:pt>
                <c:pt idx="18">
                  <c:v>-13.681249999999999</c:v>
                </c:pt>
                <c:pt idx="19">
                  <c:v>-16.41375</c:v>
                </c:pt>
                <c:pt idx="20">
                  <c:v>-19.14625000000003</c:v>
                </c:pt>
                <c:pt idx="21">
                  <c:v>-21.878750000000004</c:v>
                </c:pt>
                <c:pt idx="22">
                  <c:v>-23.494999999999987</c:v>
                </c:pt>
                <c:pt idx="23">
                  <c:v>-24.572499999999771</c:v>
                </c:pt>
              </c:numCache>
            </c:numRef>
          </c:yVal>
          <c:smooth val="1"/>
        </c:ser>
        <c:ser>
          <c:idx val="3"/>
          <c:order val="6"/>
          <c:tx>
            <c:v>Meas. (O)</c:v>
          </c:tx>
          <c:spPr>
            <a:ln>
              <a:noFill/>
            </a:ln>
          </c:spPr>
          <c:marker>
            <c:symbol val="circle"/>
            <c:size val="7"/>
            <c:spPr>
              <a:noFill/>
              <a:ln w="19050">
                <a:solidFill>
                  <a:srgbClr val="FF0000"/>
                </a:solidFill>
              </a:ln>
            </c:spPr>
          </c:marker>
          <c:xVal>
            <c:numRef>
              <c:f>(Comparison!$N$60,Comparison!$N$62,Comparison!$N$64)</c:f>
              <c:numCache>
                <c:formatCode>0.00%</c:formatCode>
                <c:ptCount val="3"/>
                <c:pt idx="0">
                  <c:v>4.1199999999999987E-2</c:v>
                </c:pt>
                <c:pt idx="1">
                  <c:v>0.12360000000000022</c:v>
                </c:pt>
                <c:pt idx="2">
                  <c:v>3.1600000000000052E-2</c:v>
                </c:pt>
              </c:numCache>
            </c:numRef>
          </c:xVal>
          <c:yVal>
            <c:numRef>
              <c:f>(Comparison!$K$60,Comparison!$K$62,Comparison!$K$64)</c:f>
              <c:numCache>
                <c:formatCode>General</c:formatCode>
                <c:ptCount val="3"/>
                <c:pt idx="0">
                  <c:v>22.224999999999987</c:v>
                </c:pt>
                <c:pt idx="1">
                  <c:v>-0.63500000000000678</c:v>
                </c:pt>
                <c:pt idx="2">
                  <c:v>-23.3934</c:v>
                </c:pt>
              </c:numCache>
            </c:numRef>
          </c:yVal>
          <c:smooth val="1"/>
        </c:ser>
        <c:ser>
          <c:idx val="5"/>
          <c:order val="7"/>
          <c:tx>
            <c:v>VESTA (O)</c:v>
          </c:tx>
          <c:spPr>
            <a:ln w="19050">
              <a:solidFill>
                <a:srgbClr val="FF0000"/>
              </a:solidFill>
            </a:ln>
          </c:spPr>
          <c:marker>
            <c:symbol val="none"/>
          </c:marker>
          <c:xVal>
            <c:numRef>
              <c:f>Comparison!$I$60:$I$83</c:f>
              <c:numCache>
                <c:formatCode>0.00%</c:formatCode>
                <c:ptCount val="24"/>
                <c:pt idx="0">
                  <c:v>3.8315489121588137E-2</c:v>
                </c:pt>
                <c:pt idx="1">
                  <c:v>3.7359403286032197E-2</c:v>
                </c:pt>
                <c:pt idx="2">
                  <c:v>4.0052381336190913E-2</c:v>
                </c:pt>
                <c:pt idx="3">
                  <c:v>4.5819415453662873E-2</c:v>
                </c:pt>
                <c:pt idx="4">
                  <c:v>5.6962108766256785E-2</c:v>
                </c:pt>
                <c:pt idx="5">
                  <c:v>6.984243754417141E-2</c:v>
                </c:pt>
                <c:pt idx="6">
                  <c:v>8.4246383130710048E-2</c:v>
                </c:pt>
                <c:pt idx="7">
                  <c:v>9.329580428345513E-2</c:v>
                </c:pt>
                <c:pt idx="8">
                  <c:v>0.10165492356645472</c:v>
                </c:pt>
                <c:pt idx="9">
                  <c:v>0.11310745900073255</c:v>
                </c:pt>
                <c:pt idx="10">
                  <c:v>0.12037183716756145</c:v>
                </c:pt>
                <c:pt idx="11">
                  <c:v>0.12378376882808788</c:v>
                </c:pt>
                <c:pt idx="12">
                  <c:v>0.12408011453391679</c:v>
                </c:pt>
                <c:pt idx="13">
                  <c:v>0.12265909397038292</c:v>
                </c:pt>
                <c:pt idx="14">
                  <c:v>0.11732155788788749</c:v>
                </c:pt>
                <c:pt idx="15">
                  <c:v>0.10793486880909305</c:v>
                </c:pt>
                <c:pt idx="16">
                  <c:v>9.3749068526361765E-2</c:v>
                </c:pt>
                <c:pt idx="17">
                  <c:v>8.3886304581055268E-2</c:v>
                </c:pt>
                <c:pt idx="18">
                  <c:v>7.4539525575892038E-2</c:v>
                </c:pt>
                <c:pt idx="19">
                  <c:v>6.0557244389371774E-2</c:v>
                </c:pt>
                <c:pt idx="20">
                  <c:v>4.8652204561406072E-2</c:v>
                </c:pt>
                <c:pt idx="21">
                  <c:v>3.8259401615978642E-2</c:v>
                </c:pt>
                <c:pt idx="22">
                  <c:v>3.3122661959883677E-2</c:v>
                </c:pt>
                <c:pt idx="23">
                  <c:v>3.2935660653693646E-2</c:v>
                </c:pt>
              </c:numCache>
            </c:numRef>
          </c:xVal>
          <c:yVal>
            <c:numRef>
              <c:f>Comparison!$F$60:$F$83</c:f>
              <c:numCache>
                <c:formatCode>General</c:formatCode>
                <c:ptCount val="24"/>
                <c:pt idx="0">
                  <c:v>24.764999999999986</c:v>
                </c:pt>
                <c:pt idx="1">
                  <c:v>23.302500000000002</c:v>
                </c:pt>
                <c:pt idx="2">
                  <c:v>22.224999999999987</c:v>
                </c:pt>
                <c:pt idx="3">
                  <c:v>20.608750000000001</c:v>
                </c:pt>
                <c:pt idx="4">
                  <c:v>17.876249999999889</c:v>
                </c:pt>
                <c:pt idx="5">
                  <c:v>15.143750000000001</c:v>
                </c:pt>
                <c:pt idx="6">
                  <c:v>12.411250000000001</c:v>
                </c:pt>
                <c:pt idx="7">
                  <c:v>10.795000000000002</c:v>
                </c:pt>
                <c:pt idx="8">
                  <c:v>9.1787500000000009</c:v>
                </c:pt>
                <c:pt idx="9">
                  <c:v>6.4462500000000134</c:v>
                </c:pt>
                <c:pt idx="10">
                  <c:v>3.7137499999999997</c:v>
                </c:pt>
                <c:pt idx="11">
                  <c:v>0.98124999999999851</c:v>
                </c:pt>
                <c:pt idx="12">
                  <c:v>-0.63500000000000834</c:v>
                </c:pt>
                <c:pt idx="13">
                  <c:v>-2.2512499999999767</c:v>
                </c:pt>
                <c:pt idx="14">
                  <c:v>-4.9837500000000023</c:v>
                </c:pt>
                <c:pt idx="15">
                  <c:v>-7.7162500000000014</c:v>
                </c:pt>
                <c:pt idx="16">
                  <c:v>-10.44875</c:v>
                </c:pt>
                <c:pt idx="17">
                  <c:v>-12.065000000000024</c:v>
                </c:pt>
                <c:pt idx="18">
                  <c:v>-13.681249999999999</c:v>
                </c:pt>
                <c:pt idx="19">
                  <c:v>-16.41375</c:v>
                </c:pt>
                <c:pt idx="20">
                  <c:v>-19.14625000000003</c:v>
                </c:pt>
                <c:pt idx="21">
                  <c:v>-21.878750000000004</c:v>
                </c:pt>
                <c:pt idx="22">
                  <c:v>-23.494999999999987</c:v>
                </c:pt>
                <c:pt idx="23">
                  <c:v>-24.572499999999771</c:v>
                </c:pt>
              </c:numCache>
            </c:numRef>
          </c:yVal>
          <c:smooth val="1"/>
        </c:ser>
        <c:ser>
          <c:idx val="4"/>
          <c:order val="8"/>
          <c:tx>
            <c:v>ALEPH (O)</c:v>
          </c:tx>
          <c:spPr>
            <a:ln w="19050">
              <a:solidFill>
                <a:srgbClr val="FF0000"/>
              </a:solidFill>
              <a:prstDash val="dash"/>
            </a:ln>
          </c:spPr>
          <c:marker>
            <c:symbol val="none"/>
          </c:marker>
          <c:xVal>
            <c:numRef>
              <c:f>Comparison!$D$60:$D$83</c:f>
              <c:numCache>
                <c:formatCode>0.00%</c:formatCode>
                <c:ptCount val="24"/>
                <c:pt idx="0">
                  <c:v>3.9335276884172592E-2</c:v>
                </c:pt>
                <c:pt idx="1">
                  <c:v>3.8425273566596252E-2</c:v>
                </c:pt>
                <c:pt idx="2">
                  <c:v>4.1276612604327176E-2</c:v>
                </c:pt>
                <c:pt idx="3">
                  <c:v>4.7264034162108122E-2</c:v>
                </c:pt>
                <c:pt idx="4">
                  <c:v>5.8996896714469373E-2</c:v>
                </c:pt>
                <c:pt idx="5">
                  <c:v>7.2497769431622033E-2</c:v>
                </c:pt>
                <c:pt idx="6">
                  <c:v>8.7739291548577014E-2</c:v>
                </c:pt>
                <c:pt idx="7">
                  <c:v>9.7311538212674673E-2</c:v>
                </c:pt>
                <c:pt idx="8">
                  <c:v>0.10629243756974092</c:v>
                </c:pt>
                <c:pt idx="9">
                  <c:v>0.11843609599183259</c:v>
                </c:pt>
                <c:pt idx="10">
                  <c:v>0.12622515258645586</c:v>
                </c:pt>
                <c:pt idx="11">
                  <c:v>0.12981944115245142</c:v>
                </c:pt>
                <c:pt idx="12">
                  <c:v>0.13022143946415476</c:v>
                </c:pt>
                <c:pt idx="13">
                  <c:v>0.12874331989062673</c:v>
                </c:pt>
                <c:pt idx="14">
                  <c:v>0.12327322633067371</c:v>
                </c:pt>
                <c:pt idx="15">
                  <c:v>0.11308922698569279</c:v>
                </c:pt>
                <c:pt idx="16">
                  <c:v>9.8044983950458076E-2</c:v>
                </c:pt>
                <c:pt idx="17">
                  <c:v>8.742213056333617E-2</c:v>
                </c:pt>
                <c:pt idx="18">
                  <c:v>7.7548797998572713E-2</c:v>
                </c:pt>
                <c:pt idx="19">
                  <c:v>6.2959676196197009E-2</c:v>
                </c:pt>
                <c:pt idx="20">
                  <c:v>5.0338237339249463E-2</c:v>
                </c:pt>
                <c:pt idx="21">
                  <c:v>3.9364735869741971E-2</c:v>
                </c:pt>
                <c:pt idx="22">
                  <c:v>3.4001539133454391E-2</c:v>
                </c:pt>
                <c:pt idx="23">
                  <c:v>3.377194072516166E-2</c:v>
                </c:pt>
              </c:numCache>
            </c:numRef>
          </c:xVal>
          <c:yVal>
            <c:numRef>
              <c:f>Comparison!$A$60:$A$83</c:f>
              <c:numCache>
                <c:formatCode>General</c:formatCode>
                <c:ptCount val="24"/>
                <c:pt idx="0">
                  <c:v>24.764999999999986</c:v>
                </c:pt>
                <c:pt idx="1">
                  <c:v>23.302500000000002</c:v>
                </c:pt>
                <c:pt idx="2">
                  <c:v>22.224999999999987</c:v>
                </c:pt>
                <c:pt idx="3">
                  <c:v>20.608750000000001</c:v>
                </c:pt>
                <c:pt idx="4">
                  <c:v>17.876249999999889</c:v>
                </c:pt>
                <c:pt idx="5">
                  <c:v>15.143750000000001</c:v>
                </c:pt>
                <c:pt idx="6">
                  <c:v>12.411250000000001</c:v>
                </c:pt>
                <c:pt idx="7">
                  <c:v>10.795000000000002</c:v>
                </c:pt>
                <c:pt idx="8">
                  <c:v>9.1787500000000009</c:v>
                </c:pt>
                <c:pt idx="9">
                  <c:v>6.4462500000000134</c:v>
                </c:pt>
                <c:pt idx="10">
                  <c:v>3.7137499999999997</c:v>
                </c:pt>
                <c:pt idx="11">
                  <c:v>0.98124999999999851</c:v>
                </c:pt>
                <c:pt idx="12">
                  <c:v>-0.63500000000000834</c:v>
                </c:pt>
                <c:pt idx="13">
                  <c:v>-2.2512499999999767</c:v>
                </c:pt>
                <c:pt idx="14">
                  <c:v>-4.9837500000000023</c:v>
                </c:pt>
                <c:pt idx="15">
                  <c:v>-7.7162500000000014</c:v>
                </c:pt>
                <c:pt idx="16">
                  <c:v>-10.44875</c:v>
                </c:pt>
                <c:pt idx="17">
                  <c:v>-12.065000000000024</c:v>
                </c:pt>
                <c:pt idx="18">
                  <c:v>-13.681249999999999</c:v>
                </c:pt>
                <c:pt idx="19">
                  <c:v>-16.41375</c:v>
                </c:pt>
                <c:pt idx="20">
                  <c:v>-19.14625000000003</c:v>
                </c:pt>
                <c:pt idx="21">
                  <c:v>-21.878750000000004</c:v>
                </c:pt>
                <c:pt idx="22">
                  <c:v>-23.494999999999987</c:v>
                </c:pt>
                <c:pt idx="23">
                  <c:v>-24.572499999999771</c:v>
                </c:pt>
              </c:numCache>
            </c:numRef>
          </c:yVal>
          <c:smooth val="1"/>
        </c:ser>
        <c:axId val="177340416"/>
        <c:axId val="177342336"/>
      </c:scatterChart>
      <c:valAx>
        <c:axId val="177340416"/>
        <c:scaling>
          <c:orientation val="minMax"/>
          <c:max val="0.14000000000000001"/>
          <c:min val="2.0000000000000011E-2"/>
        </c:scaling>
        <c:axPos val="b"/>
        <c:majorGridlines>
          <c:spPr>
            <a:ln>
              <a:solidFill>
                <a:sysClr val="windowText" lastClr="000000"/>
              </a:solidFill>
            </a:ln>
          </c:spPr>
        </c:majorGridlines>
        <c:minorGridlines/>
        <c:title>
          <c:tx>
            <c:rich>
              <a:bodyPr/>
              <a:lstStyle/>
              <a:p>
                <a:pPr>
                  <a:defRPr sz="1100"/>
                </a:pPr>
                <a:r>
                  <a:rPr lang="en-US" sz="1100"/>
                  <a:t>Post-Irradiation U-236/Uranium at. %</a:t>
                </a:r>
              </a:p>
            </c:rich>
          </c:tx>
        </c:title>
        <c:numFmt formatCode="0.0%" sourceLinked="0"/>
        <c:tickLblPos val="low"/>
        <c:spPr>
          <a:ln>
            <a:solidFill>
              <a:sysClr val="windowText" lastClr="000000"/>
            </a:solidFill>
          </a:ln>
        </c:spPr>
        <c:crossAx val="177342336"/>
        <c:crosses val="autoZero"/>
        <c:crossBetween val="midCat"/>
        <c:majorUnit val="2.0000000000000011E-2"/>
        <c:minorUnit val="1.0000000000000005E-2"/>
      </c:valAx>
      <c:valAx>
        <c:axId val="177342336"/>
        <c:scaling>
          <c:orientation val="minMax"/>
          <c:max val="30"/>
          <c:min val="-30"/>
        </c:scaling>
        <c:axPos val="l"/>
        <c:majorGridlines>
          <c:spPr>
            <a:ln>
              <a:solidFill>
                <a:sysClr val="windowText" lastClr="000000"/>
              </a:solidFill>
            </a:ln>
          </c:spPr>
        </c:majorGridlines>
        <c:title>
          <c:tx>
            <c:rich>
              <a:bodyPr rot="-5400000" vert="horz"/>
              <a:lstStyle/>
              <a:p>
                <a:pPr>
                  <a:defRPr sz="1100"/>
                </a:pPr>
                <a:r>
                  <a:rPr lang="en-US" sz="1100"/>
                  <a:t>Distance From Core Axial Midplane (cm)</a:t>
                </a:r>
              </a:p>
            </c:rich>
          </c:tx>
          <c:layout>
            <c:manualLayout>
              <c:xMode val="edge"/>
              <c:yMode val="edge"/>
              <c:x val="1.7000400991542725E-2"/>
              <c:y val="9.3377595892618723E-2"/>
            </c:manualLayout>
          </c:layout>
        </c:title>
        <c:numFmt formatCode="General" sourceLinked="0"/>
        <c:tickLblPos val="low"/>
        <c:spPr>
          <a:ln>
            <a:solidFill>
              <a:schemeClr val="tx1"/>
            </a:solidFill>
          </a:ln>
        </c:spPr>
        <c:crossAx val="177340416"/>
        <c:crosses val="autoZero"/>
        <c:crossBetween val="midCat"/>
        <c:majorUnit val="5"/>
        <c:minorUnit val="2.5"/>
      </c:valAx>
    </c:plotArea>
    <c:legend>
      <c:legendPos val="r"/>
      <c:layout>
        <c:manualLayout>
          <c:xMode val="edge"/>
          <c:yMode val="edge"/>
          <c:x val="0.43730041557305527"/>
          <c:y val="1.8223051065985299E-3"/>
          <c:w val="0.55305517844752161"/>
          <c:h val="0.13857047884506304"/>
        </c:manualLayout>
      </c:layout>
      <c:overlay val="1"/>
      <c:spPr>
        <a:solidFill>
          <a:schemeClr val="bg1"/>
        </a:solidFill>
        <a:ln>
          <a:solidFill>
            <a:sysClr val="windowText" lastClr="000000"/>
          </a:solidFill>
        </a:ln>
      </c:spPr>
      <c:txPr>
        <a:bodyPr/>
        <a:lstStyle/>
        <a:p>
          <a:pPr>
            <a:defRPr sz="800"/>
          </a:pPr>
          <a:endParaRPr lang="en-US"/>
        </a:p>
      </c:txPr>
    </c:legend>
    <c:plotVisOnly val="1"/>
  </c:chart>
  <c:spPr>
    <a:ln>
      <a:solidFill>
        <a:sysClr val="windowText" lastClr="000000"/>
      </a:solidFill>
    </a:ln>
  </c:spPr>
  <c:txPr>
    <a:bodyPr/>
    <a:lstStyle/>
    <a:p>
      <a:pPr>
        <a:defRPr sz="1000">
          <a:latin typeface="Times New Roman" pitchFamily="18" charset="0"/>
          <a:cs typeface="Times New Roman" pitchFamily="18" charset="0"/>
        </a:defRPr>
      </a:pPr>
      <a:endParaRPr lang="en-US"/>
    </a:p>
  </c:txPr>
  <c:externalData r:id="rId1"/>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1072195302510272"/>
          <c:y val="2.8871573344998541E-2"/>
          <c:w val="0.85184517800660065"/>
          <c:h val="0.83857720909886269"/>
        </c:manualLayout>
      </c:layout>
      <c:scatterChart>
        <c:scatterStyle val="smoothMarker"/>
        <c:ser>
          <c:idx val="6"/>
          <c:order val="0"/>
          <c:tx>
            <c:v>Meas. (I)</c:v>
          </c:tx>
          <c:spPr>
            <a:ln>
              <a:noFill/>
            </a:ln>
          </c:spPr>
          <c:marker>
            <c:symbol val="star"/>
            <c:size val="7"/>
            <c:spPr>
              <a:noFill/>
              <a:ln w="19050">
                <a:solidFill>
                  <a:srgbClr val="0000FF"/>
                </a:solidFill>
              </a:ln>
            </c:spPr>
          </c:marker>
          <c:xVal>
            <c:numRef>
              <c:f>(Comparison!$L$88,Comparison!$L$90,Comparison!$L$92)</c:f>
              <c:numCache>
                <c:formatCode>0.00%</c:formatCode>
                <c:ptCount val="3"/>
                <c:pt idx="0">
                  <c:v>6.4300000000000523E-2</c:v>
                </c:pt>
                <c:pt idx="1">
                  <c:v>7.5400000000000023E-2</c:v>
                </c:pt>
                <c:pt idx="2">
                  <c:v>6.5199999999999994E-2</c:v>
                </c:pt>
              </c:numCache>
            </c:numRef>
          </c:xVal>
          <c:yVal>
            <c:numRef>
              <c:f>(Comparison!$K$88,Comparison!$K$90,Comparison!$K$92)</c:f>
              <c:numCache>
                <c:formatCode>General</c:formatCode>
                <c:ptCount val="3"/>
                <c:pt idx="0">
                  <c:v>22.224999999999987</c:v>
                </c:pt>
                <c:pt idx="1">
                  <c:v>-0.63500000000000678</c:v>
                </c:pt>
                <c:pt idx="2">
                  <c:v>-23.3934</c:v>
                </c:pt>
              </c:numCache>
            </c:numRef>
          </c:yVal>
          <c:smooth val="1"/>
        </c:ser>
        <c:ser>
          <c:idx val="8"/>
          <c:order val="1"/>
          <c:tx>
            <c:v>VESTA (I)</c:v>
          </c:tx>
          <c:spPr>
            <a:ln w="19050">
              <a:solidFill>
                <a:srgbClr val="0000FF"/>
              </a:solidFill>
            </a:ln>
          </c:spPr>
          <c:marker>
            <c:symbol val="none"/>
          </c:marker>
          <c:xVal>
            <c:numRef>
              <c:f>Comparison!$G$87:$G$110</c:f>
              <c:numCache>
                <c:formatCode>0.00%</c:formatCode>
                <c:ptCount val="24"/>
                <c:pt idx="0">
                  <c:v>6.7584410034949124E-2</c:v>
                </c:pt>
                <c:pt idx="1">
                  <c:v>6.5060638449314034E-2</c:v>
                </c:pt>
                <c:pt idx="2">
                  <c:v>6.486149001228414E-2</c:v>
                </c:pt>
                <c:pt idx="3">
                  <c:v>6.5487072331514962E-2</c:v>
                </c:pt>
                <c:pt idx="4">
                  <c:v>6.7214715477383349E-2</c:v>
                </c:pt>
                <c:pt idx="5">
                  <c:v>6.9166398356842934E-2</c:v>
                </c:pt>
                <c:pt idx="6">
                  <c:v>7.1060198220676621E-2</c:v>
                </c:pt>
                <c:pt idx="7">
                  <c:v>7.2097040484660396E-2</c:v>
                </c:pt>
                <c:pt idx="8">
                  <c:v>7.3008683720144199E-2</c:v>
                </c:pt>
                <c:pt idx="9">
                  <c:v>7.4328050211105598E-2</c:v>
                </c:pt>
                <c:pt idx="10">
                  <c:v>7.5179735075626183E-2</c:v>
                </c:pt>
                <c:pt idx="11">
                  <c:v>7.5587691285231323E-2</c:v>
                </c:pt>
                <c:pt idx="12">
                  <c:v>7.5647735938005944E-2</c:v>
                </c:pt>
                <c:pt idx="13">
                  <c:v>7.5427940910754512E-2</c:v>
                </c:pt>
                <c:pt idx="14">
                  <c:v>7.4714100358023353E-2</c:v>
                </c:pt>
                <c:pt idx="15">
                  <c:v>7.357916611525521E-2</c:v>
                </c:pt>
                <c:pt idx="16">
                  <c:v>7.2079036873917937E-2</c:v>
                </c:pt>
                <c:pt idx="17">
                  <c:v>7.1037815306291149E-2</c:v>
                </c:pt>
                <c:pt idx="18">
                  <c:v>6.9936168166965254E-2</c:v>
                </c:pt>
                <c:pt idx="19">
                  <c:v>6.7988654384248434E-2</c:v>
                </c:pt>
                <c:pt idx="20">
                  <c:v>6.6079404677199347E-2</c:v>
                </c:pt>
                <c:pt idx="21">
                  <c:v>6.4728694985228347E-2</c:v>
                </c:pt>
                <c:pt idx="22">
                  <c:v>6.4743568286740036E-2</c:v>
                </c:pt>
                <c:pt idx="23">
                  <c:v>6.662566582122878E-2</c:v>
                </c:pt>
              </c:numCache>
            </c:numRef>
          </c:xVal>
          <c:yVal>
            <c:numRef>
              <c:f>Comparison!$F$87:$F$110</c:f>
              <c:numCache>
                <c:formatCode>General</c:formatCode>
                <c:ptCount val="24"/>
                <c:pt idx="0">
                  <c:v>24.764999999999986</c:v>
                </c:pt>
                <c:pt idx="1">
                  <c:v>23.302500000000002</c:v>
                </c:pt>
                <c:pt idx="2">
                  <c:v>22.224999999999987</c:v>
                </c:pt>
                <c:pt idx="3">
                  <c:v>20.608750000000001</c:v>
                </c:pt>
                <c:pt idx="4">
                  <c:v>17.876249999999889</c:v>
                </c:pt>
                <c:pt idx="5">
                  <c:v>15.143750000000001</c:v>
                </c:pt>
                <c:pt idx="6">
                  <c:v>12.411250000000001</c:v>
                </c:pt>
                <c:pt idx="7">
                  <c:v>10.795000000000002</c:v>
                </c:pt>
                <c:pt idx="8">
                  <c:v>9.1787500000000009</c:v>
                </c:pt>
                <c:pt idx="9">
                  <c:v>6.4462500000000134</c:v>
                </c:pt>
                <c:pt idx="10">
                  <c:v>3.7137499999999997</c:v>
                </c:pt>
                <c:pt idx="11">
                  <c:v>0.98124999999999851</c:v>
                </c:pt>
                <c:pt idx="12">
                  <c:v>-0.63500000000000834</c:v>
                </c:pt>
                <c:pt idx="13">
                  <c:v>-2.2512499999999767</c:v>
                </c:pt>
                <c:pt idx="14">
                  <c:v>-4.9837500000000023</c:v>
                </c:pt>
                <c:pt idx="15">
                  <c:v>-7.7162500000000014</c:v>
                </c:pt>
                <c:pt idx="16">
                  <c:v>-10.44875</c:v>
                </c:pt>
                <c:pt idx="17">
                  <c:v>-12.065000000000024</c:v>
                </c:pt>
                <c:pt idx="18">
                  <c:v>-13.681249999999999</c:v>
                </c:pt>
                <c:pt idx="19">
                  <c:v>-16.41375</c:v>
                </c:pt>
                <c:pt idx="20">
                  <c:v>-19.14625000000003</c:v>
                </c:pt>
                <c:pt idx="21">
                  <c:v>-21.878750000000004</c:v>
                </c:pt>
                <c:pt idx="22">
                  <c:v>-23.494999999999987</c:v>
                </c:pt>
                <c:pt idx="23">
                  <c:v>-24.572499999999771</c:v>
                </c:pt>
              </c:numCache>
            </c:numRef>
          </c:yVal>
          <c:smooth val="1"/>
        </c:ser>
        <c:ser>
          <c:idx val="7"/>
          <c:order val="2"/>
          <c:tx>
            <c:v>ALEPH (I)</c:v>
          </c:tx>
          <c:spPr>
            <a:ln w="19050">
              <a:solidFill>
                <a:srgbClr val="0000FF"/>
              </a:solidFill>
              <a:prstDash val="dash"/>
            </a:ln>
          </c:spPr>
          <c:marker>
            <c:symbol val="none"/>
          </c:marker>
          <c:xVal>
            <c:numRef>
              <c:f>Comparison!$B$87:$B$110</c:f>
              <c:numCache>
                <c:formatCode>0.00%</c:formatCode>
                <c:ptCount val="24"/>
                <c:pt idx="0">
                  <c:v>6.7834313699529913E-2</c:v>
                </c:pt>
                <c:pt idx="1">
                  <c:v>6.5079984793635304E-2</c:v>
                </c:pt>
                <c:pt idx="2">
                  <c:v>6.4888690987851494E-2</c:v>
                </c:pt>
                <c:pt idx="3">
                  <c:v>6.5545995145671887E-2</c:v>
                </c:pt>
                <c:pt idx="4">
                  <c:v>6.7296805087888725E-2</c:v>
                </c:pt>
                <c:pt idx="5">
                  <c:v>6.9240655728280115E-2</c:v>
                </c:pt>
                <c:pt idx="6">
                  <c:v>7.1239053017255166E-2</c:v>
                </c:pt>
                <c:pt idx="7">
                  <c:v>7.2404307665511133E-2</c:v>
                </c:pt>
                <c:pt idx="8">
                  <c:v>7.3401486849177133E-2</c:v>
                </c:pt>
                <c:pt idx="9">
                  <c:v>7.4579019016232304E-2</c:v>
                </c:pt>
                <c:pt idx="10">
                  <c:v>7.5352083812663714E-2</c:v>
                </c:pt>
                <c:pt idx="11">
                  <c:v>7.5599784323383531E-2</c:v>
                </c:pt>
                <c:pt idx="12">
                  <c:v>7.5750274724427066E-2</c:v>
                </c:pt>
                <c:pt idx="13">
                  <c:v>7.5697887400670433E-2</c:v>
                </c:pt>
                <c:pt idx="14">
                  <c:v>7.4968567146992016E-2</c:v>
                </c:pt>
                <c:pt idx="15">
                  <c:v>7.4099728963409481E-2</c:v>
                </c:pt>
                <c:pt idx="16">
                  <c:v>7.2357031387594112E-2</c:v>
                </c:pt>
                <c:pt idx="17">
                  <c:v>7.135425223330609E-2</c:v>
                </c:pt>
                <c:pt idx="18">
                  <c:v>7.0278615685415879E-2</c:v>
                </c:pt>
                <c:pt idx="19">
                  <c:v>6.797012295305381E-2</c:v>
                </c:pt>
                <c:pt idx="20">
                  <c:v>6.6142829102089379E-2</c:v>
                </c:pt>
                <c:pt idx="21">
                  <c:v>6.4779356275466618E-2</c:v>
                </c:pt>
                <c:pt idx="22">
                  <c:v>6.4845556535739146E-2</c:v>
                </c:pt>
                <c:pt idx="23">
                  <c:v>6.6829893145961911E-2</c:v>
                </c:pt>
              </c:numCache>
            </c:numRef>
          </c:xVal>
          <c:yVal>
            <c:numRef>
              <c:f>Comparison!$A$87:$A$110</c:f>
              <c:numCache>
                <c:formatCode>General</c:formatCode>
                <c:ptCount val="24"/>
                <c:pt idx="0">
                  <c:v>24.764999999999986</c:v>
                </c:pt>
                <c:pt idx="1">
                  <c:v>23.302500000000002</c:v>
                </c:pt>
                <c:pt idx="2">
                  <c:v>22.224999999999987</c:v>
                </c:pt>
                <c:pt idx="3">
                  <c:v>20.608750000000001</c:v>
                </c:pt>
                <c:pt idx="4">
                  <c:v>17.876249999999889</c:v>
                </c:pt>
                <c:pt idx="5">
                  <c:v>15.143750000000001</c:v>
                </c:pt>
                <c:pt idx="6">
                  <c:v>12.411250000000001</c:v>
                </c:pt>
                <c:pt idx="7">
                  <c:v>10.795000000000002</c:v>
                </c:pt>
                <c:pt idx="8">
                  <c:v>9.1787500000000009</c:v>
                </c:pt>
                <c:pt idx="9">
                  <c:v>6.4462500000000134</c:v>
                </c:pt>
                <c:pt idx="10">
                  <c:v>3.7137499999999997</c:v>
                </c:pt>
                <c:pt idx="11">
                  <c:v>0.98124999999999851</c:v>
                </c:pt>
                <c:pt idx="12">
                  <c:v>-0.63500000000000834</c:v>
                </c:pt>
                <c:pt idx="13">
                  <c:v>-2.2512499999999767</c:v>
                </c:pt>
                <c:pt idx="14">
                  <c:v>-4.9837500000000023</c:v>
                </c:pt>
                <c:pt idx="15">
                  <c:v>-7.7162500000000014</c:v>
                </c:pt>
                <c:pt idx="16">
                  <c:v>-10.44875</c:v>
                </c:pt>
                <c:pt idx="17">
                  <c:v>-12.065000000000024</c:v>
                </c:pt>
                <c:pt idx="18">
                  <c:v>-13.681249999999999</c:v>
                </c:pt>
                <c:pt idx="19">
                  <c:v>-16.41375</c:v>
                </c:pt>
                <c:pt idx="20">
                  <c:v>-19.14625000000003</c:v>
                </c:pt>
                <c:pt idx="21">
                  <c:v>-21.878750000000004</c:v>
                </c:pt>
                <c:pt idx="22">
                  <c:v>-23.494999999999987</c:v>
                </c:pt>
                <c:pt idx="23">
                  <c:v>-24.572499999999771</c:v>
                </c:pt>
              </c:numCache>
            </c:numRef>
          </c:yVal>
          <c:smooth val="1"/>
        </c:ser>
        <c:ser>
          <c:idx val="0"/>
          <c:order val="3"/>
          <c:tx>
            <c:v>Meas. (H)</c:v>
          </c:tx>
          <c:spPr>
            <a:ln>
              <a:noFill/>
            </a:ln>
          </c:spPr>
          <c:marker>
            <c:symbol val="triangle"/>
            <c:size val="7"/>
            <c:spPr>
              <a:noFill/>
              <a:ln w="19050">
                <a:solidFill>
                  <a:srgbClr val="008000"/>
                </a:solidFill>
              </a:ln>
            </c:spPr>
          </c:marker>
          <c:xVal>
            <c:numRef>
              <c:f>Comparison!$M$88:$M$92</c:f>
              <c:numCache>
                <c:formatCode>0.00%</c:formatCode>
                <c:ptCount val="5"/>
                <c:pt idx="0">
                  <c:v>6.1000000000000013E-2</c:v>
                </c:pt>
                <c:pt idx="1">
                  <c:v>6.370000000000002E-2</c:v>
                </c:pt>
                <c:pt idx="2">
                  <c:v>6.6500000000000004E-2</c:v>
                </c:pt>
                <c:pt idx="3">
                  <c:v>6.2900000000000011E-2</c:v>
                </c:pt>
                <c:pt idx="4">
                  <c:v>6.0000000000000032E-2</c:v>
                </c:pt>
              </c:numCache>
            </c:numRef>
          </c:xVal>
          <c:yVal>
            <c:numRef>
              <c:f>Comparison!$K$88:$K$92</c:f>
              <c:numCache>
                <c:formatCode>General</c:formatCode>
                <c:ptCount val="5"/>
                <c:pt idx="0">
                  <c:v>22.224999999999987</c:v>
                </c:pt>
                <c:pt idx="1">
                  <c:v>10.795</c:v>
                </c:pt>
                <c:pt idx="2">
                  <c:v>-0.63500000000000678</c:v>
                </c:pt>
                <c:pt idx="3">
                  <c:v>-12.065000000000024</c:v>
                </c:pt>
                <c:pt idx="4">
                  <c:v>-23.3934</c:v>
                </c:pt>
              </c:numCache>
            </c:numRef>
          </c:yVal>
          <c:smooth val="1"/>
        </c:ser>
        <c:ser>
          <c:idx val="2"/>
          <c:order val="4"/>
          <c:tx>
            <c:v>VESTA (H)</c:v>
          </c:tx>
          <c:spPr>
            <a:ln w="19050">
              <a:solidFill>
                <a:srgbClr val="008000"/>
              </a:solidFill>
            </a:ln>
          </c:spPr>
          <c:marker>
            <c:symbol val="none"/>
          </c:marker>
          <c:xVal>
            <c:numRef>
              <c:f>Comparison!$H$87:$H$110</c:f>
              <c:numCache>
                <c:formatCode>0.00%</c:formatCode>
                <c:ptCount val="24"/>
                <c:pt idx="0">
                  <c:v>6.2025449151754654E-2</c:v>
                </c:pt>
                <c:pt idx="1">
                  <c:v>5.9672369437759956E-2</c:v>
                </c:pt>
                <c:pt idx="2">
                  <c:v>5.9584746960171402E-2</c:v>
                </c:pt>
                <c:pt idx="3">
                  <c:v>6.0014117334275113E-2</c:v>
                </c:pt>
                <c:pt idx="4">
                  <c:v>6.0994678901259633E-2</c:v>
                </c:pt>
                <c:pt idx="5">
                  <c:v>6.2048848309075345E-2</c:v>
                </c:pt>
                <c:pt idx="6">
                  <c:v>6.3085037527613824E-2</c:v>
                </c:pt>
                <c:pt idx="7">
                  <c:v>6.3674768439682644E-2</c:v>
                </c:pt>
                <c:pt idx="8">
                  <c:v>6.4194501404491594E-2</c:v>
                </c:pt>
                <c:pt idx="9">
                  <c:v>6.493613331997998E-2</c:v>
                </c:pt>
                <c:pt idx="10">
                  <c:v>6.5432595506434502E-2</c:v>
                </c:pt>
                <c:pt idx="11">
                  <c:v>6.5645132691712765E-2</c:v>
                </c:pt>
                <c:pt idx="12">
                  <c:v>6.5681278221524086E-2</c:v>
                </c:pt>
                <c:pt idx="13">
                  <c:v>6.555474459107348E-2</c:v>
                </c:pt>
                <c:pt idx="14">
                  <c:v>6.5174000908303997E-2</c:v>
                </c:pt>
                <c:pt idx="15">
                  <c:v>6.4526607920645615E-2</c:v>
                </c:pt>
                <c:pt idx="16">
                  <c:v>6.3659078293492447E-2</c:v>
                </c:pt>
                <c:pt idx="17">
                  <c:v>6.3069781298549024E-2</c:v>
                </c:pt>
                <c:pt idx="18">
                  <c:v>6.244497448538916E-2</c:v>
                </c:pt>
                <c:pt idx="19">
                  <c:v>6.1381969527173293E-2</c:v>
                </c:pt>
                <c:pt idx="20">
                  <c:v>6.0349739617099336E-2</c:v>
                </c:pt>
                <c:pt idx="21">
                  <c:v>5.9504126731772418E-2</c:v>
                </c:pt>
                <c:pt idx="22">
                  <c:v>5.9434758684643402E-2</c:v>
                </c:pt>
                <c:pt idx="23">
                  <c:v>6.1131377554988507E-2</c:v>
                </c:pt>
              </c:numCache>
            </c:numRef>
          </c:xVal>
          <c:yVal>
            <c:numRef>
              <c:f>Comparison!$F$87:$F$110</c:f>
              <c:numCache>
                <c:formatCode>General</c:formatCode>
                <c:ptCount val="24"/>
                <c:pt idx="0">
                  <c:v>24.764999999999986</c:v>
                </c:pt>
                <c:pt idx="1">
                  <c:v>23.302500000000002</c:v>
                </c:pt>
                <c:pt idx="2">
                  <c:v>22.224999999999987</c:v>
                </c:pt>
                <c:pt idx="3">
                  <c:v>20.608750000000001</c:v>
                </c:pt>
                <c:pt idx="4">
                  <c:v>17.876249999999889</c:v>
                </c:pt>
                <c:pt idx="5">
                  <c:v>15.143750000000001</c:v>
                </c:pt>
                <c:pt idx="6">
                  <c:v>12.411250000000001</c:v>
                </c:pt>
                <c:pt idx="7">
                  <c:v>10.795000000000002</c:v>
                </c:pt>
                <c:pt idx="8">
                  <c:v>9.1787500000000009</c:v>
                </c:pt>
                <c:pt idx="9">
                  <c:v>6.4462500000000134</c:v>
                </c:pt>
                <c:pt idx="10">
                  <c:v>3.7137499999999997</c:v>
                </c:pt>
                <c:pt idx="11">
                  <c:v>0.98124999999999851</c:v>
                </c:pt>
                <c:pt idx="12">
                  <c:v>-0.63500000000000834</c:v>
                </c:pt>
                <c:pt idx="13">
                  <c:v>-2.2512499999999767</c:v>
                </c:pt>
                <c:pt idx="14">
                  <c:v>-4.9837500000000023</c:v>
                </c:pt>
                <c:pt idx="15">
                  <c:v>-7.7162500000000014</c:v>
                </c:pt>
                <c:pt idx="16">
                  <c:v>-10.44875</c:v>
                </c:pt>
                <c:pt idx="17">
                  <c:v>-12.065000000000024</c:v>
                </c:pt>
                <c:pt idx="18">
                  <c:v>-13.681249999999999</c:v>
                </c:pt>
                <c:pt idx="19">
                  <c:v>-16.41375</c:v>
                </c:pt>
                <c:pt idx="20">
                  <c:v>-19.14625000000003</c:v>
                </c:pt>
                <c:pt idx="21">
                  <c:v>-21.878750000000004</c:v>
                </c:pt>
                <c:pt idx="22">
                  <c:v>-23.494999999999987</c:v>
                </c:pt>
                <c:pt idx="23">
                  <c:v>-24.572499999999771</c:v>
                </c:pt>
              </c:numCache>
            </c:numRef>
          </c:yVal>
          <c:smooth val="1"/>
        </c:ser>
        <c:ser>
          <c:idx val="1"/>
          <c:order val="5"/>
          <c:tx>
            <c:v>ALEPH (H)</c:v>
          </c:tx>
          <c:spPr>
            <a:ln w="19050">
              <a:solidFill>
                <a:srgbClr val="008000"/>
              </a:solidFill>
              <a:prstDash val="dash"/>
            </a:ln>
          </c:spPr>
          <c:marker>
            <c:symbol val="none"/>
          </c:marker>
          <c:xVal>
            <c:numRef>
              <c:f>Comparison!$C$87:$C$110</c:f>
              <c:numCache>
                <c:formatCode>0.00%</c:formatCode>
                <c:ptCount val="24"/>
                <c:pt idx="0">
                  <c:v>6.2084288954627392E-2</c:v>
                </c:pt>
                <c:pt idx="1">
                  <c:v>5.9842042663451452E-2</c:v>
                </c:pt>
                <c:pt idx="2">
                  <c:v>5.9541300535915151E-2</c:v>
                </c:pt>
                <c:pt idx="3">
                  <c:v>5.9951597794410873E-2</c:v>
                </c:pt>
                <c:pt idx="4">
                  <c:v>6.1032162890087525E-2</c:v>
                </c:pt>
                <c:pt idx="5">
                  <c:v>6.2233970859923902E-2</c:v>
                </c:pt>
                <c:pt idx="6">
                  <c:v>6.304352399651017E-2</c:v>
                </c:pt>
                <c:pt idx="7">
                  <c:v>6.3690023030780973E-2</c:v>
                </c:pt>
                <c:pt idx="8">
                  <c:v>6.4238389864350709E-2</c:v>
                </c:pt>
                <c:pt idx="9">
                  <c:v>6.5051614153448123E-2</c:v>
                </c:pt>
                <c:pt idx="10">
                  <c:v>6.5310134642992124E-2</c:v>
                </c:pt>
                <c:pt idx="11">
                  <c:v>6.5609133158672978E-2</c:v>
                </c:pt>
                <c:pt idx="12">
                  <c:v>6.5571254520881889E-2</c:v>
                </c:pt>
                <c:pt idx="13">
                  <c:v>6.5450241960322883E-2</c:v>
                </c:pt>
                <c:pt idx="14">
                  <c:v>6.5204722200376999E-2</c:v>
                </c:pt>
                <c:pt idx="15">
                  <c:v>6.4596596693153333E-2</c:v>
                </c:pt>
                <c:pt idx="16">
                  <c:v>6.3633352576910149E-2</c:v>
                </c:pt>
                <c:pt idx="17">
                  <c:v>6.3059894849041814E-2</c:v>
                </c:pt>
                <c:pt idx="18">
                  <c:v>6.2501497023647934E-2</c:v>
                </c:pt>
                <c:pt idx="19">
                  <c:v>6.1564682987773532E-2</c:v>
                </c:pt>
                <c:pt idx="20">
                  <c:v>6.0230640352240114E-2</c:v>
                </c:pt>
                <c:pt idx="21">
                  <c:v>5.9505672017964854E-2</c:v>
                </c:pt>
                <c:pt idx="22">
                  <c:v>5.9531130143962573E-2</c:v>
                </c:pt>
                <c:pt idx="23">
                  <c:v>6.1190722265928393E-2</c:v>
                </c:pt>
              </c:numCache>
            </c:numRef>
          </c:xVal>
          <c:yVal>
            <c:numRef>
              <c:f>Comparison!$A$87:$A$110</c:f>
              <c:numCache>
                <c:formatCode>General</c:formatCode>
                <c:ptCount val="24"/>
                <c:pt idx="0">
                  <c:v>24.764999999999986</c:v>
                </c:pt>
                <c:pt idx="1">
                  <c:v>23.302500000000002</c:v>
                </c:pt>
                <c:pt idx="2">
                  <c:v>22.224999999999987</c:v>
                </c:pt>
                <c:pt idx="3">
                  <c:v>20.608750000000001</c:v>
                </c:pt>
                <c:pt idx="4">
                  <c:v>17.876249999999889</c:v>
                </c:pt>
                <c:pt idx="5">
                  <c:v>15.143750000000001</c:v>
                </c:pt>
                <c:pt idx="6">
                  <c:v>12.411250000000001</c:v>
                </c:pt>
                <c:pt idx="7">
                  <c:v>10.795000000000002</c:v>
                </c:pt>
                <c:pt idx="8">
                  <c:v>9.1787500000000009</c:v>
                </c:pt>
                <c:pt idx="9">
                  <c:v>6.4462500000000134</c:v>
                </c:pt>
                <c:pt idx="10">
                  <c:v>3.7137499999999997</c:v>
                </c:pt>
                <c:pt idx="11">
                  <c:v>0.98124999999999851</c:v>
                </c:pt>
                <c:pt idx="12">
                  <c:v>-0.63500000000000834</c:v>
                </c:pt>
                <c:pt idx="13">
                  <c:v>-2.2512499999999767</c:v>
                </c:pt>
                <c:pt idx="14">
                  <c:v>-4.9837500000000023</c:v>
                </c:pt>
                <c:pt idx="15">
                  <c:v>-7.7162500000000014</c:v>
                </c:pt>
                <c:pt idx="16">
                  <c:v>-10.44875</c:v>
                </c:pt>
                <c:pt idx="17">
                  <c:v>-12.065000000000024</c:v>
                </c:pt>
                <c:pt idx="18">
                  <c:v>-13.681249999999999</c:v>
                </c:pt>
                <c:pt idx="19">
                  <c:v>-16.41375</c:v>
                </c:pt>
                <c:pt idx="20">
                  <c:v>-19.14625000000003</c:v>
                </c:pt>
                <c:pt idx="21">
                  <c:v>-21.878750000000004</c:v>
                </c:pt>
                <c:pt idx="22">
                  <c:v>-23.494999999999987</c:v>
                </c:pt>
                <c:pt idx="23">
                  <c:v>-24.572499999999771</c:v>
                </c:pt>
              </c:numCache>
            </c:numRef>
          </c:yVal>
          <c:smooth val="1"/>
        </c:ser>
        <c:ser>
          <c:idx val="3"/>
          <c:order val="6"/>
          <c:tx>
            <c:v>Meas. (O)</c:v>
          </c:tx>
          <c:spPr>
            <a:ln>
              <a:noFill/>
            </a:ln>
          </c:spPr>
          <c:marker>
            <c:symbol val="circle"/>
            <c:size val="7"/>
            <c:spPr>
              <a:noFill/>
              <a:ln w="19050">
                <a:solidFill>
                  <a:srgbClr val="FF0000"/>
                </a:solidFill>
              </a:ln>
            </c:spPr>
          </c:marker>
          <c:xVal>
            <c:numRef>
              <c:f>(Comparison!$N$88,Comparison!$N$90,Comparison!$N$92)</c:f>
              <c:numCache>
                <c:formatCode>0.00%</c:formatCode>
                <c:ptCount val="3"/>
                <c:pt idx="0">
                  <c:v>6.3100000000000003E-2</c:v>
                </c:pt>
                <c:pt idx="1">
                  <c:v>8.5100000000000023E-2</c:v>
                </c:pt>
                <c:pt idx="2">
                  <c:v>6.1000000000000013E-2</c:v>
                </c:pt>
              </c:numCache>
            </c:numRef>
          </c:xVal>
          <c:yVal>
            <c:numRef>
              <c:f>(Comparison!$K$88,Comparison!$K$90,Comparison!$K$92)</c:f>
              <c:numCache>
                <c:formatCode>General</c:formatCode>
                <c:ptCount val="3"/>
                <c:pt idx="0">
                  <c:v>22.224999999999987</c:v>
                </c:pt>
                <c:pt idx="1">
                  <c:v>-0.63500000000000678</c:v>
                </c:pt>
                <c:pt idx="2">
                  <c:v>-23.3934</c:v>
                </c:pt>
              </c:numCache>
            </c:numRef>
          </c:yVal>
          <c:smooth val="1"/>
        </c:ser>
        <c:ser>
          <c:idx val="5"/>
          <c:order val="7"/>
          <c:tx>
            <c:v>VESTA (O)</c:v>
          </c:tx>
          <c:spPr>
            <a:ln w="19050">
              <a:solidFill>
                <a:srgbClr val="FF0000"/>
              </a:solidFill>
            </a:ln>
          </c:spPr>
          <c:marker>
            <c:symbol val="none"/>
          </c:marker>
          <c:xVal>
            <c:numRef>
              <c:f>Comparison!$I$87:$I$110</c:f>
              <c:numCache>
                <c:formatCode>0.00%</c:formatCode>
                <c:ptCount val="24"/>
                <c:pt idx="0">
                  <c:v>6.3672497894694424E-2</c:v>
                </c:pt>
                <c:pt idx="1">
                  <c:v>6.3029849261758267E-2</c:v>
                </c:pt>
                <c:pt idx="2">
                  <c:v>6.3580661749606984E-2</c:v>
                </c:pt>
                <c:pt idx="3">
                  <c:v>6.4948456261040163E-2</c:v>
                </c:pt>
                <c:pt idx="4">
                  <c:v>6.7701300531849112E-2</c:v>
                </c:pt>
                <c:pt idx="5">
                  <c:v>7.1002407569054043E-2</c:v>
                </c:pt>
                <c:pt idx="6">
                  <c:v>7.4813448416927122E-2</c:v>
                </c:pt>
                <c:pt idx="7">
                  <c:v>7.7246269385527505E-2</c:v>
                </c:pt>
                <c:pt idx="8">
                  <c:v>7.9536867847554524E-2</c:v>
                </c:pt>
                <c:pt idx="9">
                  <c:v>8.2687330773881546E-2</c:v>
                </c:pt>
                <c:pt idx="10">
                  <c:v>8.4703106771737605E-2</c:v>
                </c:pt>
                <c:pt idx="11">
                  <c:v>8.5642858640328126E-2</c:v>
                </c:pt>
                <c:pt idx="12">
                  <c:v>8.5745319286408023E-2</c:v>
                </c:pt>
                <c:pt idx="13">
                  <c:v>8.5338082937732526E-2</c:v>
                </c:pt>
                <c:pt idx="14">
                  <c:v>8.3881238939420025E-2</c:v>
                </c:pt>
                <c:pt idx="15">
                  <c:v>8.1313940261185019E-2</c:v>
                </c:pt>
                <c:pt idx="16">
                  <c:v>7.7420544147105433E-2</c:v>
                </c:pt>
                <c:pt idx="17">
                  <c:v>7.4710267741109226E-2</c:v>
                </c:pt>
                <c:pt idx="18">
                  <c:v>7.2237122401580145E-2</c:v>
                </c:pt>
                <c:pt idx="19">
                  <c:v>6.8585751944837112E-2</c:v>
                </c:pt>
                <c:pt idx="20">
                  <c:v>6.5602247375437808E-2</c:v>
                </c:pt>
                <c:pt idx="21">
                  <c:v>6.307712442919601E-2</c:v>
                </c:pt>
                <c:pt idx="22">
                  <c:v>6.1900439739263013E-2</c:v>
                </c:pt>
                <c:pt idx="23">
                  <c:v>6.2084418746145932E-2</c:v>
                </c:pt>
              </c:numCache>
            </c:numRef>
          </c:xVal>
          <c:yVal>
            <c:numRef>
              <c:f>Comparison!$F$87:$F$110</c:f>
              <c:numCache>
                <c:formatCode>General</c:formatCode>
                <c:ptCount val="24"/>
                <c:pt idx="0">
                  <c:v>24.764999999999986</c:v>
                </c:pt>
                <c:pt idx="1">
                  <c:v>23.302500000000002</c:v>
                </c:pt>
                <c:pt idx="2">
                  <c:v>22.224999999999987</c:v>
                </c:pt>
                <c:pt idx="3">
                  <c:v>20.608750000000001</c:v>
                </c:pt>
                <c:pt idx="4">
                  <c:v>17.876249999999889</c:v>
                </c:pt>
                <c:pt idx="5">
                  <c:v>15.143750000000001</c:v>
                </c:pt>
                <c:pt idx="6">
                  <c:v>12.411250000000001</c:v>
                </c:pt>
                <c:pt idx="7">
                  <c:v>10.795000000000002</c:v>
                </c:pt>
                <c:pt idx="8">
                  <c:v>9.1787500000000009</c:v>
                </c:pt>
                <c:pt idx="9">
                  <c:v>6.4462500000000134</c:v>
                </c:pt>
                <c:pt idx="10">
                  <c:v>3.7137499999999997</c:v>
                </c:pt>
                <c:pt idx="11">
                  <c:v>0.98124999999999851</c:v>
                </c:pt>
                <c:pt idx="12">
                  <c:v>-0.63500000000000834</c:v>
                </c:pt>
                <c:pt idx="13">
                  <c:v>-2.2512499999999767</c:v>
                </c:pt>
                <c:pt idx="14">
                  <c:v>-4.9837500000000023</c:v>
                </c:pt>
                <c:pt idx="15">
                  <c:v>-7.7162500000000014</c:v>
                </c:pt>
                <c:pt idx="16">
                  <c:v>-10.44875</c:v>
                </c:pt>
                <c:pt idx="17">
                  <c:v>-12.065000000000024</c:v>
                </c:pt>
                <c:pt idx="18">
                  <c:v>-13.681249999999999</c:v>
                </c:pt>
                <c:pt idx="19">
                  <c:v>-16.41375</c:v>
                </c:pt>
                <c:pt idx="20">
                  <c:v>-19.14625000000003</c:v>
                </c:pt>
                <c:pt idx="21">
                  <c:v>-21.878750000000004</c:v>
                </c:pt>
                <c:pt idx="22">
                  <c:v>-23.494999999999987</c:v>
                </c:pt>
                <c:pt idx="23">
                  <c:v>-24.572499999999771</c:v>
                </c:pt>
              </c:numCache>
            </c:numRef>
          </c:yVal>
          <c:smooth val="1"/>
        </c:ser>
        <c:ser>
          <c:idx val="4"/>
          <c:order val="8"/>
          <c:tx>
            <c:v>ALEPH (O)</c:v>
          </c:tx>
          <c:spPr>
            <a:ln w="19050">
              <a:solidFill>
                <a:srgbClr val="FF0000"/>
              </a:solidFill>
              <a:prstDash val="dash"/>
            </a:ln>
          </c:spPr>
          <c:marker>
            <c:symbol val="none"/>
          </c:marker>
          <c:xVal>
            <c:numRef>
              <c:f>Comparison!$D$87:$D$110</c:f>
              <c:numCache>
                <c:formatCode>0.00%</c:formatCode>
                <c:ptCount val="24"/>
                <c:pt idx="0">
                  <c:v>6.4060395214371804E-2</c:v>
                </c:pt>
                <c:pt idx="1">
                  <c:v>6.3296213170114871E-2</c:v>
                </c:pt>
                <c:pt idx="2">
                  <c:v>6.3958296822430524E-2</c:v>
                </c:pt>
                <c:pt idx="3">
                  <c:v>6.5372891427585983E-2</c:v>
                </c:pt>
                <c:pt idx="4">
                  <c:v>6.8277177201357217E-2</c:v>
                </c:pt>
                <c:pt idx="5">
                  <c:v>7.1642515642035415E-2</c:v>
                </c:pt>
                <c:pt idx="6">
                  <c:v>7.5794553682797042E-2</c:v>
                </c:pt>
                <c:pt idx="7">
                  <c:v>7.8330969328359867E-2</c:v>
                </c:pt>
                <c:pt idx="8">
                  <c:v>8.0798934799308955E-2</c:v>
                </c:pt>
                <c:pt idx="9">
                  <c:v>8.4159600459095735E-2</c:v>
                </c:pt>
                <c:pt idx="10">
                  <c:v>8.6363536326397997E-2</c:v>
                </c:pt>
                <c:pt idx="11">
                  <c:v>8.726017098194902E-2</c:v>
                </c:pt>
                <c:pt idx="12">
                  <c:v>8.7405003077591192E-2</c:v>
                </c:pt>
                <c:pt idx="13">
                  <c:v>8.6994285047089767E-2</c:v>
                </c:pt>
                <c:pt idx="14">
                  <c:v>8.5473849178217542E-2</c:v>
                </c:pt>
                <c:pt idx="15">
                  <c:v>8.2765399555493488E-2</c:v>
                </c:pt>
                <c:pt idx="16">
                  <c:v>7.8623079583654845E-2</c:v>
                </c:pt>
                <c:pt idx="17">
                  <c:v>7.5650178252332959E-2</c:v>
                </c:pt>
                <c:pt idx="18">
                  <c:v>7.3018638011775924E-2</c:v>
                </c:pt>
                <c:pt idx="19">
                  <c:v>6.9209603053392882E-2</c:v>
                </c:pt>
                <c:pt idx="20">
                  <c:v>6.6084201962932312E-2</c:v>
                </c:pt>
                <c:pt idx="21">
                  <c:v>6.3323429216865734E-2</c:v>
                </c:pt>
                <c:pt idx="22">
                  <c:v>6.2134150684828693E-2</c:v>
                </c:pt>
                <c:pt idx="23">
                  <c:v>6.2297111597432404E-2</c:v>
                </c:pt>
              </c:numCache>
            </c:numRef>
          </c:xVal>
          <c:yVal>
            <c:numRef>
              <c:f>Comparison!$A$87:$A$110</c:f>
              <c:numCache>
                <c:formatCode>General</c:formatCode>
                <c:ptCount val="24"/>
                <c:pt idx="0">
                  <c:v>24.764999999999986</c:v>
                </c:pt>
                <c:pt idx="1">
                  <c:v>23.302500000000002</c:v>
                </c:pt>
                <c:pt idx="2">
                  <c:v>22.224999999999987</c:v>
                </c:pt>
                <c:pt idx="3">
                  <c:v>20.608750000000001</c:v>
                </c:pt>
                <c:pt idx="4">
                  <c:v>17.876249999999889</c:v>
                </c:pt>
                <c:pt idx="5">
                  <c:v>15.143750000000001</c:v>
                </c:pt>
                <c:pt idx="6">
                  <c:v>12.411250000000001</c:v>
                </c:pt>
                <c:pt idx="7">
                  <c:v>10.795000000000002</c:v>
                </c:pt>
                <c:pt idx="8">
                  <c:v>9.1787500000000009</c:v>
                </c:pt>
                <c:pt idx="9">
                  <c:v>6.4462500000000134</c:v>
                </c:pt>
                <c:pt idx="10">
                  <c:v>3.7137499999999997</c:v>
                </c:pt>
                <c:pt idx="11">
                  <c:v>0.98124999999999851</c:v>
                </c:pt>
                <c:pt idx="12">
                  <c:v>-0.63500000000000834</c:v>
                </c:pt>
                <c:pt idx="13">
                  <c:v>-2.2512499999999767</c:v>
                </c:pt>
                <c:pt idx="14">
                  <c:v>-4.9837500000000023</c:v>
                </c:pt>
                <c:pt idx="15">
                  <c:v>-7.7162500000000014</c:v>
                </c:pt>
                <c:pt idx="16">
                  <c:v>-10.44875</c:v>
                </c:pt>
                <c:pt idx="17">
                  <c:v>-12.065000000000024</c:v>
                </c:pt>
                <c:pt idx="18">
                  <c:v>-13.681249999999999</c:v>
                </c:pt>
                <c:pt idx="19">
                  <c:v>-16.41375</c:v>
                </c:pt>
                <c:pt idx="20">
                  <c:v>-19.14625000000003</c:v>
                </c:pt>
                <c:pt idx="21">
                  <c:v>-21.878750000000004</c:v>
                </c:pt>
                <c:pt idx="22">
                  <c:v>-23.494999999999987</c:v>
                </c:pt>
                <c:pt idx="23">
                  <c:v>-24.572499999999771</c:v>
                </c:pt>
              </c:numCache>
            </c:numRef>
          </c:yVal>
          <c:smooth val="1"/>
        </c:ser>
        <c:axId val="177545216"/>
        <c:axId val="177547136"/>
      </c:scatterChart>
      <c:valAx>
        <c:axId val="177545216"/>
        <c:scaling>
          <c:orientation val="minMax"/>
          <c:max val="9.5000000000000043E-2"/>
          <c:min val="5.5000000000000014E-2"/>
        </c:scaling>
        <c:axPos val="b"/>
        <c:majorGridlines>
          <c:spPr>
            <a:ln>
              <a:solidFill>
                <a:sysClr val="windowText" lastClr="000000"/>
              </a:solidFill>
            </a:ln>
          </c:spPr>
        </c:majorGridlines>
        <c:title>
          <c:tx>
            <c:rich>
              <a:bodyPr/>
              <a:lstStyle/>
              <a:p>
                <a:pPr>
                  <a:defRPr sz="1100"/>
                </a:pPr>
                <a:r>
                  <a:rPr lang="en-US" sz="1100"/>
                  <a:t>Post-Irradiation U-238/Uranium at. %</a:t>
                </a:r>
              </a:p>
            </c:rich>
          </c:tx>
          <c:layout>
            <c:manualLayout>
              <c:xMode val="edge"/>
              <c:yMode val="edge"/>
              <c:x val="0.31165143150209684"/>
              <c:y val="0.94421296296294965"/>
            </c:manualLayout>
          </c:layout>
        </c:title>
        <c:numFmt formatCode="0.0%" sourceLinked="0"/>
        <c:tickLblPos val="low"/>
        <c:spPr>
          <a:ln>
            <a:solidFill>
              <a:sysClr val="windowText" lastClr="000000"/>
            </a:solidFill>
          </a:ln>
        </c:spPr>
        <c:crossAx val="177547136"/>
        <c:crosses val="autoZero"/>
        <c:crossBetween val="midCat"/>
        <c:majorUnit val="5.0000000000000114E-3"/>
        <c:minorUnit val="2.5000000000000092E-3"/>
      </c:valAx>
      <c:valAx>
        <c:axId val="177547136"/>
        <c:scaling>
          <c:orientation val="minMax"/>
          <c:max val="30"/>
          <c:min val="-30"/>
        </c:scaling>
        <c:axPos val="l"/>
        <c:majorGridlines>
          <c:spPr>
            <a:ln>
              <a:solidFill>
                <a:sysClr val="windowText" lastClr="000000"/>
              </a:solidFill>
            </a:ln>
          </c:spPr>
        </c:majorGridlines>
        <c:title>
          <c:tx>
            <c:rich>
              <a:bodyPr rot="-5400000" vert="horz"/>
              <a:lstStyle/>
              <a:p>
                <a:pPr>
                  <a:defRPr sz="1100"/>
                </a:pPr>
                <a:r>
                  <a:rPr lang="en-US" sz="1100"/>
                  <a:t>Distance From Core Axial Midplane (cm)</a:t>
                </a:r>
              </a:p>
            </c:rich>
          </c:tx>
          <c:layout>
            <c:manualLayout>
              <c:xMode val="edge"/>
              <c:yMode val="edge"/>
              <c:x val="1.2372255487567641E-2"/>
              <c:y val="8.972262513238527E-2"/>
            </c:manualLayout>
          </c:layout>
        </c:title>
        <c:numFmt formatCode="General" sourceLinked="0"/>
        <c:tickLblPos val="low"/>
        <c:spPr>
          <a:ln>
            <a:solidFill>
              <a:schemeClr val="tx1"/>
            </a:solidFill>
          </a:ln>
        </c:spPr>
        <c:crossAx val="177545216"/>
        <c:crosses val="autoZero"/>
        <c:crossBetween val="midCat"/>
        <c:majorUnit val="5"/>
        <c:minorUnit val="2.5"/>
      </c:valAx>
    </c:plotArea>
    <c:legend>
      <c:legendPos val="r"/>
      <c:layout>
        <c:manualLayout>
          <c:xMode val="edge"/>
          <c:yMode val="edge"/>
          <c:x val="0.4342610308743533"/>
          <c:y val="3.9686651010729051E-4"/>
          <c:w val="0.55207937369898763"/>
          <c:h val="0.14803951589384659"/>
        </c:manualLayout>
      </c:layout>
      <c:overlay val="1"/>
      <c:spPr>
        <a:solidFill>
          <a:schemeClr val="bg1"/>
        </a:solidFill>
        <a:ln>
          <a:solidFill>
            <a:sysClr val="windowText" lastClr="000000"/>
          </a:solidFill>
        </a:ln>
      </c:spPr>
      <c:txPr>
        <a:bodyPr/>
        <a:lstStyle/>
        <a:p>
          <a:pPr>
            <a:defRPr sz="800"/>
          </a:pPr>
          <a:endParaRPr lang="en-US"/>
        </a:p>
      </c:txPr>
    </c:legend>
    <c:plotVisOnly val="1"/>
  </c:chart>
  <c:spPr>
    <a:ln>
      <a:solidFill>
        <a:sysClr val="windowText" lastClr="000000"/>
      </a:solidFill>
    </a:ln>
  </c:spPr>
  <c:txPr>
    <a:bodyPr/>
    <a:lstStyle/>
    <a:p>
      <a:pPr>
        <a:defRPr sz="1000">
          <a:latin typeface="Times New Roman" pitchFamily="18" charset="0"/>
          <a:cs typeface="Times New Roman" pitchFamily="18" charset="0"/>
        </a:defRPr>
      </a:pPr>
      <a:endParaRPr lang="en-US"/>
    </a:p>
  </c:txPr>
  <c:externalData r:id="rId1"/>
</c:chartSpace>
</file>

<file path=word/charts/chart22.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0011188505282993"/>
          <c:y val="2.8871573344998541E-2"/>
          <c:w val="0.8562292213473317"/>
          <c:h val="0.82395732605792649"/>
        </c:manualLayout>
      </c:layout>
      <c:scatterChart>
        <c:scatterStyle val="smoothMarker"/>
        <c:ser>
          <c:idx val="6"/>
          <c:order val="0"/>
          <c:tx>
            <c:v>Meas. (I)</c:v>
          </c:tx>
          <c:spPr>
            <a:ln>
              <a:noFill/>
            </a:ln>
          </c:spPr>
          <c:marker>
            <c:symbol val="star"/>
            <c:size val="7"/>
            <c:spPr>
              <a:noFill/>
              <a:ln w="19050">
                <a:solidFill>
                  <a:srgbClr val="0000FF"/>
                </a:solidFill>
              </a:ln>
            </c:spPr>
          </c:marker>
          <c:xVal>
            <c:numRef>
              <c:f>Comparison!$L$6:$L$10</c:f>
              <c:numCache>
                <c:formatCode>0.00%</c:formatCode>
                <c:ptCount val="5"/>
                <c:pt idx="0">
                  <c:v>1.1699999999999999E-2</c:v>
                </c:pt>
                <c:pt idx="1">
                  <c:v>1.2199999999999918E-2</c:v>
                </c:pt>
                <c:pt idx="2">
                  <c:v>1.2800000000000021E-2</c:v>
                </c:pt>
                <c:pt idx="3">
                  <c:v>1.2E-2</c:v>
                </c:pt>
                <c:pt idx="4">
                  <c:v>1.1399999999999999E-2</c:v>
                </c:pt>
              </c:numCache>
            </c:numRef>
          </c:xVal>
          <c:yVal>
            <c:numRef>
              <c:f>Comparison!$K$6:$K$10</c:f>
              <c:numCache>
                <c:formatCode>General</c:formatCode>
                <c:ptCount val="5"/>
                <c:pt idx="0">
                  <c:v>22.224999999999987</c:v>
                </c:pt>
                <c:pt idx="1">
                  <c:v>10.795</c:v>
                </c:pt>
                <c:pt idx="2">
                  <c:v>-0.63500000000000612</c:v>
                </c:pt>
                <c:pt idx="3">
                  <c:v>-12.065000000000024</c:v>
                </c:pt>
                <c:pt idx="4">
                  <c:v>-23.3934</c:v>
                </c:pt>
              </c:numCache>
            </c:numRef>
          </c:yVal>
          <c:smooth val="1"/>
        </c:ser>
        <c:ser>
          <c:idx val="8"/>
          <c:order val="1"/>
          <c:tx>
            <c:v>VESTA (I)</c:v>
          </c:tx>
          <c:spPr>
            <a:ln w="19050">
              <a:solidFill>
                <a:srgbClr val="0000FF"/>
              </a:solidFill>
            </a:ln>
          </c:spPr>
          <c:marker>
            <c:symbol val="none"/>
          </c:marker>
          <c:xVal>
            <c:numRef>
              <c:f>Comparison!$G$6:$G$29</c:f>
              <c:numCache>
                <c:formatCode>0.00%</c:formatCode>
                <c:ptCount val="24"/>
                <c:pt idx="0">
                  <c:v>1.1739604069441013E-2</c:v>
                </c:pt>
                <c:pt idx="1">
                  <c:v>1.1294314142888985E-2</c:v>
                </c:pt>
                <c:pt idx="2">
                  <c:v>1.1227823345001716E-2</c:v>
                </c:pt>
                <c:pt idx="3">
                  <c:v>1.1278101383170081E-2</c:v>
                </c:pt>
                <c:pt idx="4">
                  <c:v>1.1459809141074541E-2</c:v>
                </c:pt>
                <c:pt idx="5">
                  <c:v>1.1680130262940638E-2</c:v>
                </c:pt>
                <c:pt idx="6">
                  <c:v>1.1896151986946421E-2</c:v>
                </c:pt>
                <c:pt idx="7">
                  <c:v>1.2010942974805195E-2</c:v>
                </c:pt>
                <c:pt idx="8">
                  <c:v>1.210666086515177E-2</c:v>
                </c:pt>
                <c:pt idx="9">
                  <c:v>1.2251050692594724E-2</c:v>
                </c:pt>
                <c:pt idx="10">
                  <c:v>1.2354335209866233E-2</c:v>
                </c:pt>
                <c:pt idx="11">
                  <c:v>1.2400026568895203E-2</c:v>
                </c:pt>
                <c:pt idx="12">
                  <c:v>1.2402114362591195E-2</c:v>
                </c:pt>
                <c:pt idx="13">
                  <c:v>1.2386677531222415E-2</c:v>
                </c:pt>
                <c:pt idx="14">
                  <c:v>1.2305063770441781E-2</c:v>
                </c:pt>
                <c:pt idx="15">
                  <c:v>1.2185941079358666E-2</c:v>
                </c:pt>
                <c:pt idx="16">
                  <c:v>1.2013054294907658E-2</c:v>
                </c:pt>
                <c:pt idx="17">
                  <c:v>1.1895785219361096E-2</c:v>
                </c:pt>
                <c:pt idx="18">
                  <c:v>1.1767194861852171E-2</c:v>
                </c:pt>
                <c:pt idx="19">
                  <c:v>1.1548902140158249E-2</c:v>
                </c:pt>
                <c:pt idx="20">
                  <c:v>1.1331184047855313E-2</c:v>
                </c:pt>
                <c:pt idx="21">
                  <c:v>1.1210284804156864E-2</c:v>
                </c:pt>
                <c:pt idx="22">
                  <c:v>1.126476392248244E-2</c:v>
                </c:pt>
                <c:pt idx="23">
                  <c:v>1.1596530416119789E-2</c:v>
                </c:pt>
              </c:numCache>
            </c:numRef>
          </c:xVal>
          <c:yVal>
            <c:numRef>
              <c:f>Comparison!$F$6:$F$29</c:f>
              <c:numCache>
                <c:formatCode>General</c:formatCode>
                <c:ptCount val="24"/>
                <c:pt idx="0">
                  <c:v>24.764999999999986</c:v>
                </c:pt>
                <c:pt idx="1">
                  <c:v>23.302500000000002</c:v>
                </c:pt>
                <c:pt idx="2">
                  <c:v>22.224999999999987</c:v>
                </c:pt>
                <c:pt idx="3">
                  <c:v>20.608750000000001</c:v>
                </c:pt>
                <c:pt idx="4">
                  <c:v>17.876249999999889</c:v>
                </c:pt>
                <c:pt idx="5">
                  <c:v>15.143750000000001</c:v>
                </c:pt>
                <c:pt idx="6">
                  <c:v>12.411250000000001</c:v>
                </c:pt>
                <c:pt idx="7">
                  <c:v>10.795000000000002</c:v>
                </c:pt>
                <c:pt idx="8">
                  <c:v>9.1787500000000009</c:v>
                </c:pt>
                <c:pt idx="9">
                  <c:v>6.4462500000000134</c:v>
                </c:pt>
                <c:pt idx="10">
                  <c:v>3.7137499999999997</c:v>
                </c:pt>
                <c:pt idx="11">
                  <c:v>0.98124999999999851</c:v>
                </c:pt>
                <c:pt idx="12">
                  <c:v>-0.63500000000000778</c:v>
                </c:pt>
                <c:pt idx="13">
                  <c:v>-2.2512499999999771</c:v>
                </c:pt>
                <c:pt idx="14">
                  <c:v>-4.9837500000000023</c:v>
                </c:pt>
                <c:pt idx="15">
                  <c:v>-7.7162500000000014</c:v>
                </c:pt>
                <c:pt idx="16">
                  <c:v>-10.448749999999999</c:v>
                </c:pt>
                <c:pt idx="17">
                  <c:v>-12.065000000000024</c:v>
                </c:pt>
                <c:pt idx="18">
                  <c:v>-13.68125</c:v>
                </c:pt>
                <c:pt idx="19">
                  <c:v>-16.41375</c:v>
                </c:pt>
                <c:pt idx="20">
                  <c:v>-19.14625000000003</c:v>
                </c:pt>
                <c:pt idx="21">
                  <c:v>-21.878750000000004</c:v>
                </c:pt>
                <c:pt idx="22">
                  <c:v>-23.494999999999987</c:v>
                </c:pt>
                <c:pt idx="23">
                  <c:v>-24.572499999999788</c:v>
                </c:pt>
              </c:numCache>
            </c:numRef>
          </c:yVal>
          <c:smooth val="1"/>
        </c:ser>
        <c:ser>
          <c:idx val="7"/>
          <c:order val="2"/>
          <c:tx>
            <c:v>ALEPH (I)</c:v>
          </c:tx>
          <c:spPr>
            <a:ln w="19050">
              <a:solidFill>
                <a:srgbClr val="0000FF"/>
              </a:solidFill>
              <a:prstDash val="dash"/>
            </a:ln>
          </c:spPr>
          <c:marker>
            <c:symbol val="none"/>
          </c:marker>
          <c:xVal>
            <c:numRef>
              <c:f>Comparison!$B$6:$B$29</c:f>
              <c:numCache>
                <c:formatCode>0.00%</c:formatCode>
                <c:ptCount val="24"/>
                <c:pt idx="0">
                  <c:v>1.1731599116766288E-2</c:v>
                </c:pt>
                <c:pt idx="1">
                  <c:v>1.1262206726132425E-2</c:v>
                </c:pt>
                <c:pt idx="2">
                  <c:v>1.1218534586657381E-2</c:v>
                </c:pt>
                <c:pt idx="3">
                  <c:v>1.1208993077039778E-2</c:v>
                </c:pt>
                <c:pt idx="4">
                  <c:v>1.1389234920624818E-2</c:v>
                </c:pt>
                <c:pt idx="5">
                  <c:v>1.1625277843112297E-2</c:v>
                </c:pt>
                <c:pt idx="6">
                  <c:v>1.1825988284735699E-2</c:v>
                </c:pt>
                <c:pt idx="7">
                  <c:v>1.1920544715384852E-2</c:v>
                </c:pt>
                <c:pt idx="8">
                  <c:v>1.203521134241824E-2</c:v>
                </c:pt>
                <c:pt idx="9">
                  <c:v>1.2175418564862461E-2</c:v>
                </c:pt>
                <c:pt idx="10">
                  <c:v>1.2284168906391292E-2</c:v>
                </c:pt>
                <c:pt idx="11">
                  <c:v>1.2325963593468691E-2</c:v>
                </c:pt>
                <c:pt idx="12">
                  <c:v>1.2337006933297758E-2</c:v>
                </c:pt>
                <c:pt idx="13">
                  <c:v>1.2289393819864573E-2</c:v>
                </c:pt>
                <c:pt idx="14">
                  <c:v>1.2195715473242275E-2</c:v>
                </c:pt>
                <c:pt idx="15">
                  <c:v>1.2118349938972699E-2</c:v>
                </c:pt>
                <c:pt idx="16">
                  <c:v>1.1930425749928286E-2</c:v>
                </c:pt>
                <c:pt idx="17">
                  <c:v>1.183644071167169E-2</c:v>
                </c:pt>
                <c:pt idx="18">
                  <c:v>1.1706549970537381E-2</c:v>
                </c:pt>
                <c:pt idx="19">
                  <c:v>1.1461278910689683E-2</c:v>
                </c:pt>
                <c:pt idx="20">
                  <c:v>1.1283790107960167E-2</c:v>
                </c:pt>
                <c:pt idx="21">
                  <c:v>1.1159100418413687E-2</c:v>
                </c:pt>
                <c:pt idx="22">
                  <c:v>1.1229987902985615E-2</c:v>
                </c:pt>
                <c:pt idx="23">
                  <c:v>1.1585348795487904E-2</c:v>
                </c:pt>
              </c:numCache>
            </c:numRef>
          </c:xVal>
          <c:yVal>
            <c:numRef>
              <c:f>Comparison!$A$6:$A$29</c:f>
              <c:numCache>
                <c:formatCode>General</c:formatCode>
                <c:ptCount val="24"/>
                <c:pt idx="0">
                  <c:v>24.764999999999986</c:v>
                </c:pt>
                <c:pt idx="1">
                  <c:v>23.302500000000002</c:v>
                </c:pt>
                <c:pt idx="2">
                  <c:v>22.224999999999987</c:v>
                </c:pt>
                <c:pt idx="3">
                  <c:v>20.608750000000001</c:v>
                </c:pt>
                <c:pt idx="4">
                  <c:v>17.876249999999889</c:v>
                </c:pt>
                <c:pt idx="5">
                  <c:v>15.143750000000001</c:v>
                </c:pt>
                <c:pt idx="6">
                  <c:v>12.411250000000001</c:v>
                </c:pt>
                <c:pt idx="7">
                  <c:v>10.795000000000002</c:v>
                </c:pt>
                <c:pt idx="8">
                  <c:v>9.1787500000000009</c:v>
                </c:pt>
                <c:pt idx="9">
                  <c:v>6.4462500000000134</c:v>
                </c:pt>
                <c:pt idx="10">
                  <c:v>3.7137499999999997</c:v>
                </c:pt>
                <c:pt idx="11">
                  <c:v>0.98124999999999851</c:v>
                </c:pt>
                <c:pt idx="12">
                  <c:v>-0.63500000000000778</c:v>
                </c:pt>
                <c:pt idx="13">
                  <c:v>-2.2512499999999771</c:v>
                </c:pt>
                <c:pt idx="14">
                  <c:v>-4.9837500000000023</c:v>
                </c:pt>
                <c:pt idx="15">
                  <c:v>-7.7162500000000014</c:v>
                </c:pt>
                <c:pt idx="16">
                  <c:v>-10.448749999999999</c:v>
                </c:pt>
                <c:pt idx="17">
                  <c:v>-12.065000000000024</c:v>
                </c:pt>
                <c:pt idx="18">
                  <c:v>-13.68125</c:v>
                </c:pt>
                <c:pt idx="19">
                  <c:v>-16.41375</c:v>
                </c:pt>
                <c:pt idx="20">
                  <c:v>-19.14625000000003</c:v>
                </c:pt>
                <c:pt idx="21">
                  <c:v>-21.878750000000004</c:v>
                </c:pt>
                <c:pt idx="22">
                  <c:v>-23.494999999999987</c:v>
                </c:pt>
                <c:pt idx="23">
                  <c:v>-24.572499999999788</c:v>
                </c:pt>
              </c:numCache>
            </c:numRef>
          </c:yVal>
          <c:smooth val="1"/>
        </c:ser>
        <c:ser>
          <c:idx val="0"/>
          <c:order val="3"/>
          <c:tx>
            <c:v>Meas. (H)</c:v>
          </c:tx>
          <c:spPr>
            <a:ln>
              <a:noFill/>
            </a:ln>
          </c:spPr>
          <c:marker>
            <c:symbol val="triangle"/>
            <c:size val="7"/>
            <c:spPr>
              <a:noFill/>
              <a:ln w="19050">
                <a:solidFill>
                  <a:srgbClr val="008000"/>
                </a:solidFill>
              </a:ln>
            </c:spPr>
          </c:marker>
          <c:xVal>
            <c:numRef>
              <c:f>Comparison!$M$6:$M$10</c:f>
              <c:numCache>
                <c:formatCode>0.00%</c:formatCode>
                <c:ptCount val="5"/>
                <c:pt idx="0">
                  <c:v>1.0500000000000021E-2</c:v>
                </c:pt>
                <c:pt idx="1">
                  <c:v>1.0800000000000021E-2</c:v>
                </c:pt>
                <c:pt idx="2">
                  <c:v>1.1000000000000103E-2</c:v>
                </c:pt>
                <c:pt idx="3">
                  <c:v>1.0700000000000001E-2</c:v>
                </c:pt>
                <c:pt idx="4">
                  <c:v>1.0500000000000021E-2</c:v>
                </c:pt>
              </c:numCache>
            </c:numRef>
          </c:xVal>
          <c:yVal>
            <c:numRef>
              <c:f>Comparison!$K$6:$K$10</c:f>
              <c:numCache>
                <c:formatCode>General</c:formatCode>
                <c:ptCount val="5"/>
                <c:pt idx="0">
                  <c:v>22.224999999999987</c:v>
                </c:pt>
                <c:pt idx="1">
                  <c:v>10.795</c:v>
                </c:pt>
                <c:pt idx="2">
                  <c:v>-0.63500000000000612</c:v>
                </c:pt>
                <c:pt idx="3">
                  <c:v>-12.065000000000024</c:v>
                </c:pt>
                <c:pt idx="4">
                  <c:v>-23.3934</c:v>
                </c:pt>
              </c:numCache>
            </c:numRef>
          </c:yVal>
          <c:smooth val="1"/>
        </c:ser>
        <c:ser>
          <c:idx val="2"/>
          <c:order val="4"/>
          <c:tx>
            <c:v>VESTA (H)</c:v>
          </c:tx>
          <c:spPr>
            <a:ln w="19050">
              <a:solidFill>
                <a:srgbClr val="008000"/>
              </a:solidFill>
            </a:ln>
          </c:spPr>
          <c:marker>
            <c:symbol val="none"/>
          </c:marker>
          <c:xVal>
            <c:numRef>
              <c:f>Comparison!$H$6:$H$29</c:f>
              <c:numCache>
                <c:formatCode>0.00%</c:formatCode>
                <c:ptCount val="24"/>
                <c:pt idx="0">
                  <c:v>1.0891040962780133E-2</c:v>
                </c:pt>
                <c:pt idx="1">
                  <c:v>1.0476258803748466E-2</c:v>
                </c:pt>
                <c:pt idx="2">
                  <c:v>1.04253761345288E-2</c:v>
                </c:pt>
                <c:pt idx="3">
                  <c:v>1.0458868211011343E-2</c:v>
                </c:pt>
                <c:pt idx="4">
                  <c:v>1.0540537890635806E-2</c:v>
                </c:pt>
                <c:pt idx="5">
                  <c:v>1.0646697234385325E-2</c:v>
                </c:pt>
                <c:pt idx="6">
                  <c:v>1.0751898999408021E-2</c:v>
                </c:pt>
                <c:pt idx="7">
                  <c:v>1.0811015095755721E-2</c:v>
                </c:pt>
                <c:pt idx="8">
                  <c:v>1.0865394975254732E-2</c:v>
                </c:pt>
                <c:pt idx="9">
                  <c:v>1.0947615145091204E-2</c:v>
                </c:pt>
                <c:pt idx="10">
                  <c:v>1.09900813213018E-2</c:v>
                </c:pt>
                <c:pt idx="11">
                  <c:v>1.1016621879543304E-2</c:v>
                </c:pt>
                <c:pt idx="12">
                  <c:v>1.1016932154440247E-2</c:v>
                </c:pt>
                <c:pt idx="13">
                  <c:v>1.1013626786885481E-2</c:v>
                </c:pt>
                <c:pt idx="14">
                  <c:v>1.09660635130088E-2</c:v>
                </c:pt>
                <c:pt idx="15">
                  <c:v>1.0900721200878684E-2</c:v>
                </c:pt>
                <c:pt idx="16">
                  <c:v>1.0807238665106061E-2</c:v>
                </c:pt>
                <c:pt idx="17">
                  <c:v>1.0751378313607462E-2</c:v>
                </c:pt>
                <c:pt idx="18">
                  <c:v>1.0684096937717423E-2</c:v>
                </c:pt>
                <c:pt idx="19">
                  <c:v>1.0582058186538843E-2</c:v>
                </c:pt>
                <c:pt idx="20">
                  <c:v>1.048578637612832E-2</c:v>
                </c:pt>
                <c:pt idx="21">
                  <c:v>1.0413976034204386E-2</c:v>
                </c:pt>
                <c:pt idx="22">
                  <c:v>1.0447284132178635E-2</c:v>
                </c:pt>
                <c:pt idx="23">
                  <c:v>1.0746491789268384E-2</c:v>
                </c:pt>
              </c:numCache>
            </c:numRef>
          </c:xVal>
          <c:yVal>
            <c:numRef>
              <c:f>Comparison!$F$6:$F$29</c:f>
              <c:numCache>
                <c:formatCode>General</c:formatCode>
                <c:ptCount val="24"/>
                <c:pt idx="0">
                  <c:v>24.764999999999986</c:v>
                </c:pt>
                <c:pt idx="1">
                  <c:v>23.302500000000002</c:v>
                </c:pt>
                <c:pt idx="2">
                  <c:v>22.224999999999987</c:v>
                </c:pt>
                <c:pt idx="3">
                  <c:v>20.608750000000001</c:v>
                </c:pt>
                <c:pt idx="4">
                  <c:v>17.876249999999889</c:v>
                </c:pt>
                <c:pt idx="5">
                  <c:v>15.143750000000001</c:v>
                </c:pt>
                <c:pt idx="6">
                  <c:v>12.411250000000001</c:v>
                </c:pt>
                <c:pt idx="7">
                  <c:v>10.795000000000002</c:v>
                </c:pt>
                <c:pt idx="8">
                  <c:v>9.1787500000000009</c:v>
                </c:pt>
                <c:pt idx="9">
                  <c:v>6.4462500000000134</c:v>
                </c:pt>
                <c:pt idx="10">
                  <c:v>3.7137499999999997</c:v>
                </c:pt>
                <c:pt idx="11">
                  <c:v>0.98124999999999851</c:v>
                </c:pt>
                <c:pt idx="12">
                  <c:v>-0.63500000000000778</c:v>
                </c:pt>
                <c:pt idx="13">
                  <c:v>-2.2512499999999771</c:v>
                </c:pt>
                <c:pt idx="14">
                  <c:v>-4.9837500000000023</c:v>
                </c:pt>
                <c:pt idx="15">
                  <c:v>-7.7162500000000014</c:v>
                </c:pt>
                <c:pt idx="16">
                  <c:v>-10.448749999999999</c:v>
                </c:pt>
                <c:pt idx="17">
                  <c:v>-12.065000000000024</c:v>
                </c:pt>
                <c:pt idx="18">
                  <c:v>-13.68125</c:v>
                </c:pt>
                <c:pt idx="19">
                  <c:v>-16.41375</c:v>
                </c:pt>
                <c:pt idx="20">
                  <c:v>-19.14625000000003</c:v>
                </c:pt>
                <c:pt idx="21">
                  <c:v>-21.878750000000004</c:v>
                </c:pt>
                <c:pt idx="22">
                  <c:v>-23.494999999999987</c:v>
                </c:pt>
                <c:pt idx="23">
                  <c:v>-24.572499999999788</c:v>
                </c:pt>
              </c:numCache>
            </c:numRef>
          </c:yVal>
          <c:smooth val="1"/>
        </c:ser>
        <c:ser>
          <c:idx val="1"/>
          <c:order val="5"/>
          <c:tx>
            <c:v>ALEPH (H)</c:v>
          </c:tx>
          <c:spPr>
            <a:ln w="19050">
              <a:solidFill>
                <a:srgbClr val="008000"/>
              </a:solidFill>
              <a:prstDash val="dash"/>
            </a:ln>
          </c:spPr>
          <c:marker>
            <c:symbol val="none"/>
          </c:marker>
          <c:xVal>
            <c:numRef>
              <c:f>Comparison!$C$6:$C$29</c:f>
              <c:numCache>
                <c:formatCode>0.00%</c:formatCode>
                <c:ptCount val="24"/>
                <c:pt idx="0">
                  <c:v>1.0870433159427383E-2</c:v>
                </c:pt>
                <c:pt idx="1">
                  <c:v>1.0449715074046958E-2</c:v>
                </c:pt>
                <c:pt idx="2">
                  <c:v>1.0392305843461161E-2</c:v>
                </c:pt>
                <c:pt idx="3">
                  <c:v>1.0427597759382881E-2</c:v>
                </c:pt>
                <c:pt idx="4">
                  <c:v>1.0504972173306638E-2</c:v>
                </c:pt>
                <c:pt idx="5">
                  <c:v>1.0602959792837915E-2</c:v>
                </c:pt>
                <c:pt idx="6">
                  <c:v>1.0696103145463681E-2</c:v>
                </c:pt>
                <c:pt idx="7">
                  <c:v>1.075414262124607E-2</c:v>
                </c:pt>
                <c:pt idx="8">
                  <c:v>1.0803602402212361E-2</c:v>
                </c:pt>
                <c:pt idx="9">
                  <c:v>1.0864013077311309E-2</c:v>
                </c:pt>
                <c:pt idx="10">
                  <c:v>1.0911213802193967E-2</c:v>
                </c:pt>
                <c:pt idx="11">
                  <c:v>1.0931386533178879E-2</c:v>
                </c:pt>
                <c:pt idx="12">
                  <c:v>1.0941475407126325E-2</c:v>
                </c:pt>
                <c:pt idx="13">
                  <c:v>1.0922158664067873E-2</c:v>
                </c:pt>
                <c:pt idx="14">
                  <c:v>1.0873689254981347E-2</c:v>
                </c:pt>
                <c:pt idx="15">
                  <c:v>1.0830479158029481E-2</c:v>
                </c:pt>
                <c:pt idx="16">
                  <c:v>1.073123661891442E-2</c:v>
                </c:pt>
                <c:pt idx="17">
                  <c:v>1.0665780135380123E-2</c:v>
                </c:pt>
                <c:pt idx="18">
                  <c:v>1.0629716272992336E-2</c:v>
                </c:pt>
                <c:pt idx="19">
                  <c:v>1.0523997876768802E-2</c:v>
                </c:pt>
                <c:pt idx="20">
                  <c:v>1.0442190466350941E-2</c:v>
                </c:pt>
                <c:pt idx="21">
                  <c:v>1.0383032761249798E-2</c:v>
                </c:pt>
                <c:pt idx="22">
                  <c:v>1.041153619079643E-2</c:v>
                </c:pt>
                <c:pt idx="23">
                  <c:v>1.0725615888018781E-2</c:v>
                </c:pt>
              </c:numCache>
            </c:numRef>
          </c:xVal>
          <c:yVal>
            <c:numRef>
              <c:f>Comparison!$A$6:$A$29</c:f>
              <c:numCache>
                <c:formatCode>General</c:formatCode>
                <c:ptCount val="24"/>
                <c:pt idx="0">
                  <c:v>24.764999999999986</c:v>
                </c:pt>
                <c:pt idx="1">
                  <c:v>23.302500000000002</c:v>
                </c:pt>
                <c:pt idx="2">
                  <c:v>22.224999999999987</c:v>
                </c:pt>
                <c:pt idx="3">
                  <c:v>20.608750000000001</c:v>
                </c:pt>
                <c:pt idx="4">
                  <c:v>17.876249999999889</c:v>
                </c:pt>
                <c:pt idx="5">
                  <c:v>15.143750000000001</c:v>
                </c:pt>
                <c:pt idx="6">
                  <c:v>12.411250000000001</c:v>
                </c:pt>
                <c:pt idx="7">
                  <c:v>10.795000000000002</c:v>
                </c:pt>
                <c:pt idx="8">
                  <c:v>9.1787500000000009</c:v>
                </c:pt>
                <c:pt idx="9">
                  <c:v>6.4462500000000134</c:v>
                </c:pt>
                <c:pt idx="10">
                  <c:v>3.7137499999999997</c:v>
                </c:pt>
                <c:pt idx="11">
                  <c:v>0.98124999999999851</c:v>
                </c:pt>
                <c:pt idx="12">
                  <c:v>-0.63500000000000778</c:v>
                </c:pt>
                <c:pt idx="13">
                  <c:v>-2.2512499999999771</c:v>
                </c:pt>
                <c:pt idx="14">
                  <c:v>-4.9837500000000023</c:v>
                </c:pt>
                <c:pt idx="15">
                  <c:v>-7.7162500000000014</c:v>
                </c:pt>
                <c:pt idx="16">
                  <c:v>-10.448749999999999</c:v>
                </c:pt>
                <c:pt idx="17">
                  <c:v>-12.065000000000024</c:v>
                </c:pt>
                <c:pt idx="18">
                  <c:v>-13.68125</c:v>
                </c:pt>
                <c:pt idx="19">
                  <c:v>-16.41375</c:v>
                </c:pt>
                <c:pt idx="20">
                  <c:v>-19.14625000000003</c:v>
                </c:pt>
                <c:pt idx="21">
                  <c:v>-21.878750000000004</c:v>
                </c:pt>
                <c:pt idx="22">
                  <c:v>-23.494999999999987</c:v>
                </c:pt>
                <c:pt idx="23">
                  <c:v>-24.572499999999788</c:v>
                </c:pt>
              </c:numCache>
            </c:numRef>
          </c:yVal>
          <c:smooth val="1"/>
        </c:ser>
        <c:ser>
          <c:idx val="3"/>
          <c:order val="6"/>
          <c:tx>
            <c:v>Meas. (O)</c:v>
          </c:tx>
          <c:spPr>
            <a:ln>
              <a:noFill/>
            </a:ln>
          </c:spPr>
          <c:marker>
            <c:symbol val="circle"/>
            <c:size val="7"/>
            <c:spPr>
              <a:noFill/>
              <a:ln w="19050">
                <a:solidFill>
                  <a:srgbClr val="FF0000"/>
                </a:solidFill>
              </a:ln>
            </c:spPr>
          </c:marker>
          <c:xVal>
            <c:numRef>
              <c:f>Comparison!$N$6:$N$10</c:f>
              <c:numCache>
                <c:formatCode>0.00%</c:formatCode>
                <c:ptCount val="5"/>
                <c:pt idx="0">
                  <c:v>1.1000000000000103E-2</c:v>
                </c:pt>
                <c:pt idx="1">
                  <c:v>1.2400000000000001E-2</c:v>
                </c:pt>
                <c:pt idx="2">
                  <c:v>1.3899999999999999E-2</c:v>
                </c:pt>
                <c:pt idx="3">
                  <c:v>1.2699999999999998E-2</c:v>
                </c:pt>
                <c:pt idx="4">
                  <c:v>1.0700000000000001E-2</c:v>
                </c:pt>
              </c:numCache>
            </c:numRef>
          </c:xVal>
          <c:yVal>
            <c:numRef>
              <c:f>Comparison!$K$6:$K$10</c:f>
              <c:numCache>
                <c:formatCode>General</c:formatCode>
                <c:ptCount val="5"/>
                <c:pt idx="0">
                  <c:v>22.224999999999987</c:v>
                </c:pt>
                <c:pt idx="1">
                  <c:v>10.795</c:v>
                </c:pt>
                <c:pt idx="2">
                  <c:v>-0.63500000000000612</c:v>
                </c:pt>
                <c:pt idx="3">
                  <c:v>-12.065000000000024</c:v>
                </c:pt>
                <c:pt idx="4">
                  <c:v>-23.3934</c:v>
                </c:pt>
              </c:numCache>
            </c:numRef>
          </c:yVal>
          <c:smooth val="1"/>
        </c:ser>
        <c:ser>
          <c:idx val="5"/>
          <c:order val="7"/>
          <c:tx>
            <c:v>VESTA (O)</c:v>
          </c:tx>
          <c:spPr>
            <a:ln w="19050">
              <a:solidFill>
                <a:srgbClr val="FF0000"/>
              </a:solidFill>
            </a:ln>
          </c:spPr>
          <c:marker>
            <c:symbol val="none"/>
          </c:marker>
          <c:xVal>
            <c:numRef>
              <c:f>Comparison!$I$6:$I$29</c:f>
              <c:numCache>
                <c:formatCode>0.00%</c:formatCode>
                <c:ptCount val="24"/>
                <c:pt idx="0">
                  <c:v>1.1168103093302363E-2</c:v>
                </c:pt>
                <c:pt idx="1">
                  <c:v>1.1012740793193459E-2</c:v>
                </c:pt>
                <c:pt idx="2">
                  <c:v>1.1082985835122943E-2</c:v>
                </c:pt>
                <c:pt idx="3">
                  <c:v>1.1277183521881786E-2</c:v>
                </c:pt>
                <c:pt idx="4">
                  <c:v>1.1653807799134809E-2</c:v>
                </c:pt>
                <c:pt idx="5">
                  <c:v>1.2064088549964561E-2</c:v>
                </c:pt>
                <c:pt idx="6">
                  <c:v>1.251960066131364E-2</c:v>
                </c:pt>
                <c:pt idx="7">
                  <c:v>1.2803559299427825E-2</c:v>
                </c:pt>
                <c:pt idx="8">
                  <c:v>1.3101350941549867E-2</c:v>
                </c:pt>
                <c:pt idx="9">
                  <c:v>1.3511224405645041E-2</c:v>
                </c:pt>
                <c:pt idx="10">
                  <c:v>1.3778290316547301E-2</c:v>
                </c:pt>
                <c:pt idx="11">
                  <c:v>1.3905618148037504E-2</c:v>
                </c:pt>
                <c:pt idx="12">
                  <c:v>1.3913923289697781E-2</c:v>
                </c:pt>
                <c:pt idx="13">
                  <c:v>1.3867785873380441E-2</c:v>
                </c:pt>
                <c:pt idx="14">
                  <c:v>1.369062769448973E-2</c:v>
                </c:pt>
                <c:pt idx="15">
                  <c:v>1.333389007931084E-2</c:v>
                </c:pt>
                <c:pt idx="16">
                  <c:v>1.2815835917062916E-2</c:v>
                </c:pt>
                <c:pt idx="17">
                  <c:v>1.2502603076790846E-2</c:v>
                </c:pt>
                <c:pt idx="18">
                  <c:v>1.2206181424522429E-2</c:v>
                </c:pt>
                <c:pt idx="19">
                  <c:v>1.177421419937612E-2</c:v>
                </c:pt>
                <c:pt idx="20">
                  <c:v>1.1379498334530785E-2</c:v>
                </c:pt>
                <c:pt idx="21">
                  <c:v>1.0996353090751913E-2</c:v>
                </c:pt>
                <c:pt idx="22">
                  <c:v>1.0826655555014721E-2</c:v>
                </c:pt>
                <c:pt idx="23">
                  <c:v>1.0909121010855302E-2</c:v>
                </c:pt>
              </c:numCache>
            </c:numRef>
          </c:xVal>
          <c:yVal>
            <c:numRef>
              <c:f>Comparison!$F$6:$F$29</c:f>
              <c:numCache>
                <c:formatCode>General</c:formatCode>
                <c:ptCount val="24"/>
                <c:pt idx="0">
                  <c:v>24.764999999999986</c:v>
                </c:pt>
                <c:pt idx="1">
                  <c:v>23.302500000000002</c:v>
                </c:pt>
                <c:pt idx="2">
                  <c:v>22.224999999999987</c:v>
                </c:pt>
                <c:pt idx="3">
                  <c:v>20.608750000000001</c:v>
                </c:pt>
                <c:pt idx="4">
                  <c:v>17.876249999999889</c:v>
                </c:pt>
                <c:pt idx="5">
                  <c:v>15.143750000000001</c:v>
                </c:pt>
                <c:pt idx="6">
                  <c:v>12.411250000000001</c:v>
                </c:pt>
                <c:pt idx="7">
                  <c:v>10.795000000000002</c:v>
                </c:pt>
                <c:pt idx="8">
                  <c:v>9.1787500000000009</c:v>
                </c:pt>
                <c:pt idx="9">
                  <c:v>6.4462500000000134</c:v>
                </c:pt>
                <c:pt idx="10">
                  <c:v>3.7137499999999997</c:v>
                </c:pt>
                <c:pt idx="11">
                  <c:v>0.98124999999999851</c:v>
                </c:pt>
                <c:pt idx="12">
                  <c:v>-0.63500000000000778</c:v>
                </c:pt>
                <c:pt idx="13">
                  <c:v>-2.2512499999999771</c:v>
                </c:pt>
                <c:pt idx="14">
                  <c:v>-4.9837500000000023</c:v>
                </c:pt>
                <c:pt idx="15">
                  <c:v>-7.7162500000000014</c:v>
                </c:pt>
                <c:pt idx="16">
                  <c:v>-10.448749999999999</c:v>
                </c:pt>
                <c:pt idx="17">
                  <c:v>-12.065000000000024</c:v>
                </c:pt>
                <c:pt idx="18">
                  <c:v>-13.68125</c:v>
                </c:pt>
                <c:pt idx="19">
                  <c:v>-16.41375</c:v>
                </c:pt>
                <c:pt idx="20">
                  <c:v>-19.14625000000003</c:v>
                </c:pt>
                <c:pt idx="21">
                  <c:v>-21.878750000000004</c:v>
                </c:pt>
                <c:pt idx="22">
                  <c:v>-23.494999999999987</c:v>
                </c:pt>
                <c:pt idx="23">
                  <c:v>-24.572499999999788</c:v>
                </c:pt>
              </c:numCache>
            </c:numRef>
          </c:yVal>
          <c:smooth val="1"/>
        </c:ser>
        <c:ser>
          <c:idx val="4"/>
          <c:order val="8"/>
          <c:tx>
            <c:v>ALEPH (O)</c:v>
          </c:tx>
          <c:spPr>
            <a:ln w="19050">
              <a:solidFill>
                <a:srgbClr val="FF0000"/>
              </a:solidFill>
              <a:prstDash val="dash"/>
            </a:ln>
          </c:spPr>
          <c:marker>
            <c:symbol val="none"/>
          </c:marker>
          <c:xVal>
            <c:numRef>
              <c:f>Comparison!$D$6:$D$29</c:f>
              <c:numCache>
                <c:formatCode>0.00%</c:formatCode>
                <c:ptCount val="24"/>
                <c:pt idx="0">
                  <c:v>1.1177497316900081E-2</c:v>
                </c:pt>
                <c:pt idx="1">
                  <c:v>1.1013644954529018E-2</c:v>
                </c:pt>
                <c:pt idx="2">
                  <c:v>1.111510708354334E-2</c:v>
                </c:pt>
                <c:pt idx="3">
                  <c:v>1.1302320829818288E-2</c:v>
                </c:pt>
                <c:pt idx="4">
                  <c:v>1.1692285104931763E-2</c:v>
                </c:pt>
                <c:pt idx="5">
                  <c:v>1.2108698093118601E-2</c:v>
                </c:pt>
                <c:pt idx="6">
                  <c:v>1.2575711705452061E-2</c:v>
                </c:pt>
                <c:pt idx="7">
                  <c:v>1.2909351862039701E-2</c:v>
                </c:pt>
                <c:pt idx="8">
                  <c:v>1.3199713660829279E-2</c:v>
                </c:pt>
                <c:pt idx="9">
                  <c:v>1.3613904766718084E-2</c:v>
                </c:pt>
                <c:pt idx="10">
                  <c:v>1.3866014258828073E-2</c:v>
                </c:pt>
                <c:pt idx="11">
                  <c:v>1.4009693128983458E-2</c:v>
                </c:pt>
                <c:pt idx="12">
                  <c:v>1.4011633197290098E-2</c:v>
                </c:pt>
                <c:pt idx="13">
                  <c:v>1.3962815518115497E-2</c:v>
                </c:pt>
                <c:pt idx="14">
                  <c:v>1.3775604035916001E-2</c:v>
                </c:pt>
                <c:pt idx="15">
                  <c:v>1.3427803915965753E-2</c:v>
                </c:pt>
                <c:pt idx="16">
                  <c:v>1.2899527866504645E-2</c:v>
                </c:pt>
                <c:pt idx="17">
                  <c:v>1.2561134740494469E-2</c:v>
                </c:pt>
                <c:pt idx="18">
                  <c:v>1.2266859487970481E-2</c:v>
                </c:pt>
                <c:pt idx="19">
                  <c:v>1.1793549350590227E-2</c:v>
                </c:pt>
                <c:pt idx="20">
                  <c:v>1.139876122329086E-2</c:v>
                </c:pt>
                <c:pt idx="21">
                  <c:v>1.1021634761012361E-2</c:v>
                </c:pt>
                <c:pt idx="22">
                  <c:v>1.0857212179259626E-2</c:v>
                </c:pt>
                <c:pt idx="23">
                  <c:v>1.0928559362522483E-2</c:v>
                </c:pt>
              </c:numCache>
            </c:numRef>
          </c:xVal>
          <c:yVal>
            <c:numRef>
              <c:f>Comparison!$A$6:$A$29</c:f>
              <c:numCache>
                <c:formatCode>General</c:formatCode>
                <c:ptCount val="24"/>
                <c:pt idx="0">
                  <c:v>24.764999999999986</c:v>
                </c:pt>
                <c:pt idx="1">
                  <c:v>23.302500000000002</c:v>
                </c:pt>
                <c:pt idx="2">
                  <c:v>22.224999999999987</c:v>
                </c:pt>
                <c:pt idx="3">
                  <c:v>20.608750000000001</c:v>
                </c:pt>
                <c:pt idx="4">
                  <c:v>17.876249999999889</c:v>
                </c:pt>
                <c:pt idx="5">
                  <c:v>15.143750000000001</c:v>
                </c:pt>
                <c:pt idx="6">
                  <c:v>12.411250000000001</c:v>
                </c:pt>
                <c:pt idx="7">
                  <c:v>10.795000000000002</c:v>
                </c:pt>
                <c:pt idx="8">
                  <c:v>9.1787500000000009</c:v>
                </c:pt>
                <c:pt idx="9">
                  <c:v>6.4462500000000134</c:v>
                </c:pt>
                <c:pt idx="10">
                  <c:v>3.7137499999999997</c:v>
                </c:pt>
                <c:pt idx="11">
                  <c:v>0.98124999999999851</c:v>
                </c:pt>
                <c:pt idx="12">
                  <c:v>-0.63500000000000778</c:v>
                </c:pt>
                <c:pt idx="13">
                  <c:v>-2.2512499999999771</c:v>
                </c:pt>
                <c:pt idx="14">
                  <c:v>-4.9837500000000023</c:v>
                </c:pt>
                <c:pt idx="15">
                  <c:v>-7.7162500000000014</c:v>
                </c:pt>
                <c:pt idx="16">
                  <c:v>-10.448749999999999</c:v>
                </c:pt>
                <c:pt idx="17">
                  <c:v>-12.065000000000024</c:v>
                </c:pt>
                <c:pt idx="18">
                  <c:v>-13.68125</c:v>
                </c:pt>
                <c:pt idx="19">
                  <c:v>-16.41375</c:v>
                </c:pt>
                <c:pt idx="20">
                  <c:v>-19.14625000000003</c:v>
                </c:pt>
                <c:pt idx="21">
                  <c:v>-21.878750000000004</c:v>
                </c:pt>
                <c:pt idx="22">
                  <c:v>-23.494999999999987</c:v>
                </c:pt>
                <c:pt idx="23">
                  <c:v>-24.572499999999788</c:v>
                </c:pt>
              </c:numCache>
            </c:numRef>
          </c:yVal>
          <c:smooth val="1"/>
        </c:ser>
        <c:axId val="177598464"/>
        <c:axId val="177600384"/>
      </c:scatterChart>
      <c:valAx>
        <c:axId val="177598464"/>
        <c:scaling>
          <c:orientation val="minMax"/>
          <c:max val="1.5000000000000025E-2"/>
          <c:min val="1.0000000000000005E-2"/>
        </c:scaling>
        <c:axPos val="b"/>
        <c:majorGridlines>
          <c:spPr>
            <a:ln>
              <a:solidFill>
                <a:sysClr val="windowText" lastClr="000000"/>
              </a:solidFill>
            </a:ln>
          </c:spPr>
        </c:majorGridlines>
        <c:title>
          <c:tx>
            <c:rich>
              <a:bodyPr/>
              <a:lstStyle/>
              <a:p>
                <a:pPr>
                  <a:defRPr sz="1100"/>
                </a:pPr>
                <a:r>
                  <a:rPr lang="en-US" sz="1100"/>
                  <a:t>Post-Irradiation U-234/Uranium at. %</a:t>
                </a:r>
              </a:p>
            </c:rich>
          </c:tx>
          <c:layout>
            <c:manualLayout>
              <c:xMode val="edge"/>
              <c:yMode val="edge"/>
              <c:x val="0.31141204332217565"/>
              <c:y val="0.94421296296295087"/>
            </c:manualLayout>
          </c:layout>
        </c:title>
        <c:numFmt formatCode="0.00%" sourceLinked="0"/>
        <c:tickLblPos val="low"/>
        <c:spPr>
          <a:ln>
            <a:solidFill>
              <a:sysClr val="windowText" lastClr="000000"/>
            </a:solidFill>
          </a:ln>
        </c:spPr>
        <c:crossAx val="177600384"/>
        <c:crosses val="autoZero"/>
        <c:crossBetween val="midCat"/>
        <c:majorUnit val="5.0000000000000034E-4"/>
        <c:minorUnit val="2.5000000000000212E-4"/>
      </c:valAx>
      <c:valAx>
        <c:axId val="177600384"/>
        <c:scaling>
          <c:orientation val="minMax"/>
          <c:max val="30"/>
          <c:min val="-30"/>
        </c:scaling>
        <c:axPos val="l"/>
        <c:majorGridlines>
          <c:spPr>
            <a:ln>
              <a:solidFill>
                <a:sysClr val="windowText" lastClr="000000"/>
              </a:solidFill>
            </a:ln>
          </c:spPr>
        </c:majorGridlines>
        <c:title>
          <c:tx>
            <c:rich>
              <a:bodyPr rot="-5400000" vert="horz"/>
              <a:lstStyle/>
              <a:p>
                <a:pPr>
                  <a:defRPr sz="1100"/>
                </a:pPr>
                <a:r>
                  <a:rPr lang="en-US" sz="1100"/>
                  <a:t>Distance From Core Axial Midplane (cm)</a:t>
                </a:r>
              </a:p>
            </c:rich>
          </c:tx>
          <c:layout>
            <c:manualLayout>
              <c:xMode val="edge"/>
              <c:yMode val="edge"/>
              <c:x val="7.6628352490421452E-3"/>
              <c:y val="0.1726948454359872"/>
            </c:manualLayout>
          </c:layout>
        </c:title>
        <c:numFmt formatCode="General" sourceLinked="0"/>
        <c:tickLblPos val="low"/>
        <c:spPr>
          <a:ln>
            <a:solidFill>
              <a:schemeClr val="tx1"/>
            </a:solidFill>
          </a:ln>
        </c:spPr>
        <c:crossAx val="177598464"/>
        <c:crosses val="autoZero"/>
        <c:crossBetween val="midCat"/>
        <c:majorUnit val="5"/>
        <c:minorUnit val="2.5"/>
      </c:valAx>
    </c:plotArea>
    <c:legend>
      <c:legendPos val="r"/>
      <c:layout>
        <c:manualLayout>
          <c:xMode val="edge"/>
          <c:yMode val="edge"/>
          <c:x val="0.4420118839311753"/>
          <c:y val="2.3852281622691899E-3"/>
          <c:w val="0.53935559779164921"/>
          <c:h val="0.15652887139107621"/>
        </c:manualLayout>
      </c:layout>
      <c:overlay val="1"/>
      <c:spPr>
        <a:solidFill>
          <a:schemeClr val="bg1"/>
        </a:solidFill>
        <a:ln>
          <a:solidFill>
            <a:sysClr val="windowText" lastClr="000000"/>
          </a:solidFill>
        </a:ln>
      </c:spPr>
      <c:txPr>
        <a:bodyPr/>
        <a:lstStyle/>
        <a:p>
          <a:pPr>
            <a:defRPr sz="800"/>
          </a:pPr>
          <a:endParaRPr lang="en-US"/>
        </a:p>
      </c:txPr>
    </c:legend>
    <c:plotVisOnly val="1"/>
  </c:chart>
  <c:spPr>
    <a:ln>
      <a:solidFill>
        <a:sysClr val="windowText" lastClr="000000"/>
      </a:solidFill>
    </a:ln>
  </c:spPr>
  <c:txPr>
    <a:bodyPr/>
    <a:lstStyle/>
    <a:p>
      <a:pPr>
        <a:defRPr sz="1000">
          <a:latin typeface="Times New Roman" pitchFamily="18" charset="0"/>
          <a:cs typeface="Times New Roman" pitchFamily="18" charset="0"/>
        </a:defRPr>
      </a:pPr>
      <a:endParaRPr lang="en-US"/>
    </a:p>
  </c:txPr>
  <c:externalData r:id="rId1"/>
</c:chartSpace>
</file>

<file path=word/charts/chart23.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0092233663099805"/>
          <c:y val="2.8871573344998541E-2"/>
          <c:w val="0.84584023150953147"/>
          <c:h val="0.83189580743196812"/>
        </c:manualLayout>
      </c:layout>
      <c:scatterChart>
        <c:scatterStyle val="smoothMarker"/>
        <c:ser>
          <c:idx val="6"/>
          <c:order val="0"/>
          <c:tx>
            <c:v>Meas. (I)</c:v>
          </c:tx>
          <c:spPr>
            <a:ln>
              <a:noFill/>
            </a:ln>
          </c:spPr>
          <c:marker>
            <c:symbol val="star"/>
            <c:size val="7"/>
            <c:spPr>
              <a:noFill/>
              <a:ln w="19050">
                <a:solidFill>
                  <a:srgbClr val="0000FF"/>
                </a:solidFill>
              </a:ln>
            </c:spPr>
          </c:marker>
          <c:xVal>
            <c:numRef>
              <c:f>Comparison!$L$33:$L$37</c:f>
              <c:numCache>
                <c:formatCode>0.00%</c:formatCode>
                <c:ptCount val="5"/>
                <c:pt idx="0">
                  <c:v>0.85450000000000004</c:v>
                </c:pt>
                <c:pt idx="1">
                  <c:v>0.81690000000000063</c:v>
                </c:pt>
                <c:pt idx="2">
                  <c:v>0.78079999999999994</c:v>
                </c:pt>
                <c:pt idx="3">
                  <c:v>0.82140000000000002</c:v>
                </c:pt>
                <c:pt idx="4">
                  <c:v>0.86600000000000465</c:v>
                </c:pt>
              </c:numCache>
            </c:numRef>
          </c:xVal>
          <c:yVal>
            <c:numRef>
              <c:f>Comparison!$K$33:$K$37</c:f>
              <c:numCache>
                <c:formatCode>General</c:formatCode>
                <c:ptCount val="5"/>
                <c:pt idx="0">
                  <c:v>22.224999999999987</c:v>
                </c:pt>
                <c:pt idx="1">
                  <c:v>10.795</c:v>
                </c:pt>
                <c:pt idx="2">
                  <c:v>-0.63500000000000623</c:v>
                </c:pt>
                <c:pt idx="3">
                  <c:v>-12.065000000000024</c:v>
                </c:pt>
                <c:pt idx="4">
                  <c:v>-23.3934</c:v>
                </c:pt>
              </c:numCache>
            </c:numRef>
          </c:yVal>
          <c:smooth val="1"/>
        </c:ser>
        <c:ser>
          <c:idx val="8"/>
          <c:order val="1"/>
          <c:tx>
            <c:v>VESTA (I)</c:v>
          </c:tx>
          <c:spPr>
            <a:ln w="19050">
              <a:solidFill>
                <a:srgbClr val="0000FF"/>
              </a:solidFill>
            </a:ln>
          </c:spPr>
          <c:marker>
            <c:symbol val="none"/>
          </c:marker>
          <c:xVal>
            <c:numRef>
              <c:f>Comparison!$G$33:$G$56</c:f>
              <c:numCache>
                <c:formatCode>0.00%</c:formatCode>
                <c:ptCount val="24"/>
                <c:pt idx="0">
                  <c:v>0.85861809121280763</c:v>
                </c:pt>
                <c:pt idx="1">
                  <c:v>0.86992846235716825</c:v>
                </c:pt>
                <c:pt idx="2">
                  <c:v>0.86967359601953442</c:v>
                </c:pt>
                <c:pt idx="3">
                  <c:v>0.86448515878017662</c:v>
                </c:pt>
                <c:pt idx="4">
                  <c:v>0.85273706774785052</c:v>
                </c:pt>
                <c:pt idx="5">
                  <c:v>0.83991945073746754</c:v>
                </c:pt>
                <c:pt idx="6">
                  <c:v>0.82769653479663152</c:v>
                </c:pt>
                <c:pt idx="7">
                  <c:v>0.82103025161389909</c:v>
                </c:pt>
                <c:pt idx="8">
                  <c:v>0.81518666846208299</c:v>
                </c:pt>
                <c:pt idx="9">
                  <c:v>0.80685275021290159</c:v>
                </c:pt>
                <c:pt idx="10">
                  <c:v>0.80119080481784044</c:v>
                </c:pt>
                <c:pt idx="11">
                  <c:v>0.79866971134316733</c:v>
                </c:pt>
                <c:pt idx="12">
                  <c:v>0.79837603794317713</c:v>
                </c:pt>
                <c:pt idx="13">
                  <c:v>0.79974067620158673</c:v>
                </c:pt>
                <c:pt idx="14">
                  <c:v>0.80410725866079391</c:v>
                </c:pt>
                <c:pt idx="15">
                  <c:v>0.8113161657192276</c:v>
                </c:pt>
                <c:pt idx="16">
                  <c:v>0.82104099416786402</c:v>
                </c:pt>
                <c:pt idx="17">
                  <c:v>0.82764125063748839</c:v>
                </c:pt>
                <c:pt idx="18">
                  <c:v>0.83481200792401611</c:v>
                </c:pt>
                <c:pt idx="19">
                  <c:v>0.84754210492833759</c:v>
                </c:pt>
                <c:pt idx="20">
                  <c:v>0.86020674112293583</c:v>
                </c:pt>
                <c:pt idx="21">
                  <c:v>0.87023277406425859</c:v>
                </c:pt>
                <c:pt idx="22">
                  <c:v>0.87187491464630062</c:v>
                </c:pt>
                <c:pt idx="23">
                  <c:v>0.86353973546171081</c:v>
                </c:pt>
              </c:numCache>
            </c:numRef>
          </c:xVal>
          <c:yVal>
            <c:numRef>
              <c:f>Comparison!$F$33:$F$56</c:f>
              <c:numCache>
                <c:formatCode>General</c:formatCode>
                <c:ptCount val="24"/>
                <c:pt idx="0">
                  <c:v>24.764999999999986</c:v>
                </c:pt>
                <c:pt idx="1">
                  <c:v>23.302500000000002</c:v>
                </c:pt>
                <c:pt idx="2">
                  <c:v>22.224999999999987</c:v>
                </c:pt>
                <c:pt idx="3">
                  <c:v>20.608750000000001</c:v>
                </c:pt>
                <c:pt idx="4">
                  <c:v>17.876249999999889</c:v>
                </c:pt>
                <c:pt idx="5">
                  <c:v>15.143750000000001</c:v>
                </c:pt>
                <c:pt idx="6">
                  <c:v>12.411250000000001</c:v>
                </c:pt>
                <c:pt idx="7">
                  <c:v>10.795000000000002</c:v>
                </c:pt>
                <c:pt idx="8">
                  <c:v>9.1787500000000009</c:v>
                </c:pt>
                <c:pt idx="9">
                  <c:v>6.4462500000000134</c:v>
                </c:pt>
                <c:pt idx="10">
                  <c:v>3.7137499999999997</c:v>
                </c:pt>
                <c:pt idx="11">
                  <c:v>0.98124999999999851</c:v>
                </c:pt>
                <c:pt idx="12">
                  <c:v>-0.63500000000000789</c:v>
                </c:pt>
                <c:pt idx="13">
                  <c:v>-2.2512499999999767</c:v>
                </c:pt>
                <c:pt idx="14">
                  <c:v>-4.9837500000000023</c:v>
                </c:pt>
                <c:pt idx="15">
                  <c:v>-7.7162500000000014</c:v>
                </c:pt>
                <c:pt idx="16">
                  <c:v>-10.44875</c:v>
                </c:pt>
                <c:pt idx="17">
                  <c:v>-12.065000000000024</c:v>
                </c:pt>
                <c:pt idx="18">
                  <c:v>-13.681249999999999</c:v>
                </c:pt>
                <c:pt idx="19">
                  <c:v>-16.41375</c:v>
                </c:pt>
                <c:pt idx="20">
                  <c:v>-19.14625000000003</c:v>
                </c:pt>
                <c:pt idx="21">
                  <c:v>-21.878750000000004</c:v>
                </c:pt>
                <c:pt idx="22">
                  <c:v>-23.494999999999987</c:v>
                </c:pt>
                <c:pt idx="23">
                  <c:v>-24.572499999999785</c:v>
                </c:pt>
              </c:numCache>
            </c:numRef>
          </c:yVal>
          <c:smooth val="1"/>
        </c:ser>
        <c:ser>
          <c:idx val="7"/>
          <c:order val="2"/>
          <c:tx>
            <c:v>ALEPH (I)</c:v>
          </c:tx>
          <c:spPr>
            <a:ln w="19050">
              <a:solidFill>
                <a:srgbClr val="0000FF"/>
              </a:solidFill>
              <a:prstDash val="dash"/>
            </a:ln>
          </c:spPr>
          <c:marker>
            <c:symbol val="none"/>
          </c:marker>
          <c:xVal>
            <c:numRef>
              <c:f>Comparison!$B$33:$B$56</c:f>
              <c:numCache>
                <c:formatCode>0.00%</c:formatCode>
                <c:ptCount val="24"/>
                <c:pt idx="0">
                  <c:v>0.85776245729824463</c:v>
                </c:pt>
                <c:pt idx="1">
                  <c:v>0.86958969446225898</c:v>
                </c:pt>
                <c:pt idx="2">
                  <c:v>0.86906315184728056</c:v>
                </c:pt>
                <c:pt idx="3">
                  <c:v>0.86403054672894453</c:v>
                </c:pt>
                <c:pt idx="4">
                  <c:v>0.85203573740953176</c:v>
                </c:pt>
                <c:pt idx="5">
                  <c:v>0.83891561130288128</c:v>
                </c:pt>
                <c:pt idx="6">
                  <c:v>0.82634497780297211</c:v>
                </c:pt>
                <c:pt idx="7">
                  <c:v>0.81940130862672489</c:v>
                </c:pt>
                <c:pt idx="8">
                  <c:v>0.81338372626758404</c:v>
                </c:pt>
                <c:pt idx="9">
                  <c:v>0.80490033247035964</c:v>
                </c:pt>
                <c:pt idx="10">
                  <c:v>0.79898102596012288</c:v>
                </c:pt>
                <c:pt idx="11">
                  <c:v>0.79643777377919989</c:v>
                </c:pt>
                <c:pt idx="12">
                  <c:v>0.79621320519316641</c:v>
                </c:pt>
                <c:pt idx="13">
                  <c:v>0.79777442046569458</c:v>
                </c:pt>
                <c:pt idx="14">
                  <c:v>0.80231282809223825</c:v>
                </c:pt>
                <c:pt idx="15">
                  <c:v>0.80957347802649471</c:v>
                </c:pt>
                <c:pt idx="16">
                  <c:v>0.81963210983973966</c:v>
                </c:pt>
                <c:pt idx="17">
                  <c:v>0.82606856044837962</c:v>
                </c:pt>
                <c:pt idx="18">
                  <c:v>0.83376068098155853</c:v>
                </c:pt>
                <c:pt idx="19">
                  <c:v>0.84701824850825469</c:v>
                </c:pt>
                <c:pt idx="20">
                  <c:v>0.8595360272050242</c:v>
                </c:pt>
                <c:pt idx="21">
                  <c:v>0.8699622655749002</c:v>
                </c:pt>
                <c:pt idx="22">
                  <c:v>0.87166104413794454</c:v>
                </c:pt>
                <c:pt idx="23">
                  <c:v>0.86269681808923626</c:v>
                </c:pt>
              </c:numCache>
            </c:numRef>
          </c:xVal>
          <c:yVal>
            <c:numRef>
              <c:f>Comparison!$A$33:$A$56</c:f>
              <c:numCache>
                <c:formatCode>General</c:formatCode>
                <c:ptCount val="24"/>
                <c:pt idx="0">
                  <c:v>24.764999999999986</c:v>
                </c:pt>
                <c:pt idx="1">
                  <c:v>23.302500000000002</c:v>
                </c:pt>
                <c:pt idx="2">
                  <c:v>22.224999999999987</c:v>
                </c:pt>
                <c:pt idx="3">
                  <c:v>20.608750000000001</c:v>
                </c:pt>
                <c:pt idx="4">
                  <c:v>17.876249999999889</c:v>
                </c:pt>
                <c:pt idx="5">
                  <c:v>15.143750000000001</c:v>
                </c:pt>
                <c:pt idx="6">
                  <c:v>12.411250000000001</c:v>
                </c:pt>
                <c:pt idx="7">
                  <c:v>10.795000000000002</c:v>
                </c:pt>
                <c:pt idx="8">
                  <c:v>9.1787500000000009</c:v>
                </c:pt>
                <c:pt idx="9">
                  <c:v>6.4462500000000134</c:v>
                </c:pt>
                <c:pt idx="10">
                  <c:v>3.7137499999999997</c:v>
                </c:pt>
                <c:pt idx="11">
                  <c:v>0.98124999999999851</c:v>
                </c:pt>
                <c:pt idx="12">
                  <c:v>-0.63500000000000789</c:v>
                </c:pt>
                <c:pt idx="13">
                  <c:v>-2.2512499999999767</c:v>
                </c:pt>
                <c:pt idx="14">
                  <c:v>-4.9837500000000023</c:v>
                </c:pt>
                <c:pt idx="15">
                  <c:v>-7.7162500000000014</c:v>
                </c:pt>
                <c:pt idx="16">
                  <c:v>-10.44875</c:v>
                </c:pt>
                <c:pt idx="17">
                  <c:v>-12.065000000000024</c:v>
                </c:pt>
                <c:pt idx="18">
                  <c:v>-13.681249999999999</c:v>
                </c:pt>
                <c:pt idx="19">
                  <c:v>-16.41375</c:v>
                </c:pt>
                <c:pt idx="20">
                  <c:v>-19.14625000000003</c:v>
                </c:pt>
                <c:pt idx="21">
                  <c:v>-21.878750000000004</c:v>
                </c:pt>
                <c:pt idx="22">
                  <c:v>-23.494999999999987</c:v>
                </c:pt>
                <c:pt idx="23">
                  <c:v>-24.572499999999785</c:v>
                </c:pt>
              </c:numCache>
            </c:numRef>
          </c:yVal>
          <c:smooth val="1"/>
        </c:ser>
        <c:ser>
          <c:idx val="0"/>
          <c:order val="3"/>
          <c:tx>
            <c:v>Meas. (H)</c:v>
          </c:tx>
          <c:spPr>
            <a:ln>
              <a:noFill/>
            </a:ln>
          </c:spPr>
          <c:marker>
            <c:symbol val="triangle"/>
            <c:size val="7"/>
            <c:spPr>
              <a:noFill/>
              <a:ln w="19050">
                <a:solidFill>
                  <a:srgbClr val="008000"/>
                </a:solidFill>
              </a:ln>
            </c:spPr>
          </c:marker>
          <c:xVal>
            <c:numRef>
              <c:f>Comparison!$M$33:$M$37</c:f>
              <c:numCache>
                <c:formatCode>0.00%</c:formatCode>
                <c:ptCount val="5"/>
                <c:pt idx="0">
                  <c:v>0.89450000000000007</c:v>
                </c:pt>
                <c:pt idx="1">
                  <c:v>0.86840000000000062</c:v>
                </c:pt>
                <c:pt idx="2">
                  <c:v>0.85129999999999995</c:v>
                </c:pt>
                <c:pt idx="3">
                  <c:v>0.87060000000000715</c:v>
                </c:pt>
                <c:pt idx="4">
                  <c:v>0.90079999999999993</c:v>
                </c:pt>
              </c:numCache>
            </c:numRef>
          </c:xVal>
          <c:yVal>
            <c:numRef>
              <c:f>Comparison!$K$33:$K$37</c:f>
              <c:numCache>
                <c:formatCode>General</c:formatCode>
                <c:ptCount val="5"/>
                <c:pt idx="0">
                  <c:v>22.224999999999987</c:v>
                </c:pt>
                <c:pt idx="1">
                  <c:v>10.795</c:v>
                </c:pt>
                <c:pt idx="2">
                  <c:v>-0.63500000000000623</c:v>
                </c:pt>
                <c:pt idx="3">
                  <c:v>-12.065000000000024</c:v>
                </c:pt>
                <c:pt idx="4">
                  <c:v>-23.3934</c:v>
                </c:pt>
              </c:numCache>
            </c:numRef>
          </c:yVal>
          <c:smooth val="1"/>
        </c:ser>
        <c:ser>
          <c:idx val="2"/>
          <c:order val="4"/>
          <c:tx>
            <c:v>VESTA (H)</c:v>
          </c:tx>
          <c:spPr>
            <a:ln w="19050">
              <a:solidFill>
                <a:srgbClr val="008000"/>
              </a:solidFill>
            </a:ln>
          </c:spPr>
          <c:marker>
            <c:symbol val="none"/>
          </c:marker>
          <c:xVal>
            <c:numRef>
              <c:f>Comparison!$H$33:$H$56</c:f>
              <c:numCache>
                <c:formatCode>0.00%</c:formatCode>
                <c:ptCount val="24"/>
                <c:pt idx="0">
                  <c:v>0.88823781946178892</c:v>
                </c:pt>
                <c:pt idx="1">
                  <c:v>0.89911485746228581</c:v>
                </c:pt>
                <c:pt idx="2">
                  <c:v>0.89860732621958772</c:v>
                </c:pt>
                <c:pt idx="3">
                  <c:v>0.89487304990542027</c:v>
                </c:pt>
                <c:pt idx="4">
                  <c:v>0.88736522110500149</c:v>
                </c:pt>
                <c:pt idx="5">
                  <c:v>0.87960542797641961</c:v>
                </c:pt>
                <c:pt idx="6">
                  <c:v>0.87225927086286015</c:v>
                </c:pt>
                <c:pt idx="7">
                  <c:v>0.8681659286777107</c:v>
                </c:pt>
                <c:pt idx="8">
                  <c:v>0.8644997404878898</c:v>
                </c:pt>
                <c:pt idx="9">
                  <c:v>0.85927099089673731</c:v>
                </c:pt>
                <c:pt idx="10">
                  <c:v>0.85578130961378085</c:v>
                </c:pt>
                <c:pt idx="11">
                  <c:v>0.85417867185121921</c:v>
                </c:pt>
                <c:pt idx="12">
                  <c:v>0.85405837732648893</c:v>
                </c:pt>
                <c:pt idx="13">
                  <c:v>0.85475610241694877</c:v>
                </c:pt>
                <c:pt idx="14">
                  <c:v>0.85751114830486208</c:v>
                </c:pt>
                <c:pt idx="15">
                  <c:v>0.86206281973160259</c:v>
                </c:pt>
                <c:pt idx="16">
                  <c:v>0.86824070239363849</c:v>
                </c:pt>
                <c:pt idx="17">
                  <c:v>0.87236335035599299</c:v>
                </c:pt>
                <c:pt idx="18">
                  <c:v>0.87679366783694712</c:v>
                </c:pt>
                <c:pt idx="19">
                  <c:v>0.88435955604969063</c:v>
                </c:pt>
                <c:pt idx="20">
                  <c:v>0.8921048759242145</c:v>
                </c:pt>
                <c:pt idx="21">
                  <c:v>0.89900770331446234</c:v>
                </c:pt>
                <c:pt idx="22">
                  <c:v>0.90076437086856198</c:v>
                </c:pt>
                <c:pt idx="23">
                  <c:v>0.89304465976687664</c:v>
                </c:pt>
              </c:numCache>
            </c:numRef>
          </c:xVal>
          <c:yVal>
            <c:numRef>
              <c:f>Comparison!$F$33:$F$56</c:f>
              <c:numCache>
                <c:formatCode>General</c:formatCode>
                <c:ptCount val="24"/>
                <c:pt idx="0">
                  <c:v>24.764999999999986</c:v>
                </c:pt>
                <c:pt idx="1">
                  <c:v>23.302500000000002</c:v>
                </c:pt>
                <c:pt idx="2">
                  <c:v>22.224999999999987</c:v>
                </c:pt>
                <c:pt idx="3">
                  <c:v>20.608750000000001</c:v>
                </c:pt>
                <c:pt idx="4">
                  <c:v>17.876249999999889</c:v>
                </c:pt>
                <c:pt idx="5">
                  <c:v>15.143750000000001</c:v>
                </c:pt>
                <c:pt idx="6">
                  <c:v>12.411250000000001</c:v>
                </c:pt>
                <c:pt idx="7">
                  <c:v>10.795000000000002</c:v>
                </c:pt>
                <c:pt idx="8">
                  <c:v>9.1787500000000009</c:v>
                </c:pt>
                <c:pt idx="9">
                  <c:v>6.4462500000000134</c:v>
                </c:pt>
                <c:pt idx="10">
                  <c:v>3.7137499999999997</c:v>
                </c:pt>
                <c:pt idx="11">
                  <c:v>0.98124999999999851</c:v>
                </c:pt>
                <c:pt idx="12">
                  <c:v>-0.63500000000000789</c:v>
                </c:pt>
                <c:pt idx="13">
                  <c:v>-2.2512499999999767</c:v>
                </c:pt>
                <c:pt idx="14">
                  <c:v>-4.9837500000000023</c:v>
                </c:pt>
                <c:pt idx="15">
                  <c:v>-7.7162500000000014</c:v>
                </c:pt>
                <c:pt idx="16">
                  <c:v>-10.44875</c:v>
                </c:pt>
                <c:pt idx="17">
                  <c:v>-12.065000000000024</c:v>
                </c:pt>
                <c:pt idx="18">
                  <c:v>-13.681249999999999</c:v>
                </c:pt>
                <c:pt idx="19">
                  <c:v>-16.41375</c:v>
                </c:pt>
                <c:pt idx="20">
                  <c:v>-19.14625000000003</c:v>
                </c:pt>
                <c:pt idx="21">
                  <c:v>-21.878750000000004</c:v>
                </c:pt>
                <c:pt idx="22">
                  <c:v>-23.494999999999987</c:v>
                </c:pt>
                <c:pt idx="23">
                  <c:v>-24.572499999999785</c:v>
                </c:pt>
              </c:numCache>
            </c:numRef>
          </c:yVal>
          <c:smooth val="1"/>
        </c:ser>
        <c:ser>
          <c:idx val="1"/>
          <c:order val="5"/>
          <c:tx>
            <c:v>ALEPH (H)</c:v>
          </c:tx>
          <c:spPr>
            <a:ln w="19050">
              <a:solidFill>
                <a:srgbClr val="008000"/>
              </a:solidFill>
              <a:prstDash val="dash"/>
            </a:ln>
          </c:spPr>
          <c:marker>
            <c:symbol val="none"/>
          </c:marker>
          <c:xVal>
            <c:numRef>
              <c:f>Comparison!$C$33:$C$56</c:f>
              <c:numCache>
                <c:formatCode>0.00%</c:formatCode>
                <c:ptCount val="24"/>
                <c:pt idx="0">
                  <c:v>0.88784278309930853</c:v>
                </c:pt>
                <c:pt idx="1">
                  <c:v>0.89877331360989321</c:v>
                </c:pt>
                <c:pt idx="2">
                  <c:v>0.89842978571289156</c:v>
                </c:pt>
                <c:pt idx="3">
                  <c:v>0.89459209146754859</c:v>
                </c:pt>
                <c:pt idx="4">
                  <c:v>0.88690623570556248</c:v>
                </c:pt>
                <c:pt idx="5">
                  <c:v>0.87922870427894972</c:v>
                </c:pt>
                <c:pt idx="6">
                  <c:v>0.87173120876742882</c:v>
                </c:pt>
                <c:pt idx="7">
                  <c:v>0.86773861209928904</c:v>
                </c:pt>
                <c:pt idx="8">
                  <c:v>0.86397288538379446</c:v>
                </c:pt>
                <c:pt idx="9">
                  <c:v>0.85899351268951385</c:v>
                </c:pt>
                <c:pt idx="10">
                  <c:v>0.85545377776065556</c:v>
                </c:pt>
                <c:pt idx="11">
                  <c:v>0.85375764287906675</c:v>
                </c:pt>
                <c:pt idx="12">
                  <c:v>0.85372808648203158</c:v>
                </c:pt>
                <c:pt idx="13">
                  <c:v>0.8545837872966785</c:v>
                </c:pt>
                <c:pt idx="14">
                  <c:v>0.85713464012640883</c:v>
                </c:pt>
                <c:pt idx="15">
                  <c:v>0.86180074185058064</c:v>
                </c:pt>
                <c:pt idx="16">
                  <c:v>0.86773032836127983</c:v>
                </c:pt>
                <c:pt idx="17">
                  <c:v>0.87198361744062891</c:v>
                </c:pt>
                <c:pt idx="18">
                  <c:v>0.87642500354093911</c:v>
                </c:pt>
                <c:pt idx="19">
                  <c:v>0.88393056936059999</c:v>
                </c:pt>
                <c:pt idx="20">
                  <c:v>0.89191970391061859</c:v>
                </c:pt>
                <c:pt idx="21">
                  <c:v>0.89884746739842625</c:v>
                </c:pt>
                <c:pt idx="22">
                  <c:v>0.90068545052751259</c:v>
                </c:pt>
                <c:pt idx="23">
                  <c:v>0.89280239593822586</c:v>
                </c:pt>
              </c:numCache>
            </c:numRef>
          </c:xVal>
          <c:yVal>
            <c:numRef>
              <c:f>Comparison!$A$33:$A$56</c:f>
              <c:numCache>
                <c:formatCode>General</c:formatCode>
                <c:ptCount val="24"/>
                <c:pt idx="0">
                  <c:v>24.764999999999986</c:v>
                </c:pt>
                <c:pt idx="1">
                  <c:v>23.302500000000002</c:v>
                </c:pt>
                <c:pt idx="2">
                  <c:v>22.224999999999987</c:v>
                </c:pt>
                <c:pt idx="3">
                  <c:v>20.608750000000001</c:v>
                </c:pt>
                <c:pt idx="4">
                  <c:v>17.876249999999889</c:v>
                </c:pt>
                <c:pt idx="5">
                  <c:v>15.143750000000001</c:v>
                </c:pt>
                <c:pt idx="6">
                  <c:v>12.411250000000001</c:v>
                </c:pt>
                <c:pt idx="7">
                  <c:v>10.795000000000002</c:v>
                </c:pt>
                <c:pt idx="8">
                  <c:v>9.1787500000000009</c:v>
                </c:pt>
                <c:pt idx="9">
                  <c:v>6.4462500000000134</c:v>
                </c:pt>
                <c:pt idx="10">
                  <c:v>3.7137499999999997</c:v>
                </c:pt>
                <c:pt idx="11">
                  <c:v>0.98124999999999851</c:v>
                </c:pt>
                <c:pt idx="12">
                  <c:v>-0.63500000000000789</c:v>
                </c:pt>
                <c:pt idx="13">
                  <c:v>-2.2512499999999767</c:v>
                </c:pt>
                <c:pt idx="14">
                  <c:v>-4.9837500000000023</c:v>
                </c:pt>
                <c:pt idx="15">
                  <c:v>-7.7162500000000014</c:v>
                </c:pt>
                <c:pt idx="16">
                  <c:v>-10.44875</c:v>
                </c:pt>
                <c:pt idx="17">
                  <c:v>-12.065000000000024</c:v>
                </c:pt>
                <c:pt idx="18">
                  <c:v>-13.681249999999999</c:v>
                </c:pt>
                <c:pt idx="19">
                  <c:v>-16.41375</c:v>
                </c:pt>
                <c:pt idx="20">
                  <c:v>-19.14625000000003</c:v>
                </c:pt>
                <c:pt idx="21">
                  <c:v>-21.878750000000004</c:v>
                </c:pt>
                <c:pt idx="22">
                  <c:v>-23.494999999999987</c:v>
                </c:pt>
                <c:pt idx="23">
                  <c:v>-24.572499999999785</c:v>
                </c:pt>
              </c:numCache>
            </c:numRef>
          </c:yVal>
          <c:smooth val="1"/>
        </c:ser>
        <c:ser>
          <c:idx val="3"/>
          <c:order val="6"/>
          <c:tx>
            <c:v>Meas. (O)</c:v>
          </c:tx>
          <c:spPr>
            <a:ln>
              <a:noFill/>
            </a:ln>
          </c:spPr>
          <c:marker>
            <c:symbol val="circle"/>
            <c:size val="7"/>
            <c:spPr>
              <a:noFill/>
              <a:ln w="19050">
                <a:solidFill>
                  <a:srgbClr val="FF0000"/>
                </a:solidFill>
              </a:ln>
            </c:spPr>
          </c:marker>
          <c:xVal>
            <c:numRef>
              <c:f>Comparison!$N$33:$N$37</c:f>
              <c:numCache>
                <c:formatCode>0.00%</c:formatCode>
                <c:ptCount val="5"/>
                <c:pt idx="0">
                  <c:v>0.8841</c:v>
                </c:pt>
                <c:pt idx="1">
                  <c:v>0.81380000000000063</c:v>
                </c:pt>
                <c:pt idx="2">
                  <c:v>0.75190000000000623</c:v>
                </c:pt>
                <c:pt idx="3">
                  <c:v>0.80930000000000002</c:v>
                </c:pt>
                <c:pt idx="4">
                  <c:v>0.89639999999999997</c:v>
                </c:pt>
              </c:numCache>
            </c:numRef>
          </c:xVal>
          <c:yVal>
            <c:numRef>
              <c:f>Comparison!$K$33:$K$37</c:f>
              <c:numCache>
                <c:formatCode>General</c:formatCode>
                <c:ptCount val="5"/>
                <c:pt idx="0">
                  <c:v>22.224999999999987</c:v>
                </c:pt>
                <c:pt idx="1">
                  <c:v>10.795</c:v>
                </c:pt>
                <c:pt idx="2">
                  <c:v>-0.63500000000000623</c:v>
                </c:pt>
                <c:pt idx="3">
                  <c:v>-12.065000000000024</c:v>
                </c:pt>
                <c:pt idx="4">
                  <c:v>-23.3934</c:v>
                </c:pt>
              </c:numCache>
            </c:numRef>
          </c:yVal>
          <c:smooth val="1"/>
        </c:ser>
        <c:ser>
          <c:idx val="5"/>
          <c:order val="7"/>
          <c:tx>
            <c:v>VESTA (O)</c:v>
          </c:tx>
          <c:spPr>
            <a:ln w="19050">
              <a:solidFill>
                <a:srgbClr val="FF0000"/>
              </a:solidFill>
            </a:ln>
          </c:spPr>
          <c:marker>
            <c:symbol val="none"/>
          </c:marker>
          <c:xVal>
            <c:numRef>
              <c:f>Comparison!$I$33:$I$56</c:f>
              <c:numCache>
                <c:formatCode>0.00%</c:formatCode>
                <c:ptCount val="24"/>
                <c:pt idx="0">
                  <c:v>0.88103632330184256</c:v>
                </c:pt>
                <c:pt idx="1">
                  <c:v>0.8835767606896473</c:v>
                </c:pt>
                <c:pt idx="2">
                  <c:v>0.87974460295094681</c:v>
                </c:pt>
                <c:pt idx="3">
                  <c:v>0.87048293978501856</c:v>
                </c:pt>
                <c:pt idx="4">
                  <c:v>0.85302411429895864</c:v>
                </c:pt>
                <c:pt idx="5">
                  <c:v>0.83423770915745887</c:v>
                </c:pt>
                <c:pt idx="6">
                  <c:v>0.81380690052182214</c:v>
                </c:pt>
                <c:pt idx="7">
                  <c:v>0.8009487488197391</c:v>
                </c:pt>
                <c:pt idx="8">
                  <c:v>0.78807643409340999</c:v>
                </c:pt>
                <c:pt idx="9">
                  <c:v>0.76959438861255769</c:v>
                </c:pt>
                <c:pt idx="10">
                  <c:v>0.75761370862479915</c:v>
                </c:pt>
                <c:pt idx="11">
                  <c:v>0.75206184736335036</c:v>
                </c:pt>
                <c:pt idx="12">
                  <c:v>0.75155726601413475</c:v>
                </c:pt>
                <c:pt idx="13">
                  <c:v>0.75377960276296474</c:v>
                </c:pt>
                <c:pt idx="14">
                  <c:v>0.76214419480885964</c:v>
                </c:pt>
                <c:pt idx="15">
                  <c:v>0.77809610105089211</c:v>
                </c:pt>
                <c:pt idx="16">
                  <c:v>0.80101454744115641</c:v>
                </c:pt>
                <c:pt idx="17">
                  <c:v>0.81506433510022558</c:v>
                </c:pt>
                <c:pt idx="18">
                  <c:v>0.82781489070077463</c:v>
                </c:pt>
                <c:pt idx="19">
                  <c:v>0.84740162731488644</c:v>
                </c:pt>
                <c:pt idx="20">
                  <c:v>0.86543535521947834</c:v>
                </c:pt>
                <c:pt idx="21">
                  <c:v>0.88272509711240565</c:v>
                </c:pt>
                <c:pt idx="22">
                  <c:v>0.89071664193838418</c:v>
                </c:pt>
                <c:pt idx="23">
                  <c:v>0.88976402176345948</c:v>
                </c:pt>
              </c:numCache>
            </c:numRef>
          </c:xVal>
          <c:yVal>
            <c:numRef>
              <c:f>Comparison!$F$33:$F$56</c:f>
              <c:numCache>
                <c:formatCode>General</c:formatCode>
                <c:ptCount val="24"/>
                <c:pt idx="0">
                  <c:v>24.764999999999986</c:v>
                </c:pt>
                <c:pt idx="1">
                  <c:v>23.302500000000002</c:v>
                </c:pt>
                <c:pt idx="2">
                  <c:v>22.224999999999987</c:v>
                </c:pt>
                <c:pt idx="3">
                  <c:v>20.608750000000001</c:v>
                </c:pt>
                <c:pt idx="4">
                  <c:v>17.876249999999889</c:v>
                </c:pt>
                <c:pt idx="5">
                  <c:v>15.143750000000001</c:v>
                </c:pt>
                <c:pt idx="6">
                  <c:v>12.411250000000001</c:v>
                </c:pt>
                <c:pt idx="7">
                  <c:v>10.795000000000002</c:v>
                </c:pt>
                <c:pt idx="8">
                  <c:v>9.1787500000000009</c:v>
                </c:pt>
                <c:pt idx="9">
                  <c:v>6.4462500000000134</c:v>
                </c:pt>
                <c:pt idx="10">
                  <c:v>3.7137499999999997</c:v>
                </c:pt>
                <c:pt idx="11">
                  <c:v>0.98124999999999851</c:v>
                </c:pt>
                <c:pt idx="12">
                  <c:v>-0.63500000000000789</c:v>
                </c:pt>
                <c:pt idx="13">
                  <c:v>-2.2512499999999767</c:v>
                </c:pt>
                <c:pt idx="14">
                  <c:v>-4.9837500000000023</c:v>
                </c:pt>
                <c:pt idx="15">
                  <c:v>-7.7162500000000014</c:v>
                </c:pt>
                <c:pt idx="16">
                  <c:v>-10.44875</c:v>
                </c:pt>
                <c:pt idx="17">
                  <c:v>-12.065000000000024</c:v>
                </c:pt>
                <c:pt idx="18">
                  <c:v>-13.681249999999999</c:v>
                </c:pt>
                <c:pt idx="19">
                  <c:v>-16.41375</c:v>
                </c:pt>
                <c:pt idx="20">
                  <c:v>-19.14625000000003</c:v>
                </c:pt>
                <c:pt idx="21">
                  <c:v>-21.878750000000004</c:v>
                </c:pt>
                <c:pt idx="22">
                  <c:v>-23.494999999999987</c:v>
                </c:pt>
                <c:pt idx="23">
                  <c:v>-24.572499999999785</c:v>
                </c:pt>
              </c:numCache>
            </c:numRef>
          </c:yVal>
          <c:smooth val="1"/>
        </c:ser>
        <c:ser>
          <c:idx val="4"/>
          <c:order val="8"/>
          <c:tx>
            <c:v>ALEPH (O)</c:v>
          </c:tx>
          <c:spPr>
            <a:ln w="19050">
              <a:solidFill>
                <a:srgbClr val="FF0000"/>
              </a:solidFill>
              <a:prstDash val="dash"/>
            </a:ln>
          </c:spPr>
          <c:marker>
            <c:symbol val="none"/>
          </c:marker>
          <c:xVal>
            <c:numRef>
              <c:f>Comparison!$D$33:$D$56</c:f>
              <c:numCache>
                <c:formatCode>0.00%</c:formatCode>
                <c:ptCount val="24"/>
                <c:pt idx="0">
                  <c:v>0.87914993319028434</c:v>
                </c:pt>
                <c:pt idx="1">
                  <c:v>0.88180965070421491</c:v>
                </c:pt>
                <c:pt idx="2">
                  <c:v>0.87739370162156161</c:v>
                </c:pt>
                <c:pt idx="3">
                  <c:v>0.86788279131216439</c:v>
                </c:pt>
                <c:pt idx="4">
                  <c:v>0.84941483763352965</c:v>
                </c:pt>
                <c:pt idx="5">
                  <c:v>0.8298944613569641</c:v>
                </c:pt>
                <c:pt idx="6">
                  <c:v>0.80806970523153399</c:v>
                </c:pt>
                <c:pt idx="7">
                  <c:v>0.79399712175949944</c:v>
                </c:pt>
                <c:pt idx="8">
                  <c:v>0.78022212012264447</c:v>
                </c:pt>
                <c:pt idx="9">
                  <c:v>0.76026589976434522</c:v>
                </c:pt>
                <c:pt idx="10">
                  <c:v>0.74740555050238922</c:v>
                </c:pt>
                <c:pt idx="11">
                  <c:v>0.74145239938693941</c:v>
                </c:pt>
                <c:pt idx="12">
                  <c:v>0.74101295127936351</c:v>
                </c:pt>
                <c:pt idx="13">
                  <c:v>0.74322795869444336</c:v>
                </c:pt>
                <c:pt idx="14">
                  <c:v>0.75232178322338028</c:v>
                </c:pt>
                <c:pt idx="15">
                  <c:v>0.76976757261290063</c:v>
                </c:pt>
                <c:pt idx="16">
                  <c:v>0.79461105471389204</c:v>
                </c:pt>
                <c:pt idx="17">
                  <c:v>0.8095902901423927</c:v>
                </c:pt>
                <c:pt idx="18">
                  <c:v>0.82303358919731606</c:v>
                </c:pt>
                <c:pt idx="19">
                  <c:v>0.84380310585326657</c:v>
                </c:pt>
                <c:pt idx="20">
                  <c:v>0.86262652100823889</c:v>
                </c:pt>
                <c:pt idx="21">
                  <c:v>0.88078941649019626</c:v>
                </c:pt>
                <c:pt idx="22">
                  <c:v>0.88921028498269983</c:v>
                </c:pt>
                <c:pt idx="23">
                  <c:v>0.88836777941430956</c:v>
                </c:pt>
              </c:numCache>
            </c:numRef>
          </c:xVal>
          <c:yVal>
            <c:numRef>
              <c:f>Comparison!$A$33:$A$56</c:f>
              <c:numCache>
                <c:formatCode>General</c:formatCode>
                <c:ptCount val="24"/>
                <c:pt idx="0">
                  <c:v>24.764999999999986</c:v>
                </c:pt>
                <c:pt idx="1">
                  <c:v>23.302500000000002</c:v>
                </c:pt>
                <c:pt idx="2">
                  <c:v>22.224999999999987</c:v>
                </c:pt>
                <c:pt idx="3">
                  <c:v>20.608750000000001</c:v>
                </c:pt>
                <c:pt idx="4">
                  <c:v>17.876249999999889</c:v>
                </c:pt>
                <c:pt idx="5">
                  <c:v>15.143750000000001</c:v>
                </c:pt>
                <c:pt idx="6">
                  <c:v>12.411250000000001</c:v>
                </c:pt>
                <c:pt idx="7">
                  <c:v>10.795000000000002</c:v>
                </c:pt>
                <c:pt idx="8">
                  <c:v>9.1787500000000009</c:v>
                </c:pt>
                <c:pt idx="9">
                  <c:v>6.4462500000000134</c:v>
                </c:pt>
                <c:pt idx="10">
                  <c:v>3.7137499999999997</c:v>
                </c:pt>
                <c:pt idx="11">
                  <c:v>0.98124999999999851</c:v>
                </c:pt>
                <c:pt idx="12">
                  <c:v>-0.63500000000000789</c:v>
                </c:pt>
                <c:pt idx="13">
                  <c:v>-2.2512499999999767</c:v>
                </c:pt>
                <c:pt idx="14">
                  <c:v>-4.9837500000000023</c:v>
                </c:pt>
                <c:pt idx="15">
                  <c:v>-7.7162500000000014</c:v>
                </c:pt>
                <c:pt idx="16">
                  <c:v>-10.44875</c:v>
                </c:pt>
                <c:pt idx="17">
                  <c:v>-12.065000000000024</c:v>
                </c:pt>
                <c:pt idx="18">
                  <c:v>-13.681249999999999</c:v>
                </c:pt>
                <c:pt idx="19">
                  <c:v>-16.41375</c:v>
                </c:pt>
                <c:pt idx="20">
                  <c:v>-19.14625000000003</c:v>
                </c:pt>
                <c:pt idx="21">
                  <c:v>-21.878750000000004</c:v>
                </c:pt>
                <c:pt idx="22">
                  <c:v>-23.494999999999987</c:v>
                </c:pt>
                <c:pt idx="23">
                  <c:v>-24.572499999999785</c:v>
                </c:pt>
              </c:numCache>
            </c:numRef>
          </c:yVal>
          <c:smooth val="1"/>
        </c:ser>
        <c:axId val="183832576"/>
        <c:axId val="183834496"/>
      </c:scatterChart>
      <c:valAx>
        <c:axId val="183832576"/>
        <c:scaling>
          <c:orientation val="minMax"/>
          <c:max val="0.92500000000000004"/>
          <c:min val="0.70000000000000062"/>
        </c:scaling>
        <c:axPos val="b"/>
        <c:majorGridlines>
          <c:spPr>
            <a:ln>
              <a:solidFill>
                <a:sysClr val="windowText" lastClr="000000"/>
              </a:solidFill>
            </a:ln>
          </c:spPr>
        </c:majorGridlines>
        <c:minorGridlines/>
        <c:title>
          <c:tx>
            <c:rich>
              <a:bodyPr/>
              <a:lstStyle/>
              <a:p>
                <a:pPr>
                  <a:defRPr sz="1100"/>
                </a:pPr>
                <a:r>
                  <a:rPr lang="en-US" sz="1100"/>
                  <a:t>Post-Irradiation U-235/Uranium at. %</a:t>
                </a:r>
              </a:p>
            </c:rich>
          </c:tx>
          <c:layout>
            <c:manualLayout>
              <c:xMode val="edge"/>
              <c:yMode val="edge"/>
              <c:x val="0.32886381990713043"/>
              <c:y val="0.94524113029635815"/>
            </c:manualLayout>
          </c:layout>
        </c:title>
        <c:numFmt formatCode="0.0%" sourceLinked="0"/>
        <c:tickLblPos val="low"/>
        <c:spPr>
          <a:ln>
            <a:solidFill>
              <a:sysClr val="windowText" lastClr="000000"/>
            </a:solidFill>
          </a:ln>
        </c:spPr>
        <c:crossAx val="183834496"/>
        <c:crosses val="autoZero"/>
        <c:crossBetween val="midCat"/>
        <c:majorUnit val="2.5000000000000012E-2"/>
        <c:minorUnit val="1.2500000000000023E-2"/>
      </c:valAx>
      <c:valAx>
        <c:axId val="183834496"/>
        <c:scaling>
          <c:orientation val="minMax"/>
          <c:max val="30"/>
          <c:min val="-30"/>
        </c:scaling>
        <c:axPos val="l"/>
        <c:majorGridlines>
          <c:spPr>
            <a:ln>
              <a:solidFill>
                <a:sysClr val="windowText" lastClr="000000"/>
              </a:solidFill>
            </a:ln>
          </c:spPr>
        </c:majorGridlines>
        <c:title>
          <c:tx>
            <c:rich>
              <a:bodyPr rot="-5400000" vert="horz"/>
              <a:lstStyle/>
              <a:p>
                <a:pPr>
                  <a:defRPr sz="1100"/>
                </a:pPr>
                <a:r>
                  <a:rPr lang="en-US" sz="1100"/>
                  <a:t>Distance From Core Axial Midplane (cm)</a:t>
                </a:r>
              </a:p>
            </c:rich>
          </c:tx>
          <c:layout>
            <c:manualLayout>
              <c:xMode val="edge"/>
              <c:yMode val="edge"/>
              <c:x val="7.6627661125692834E-3"/>
              <c:y val="7.4741561910024512E-2"/>
            </c:manualLayout>
          </c:layout>
        </c:title>
        <c:numFmt formatCode="General" sourceLinked="0"/>
        <c:tickLblPos val="nextTo"/>
        <c:spPr>
          <a:ln>
            <a:solidFill>
              <a:schemeClr val="tx1"/>
            </a:solidFill>
          </a:ln>
        </c:spPr>
        <c:crossAx val="183832576"/>
        <c:crosses val="autoZero"/>
        <c:crossBetween val="midCat"/>
        <c:majorUnit val="5"/>
        <c:minorUnit val="2.5"/>
      </c:valAx>
    </c:plotArea>
    <c:legend>
      <c:legendPos val="r"/>
      <c:layout>
        <c:manualLayout>
          <c:xMode val="edge"/>
          <c:yMode val="edge"/>
          <c:x val="9.9152702066088227E-2"/>
          <c:y val="2.7078229804607792E-2"/>
          <c:w val="0.55849552459788765"/>
          <c:h val="0.13931266404199474"/>
        </c:manualLayout>
      </c:layout>
      <c:overlay val="1"/>
      <c:spPr>
        <a:solidFill>
          <a:schemeClr val="bg1"/>
        </a:solidFill>
        <a:ln>
          <a:solidFill>
            <a:sysClr val="windowText" lastClr="000000"/>
          </a:solidFill>
        </a:ln>
      </c:spPr>
      <c:txPr>
        <a:bodyPr/>
        <a:lstStyle/>
        <a:p>
          <a:pPr>
            <a:defRPr sz="800"/>
          </a:pPr>
          <a:endParaRPr lang="en-US"/>
        </a:p>
      </c:txPr>
    </c:legend>
    <c:plotVisOnly val="1"/>
  </c:chart>
  <c:spPr>
    <a:noFill/>
    <a:ln>
      <a:solidFill>
        <a:sysClr val="windowText" lastClr="000000"/>
      </a:solidFill>
    </a:ln>
  </c:spPr>
  <c:txPr>
    <a:bodyPr/>
    <a:lstStyle/>
    <a:p>
      <a:pPr>
        <a:defRPr sz="1000">
          <a:latin typeface="Times New Roman" pitchFamily="18" charset="0"/>
          <a:cs typeface="Times New Roman" pitchFamily="18" charset="0"/>
        </a:defRPr>
      </a:pPr>
      <a:endParaRPr lang="en-US"/>
    </a:p>
  </c:txPr>
  <c:externalData r:id="rId1"/>
</c:chartSpace>
</file>

<file path=word/charts/chart24.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0359944590259552"/>
          <c:y val="1.5080375648358272E-2"/>
          <c:w val="0.86129647856518343"/>
          <c:h val="0.8344931390155178"/>
        </c:manualLayout>
      </c:layout>
      <c:scatterChart>
        <c:scatterStyle val="smoothMarker"/>
        <c:ser>
          <c:idx val="6"/>
          <c:order val="0"/>
          <c:tx>
            <c:v>Meas. (I)</c:v>
          </c:tx>
          <c:spPr>
            <a:ln>
              <a:noFill/>
            </a:ln>
          </c:spPr>
          <c:marker>
            <c:symbol val="star"/>
            <c:size val="7"/>
            <c:spPr>
              <a:noFill/>
              <a:ln w="19050">
                <a:solidFill>
                  <a:srgbClr val="0000FF"/>
                </a:solidFill>
              </a:ln>
            </c:spPr>
          </c:marker>
          <c:xVal>
            <c:numRef>
              <c:f>Comparison!$L$60:$L$64</c:f>
              <c:numCache>
                <c:formatCode>0.00%</c:formatCode>
                <c:ptCount val="5"/>
                <c:pt idx="0">
                  <c:v>6.4800000000000024E-2</c:v>
                </c:pt>
                <c:pt idx="1">
                  <c:v>9.5500000000000265E-2</c:v>
                </c:pt>
                <c:pt idx="2">
                  <c:v>0.12340000000000002</c:v>
                </c:pt>
                <c:pt idx="3">
                  <c:v>9.2600000000000002E-2</c:v>
                </c:pt>
                <c:pt idx="4">
                  <c:v>5.5999999999999994E-2</c:v>
                </c:pt>
              </c:numCache>
            </c:numRef>
          </c:xVal>
          <c:yVal>
            <c:numRef>
              <c:f>Comparison!$K$60:$K$64</c:f>
              <c:numCache>
                <c:formatCode>General</c:formatCode>
                <c:ptCount val="5"/>
                <c:pt idx="0">
                  <c:v>22.224999999999987</c:v>
                </c:pt>
                <c:pt idx="1">
                  <c:v>10.795</c:v>
                </c:pt>
                <c:pt idx="2">
                  <c:v>-0.63500000000000612</c:v>
                </c:pt>
                <c:pt idx="3">
                  <c:v>-12.065000000000024</c:v>
                </c:pt>
                <c:pt idx="4">
                  <c:v>-23.3934</c:v>
                </c:pt>
              </c:numCache>
            </c:numRef>
          </c:yVal>
          <c:smooth val="1"/>
        </c:ser>
        <c:ser>
          <c:idx val="8"/>
          <c:order val="1"/>
          <c:tx>
            <c:v>VESTA (I)</c:v>
          </c:tx>
          <c:spPr>
            <a:ln w="19050">
              <a:solidFill>
                <a:srgbClr val="0000FF"/>
              </a:solidFill>
            </a:ln>
          </c:spPr>
          <c:marker>
            <c:symbol val="none"/>
          </c:marker>
          <c:xVal>
            <c:numRef>
              <c:f>Comparison!$G$60:$G$83</c:f>
              <c:numCache>
                <c:formatCode>0.00%</c:formatCode>
                <c:ptCount val="24"/>
                <c:pt idx="0">
                  <c:v>6.0853541676343423E-2</c:v>
                </c:pt>
                <c:pt idx="1">
                  <c:v>5.2925052079773945E-2</c:v>
                </c:pt>
                <c:pt idx="2">
                  <c:v>5.3477885214517851E-2</c:v>
                </c:pt>
                <c:pt idx="3">
                  <c:v>5.7844323760836293E-2</c:v>
                </c:pt>
                <c:pt idx="4">
                  <c:v>6.7408728442972563E-2</c:v>
                </c:pt>
                <c:pt idx="5">
                  <c:v>7.7709614179032147E-2</c:v>
                </c:pt>
                <c:pt idx="6">
                  <c:v>8.7485140584763962E-2</c:v>
                </c:pt>
                <c:pt idx="7">
                  <c:v>9.2831017176276828E-2</c:v>
                </c:pt>
                <c:pt idx="8">
                  <c:v>9.7474696216490464E-2</c:v>
                </c:pt>
                <c:pt idx="9">
                  <c:v>0.10411325520295572</c:v>
                </c:pt>
                <c:pt idx="10">
                  <c:v>0.10858632838899022</c:v>
                </c:pt>
                <c:pt idx="11">
                  <c:v>0.11060371892142472</c:v>
                </c:pt>
                <c:pt idx="12">
                  <c:v>0.11083700716286404</c:v>
                </c:pt>
                <c:pt idx="13">
                  <c:v>0.10975291181379966</c:v>
                </c:pt>
                <c:pt idx="14">
                  <c:v>0.1062865953627936</c:v>
                </c:pt>
                <c:pt idx="15">
                  <c:v>0.10054020375764119</c:v>
                </c:pt>
                <c:pt idx="16">
                  <c:v>9.2796826370461216E-2</c:v>
                </c:pt>
                <c:pt idx="17">
                  <c:v>8.7530082587547367E-2</c:v>
                </c:pt>
                <c:pt idx="18">
                  <c:v>8.1785165764095516E-2</c:v>
                </c:pt>
                <c:pt idx="19">
                  <c:v>7.1600914058338933E-2</c:v>
                </c:pt>
                <c:pt idx="20">
                  <c:v>6.1390194334967001E-2</c:v>
                </c:pt>
                <c:pt idx="21">
                  <c:v>5.3078088613530604E-2</c:v>
                </c:pt>
                <c:pt idx="22">
                  <c:v>5.1331244811256824E-2</c:v>
                </c:pt>
                <c:pt idx="23">
                  <c:v>5.7168043457644403E-2</c:v>
                </c:pt>
              </c:numCache>
            </c:numRef>
          </c:xVal>
          <c:yVal>
            <c:numRef>
              <c:f>Comparison!$F$60:$F$83</c:f>
              <c:numCache>
                <c:formatCode>General</c:formatCode>
                <c:ptCount val="24"/>
                <c:pt idx="0">
                  <c:v>24.764999999999986</c:v>
                </c:pt>
                <c:pt idx="1">
                  <c:v>23.302500000000002</c:v>
                </c:pt>
                <c:pt idx="2">
                  <c:v>22.224999999999987</c:v>
                </c:pt>
                <c:pt idx="3">
                  <c:v>20.608750000000001</c:v>
                </c:pt>
                <c:pt idx="4">
                  <c:v>17.876249999999889</c:v>
                </c:pt>
                <c:pt idx="5">
                  <c:v>15.143750000000001</c:v>
                </c:pt>
                <c:pt idx="6">
                  <c:v>12.411250000000001</c:v>
                </c:pt>
                <c:pt idx="7">
                  <c:v>10.795000000000002</c:v>
                </c:pt>
                <c:pt idx="8">
                  <c:v>9.1787500000000009</c:v>
                </c:pt>
                <c:pt idx="9">
                  <c:v>6.4462500000000134</c:v>
                </c:pt>
                <c:pt idx="10">
                  <c:v>3.7137499999999997</c:v>
                </c:pt>
                <c:pt idx="11">
                  <c:v>0.98124999999999851</c:v>
                </c:pt>
                <c:pt idx="12">
                  <c:v>-0.63500000000000778</c:v>
                </c:pt>
                <c:pt idx="13">
                  <c:v>-2.2512499999999771</c:v>
                </c:pt>
                <c:pt idx="14">
                  <c:v>-4.9837500000000023</c:v>
                </c:pt>
                <c:pt idx="15">
                  <c:v>-7.7162500000000014</c:v>
                </c:pt>
                <c:pt idx="16">
                  <c:v>-10.448749999999999</c:v>
                </c:pt>
                <c:pt idx="17">
                  <c:v>-12.065000000000024</c:v>
                </c:pt>
                <c:pt idx="18">
                  <c:v>-13.68125</c:v>
                </c:pt>
                <c:pt idx="19">
                  <c:v>-16.41375</c:v>
                </c:pt>
                <c:pt idx="20">
                  <c:v>-19.14625000000003</c:v>
                </c:pt>
                <c:pt idx="21">
                  <c:v>-21.878750000000004</c:v>
                </c:pt>
                <c:pt idx="22">
                  <c:v>-23.494999999999987</c:v>
                </c:pt>
                <c:pt idx="23">
                  <c:v>-24.572499999999788</c:v>
                </c:pt>
              </c:numCache>
            </c:numRef>
          </c:yVal>
          <c:smooth val="1"/>
        </c:ser>
        <c:ser>
          <c:idx val="7"/>
          <c:order val="2"/>
          <c:tx>
            <c:v>ALEPH (I)</c:v>
          </c:tx>
          <c:spPr>
            <a:ln w="19050">
              <a:solidFill>
                <a:srgbClr val="0000FF"/>
              </a:solidFill>
              <a:prstDash val="dash"/>
            </a:ln>
          </c:spPr>
          <c:marker>
            <c:symbol val="none"/>
          </c:marker>
          <c:xVal>
            <c:numRef>
              <c:f>Comparison!$B$60:$B$83</c:f>
              <c:numCache>
                <c:formatCode>0.00%</c:formatCode>
                <c:ptCount val="24"/>
                <c:pt idx="0">
                  <c:v>6.1582969701278585E-2</c:v>
                </c:pt>
                <c:pt idx="1">
                  <c:v>5.3303793027972134E-2</c:v>
                </c:pt>
                <c:pt idx="2">
                  <c:v>5.3978423155066423E-2</c:v>
                </c:pt>
                <c:pt idx="3">
                  <c:v>5.8271328279084239E-2</c:v>
                </c:pt>
                <c:pt idx="4">
                  <c:v>6.8121077673506336E-2</c:v>
                </c:pt>
                <c:pt idx="5">
                  <c:v>7.8594166419209799E-2</c:v>
                </c:pt>
                <c:pt idx="6">
                  <c:v>8.8614978740628972E-2</c:v>
                </c:pt>
                <c:pt idx="7">
                  <c:v>9.4223414440793463E-2</c:v>
                </c:pt>
                <c:pt idx="8">
                  <c:v>9.8950423561784503E-2</c:v>
                </c:pt>
                <c:pt idx="9">
                  <c:v>0.10578200677434303</c:v>
                </c:pt>
                <c:pt idx="10">
                  <c:v>0.11042967421690709</c:v>
                </c:pt>
                <c:pt idx="11">
                  <c:v>0.11248209084875045</c:v>
                </c:pt>
                <c:pt idx="12">
                  <c:v>0.11265681435411885</c:v>
                </c:pt>
                <c:pt idx="13">
                  <c:v>0.11150250331231033</c:v>
                </c:pt>
                <c:pt idx="14">
                  <c:v>0.10786222026287041</c:v>
                </c:pt>
                <c:pt idx="15">
                  <c:v>0.10203582432959354</c:v>
                </c:pt>
                <c:pt idx="16">
                  <c:v>9.4035966665414236E-2</c:v>
                </c:pt>
                <c:pt idx="17">
                  <c:v>8.882005818327092E-2</c:v>
                </c:pt>
                <c:pt idx="18">
                  <c:v>8.2676098617677066E-2</c:v>
                </c:pt>
                <c:pt idx="19">
                  <c:v>7.2272518808862762E-2</c:v>
                </c:pt>
                <c:pt idx="20">
                  <c:v>6.1916405487601814E-2</c:v>
                </c:pt>
                <c:pt idx="21">
                  <c:v>5.3402394659364333E-2</c:v>
                </c:pt>
                <c:pt idx="22">
                  <c:v>5.1580531479843893E-2</c:v>
                </c:pt>
                <c:pt idx="23">
                  <c:v>5.7899603743502309E-2</c:v>
                </c:pt>
              </c:numCache>
            </c:numRef>
          </c:xVal>
          <c:yVal>
            <c:numRef>
              <c:f>Comparison!$A$60:$A$83</c:f>
              <c:numCache>
                <c:formatCode>General</c:formatCode>
                <c:ptCount val="24"/>
                <c:pt idx="0">
                  <c:v>24.764999999999986</c:v>
                </c:pt>
                <c:pt idx="1">
                  <c:v>23.302500000000002</c:v>
                </c:pt>
                <c:pt idx="2">
                  <c:v>22.224999999999987</c:v>
                </c:pt>
                <c:pt idx="3">
                  <c:v>20.608750000000001</c:v>
                </c:pt>
                <c:pt idx="4">
                  <c:v>17.876249999999889</c:v>
                </c:pt>
                <c:pt idx="5">
                  <c:v>15.143750000000001</c:v>
                </c:pt>
                <c:pt idx="6">
                  <c:v>12.411250000000001</c:v>
                </c:pt>
                <c:pt idx="7">
                  <c:v>10.795000000000002</c:v>
                </c:pt>
                <c:pt idx="8">
                  <c:v>9.1787500000000009</c:v>
                </c:pt>
                <c:pt idx="9">
                  <c:v>6.4462500000000134</c:v>
                </c:pt>
                <c:pt idx="10">
                  <c:v>3.7137499999999997</c:v>
                </c:pt>
                <c:pt idx="11">
                  <c:v>0.98124999999999851</c:v>
                </c:pt>
                <c:pt idx="12">
                  <c:v>-0.63500000000000778</c:v>
                </c:pt>
                <c:pt idx="13">
                  <c:v>-2.2512499999999771</c:v>
                </c:pt>
                <c:pt idx="14">
                  <c:v>-4.9837500000000023</c:v>
                </c:pt>
                <c:pt idx="15">
                  <c:v>-7.7162500000000014</c:v>
                </c:pt>
                <c:pt idx="16">
                  <c:v>-10.448749999999999</c:v>
                </c:pt>
                <c:pt idx="17">
                  <c:v>-12.065000000000024</c:v>
                </c:pt>
                <c:pt idx="18">
                  <c:v>-13.68125</c:v>
                </c:pt>
                <c:pt idx="19">
                  <c:v>-16.41375</c:v>
                </c:pt>
                <c:pt idx="20">
                  <c:v>-19.14625000000003</c:v>
                </c:pt>
                <c:pt idx="21">
                  <c:v>-21.878750000000004</c:v>
                </c:pt>
                <c:pt idx="22">
                  <c:v>-23.494999999999987</c:v>
                </c:pt>
                <c:pt idx="23">
                  <c:v>-24.572499999999788</c:v>
                </c:pt>
              </c:numCache>
            </c:numRef>
          </c:yVal>
          <c:smooth val="1"/>
        </c:ser>
        <c:ser>
          <c:idx val="0"/>
          <c:order val="3"/>
          <c:tx>
            <c:v>Meas. (H)</c:v>
          </c:tx>
          <c:spPr>
            <a:ln>
              <a:noFill/>
            </a:ln>
          </c:spPr>
          <c:marker>
            <c:symbol val="triangle"/>
            <c:size val="7"/>
            <c:spPr>
              <a:noFill/>
              <a:ln w="19050">
                <a:solidFill>
                  <a:srgbClr val="008000"/>
                </a:solidFill>
              </a:ln>
            </c:spPr>
          </c:marker>
          <c:xVal>
            <c:numRef>
              <c:f>Comparison!$M$60:$M$64</c:f>
              <c:numCache>
                <c:formatCode>0.00%</c:formatCode>
                <c:ptCount val="5"/>
                <c:pt idx="0">
                  <c:v>3.4300000000000004E-2</c:v>
                </c:pt>
                <c:pt idx="1">
                  <c:v>5.6400000000000013E-2</c:v>
                </c:pt>
                <c:pt idx="2">
                  <c:v>7.0199999999999999E-2</c:v>
                </c:pt>
                <c:pt idx="3">
                  <c:v>5.4600000000000003E-2</c:v>
                </c:pt>
                <c:pt idx="4">
                  <c:v>2.9700000000000001E-2</c:v>
                </c:pt>
              </c:numCache>
            </c:numRef>
          </c:xVal>
          <c:yVal>
            <c:numRef>
              <c:f>Comparison!$K$60:$K$64</c:f>
              <c:numCache>
                <c:formatCode>General</c:formatCode>
                <c:ptCount val="5"/>
                <c:pt idx="0">
                  <c:v>22.224999999999987</c:v>
                </c:pt>
                <c:pt idx="1">
                  <c:v>10.795</c:v>
                </c:pt>
                <c:pt idx="2">
                  <c:v>-0.63500000000000612</c:v>
                </c:pt>
                <c:pt idx="3">
                  <c:v>-12.065000000000024</c:v>
                </c:pt>
                <c:pt idx="4">
                  <c:v>-23.3934</c:v>
                </c:pt>
              </c:numCache>
            </c:numRef>
          </c:yVal>
          <c:smooth val="1"/>
        </c:ser>
        <c:ser>
          <c:idx val="2"/>
          <c:order val="4"/>
          <c:tx>
            <c:v>VESTA (H)</c:v>
          </c:tx>
          <c:spPr>
            <a:ln w="19050">
              <a:solidFill>
                <a:srgbClr val="008000"/>
              </a:solidFill>
            </a:ln>
          </c:spPr>
          <c:marker>
            <c:symbol val="none"/>
          </c:marker>
          <c:xVal>
            <c:numRef>
              <c:f>Comparison!$H$60:$H$83</c:f>
              <c:numCache>
                <c:formatCode>0.00%</c:formatCode>
                <c:ptCount val="24"/>
                <c:pt idx="0">
                  <c:v>3.8504488557696635E-2</c:v>
                </c:pt>
                <c:pt idx="1">
                  <c:v>3.0776903849188932E-2</c:v>
                </c:pt>
                <c:pt idx="2">
                  <c:v>3.1456657856456474E-2</c:v>
                </c:pt>
                <c:pt idx="3">
                  <c:v>3.4652235221881336E-2</c:v>
                </c:pt>
                <c:pt idx="4">
                  <c:v>4.0930904225395894E-2</c:v>
                </c:pt>
                <c:pt idx="5">
                  <c:v>4.7359354650060692E-2</c:v>
                </c:pt>
                <c:pt idx="6">
                  <c:v>5.3407048129656916E-2</c:v>
                </c:pt>
                <c:pt idx="7">
                  <c:v>5.6776624198540966E-2</c:v>
                </c:pt>
                <c:pt idx="8">
                  <c:v>5.9765893544794016E-2</c:v>
                </c:pt>
                <c:pt idx="9">
                  <c:v>6.4022352697778381E-2</c:v>
                </c:pt>
                <c:pt idx="10">
                  <c:v>6.6884656005172224E-2</c:v>
                </c:pt>
                <c:pt idx="11">
                  <c:v>6.8189124956488822E-2</c:v>
                </c:pt>
                <c:pt idx="12">
                  <c:v>6.8252659827493914E-2</c:v>
                </c:pt>
                <c:pt idx="13">
                  <c:v>6.7704938620153032E-2</c:v>
                </c:pt>
                <c:pt idx="14">
                  <c:v>6.5465994979367434E-2</c:v>
                </c:pt>
                <c:pt idx="15">
                  <c:v>6.1752741272460963E-2</c:v>
                </c:pt>
                <c:pt idx="16">
                  <c:v>5.6696478282196733E-2</c:v>
                </c:pt>
                <c:pt idx="17">
                  <c:v>5.3330983079204593E-2</c:v>
                </c:pt>
                <c:pt idx="18">
                  <c:v>4.9676028974192571E-2</c:v>
                </c:pt>
                <c:pt idx="19">
                  <c:v>4.3432485234860513E-2</c:v>
                </c:pt>
                <c:pt idx="20">
                  <c:v>3.699508294749234E-2</c:v>
                </c:pt>
                <c:pt idx="21">
                  <c:v>3.1148749590550792E-2</c:v>
                </c:pt>
                <c:pt idx="22">
                  <c:v>2.9433263320865339E-2</c:v>
                </c:pt>
                <c:pt idx="23">
                  <c:v>3.4892617434749452E-2</c:v>
                </c:pt>
              </c:numCache>
            </c:numRef>
          </c:xVal>
          <c:yVal>
            <c:numRef>
              <c:f>Comparison!$F$60:$F$83</c:f>
              <c:numCache>
                <c:formatCode>General</c:formatCode>
                <c:ptCount val="24"/>
                <c:pt idx="0">
                  <c:v>24.764999999999986</c:v>
                </c:pt>
                <c:pt idx="1">
                  <c:v>23.302500000000002</c:v>
                </c:pt>
                <c:pt idx="2">
                  <c:v>22.224999999999987</c:v>
                </c:pt>
                <c:pt idx="3">
                  <c:v>20.608750000000001</c:v>
                </c:pt>
                <c:pt idx="4">
                  <c:v>17.876249999999889</c:v>
                </c:pt>
                <c:pt idx="5">
                  <c:v>15.143750000000001</c:v>
                </c:pt>
                <c:pt idx="6">
                  <c:v>12.411250000000001</c:v>
                </c:pt>
                <c:pt idx="7">
                  <c:v>10.795000000000002</c:v>
                </c:pt>
                <c:pt idx="8">
                  <c:v>9.1787500000000009</c:v>
                </c:pt>
                <c:pt idx="9">
                  <c:v>6.4462500000000134</c:v>
                </c:pt>
                <c:pt idx="10">
                  <c:v>3.7137499999999997</c:v>
                </c:pt>
                <c:pt idx="11">
                  <c:v>0.98124999999999851</c:v>
                </c:pt>
                <c:pt idx="12">
                  <c:v>-0.63500000000000778</c:v>
                </c:pt>
                <c:pt idx="13">
                  <c:v>-2.2512499999999771</c:v>
                </c:pt>
                <c:pt idx="14">
                  <c:v>-4.9837500000000023</c:v>
                </c:pt>
                <c:pt idx="15">
                  <c:v>-7.7162500000000014</c:v>
                </c:pt>
                <c:pt idx="16">
                  <c:v>-10.448749999999999</c:v>
                </c:pt>
                <c:pt idx="17">
                  <c:v>-12.065000000000024</c:v>
                </c:pt>
                <c:pt idx="18">
                  <c:v>-13.68125</c:v>
                </c:pt>
                <c:pt idx="19">
                  <c:v>-16.41375</c:v>
                </c:pt>
                <c:pt idx="20">
                  <c:v>-19.14625000000003</c:v>
                </c:pt>
                <c:pt idx="21">
                  <c:v>-21.878750000000004</c:v>
                </c:pt>
                <c:pt idx="22">
                  <c:v>-23.494999999999987</c:v>
                </c:pt>
                <c:pt idx="23">
                  <c:v>-24.572499999999788</c:v>
                </c:pt>
              </c:numCache>
            </c:numRef>
          </c:yVal>
          <c:smooth val="1"/>
        </c:ser>
        <c:ser>
          <c:idx val="1"/>
          <c:order val="5"/>
          <c:tx>
            <c:v>ALEPH (H)</c:v>
          </c:tx>
          <c:spPr>
            <a:ln w="19050">
              <a:solidFill>
                <a:srgbClr val="008000"/>
              </a:solidFill>
              <a:prstDash val="dash"/>
            </a:ln>
          </c:spPr>
          <c:marker>
            <c:symbol val="none"/>
          </c:marker>
          <c:xVal>
            <c:numRef>
              <c:f>Comparison!$C$60:$C$83</c:f>
              <c:numCache>
                <c:formatCode>0.00%</c:formatCode>
                <c:ptCount val="24"/>
                <c:pt idx="0">
                  <c:v>3.8863631671975242E-2</c:v>
                </c:pt>
                <c:pt idx="1">
                  <c:v>3.0996171763826092E-2</c:v>
                </c:pt>
                <c:pt idx="2">
                  <c:v>3.1669499045180245E-2</c:v>
                </c:pt>
                <c:pt idx="3">
                  <c:v>3.4911531766631199E-2</c:v>
                </c:pt>
                <c:pt idx="4">
                  <c:v>4.1260436593578011E-2</c:v>
                </c:pt>
                <c:pt idx="5">
                  <c:v>4.7659472046223103E-2</c:v>
                </c:pt>
                <c:pt idx="6">
                  <c:v>5.3825531683085161E-2</c:v>
                </c:pt>
                <c:pt idx="7">
                  <c:v>5.7082281812459161E-2</c:v>
                </c:pt>
                <c:pt idx="8">
                  <c:v>6.0256521553422288E-2</c:v>
                </c:pt>
                <c:pt idx="9">
                  <c:v>6.4444188622689469E-2</c:v>
                </c:pt>
                <c:pt idx="10">
                  <c:v>6.7310489722243197E-2</c:v>
                </c:pt>
                <c:pt idx="11">
                  <c:v>6.8693605855165193E-2</c:v>
                </c:pt>
                <c:pt idx="12">
                  <c:v>6.868040612408248E-2</c:v>
                </c:pt>
                <c:pt idx="13">
                  <c:v>6.7990768515194672E-2</c:v>
                </c:pt>
                <c:pt idx="14">
                  <c:v>6.5927022075626632E-2</c:v>
                </c:pt>
                <c:pt idx="15">
                  <c:v>6.2070366569609466E-2</c:v>
                </c:pt>
                <c:pt idx="16">
                  <c:v>5.7102405180294191E-2</c:v>
                </c:pt>
                <c:pt idx="17">
                  <c:v>5.3664118684699655E-2</c:v>
                </c:pt>
                <c:pt idx="18">
                  <c:v>5.0043482205087232E-2</c:v>
                </c:pt>
                <c:pt idx="19">
                  <c:v>4.3766647928134589E-2</c:v>
                </c:pt>
                <c:pt idx="20">
                  <c:v>3.7223052036040059E-2</c:v>
                </c:pt>
                <c:pt idx="21">
                  <c:v>3.1335937428449291E-2</c:v>
                </c:pt>
                <c:pt idx="22">
                  <c:v>2.9503312959800975E-2</c:v>
                </c:pt>
                <c:pt idx="23">
                  <c:v>3.5160306422585066E-2</c:v>
                </c:pt>
              </c:numCache>
            </c:numRef>
          </c:xVal>
          <c:yVal>
            <c:numRef>
              <c:f>Comparison!$A$60:$A$83</c:f>
              <c:numCache>
                <c:formatCode>General</c:formatCode>
                <c:ptCount val="24"/>
                <c:pt idx="0">
                  <c:v>24.764999999999986</c:v>
                </c:pt>
                <c:pt idx="1">
                  <c:v>23.302500000000002</c:v>
                </c:pt>
                <c:pt idx="2">
                  <c:v>22.224999999999987</c:v>
                </c:pt>
                <c:pt idx="3">
                  <c:v>20.608750000000001</c:v>
                </c:pt>
                <c:pt idx="4">
                  <c:v>17.876249999999889</c:v>
                </c:pt>
                <c:pt idx="5">
                  <c:v>15.143750000000001</c:v>
                </c:pt>
                <c:pt idx="6">
                  <c:v>12.411250000000001</c:v>
                </c:pt>
                <c:pt idx="7">
                  <c:v>10.795000000000002</c:v>
                </c:pt>
                <c:pt idx="8">
                  <c:v>9.1787500000000009</c:v>
                </c:pt>
                <c:pt idx="9">
                  <c:v>6.4462500000000134</c:v>
                </c:pt>
                <c:pt idx="10">
                  <c:v>3.7137499999999997</c:v>
                </c:pt>
                <c:pt idx="11">
                  <c:v>0.98124999999999851</c:v>
                </c:pt>
                <c:pt idx="12">
                  <c:v>-0.63500000000000778</c:v>
                </c:pt>
                <c:pt idx="13">
                  <c:v>-2.2512499999999771</c:v>
                </c:pt>
                <c:pt idx="14">
                  <c:v>-4.9837500000000023</c:v>
                </c:pt>
                <c:pt idx="15">
                  <c:v>-7.7162500000000014</c:v>
                </c:pt>
                <c:pt idx="16">
                  <c:v>-10.448749999999999</c:v>
                </c:pt>
                <c:pt idx="17">
                  <c:v>-12.065000000000024</c:v>
                </c:pt>
                <c:pt idx="18">
                  <c:v>-13.68125</c:v>
                </c:pt>
                <c:pt idx="19">
                  <c:v>-16.41375</c:v>
                </c:pt>
                <c:pt idx="20">
                  <c:v>-19.14625000000003</c:v>
                </c:pt>
                <c:pt idx="21">
                  <c:v>-21.878750000000004</c:v>
                </c:pt>
                <c:pt idx="22">
                  <c:v>-23.494999999999987</c:v>
                </c:pt>
                <c:pt idx="23">
                  <c:v>-24.572499999999788</c:v>
                </c:pt>
              </c:numCache>
            </c:numRef>
          </c:yVal>
          <c:smooth val="1"/>
        </c:ser>
        <c:ser>
          <c:idx val="3"/>
          <c:order val="6"/>
          <c:tx>
            <c:v>Meas. (O)</c:v>
          </c:tx>
          <c:spPr>
            <a:ln>
              <a:noFill/>
            </a:ln>
          </c:spPr>
          <c:marker>
            <c:symbol val="circle"/>
            <c:size val="7"/>
            <c:spPr>
              <a:noFill/>
              <a:ln w="19050">
                <a:solidFill>
                  <a:srgbClr val="FF0000"/>
                </a:solidFill>
              </a:ln>
            </c:spPr>
          </c:marker>
          <c:xVal>
            <c:numRef>
              <c:f>Comparison!$N$60:$N$64</c:f>
              <c:numCache>
                <c:formatCode>0.00%</c:formatCode>
                <c:ptCount val="5"/>
                <c:pt idx="0">
                  <c:v>4.1700000000000001E-2</c:v>
                </c:pt>
                <c:pt idx="1">
                  <c:v>9.4600000000000226E-2</c:v>
                </c:pt>
                <c:pt idx="2">
                  <c:v>0.14380000000000001</c:v>
                </c:pt>
                <c:pt idx="3">
                  <c:v>0.10050000000000002</c:v>
                </c:pt>
                <c:pt idx="4">
                  <c:v>3.2199999999999999E-2</c:v>
                </c:pt>
              </c:numCache>
            </c:numRef>
          </c:xVal>
          <c:yVal>
            <c:numRef>
              <c:f>Comparison!$K$60:$K$64</c:f>
              <c:numCache>
                <c:formatCode>General</c:formatCode>
                <c:ptCount val="5"/>
                <c:pt idx="0">
                  <c:v>22.224999999999987</c:v>
                </c:pt>
                <c:pt idx="1">
                  <c:v>10.795</c:v>
                </c:pt>
                <c:pt idx="2">
                  <c:v>-0.63500000000000612</c:v>
                </c:pt>
                <c:pt idx="3">
                  <c:v>-12.065000000000024</c:v>
                </c:pt>
                <c:pt idx="4">
                  <c:v>-23.3934</c:v>
                </c:pt>
              </c:numCache>
            </c:numRef>
          </c:yVal>
          <c:smooth val="1"/>
        </c:ser>
        <c:ser>
          <c:idx val="5"/>
          <c:order val="7"/>
          <c:tx>
            <c:v>VESTA (O)</c:v>
          </c:tx>
          <c:spPr>
            <a:ln w="19050">
              <a:solidFill>
                <a:srgbClr val="FF0000"/>
              </a:solidFill>
            </a:ln>
          </c:spPr>
          <c:marker>
            <c:symbol val="none"/>
          </c:marker>
          <c:xVal>
            <c:numRef>
              <c:f>Comparison!$I$60:$I$83</c:f>
              <c:numCache>
                <c:formatCode>0.00%</c:formatCode>
                <c:ptCount val="24"/>
                <c:pt idx="0">
                  <c:v>4.3664455484293298E-2</c:v>
                </c:pt>
                <c:pt idx="1">
                  <c:v>4.2136082623261732E-2</c:v>
                </c:pt>
                <c:pt idx="2">
                  <c:v>4.5253405538712162E-2</c:v>
                </c:pt>
                <c:pt idx="3">
                  <c:v>5.2577134443807134E-2</c:v>
                </c:pt>
                <c:pt idx="4">
                  <c:v>6.6274640147079275E-2</c:v>
                </c:pt>
                <c:pt idx="5">
                  <c:v>8.0949820035300477E-2</c:v>
                </c:pt>
                <c:pt idx="6">
                  <c:v>9.6799149806055057E-2</c:v>
                </c:pt>
                <c:pt idx="7">
                  <c:v>0.10670655993507858</c:v>
                </c:pt>
                <c:pt idx="8">
                  <c:v>0.11660632141321381</c:v>
                </c:pt>
                <c:pt idx="9">
                  <c:v>0.13079633867228879</c:v>
                </c:pt>
                <c:pt idx="10">
                  <c:v>0.13997625228470026</c:v>
                </c:pt>
                <c:pt idx="11">
                  <c:v>0.14421988445302825</c:v>
                </c:pt>
                <c:pt idx="12">
                  <c:v>0.14463226171602594</c:v>
                </c:pt>
                <c:pt idx="13">
                  <c:v>0.1429154319979771</c:v>
                </c:pt>
                <c:pt idx="14">
                  <c:v>0.13646441127622344</c:v>
                </c:pt>
                <c:pt idx="15">
                  <c:v>0.12422631113190249</c:v>
                </c:pt>
                <c:pt idx="16">
                  <c:v>0.10664068879305359</c:v>
                </c:pt>
                <c:pt idx="17">
                  <c:v>9.5822123908663251E-2</c:v>
                </c:pt>
                <c:pt idx="18">
                  <c:v>8.594067180290281E-2</c:v>
                </c:pt>
                <c:pt idx="19">
                  <c:v>7.0687059686760478E-2</c:v>
                </c:pt>
                <c:pt idx="20">
                  <c:v>5.6578453741260845E-2</c:v>
                </c:pt>
                <c:pt idx="21">
                  <c:v>4.3010546288125187E-2</c:v>
                </c:pt>
                <c:pt idx="22">
                  <c:v>3.6649801193901002E-2</c:v>
                </c:pt>
                <c:pt idx="23">
                  <c:v>3.7105639627127852E-2</c:v>
                </c:pt>
              </c:numCache>
            </c:numRef>
          </c:xVal>
          <c:yVal>
            <c:numRef>
              <c:f>Comparison!$F$60:$F$83</c:f>
              <c:numCache>
                <c:formatCode>General</c:formatCode>
                <c:ptCount val="24"/>
                <c:pt idx="0">
                  <c:v>24.764999999999986</c:v>
                </c:pt>
                <c:pt idx="1">
                  <c:v>23.302500000000002</c:v>
                </c:pt>
                <c:pt idx="2">
                  <c:v>22.224999999999987</c:v>
                </c:pt>
                <c:pt idx="3">
                  <c:v>20.608750000000001</c:v>
                </c:pt>
                <c:pt idx="4">
                  <c:v>17.876249999999889</c:v>
                </c:pt>
                <c:pt idx="5">
                  <c:v>15.143750000000001</c:v>
                </c:pt>
                <c:pt idx="6">
                  <c:v>12.411250000000001</c:v>
                </c:pt>
                <c:pt idx="7">
                  <c:v>10.795000000000002</c:v>
                </c:pt>
                <c:pt idx="8">
                  <c:v>9.1787500000000009</c:v>
                </c:pt>
                <c:pt idx="9">
                  <c:v>6.4462500000000134</c:v>
                </c:pt>
                <c:pt idx="10">
                  <c:v>3.7137499999999997</c:v>
                </c:pt>
                <c:pt idx="11">
                  <c:v>0.98124999999999851</c:v>
                </c:pt>
                <c:pt idx="12">
                  <c:v>-0.63500000000000778</c:v>
                </c:pt>
                <c:pt idx="13">
                  <c:v>-2.2512499999999771</c:v>
                </c:pt>
                <c:pt idx="14">
                  <c:v>-4.9837500000000023</c:v>
                </c:pt>
                <c:pt idx="15">
                  <c:v>-7.7162500000000014</c:v>
                </c:pt>
                <c:pt idx="16">
                  <c:v>-10.448749999999999</c:v>
                </c:pt>
                <c:pt idx="17">
                  <c:v>-12.065000000000024</c:v>
                </c:pt>
                <c:pt idx="18">
                  <c:v>-13.68125</c:v>
                </c:pt>
                <c:pt idx="19">
                  <c:v>-16.41375</c:v>
                </c:pt>
                <c:pt idx="20">
                  <c:v>-19.14625000000003</c:v>
                </c:pt>
                <c:pt idx="21">
                  <c:v>-21.878750000000004</c:v>
                </c:pt>
                <c:pt idx="22">
                  <c:v>-23.494999999999987</c:v>
                </c:pt>
                <c:pt idx="23">
                  <c:v>-24.572499999999788</c:v>
                </c:pt>
              </c:numCache>
            </c:numRef>
          </c:yVal>
          <c:smooth val="1"/>
        </c:ser>
        <c:ser>
          <c:idx val="4"/>
          <c:order val="8"/>
          <c:tx>
            <c:v>ALEPH (O)</c:v>
          </c:tx>
          <c:spPr>
            <a:ln w="19050">
              <a:solidFill>
                <a:srgbClr val="FF0000"/>
              </a:solidFill>
              <a:prstDash val="dash"/>
            </a:ln>
          </c:spPr>
          <c:marker>
            <c:symbol val="none"/>
          </c:marker>
          <c:xVal>
            <c:numRef>
              <c:f>Comparison!$D$60:$D$83</c:f>
              <c:numCache>
                <c:formatCode>0.00%</c:formatCode>
                <c:ptCount val="24"/>
                <c:pt idx="0">
                  <c:v>4.5166536363838133E-2</c:v>
                </c:pt>
                <c:pt idx="1">
                  <c:v>4.3612969474167686E-2</c:v>
                </c:pt>
                <c:pt idx="2">
                  <c:v>4.710374385093407E-2</c:v>
                </c:pt>
                <c:pt idx="3">
                  <c:v>5.4633684522306998E-2</c:v>
                </c:pt>
                <c:pt idx="4">
                  <c:v>6.9068883625742122E-2</c:v>
                </c:pt>
                <c:pt idx="5">
                  <c:v>8.4374535331015257E-2</c:v>
                </c:pt>
                <c:pt idx="6">
                  <c:v>0.10134542095734339</c:v>
                </c:pt>
                <c:pt idx="7">
                  <c:v>0.11212677690374655</c:v>
                </c:pt>
                <c:pt idx="8">
                  <c:v>0.12270544027702614</c:v>
                </c:pt>
                <c:pt idx="9">
                  <c:v>0.13811840013645146</c:v>
                </c:pt>
                <c:pt idx="10">
                  <c:v>0.14790275240283504</c:v>
                </c:pt>
                <c:pt idx="11">
                  <c:v>0.15248835816787956</c:v>
                </c:pt>
                <c:pt idx="12">
                  <c:v>0.15285309987039403</c:v>
                </c:pt>
                <c:pt idx="13">
                  <c:v>0.15113892618377703</c:v>
                </c:pt>
                <c:pt idx="14">
                  <c:v>0.1441300684114854</c:v>
                </c:pt>
                <c:pt idx="15">
                  <c:v>0.13075564998554462</c:v>
                </c:pt>
                <c:pt idx="16">
                  <c:v>0.11168185340810792</c:v>
                </c:pt>
                <c:pt idx="17">
                  <c:v>0.10015381748232655</c:v>
                </c:pt>
                <c:pt idx="18">
                  <c:v>8.9668725390458906E-2</c:v>
                </c:pt>
                <c:pt idx="19">
                  <c:v>7.3574999116827383E-2</c:v>
                </c:pt>
                <c:pt idx="20">
                  <c:v>5.8795561050916469E-2</c:v>
                </c:pt>
                <c:pt idx="21">
                  <c:v>4.4528950053934334E-2</c:v>
                </c:pt>
                <c:pt idx="22">
                  <c:v>3.7850840674074286E-2</c:v>
                </c:pt>
                <c:pt idx="23">
                  <c:v>3.8186020758866804E-2</c:v>
                </c:pt>
              </c:numCache>
            </c:numRef>
          </c:xVal>
          <c:yVal>
            <c:numRef>
              <c:f>Comparison!$A$60:$A$83</c:f>
              <c:numCache>
                <c:formatCode>General</c:formatCode>
                <c:ptCount val="24"/>
                <c:pt idx="0">
                  <c:v>24.764999999999986</c:v>
                </c:pt>
                <c:pt idx="1">
                  <c:v>23.302500000000002</c:v>
                </c:pt>
                <c:pt idx="2">
                  <c:v>22.224999999999987</c:v>
                </c:pt>
                <c:pt idx="3">
                  <c:v>20.608750000000001</c:v>
                </c:pt>
                <c:pt idx="4">
                  <c:v>17.876249999999889</c:v>
                </c:pt>
                <c:pt idx="5">
                  <c:v>15.143750000000001</c:v>
                </c:pt>
                <c:pt idx="6">
                  <c:v>12.411250000000001</c:v>
                </c:pt>
                <c:pt idx="7">
                  <c:v>10.795000000000002</c:v>
                </c:pt>
                <c:pt idx="8">
                  <c:v>9.1787500000000009</c:v>
                </c:pt>
                <c:pt idx="9">
                  <c:v>6.4462500000000134</c:v>
                </c:pt>
                <c:pt idx="10">
                  <c:v>3.7137499999999997</c:v>
                </c:pt>
                <c:pt idx="11">
                  <c:v>0.98124999999999851</c:v>
                </c:pt>
                <c:pt idx="12">
                  <c:v>-0.63500000000000778</c:v>
                </c:pt>
                <c:pt idx="13">
                  <c:v>-2.2512499999999771</c:v>
                </c:pt>
                <c:pt idx="14">
                  <c:v>-4.9837500000000023</c:v>
                </c:pt>
                <c:pt idx="15">
                  <c:v>-7.7162500000000014</c:v>
                </c:pt>
                <c:pt idx="16">
                  <c:v>-10.448749999999999</c:v>
                </c:pt>
                <c:pt idx="17">
                  <c:v>-12.065000000000024</c:v>
                </c:pt>
                <c:pt idx="18">
                  <c:v>-13.68125</c:v>
                </c:pt>
                <c:pt idx="19">
                  <c:v>-16.41375</c:v>
                </c:pt>
                <c:pt idx="20">
                  <c:v>-19.14625000000003</c:v>
                </c:pt>
                <c:pt idx="21">
                  <c:v>-21.878750000000004</c:v>
                </c:pt>
                <c:pt idx="22">
                  <c:v>-23.494999999999987</c:v>
                </c:pt>
                <c:pt idx="23">
                  <c:v>-24.572499999999788</c:v>
                </c:pt>
              </c:numCache>
            </c:numRef>
          </c:yVal>
          <c:smooth val="1"/>
        </c:ser>
        <c:axId val="183894016"/>
        <c:axId val="183895936"/>
      </c:scatterChart>
      <c:valAx>
        <c:axId val="183894016"/>
        <c:scaling>
          <c:orientation val="minMax"/>
          <c:max val="0.16"/>
          <c:min val="2.0000000000000011E-2"/>
        </c:scaling>
        <c:axPos val="b"/>
        <c:majorGridlines>
          <c:spPr>
            <a:ln>
              <a:solidFill>
                <a:sysClr val="windowText" lastClr="000000"/>
              </a:solidFill>
            </a:ln>
          </c:spPr>
        </c:majorGridlines>
        <c:title>
          <c:tx>
            <c:rich>
              <a:bodyPr/>
              <a:lstStyle/>
              <a:p>
                <a:pPr>
                  <a:defRPr sz="1100"/>
                </a:pPr>
                <a:r>
                  <a:rPr lang="en-US" sz="1100"/>
                  <a:t>Post-Irradiation U-236/Uranium at. %</a:t>
                </a:r>
              </a:p>
            </c:rich>
          </c:tx>
          <c:layout>
            <c:manualLayout>
              <c:xMode val="edge"/>
              <c:yMode val="edge"/>
              <c:x val="0.35717513522191896"/>
              <c:y val="0.95338163134256992"/>
            </c:manualLayout>
          </c:layout>
        </c:title>
        <c:numFmt formatCode="0%" sourceLinked="0"/>
        <c:tickLblPos val="low"/>
        <c:spPr>
          <a:ln>
            <a:solidFill>
              <a:sysClr val="windowText" lastClr="000000"/>
            </a:solidFill>
          </a:ln>
        </c:spPr>
        <c:crossAx val="183895936"/>
        <c:crosses val="autoZero"/>
        <c:crossBetween val="midCat"/>
        <c:majorUnit val="2.0000000000000011E-2"/>
        <c:minorUnit val="1.0000000000000005E-2"/>
      </c:valAx>
      <c:valAx>
        <c:axId val="183895936"/>
        <c:scaling>
          <c:orientation val="minMax"/>
          <c:max val="30"/>
          <c:min val="-30"/>
        </c:scaling>
        <c:axPos val="l"/>
        <c:majorGridlines>
          <c:spPr>
            <a:ln>
              <a:solidFill>
                <a:sysClr val="windowText" lastClr="000000"/>
              </a:solidFill>
            </a:ln>
          </c:spPr>
        </c:majorGridlines>
        <c:title>
          <c:tx>
            <c:rich>
              <a:bodyPr rot="-5400000" vert="horz"/>
              <a:lstStyle/>
              <a:p>
                <a:pPr>
                  <a:defRPr sz="1100"/>
                </a:pPr>
                <a:r>
                  <a:rPr lang="en-US" sz="1100"/>
                  <a:t>Distance from Core Axial Midplane (cm)</a:t>
                </a:r>
              </a:p>
            </c:rich>
          </c:tx>
          <c:layout>
            <c:manualLayout>
              <c:xMode val="edge"/>
              <c:yMode val="edge"/>
              <c:x val="5.8592155147273424E-3"/>
              <c:y val="7.614081134595016E-2"/>
            </c:manualLayout>
          </c:layout>
        </c:title>
        <c:numFmt formatCode="General" sourceLinked="0"/>
        <c:tickLblPos val="low"/>
        <c:spPr>
          <a:ln>
            <a:solidFill>
              <a:schemeClr val="tx1"/>
            </a:solidFill>
          </a:ln>
        </c:spPr>
        <c:crossAx val="183894016"/>
        <c:crosses val="autoZero"/>
        <c:crossBetween val="midCat"/>
        <c:majorUnit val="5"/>
        <c:minorUnit val="2.5"/>
      </c:valAx>
    </c:plotArea>
    <c:legend>
      <c:legendPos val="r"/>
      <c:layout>
        <c:manualLayout>
          <c:xMode val="edge"/>
          <c:yMode val="edge"/>
          <c:x val="0.43719277878726992"/>
          <c:y val="3.0902411404616398E-4"/>
          <c:w val="0.55915241198298449"/>
          <c:h val="0.16845636482939852"/>
        </c:manualLayout>
      </c:layout>
      <c:overlay val="1"/>
      <c:spPr>
        <a:solidFill>
          <a:schemeClr val="bg1"/>
        </a:solidFill>
        <a:ln>
          <a:solidFill>
            <a:sysClr val="windowText" lastClr="000000"/>
          </a:solidFill>
        </a:ln>
      </c:spPr>
      <c:txPr>
        <a:bodyPr/>
        <a:lstStyle/>
        <a:p>
          <a:pPr>
            <a:defRPr sz="800"/>
          </a:pPr>
          <a:endParaRPr lang="en-US"/>
        </a:p>
      </c:txPr>
    </c:legend>
    <c:plotVisOnly val="1"/>
  </c:chart>
  <c:spPr>
    <a:ln>
      <a:solidFill>
        <a:sysClr val="windowText" lastClr="000000"/>
      </a:solidFill>
    </a:ln>
  </c:spPr>
  <c:txPr>
    <a:bodyPr/>
    <a:lstStyle/>
    <a:p>
      <a:pPr>
        <a:defRPr sz="1000">
          <a:latin typeface="Times New Roman" pitchFamily="18" charset="0"/>
          <a:cs typeface="Times New Roman" pitchFamily="18" charset="0"/>
        </a:defRPr>
      </a:pPr>
      <a:endParaRPr lang="en-US"/>
    </a:p>
  </c:txPr>
  <c:externalData r:id="rId1"/>
</c:chartSpace>
</file>

<file path=word/charts/chart25.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0417687372411817"/>
          <c:y val="1.7297499270924468E-2"/>
          <c:w val="0.85782553222514335"/>
          <c:h val="0.84150118570704613"/>
        </c:manualLayout>
      </c:layout>
      <c:scatterChart>
        <c:scatterStyle val="smoothMarker"/>
        <c:ser>
          <c:idx val="6"/>
          <c:order val="0"/>
          <c:tx>
            <c:v>Meas. (I)</c:v>
          </c:tx>
          <c:spPr>
            <a:ln>
              <a:noFill/>
            </a:ln>
          </c:spPr>
          <c:marker>
            <c:symbol val="star"/>
            <c:size val="7"/>
            <c:spPr>
              <a:noFill/>
              <a:ln w="19050">
                <a:solidFill>
                  <a:srgbClr val="0000FF"/>
                </a:solidFill>
              </a:ln>
            </c:spPr>
          </c:marker>
          <c:xVal>
            <c:numRef>
              <c:f>Comparison!$L$88:$L$92</c:f>
              <c:numCache>
                <c:formatCode>0.00%</c:formatCode>
                <c:ptCount val="5"/>
                <c:pt idx="0">
                  <c:v>6.9000000000000034E-2</c:v>
                </c:pt>
                <c:pt idx="1">
                  <c:v>7.5400000000000023E-2</c:v>
                </c:pt>
                <c:pt idx="2">
                  <c:v>8.2900000000000015E-2</c:v>
                </c:pt>
                <c:pt idx="3">
                  <c:v>7.4000000000000024E-2</c:v>
                </c:pt>
                <c:pt idx="4">
                  <c:v>6.6600000000000006E-2</c:v>
                </c:pt>
              </c:numCache>
            </c:numRef>
          </c:xVal>
          <c:yVal>
            <c:numRef>
              <c:f>Comparison!$K$88:$K$92</c:f>
              <c:numCache>
                <c:formatCode>General</c:formatCode>
                <c:ptCount val="5"/>
                <c:pt idx="0">
                  <c:v>22.224999999999987</c:v>
                </c:pt>
                <c:pt idx="1">
                  <c:v>10.795</c:v>
                </c:pt>
                <c:pt idx="2">
                  <c:v>-0.63500000000000589</c:v>
                </c:pt>
                <c:pt idx="3">
                  <c:v>-12.065000000000024</c:v>
                </c:pt>
                <c:pt idx="4">
                  <c:v>-23.3934</c:v>
                </c:pt>
              </c:numCache>
            </c:numRef>
          </c:yVal>
          <c:smooth val="1"/>
        </c:ser>
        <c:ser>
          <c:idx val="8"/>
          <c:order val="1"/>
          <c:tx>
            <c:v>VESTA (I)</c:v>
          </c:tx>
          <c:spPr>
            <a:ln w="19050">
              <a:solidFill>
                <a:srgbClr val="0000FF"/>
              </a:solidFill>
            </a:ln>
          </c:spPr>
          <c:marker>
            <c:symbol val="none"/>
          </c:marker>
          <c:xVal>
            <c:numRef>
              <c:f>Comparison!$G$87:$G$110</c:f>
              <c:numCache>
                <c:formatCode>0.00%</c:formatCode>
                <c:ptCount val="24"/>
                <c:pt idx="0">
                  <c:v>6.8788763041408504E-2</c:v>
                </c:pt>
                <c:pt idx="1">
                  <c:v>6.5852171420175909E-2</c:v>
                </c:pt>
                <c:pt idx="2">
                  <c:v>6.5620695420956221E-2</c:v>
                </c:pt>
                <c:pt idx="3">
                  <c:v>6.6392416075817834E-2</c:v>
                </c:pt>
                <c:pt idx="4">
                  <c:v>6.8394394668102002E-2</c:v>
                </c:pt>
                <c:pt idx="5">
                  <c:v>7.069080482056081E-2</c:v>
                </c:pt>
                <c:pt idx="6">
                  <c:v>7.2922172631658025E-2</c:v>
                </c:pt>
                <c:pt idx="7">
                  <c:v>7.4127788235028594E-2</c:v>
                </c:pt>
                <c:pt idx="8">
                  <c:v>7.5231974456274789E-2</c:v>
                </c:pt>
                <c:pt idx="9">
                  <c:v>7.6782943891547994E-2</c:v>
                </c:pt>
                <c:pt idx="10">
                  <c:v>7.7868531583304174E-2</c:v>
                </c:pt>
                <c:pt idx="11">
                  <c:v>7.8326543166519089E-2</c:v>
                </c:pt>
                <c:pt idx="12">
                  <c:v>7.8384840531373096E-2</c:v>
                </c:pt>
                <c:pt idx="13">
                  <c:v>7.8119734453405532E-2</c:v>
                </c:pt>
                <c:pt idx="14">
                  <c:v>7.7301082205977784E-2</c:v>
                </c:pt>
                <c:pt idx="15">
                  <c:v>7.5957689443758414E-2</c:v>
                </c:pt>
                <c:pt idx="16">
                  <c:v>7.4149125166768956E-2</c:v>
                </c:pt>
                <c:pt idx="17">
                  <c:v>7.2932881555618653E-2</c:v>
                </c:pt>
                <c:pt idx="18">
                  <c:v>7.1635631450037984E-2</c:v>
                </c:pt>
                <c:pt idx="19">
                  <c:v>6.9308078873165119E-2</c:v>
                </c:pt>
                <c:pt idx="20">
                  <c:v>6.7071880494234307E-2</c:v>
                </c:pt>
                <c:pt idx="21">
                  <c:v>6.5478852518053465E-2</c:v>
                </c:pt>
                <c:pt idx="22">
                  <c:v>6.5529076619968568E-2</c:v>
                </c:pt>
                <c:pt idx="23">
                  <c:v>6.7695690664525174E-2</c:v>
                </c:pt>
              </c:numCache>
            </c:numRef>
          </c:xVal>
          <c:yVal>
            <c:numRef>
              <c:f>Comparison!$F$87:$F$110</c:f>
              <c:numCache>
                <c:formatCode>General</c:formatCode>
                <c:ptCount val="24"/>
                <c:pt idx="0">
                  <c:v>24.764999999999986</c:v>
                </c:pt>
                <c:pt idx="1">
                  <c:v>23.302500000000002</c:v>
                </c:pt>
                <c:pt idx="2">
                  <c:v>22.224999999999987</c:v>
                </c:pt>
                <c:pt idx="3">
                  <c:v>20.608750000000001</c:v>
                </c:pt>
                <c:pt idx="4">
                  <c:v>17.876249999999889</c:v>
                </c:pt>
                <c:pt idx="5">
                  <c:v>15.143750000000001</c:v>
                </c:pt>
                <c:pt idx="6">
                  <c:v>12.411250000000001</c:v>
                </c:pt>
                <c:pt idx="7">
                  <c:v>10.795000000000002</c:v>
                </c:pt>
                <c:pt idx="8">
                  <c:v>9.1787500000000009</c:v>
                </c:pt>
                <c:pt idx="9">
                  <c:v>6.4462500000000134</c:v>
                </c:pt>
                <c:pt idx="10">
                  <c:v>3.7137499999999997</c:v>
                </c:pt>
                <c:pt idx="11">
                  <c:v>0.98124999999999851</c:v>
                </c:pt>
                <c:pt idx="12">
                  <c:v>-0.63500000000000745</c:v>
                </c:pt>
                <c:pt idx="13">
                  <c:v>-2.251249999999978</c:v>
                </c:pt>
                <c:pt idx="14">
                  <c:v>-4.9837500000000023</c:v>
                </c:pt>
                <c:pt idx="15">
                  <c:v>-7.7162500000000014</c:v>
                </c:pt>
                <c:pt idx="16">
                  <c:v>-10.448749999999999</c:v>
                </c:pt>
                <c:pt idx="17">
                  <c:v>-12.065000000000024</c:v>
                </c:pt>
                <c:pt idx="18">
                  <c:v>-13.68125</c:v>
                </c:pt>
                <c:pt idx="19">
                  <c:v>-16.41375</c:v>
                </c:pt>
                <c:pt idx="20">
                  <c:v>-19.14625000000003</c:v>
                </c:pt>
                <c:pt idx="21">
                  <c:v>-21.878750000000004</c:v>
                </c:pt>
                <c:pt idx="22">
                  <c:v>-23.494999999999987</c:v>
                </c:pt>
                <c:pt idx="23">
                  <c:v>-24.572499999999796</c:v>
                </c:pt>
              </c:numCache>
            </c:numRef>
          </c:yVal>
          <c:smooth val="1"/>
        </c:ser>
        <c:ser>
          <c:idx val="7"/>
          <c:order val="2"/>
          <c:tx>
            <c:v>ALEPH (I)</c:v>
          </c:tx>
          <c:spPr>
            <a:ln w="19050">
              <a:solidFill>
                <a:srgbClr val="0000FF"/>
              </a:solidFill>
              <a:prstDash val="dash"/>
            </a:ln>
          </c:spPr>
          <c:marker>
            <c:symbol val="none"/>
          </c:marker>
          <c:xVal>
            <c:numRef>
              <c:f>Comparison!$B$87:$B$110</c:f>
              <c:numCache>
                <c:formatCode>0.00%</c:formatCode>
                <c:ptCount val="24"/>
                <c:pt idx="0">
                  <c:v>6.8934363440443722E-2</c:v>
                </c:pt>
                <c:pt idx="1">
                  <c:v>6.5855188882537469E-2</c:v>
                </c:pt>
                <c:pt idx="2">
                  <c:v>6.5750764451347463E-2</c:v>
                </c:pt>
                <c:pt idx="3">
                  <c:v>6.6500147377769256E-2</c:v>
                </c:pt>
                <c:pt idx="4">
                  <c:v>6.8465322639249884E-2</c:v>
                </c:pt>
                <c:pt idx="5">
                  <c:v>7.0876730961180121E-2</c:v>
                </c:pt>
                <c:pt idx="6">
                  <c:v>7.3226231673026193E-2</c:v>
                </c:pt>
                <c:pt idx="7">
                  <c:v>7.4467112162252991E-2</c:v>
                </c:pt>
                <c:pt idx="8">
                  <c:v>7.5643206077372516E-2</c:v>
                </c:pt>
                <c:pt idx="9">
                  <c:v>7.7155050348524407E-2</c:v>
                </c:pt>
                <c:pt idx="10">
                  <c:v>7.8318117789074215E-2</c:v>
                </c:pt>
                <c:pt idx="11">
                  <c:v>7.8767228653949875E-2</c:v>
                </c:pt>
                <c:pt idx="12">
                  <c:v>7.8806036684950329E-2</c:v>
                </c:pt>
                <c:pt idx="13">
                  <c:v>7.8446691781897823E-2</c:v>
                </c:pt>
                <c:pt idx="14">
                  <c:v>7.7642119696334291E-2</c:v>
                </c:pt>
                <c:pt idx="15">
                  <c:v>7.6285019489563816E-2</c:v>
                </c:pt>
                <c:pt idx="16">
                  <c:v>7.4413869975744534E-2</c:v>
                </c:pt>
                <c:pt idx="17">
                  <c:v>7.3287127147360784E-2</c:v>
                </c:pt>
                <c:pt idx="18">
                  <c:v>7.1868621553592124E-2</c:v>
                </c:pt>
                <c:pt idx="19">
                  <c:v>6.925946938561521E-2</c:v>
                </c:pt>
                <c:pt idx="20">
                  <c:v>6.7274932606360846E-2</c:v>
                </c:pt>
                <c:pt idx="21">
                  <c:v>6.5487070312134119E-2</c:v>
                </c:pt>
                <c:pt idx="22">
                  <c:v>6.5539259251101961E-2</c:v>
                </c:pt>
                <c:pt idx="23">
                  <c:v>6.7829432653908894E-2</c:v>
                </c:pt>
              </c:numCache>
            </c:numRef>
          </c:xVal>
          <c:yVal>
            <c:numRef>
              <c:f>Comparison!$A$87:$A$110</c:f>
              <c:numCache>
                <c:formatCode>General</c:formatCode>
                <c:ptCount val="24"/>
                <c:pt idx="0">
                  <c:v>24.764999999999986</c:v>
                </c:pt>
                <c:pt idx="1">
                  <c:v>23.302500000000002</c:v>
                </c:pt>
                <c:pt idx="2">
                  <c:v>22.224999999999987</c:v>
                </c:pt>
                <c:pt idx="3">
                  <c:v>20.608750000000001</c:v>
                </c:pt>
                <c:pt idx="4">
                  <c:v>17.876249999999889</c:v>
                </c:pt>
                <c:pt idx="5">
                  <c:v>15.143750000000001</c:v>
                </c:pt>
                <c:pt idx="6">
                  <c:v>12.411250000000001</c:v>
                </c:pt>
                <c:pt idx="7">
                  <c:v>10.795000000000002</c:v>
                </c:pt>
                <c:pt idx="8">
                  <c:v>9.1787500000000009</c:v>
                </c:pt>
                <c:pt idx="9">
                  <c:v>6.4462500000000134</c:v>
                </c:pt>
                <c:pt idx="10">
                  <c:v>3.7137499999999997</c:v>
                </c:pt>
                <c:pt idx="11">
                  <c:v>0.98124999999999851</c:v>
                </c:pt>
                <c:pt idx="12">
                  <c:v>-0.63500000000000745</c:v>
                </c:pt>
                <c:pt idx="13">
                  <c:v>-2.251249999999978</c:v>
                </c:pt>
                <c:pt idx="14">
                  <c:v>-4.9837500000000023</c:v>
                </c:pt>
                <c:pt idx="15">
                  <c:v>-7.7162500000000014</c:v>
                </c:pt>
                <c:pt idx="16">
                  <c:v>-10.448749999999999</c:v>
                </c:pt>
                <c:pt idx="17">
                  <c:v>-12.065000000000024</c:v>
                </c:pt>
                <c:pt idx="18">
                  <c:v>-13.68125</c:v>
                </c:pt>
                <c:pt idx="19">
                  <c:v>-16.41375</c:v>
                </c:pt>
                <c:pt idx="20">
                  <c:v>-19.14625000000003</c:v>
                </c:pt>
                <c:pt idx="21">
                  <c:v>-21.878750000000004</c:v>
                </c:pt>
                <c:pt idx="22">
                  <c:v>-23.494999999999987</c:v>
                </c:pt>
                <c:pt idx="23">
                  <c:v>-24.572499999999796</c:v>
                </c:pt>
              </c:numCache>
            </c:numRef>
          </c:yVal>
          <c:smooth val="1"/>
        </c:ser>
        <c:ser>
          <c:idx val="0"/>
          <c:order val="3"/>
          <c:tx>
            <c:v>Meas. (H)</c:v>
          </c:tx>
          <c:spPr>
            <a:ln>
              <a:noFill/>
            </a:ln>
          </c:spPr>
          <c:marker>
            <c:symbol val="triangle"/>
            <c:size val="7"/>
            <c:spPr>
              <a:noFill/>
              <a:ln w="19050">
                <a:solidFill>
                  <a:srgbClr val="008000"/>
                </a:solidFill>
              </a:ln>
            </c:spPr>
          </c:marker>
          <c:xVal>
            <c:numRef>
              <c:f>Comparison!$M$88:$M$92</c:f>
              <c:numCache>
                <c:formatCode>0.00%</c:formatCode>
                <c:ptCount val="5"/>
                <c:pt idx="0">
                  <c:v>6.0700000000000122E-2</c:v>
                </c:pt>
                <c:pt idx="1">
                  <c:v>6.4400000000000124E-2</c:v>
                </c:pt>
                <c:pt idx="2">
                  <c:v>6.7500000000000004E-2</c:v>
                </c:pt>
                <c:pt idx="3">
                  <c:v>6.4100000000000004E-2</c:v>
                </c:pt>
                <c:pt idx="4">
                  <c:v>5.9000000000000434E-2</c:v>
                </c:pt>
              </c:numCache>
            </c:numRef>
          </c:xVal>
          <c:yVal>
            <c:numRef>
              <c:f>Comparison!$K$88:$K$92</c:f>
              <c:numCache>
                <c:formatCode>General</c:formatCode>
                <c:ptCount val="5"/>
                <c:pt idx="0">
                  <c:v>22.224999999999987</c:v>
                </c:pt>
                <c:pt idx="1">
                  <c:v>10.795</c:v>
                </c:pt>
                <c:pt idx="2">
                  <c:v>-0.63500000000000589</c:v>
                </c:pt>
                <c:pt idx="3">
                  <c:v>-12.065000000000024</c:v>
                </c:pt>
                <c:pt idx="4">
                  <c:v>-23.3934</c:v>
                </c:pt>
              </c:numCache>
            </c:numRef>
          </c:yVal>
          <c:smooth val="1"/>
        </c:ser>
        <c:ser>
          <c:idx val="2"/>
          <c:order val="4"/>
          <c:tx>
            <c:v>VESTA (H)</c:v>
          </c:tx>
          <c:spPr>
            <a:ln w="19050">
              <a:solidFill>
                <a:srgbClr val="008000"/>
              </a:solidFill>
            </a:ln>
          </c:spPr>
          <c:marker>
            <c:symbol val="none"/>
          </c:marker>
          <c:xVal>
            <c:numRef>
              <c:f>Comparison!$H$87:$H$110</c:f>
              <c:numCache>
                <c:formatCode>0.00%</c:formatCode>
                <c:ptCount val="24"/>
                <c:pt idx="0">
                  <c:v>6.2366651017735676E-2</c:v>
                </c:pt>
                <c:pt idx="1">
                  <c:v>5.9631979884776913E-2</c:v>
                </c:pt>
                <c:pt idx="2">
                  <c:v>5.9510639789435951E-2</c:v>
                </c:pt>
                <c:pt idx="3">
                  <c:v>6.0015846661686946E-2</c:v>
                </c:pt>
                <c:pt idx="4">
                  <c:v>6.116333677896682E-2</c:v>
                </c:pt>
                <c:pt idx="5">
                  <c:v>6.2388520139142901E-2</c:v>
                </c:pt>
                <c:pt idx="6">
                  <c:v>6.3581782008074697E-2</c:v>
                </c:pt>
                <c:pt idx="7">
                  <c:v>6.4246432027993933E-2</c:v>
                </c:pt>
                <c:pt idx="8">
                  <c:v>6.4868970992069494E-2</c:v>
                </c:pt>
                <c:pt idx="9">
                  <c:v>6.5759041260393086E-2</c:v>
                </c:pt>
                <c:pt idx="10">
                  <c:v>6.6343953059753907E-2</c:v>
                </c:pt>
                <c:pt idx="11">
                  <c:v>6.661558131274882E-2</c:v>
                </c:pt>
                <c:pt idx="12">
                  <c:v>6.6672030691583978E-2</c:v>
                </c:pt>
                <c:pt idx="13">
                  <c:v>6.652533217601285E-2</c:v>
                </c:pt>
                <c:pt idx="14">
                  <c:v>6.6056793202761713E-2</c:v>
                </c:pt>
                <c:pt idx="15">
                  <c:v>6.5283717795057469E-2</c:v>
                </c:pt>
                <c:pt idx="16">
                  <c:v>6.4255580659066017E-2</c:v>
                </c:pt>
                <c:pt idx="17">
                  <c:v>6.3554288251195051E-2</c:v>
                </c:pt>
                <c:pt idx="18">
                  <c:v>6.2846206251144024E-2</c:v>
                </c:pt>
                <c:pt idx="19">
                  <c:v>6.1625900528910087E-2</c:v>
                </c:pt>
                <c:pt idx="20">
                  <c:v>6.0414254752164713E-2</c:v>
                </c:pt>
                <c:pt idx="21">
                  <c:v>5.9429571060782505E-2</c:v>
                </c:pt>
                <c:pt idx="22">
                  <c:v>5.9355081678394553E-2</c:v>
                </c:pt>
                <c:pt idx="23">
                  <c:v>6.1316231009107519E-2</c:v>
                </c:pt>
              </c:numCache>
            </c:numRef>
          </c:xVal>
          <c:yVal>
            <c:numRef>
              <c:f>Comparison!$F$87:$F$110</c:f>
              <c:numCache>
                <c:formatCode>General</c:formatCode>
                <c:ptCount val="24"/>
                <c:pt idx="0">
                  <c:v>24.764999999999986</c:v>
                </c:pt>
                <c:pt idx="1">
                  <c:v>23.302500000000002</c:v>
                </c:pt>
                <c:pt idx="2">
                  <c:v>22.224999999999987</c:v>
                </c:pt>
                <c:pt idx="3">
                  <c:v>20.608750000000001</c:v>
                </c:pt>
                <c:pt idx="4">
                  <c:v>17.876249999999889</c:v>
                </c:pt>
                <c:pt idx="5">
                  <c:v>15.143750000000001</c:v>
                </c:pt>
                <c:pt idx="6">
                  <c:v>12.411250000000001</c:v>
                </c:pt>
                <c:pt idx="7">
                  <c:v>10.795000000000002</c:v>
                </c:pt>
                <c:pt idx="8">
                  <c:v>9.1787500000000009</c:v>
                </c:pt>
                <c:pt idx="9">
                  <c:v>6.4462500000000134</c:v>
                </c:pt>
                <c:pt idx="10">
                  <c:v>3.7137499999999997</c:v>
                </c:pt>
                <c:pt idx="11">
                  <c:v>0.98124999999999851</c:v>
                </c:pt>
                <c:pt idx="12">
                  <c:v>-0.63500000000000745</c:v>
                </c:pt>
                <c:pt idx="13">
                  <c:v>-2.251249999999978</c:v>
                </c:pt>
                <c:pt idx="14">
                  <c:v>-4.9837500000000023</c:v>
                </c:pt>
                <c:pt idx="15">
                  <c:v>-7.7162500000000014</c:v>
                </c:pt>
                <c:pt idx="16">
                  <c:v>-10.448749999999999</c:v>
                </c:pt>
                <c:pt idx="17">
                  <c:v>-12.065000000000024</c:v>
                </c:pt>
                <c:pt idx="18">
                  <c:v>-13.68125</c:v>
                </c:pt>
                <c:pt idx="19">
                  <c:v>-16.41375</c:v>
                </c:pt>
                <c:pt idx="20">
                  <c:v>-19.14625000000003</c:v>
                </c:pt>
                <c:pt idx="21">
                  <c:v>-21.878750000000004</c:v>
                </c:pt>
                <c:pt idx="22">
                  <c:v>-23.494999999999987</c:v>
                </c:pt>
                <c:pt idx="23">
                  <c:v>-24.572499999999796</c:v>
                </c:pt>
              </c:numCache>
            </c:numRef>
          </c:yVal>
          <c:smooth val="1"/>
        </c:ser>
        <c:ser>
          <c:idx val="1"/>
          <c:order val="5"/>
          <c:tx>
            <c:v>ALEPH (H)</c:v>
          </c:tx>
          <c:spPr>
            <a:ln w="19050">
              <a:solidFill>
                <a:srgbClr val="008000"/>
              </a:solidFill>
              <a:prstDash val="dash"/>
            </a:ln>
          </c:spPr>
          <c:marker>
            <c:symbol val="none"/>
          </c:marker>
          <c:xVal>
            <c:numRef>
              <c:f>Comparison!$C$87:$C$110</c:f>
              <c:numCache>
                <c:formatCode>0.00%</c:formatCode>
                <c:ptCount val="24"/>
                <c:pt idx="0">
                  <c:v>6.2433411774109514E-2</c:v>
                </c:pt>
                <c:pt idx="1">
                  <c:v>5.9790594385360891E-2</c:v>
                </c:pt>
                <c:pt idx="2">
                  <c:v>5.9518171526239914E-2</c:v>
                </c:pt>
                <c:pt idx="3">
                  <c:v>6.0078655831538534E-2</c:v>
                </c:pt>
                <c:pt idx="4">
                  <c:v>6.1338477310547486E-2</c:v>
                </c:pt>
                <c:pt idx="5">
                  <c:v>6.2519216995988502E-2</c:v>
                </c:pt>
                <c:pt idx="6">
                  <c:v>6.3757742893671171E-2</c:v>
                </c:pt>
                <c:pt idx="7">
                  <c:v>6.4435675296390937E-2</c:v>
                </c:pt>
                <c:pt idx="8">
                  <c:v>6.4977807313067543E-2</c:v>
                </c:pt>
                <c:pt idx="9">
                  <c:v>6.5709241356327094E-2</c:v>
                </c:pt>
                <c:pt idx="10">
                  <c:v>6.6335585981843984E-2</c:v>
                </c:pt>
                <c:pt idx="11">
                  <c:v>6.6628484191339099E-2</c:v>
                </c:pt>
                <c:pt idx="12">
                  <c:v>6.6661156019000051E-2</c:v>
                </c:pt>
                <c:pt idx="13">
                  <c:v>6.651438320496296E-2</c:v>
                </c:pt>
                <c:pt idx="14">
                  <c:v>6.6075667421649942E-2</c:v>
                </c:pt>
                <c:pt idx="15">
                  <c:v>6.5309291517329032E-2</c:v>
                </c:pt>
                <c:pt idx="16">
                  <c:v>6.4446742754905709E-2</c:v>
                </c:pt>
                <c:pt idx="17">
                  <c:v>6.3697059530300443E-2</c:v>
                </c:pt>
                <c:pt idx="18">
                  <c:v>6.2912229632020519E-2</c:v>
                </c:pt>
                <c:pt idx="19">
                  <c:v>6.1788995474749614E-2</c:v>
                </c:pt>
                <c:pt idx="20">
                  <c:v>6.0425003900274096E-2</c:v>
                </c:pt>
                <c:pt idx="21">
                  <c:v>5.9443310113512192E-2</c:v>
                </c:pt>
                <c:pt idx="22">
                  <c:v>5.9409424064519184E-2</c:v>
                </c:pt>
                <c:pt idx="23">
                  <c:v>6.1321743677254056E-2</c:v>
                </c:pt>
              </c:numCache>
            </c:numRef>
          </c:xVal>
          <c:yVal>
            <c:numRef>
              <c:f>Comparison!$A$87:$A$110</c:f>
              <c:numCache>
                <c:formatCode>General</c:formatCode>
                <c:ptCount val="24"/>
                <c:pt idx="0">
                  <c:v>24.764999999999986</c:v>
                </c:pt>
                <c:pt idx="1">
                  <c:v>23.302500000000002</c:v>
                </c:pt>
                <c:pt idx="2">
                  <c:v>22.224999999999987</c:v>
                </c:pt>
                <c:pt idx="3">
                  <c:v>20.608750000000001</c:v>
                </c:pt>
                <c:pt idx="4">
                  <c:v>17.876249999999889</c:v>
                </c:pt>
                <c:pt idx="5">
                  <c:v>15.143750000000001</c:v>
                </c:pt>
                <c:pt idx="6">
                  <c:v>12.411250000000001</c:v>
                </c:pt>
                <c:pt idx="7">
                  <c:v>10.795000000000002</c:v>
                </c:pt>
                <c:pt idx="8">
                  <c:v>9.1787500000000009</c:v>
                </c:pt>
                <c:pt idx="9">
                  <c:v>6.4462500000000134</c:v>
                </c:pt>
                <c:pt idx="10">
                  <c:v>3.7137499999999997</c:v>
                </c:pt>
                <c:pt idx="11">
                  <c:v>0.98124999999999851</c:v>
                </c:pt>
                <c:pt idx="12">
                  <c:v>-0.63500000000000745</c:v>
                </c:pt>
                <c:pt idx="13">
                  <c:v>-2.251249999999978</c:v>
                </c:pt>
                <c:pt idx="14">
                  <c:v>-4.9837500000000023</c:v>
                </c:pt>
                <c:pt idx="15">
                  <c:v>-7.7162500000000014</c:v>
                </c:pt>
                <c:pt idx="16">
                  <c:v>-10.448749999999999</c:v>
                </c:pt>
                <c:pt idx="17">
                  <c:v>-12.065000000000024</c:v>
                </c:pt>
                <c:pt idx="18">
                  <c:v>-13.68125</c:v>
                </c:pt>
                <c:pt idx="19">
                  <c:v>-16.41375</c:v>
                </c:pt>
                <c:pt idx="20">
                  <c:v>-19.14625000000003</c:v>
                </c:pt>
                <c:pt idx="21">
                  <c:v>-21.878750000000004</c:v>
                </c:pt>
                <c:pt idx="22">
                  <c:v>-23.494999999999987</c:v>
                </c:pt>
                <c:pt idx="23">
                  <c:v>-24.572499999999796</c:v>
                </c:pt>
              </c:numCache>
            </c:numRef>
          </c:yVal>
          <c:smooth val="1"/>
        </c:ser>
        <c:ser>
          <c:idx val="3"/>
          <c:order val="6"/>
          <c:tx>
            <c:v>Meas. (O)</c:v>
          </c:tx>
          <c:spPr>
            <a:ln>
              <a:noFill/>
            </a:ln>
          </c:spPr>
          <c:marker>
            <c:symbol val="circle"/>
            <c:size val="7"/>
            <c:spPr>
              <a:noFill/>
              <a:ln w="19050">
                <a:solidFill>
                  <a:srgbClr val="FF0000"/>
                </a:solidFill>
              </a:ln>
            </c:spPr>
          </c:marker>
          <c:xVal>
            <c:numRef>
              <c:f>Comparison!$N$88:$N$92</c:f>
              <c:numCache>
                <c:formatCode>0.00%</c:formatCode>
                <c:ptCount val="5"/>
                <c:pt idx="0">
                  <c:v>6.3200000000000006E-2</c:v>
                </c:pt>
                <c:pt idx="1">
                  <c:v>7.9199999999999993E-2</c:v>
                </c:pt>
                <c:pt idx="2">
                  <c:v>9.0400000000000022E-2</c:v>
                </c:pt>
                <c:pt idx="3">
                  <c:v>7.7500000000000013E-2</c:v>
                </c:pt>
                <c:pt idx="4">
                  <c:v>6.0700000000000122E-2</c:v>
                </c:pt>
              </c:numCache>
            </c:numRef>
          </c:xVal>
          <c:yVal>
            <c:numRef>
              <c:f>Comparison!$K$88:$K$92</c:f>
              <c:numCache>
                <c:formatCode>General</c:formatCode>
                <c:ptCount val="5"/>
                <c:pt idx="0">
                  <c:v>22.224999999999987</c:v>
                </c:pt>
                <c:pt idx="1">
                  <c:v>10.795</c:v>
                </c:pt>
                <c:pt idx="2">
                  <c:v>-0.63500000000000589</c:v>
                </c:pt>
                <c:pt idx="3">
                  <c:v>-12.065000000000024</c:v>
                </c:pt>
                <c:pt idx="4">
                  <c:v>-23.3934</c:v>
                </c:pt>
              </c:numCache>
            </c:numRef>
          </c:yVal>
          <c:smooth val="1"/>
        </c:ser>
        <c:ser>
          <c:idx val="5"/>
          <c:order val="7"/>
          <c:tx>
            <c:v>VESTA (O)</c:v>
          </c:tx>
          <c:spPr>
            <a:ln w="19050">
              <a:solidFill>
                <a:srgbClr val="FF0000"/>
              </a:solidFill>
            </a:ln>
          </c:spPr>
          <c:marker>
            <c:symbol val="none"/>
          </c:marker>
          <c:xVal>
            <c:numRef>
              <c:f>Comparison!$I$87:$I$110</c:f>
              <c:numCache>
                <c:formatCode>0.00%</c:formatCode>
                <c:ptCount val="24"/>
                <c:pt idx="0">
                  <c:v>6.4131118120561673E-2</c:v>
                </c:pt>
                <c:pt idx="1">
                  <c:v>6.327441589389067E-2</c:v>
                </c:pt>
                <c:pt idx="2">
                  <c:v>6.3919005675225168E-2</c:v>
                </c:pt>
                <c:pt idx="3">
                  <c:v>6.566274224929193E-2</c:v>
                </c:pt>
                <c:pt idx="4">
                  <c:v>6.9047437754828397E-2</c:v>
                </c:pt>
                <c:pt idx="5">
                  <c:v>7.2748382257269914E-2</c:v>
                </c:pt>
                <c:pt idx="6">
                  <c:v>7.687434901080914E-2</c:v>
                </c:pt>
                <c:pt idx="7">
                  <c:v>7.9541131945755822E-2</c:v>
                </c:pt>
                <c:pt idx="8">
                  <c:v>8.2215893551833744E-2</c:v>
                </c:pt>
                <c:pt idx="9">
                  <c:v>8.6098048309511024E-2</c:v>
                </c:pt>
                <c:pt idx="10">
                  <c:v>8.8631748773961266E-2</c:v>
                </c:pt>
                <c:pt idx="11">
                  <c:v>8.9812650035593716E-2</c:v>
                </c:pt>
                <c:pt idx="12">
                  <c:v>8.9896548980144514E-2</c:v>
                </c:pt>
                <c:pt idx="13">
                  <c:v>8.9437179365681546E-2</c:v>
                </c:pt>
                <c:pt idx="14">
                  <c:v>8.7700766220430215E-2</c:v>
                </c:pt>
                <c:pt idx="15">
                  <c:v>8.4343697737901499E-2</c:v>
                </c:pt>
                <c:pt idx="16">
                  <c:v>7.9528927848728392E-2</c:v>
                </c:pt>
                <c:pt idx="17">
                  <c:v>7.6610937914322094E-2</c:v>
                </c:pt>
                <c:pt idx="18">
                  <c:v>7.4038256071800174E-2</c:v>
                </c:pt>
                <c:pt idx="19">
                  <c:v>7.0137098798989078E-2</c:v>
                </c:pt>
                <c:pt idx="20">
                  <c:v>6.6606692704736112E-2</c:v>
                </c:pt>
                <c:pt idx="21">
                  <c:v>6.3268003508719944E-2</c:v>
                </c:pt>
                <c:pt idx="22">
                  <c:v>6.1806901312700897E-2</c:v>
                </c:pt>
                <c:pt idx="23">
                  <c:v>6.2221217598557567E-2</c:v>
                </c:pt>
              </c:numCache>
            </c:numRef>
          </c:xVal>
          <c:yVal>
            <c:numRef>
              <c:f>Comparison!$F$87:$F$110</c:f>
              <c:numCache>
                <c:formatCode>General</c:formatCode>
                <c:ptCount val="24"/>
                <c:pt idx="0">
                  <c:v>24.764999999999986</c:v>
                </c:pt>
                <c:pt idx="1">
                  <c:v>23.302500000000002</c:v>
                </c:pt>
                <c:pt idx="2">
                  <c:v>22.224999999999987</c:v>
                </c:pt>
                <c:pt idx="3">
                  <c:v>20.608750000000001</c:v>
                </c:pt>
                <c:pt idx="4">
                  <c:v>17.876249999999889</c:v>
                </c:pt>
                <c:pt idx="5">
                  <c:v>15.143750000000001</c:v>
                </c:pt>
                <c:pt idx="6">
                  <c:v>12.411250000000001</c:v>
                </c:pt>
                <c:pt idx="7">
                  <c:v>10.795000000000002</c:v>
                </c:pt>
                <c:pt idx="8">
                  <c:v>9.1787500000000009</c:v>
                </c:pt>
                <c:pt idx="9">
                  <c:v>6.4462500000000134</c:v>
                </c:pt>
                <c:pt idx="10">
                  <c:v>3.7137499999999997</c:v>
                </c:pt>
                <c:pt idx="11">
                  <c:v>0.98124999999999851</c:v>
                </c:pt>
                <c:pt idx="12">
                  <c:v>-0.63500000000000745</c:v>
                </c:pt>
                <c:pt idx="13">
                  <c:v>-2.251249999999978</c:v>
                </c:pt>
                <c:pt idx="14">
                  <c:v>-4.9837500000000023</c:v>
                </c:pt>
                <c:pt idx="15">
                  <c:v>-7.7162500000000014</c:v>
                </c:pt>
                <c:pt idx="16">
                  <c:v>-10.448749999999999</c:v>
                </c:pt>
                <c:pt idx="17">
                  <c:v>-12.065000000000024</c:v>
                </c:pt>
                <c:pt idx="18">
                  <c:v>-13.68125</c:v>
                </c:pt>
                <c:pt idx="19">
                  <c:v>-16.41375</c:v>
                </c:pt>
                <c:pt idx="20">
                  <c:v>-19.14625000000003</c:v>
                </c:pt>
                <c:pt idx="21">
                  <c:v>-21.878750000000004</c:v>
                </c:pt>
                <c:pt idx="22">
                  <c:v>-23.494999999999987</c:v>
                </c:pt>
                <c:pt idx="23">
                  <c:v>-24.572499999999796</c:v>
                </c:pt>
              </c:numCache>
            </c:numRef>
          </c:yVal>
          <c:smooth val="1"/>
        </c:ser>
        <c:ser>
          <c:idx val="4"/>
          <c:order val="8"/>
          <c:tx>
            <c:v>ALEPH (O)</c:v>
          </c:tx>
          <c:spPr>
            <a:ln w="19050">
              <a:solidFill>
                <a:srgbClr val="FF0000"/>
              </a:solidFill>
              <a:prstDash val="dash"/>
            </a:ln>
          </c:spPr>
          <c:marker>
            <c:symbol val="none"/>
          </c:marker>
          <c:xVal>
            <c:numRef>
              <c:f>Comparison!$D$87:$D$110</c:f>
              <c:numCache>
                <c:formatCode>0.00%</c:formatCode>
                <c:ptCount val="24"/>
                <c:pt idx="0">
                  <c:v>6.4516653312409994E-2</c:v>
                </c:pt>
                <c:pt idx="1">
                  <c:v>6.3574204468363371E-2</c:v>
                </c:pt>
                <c:pt idx="2">
                  <c:v>6.4398067828480635E-2</c:v>
                </c:pt>
                <c:pt idx="3">
                  <c:v>6.6192146329695237E-2</c:v>
                </c:pt>
                <c:pt idx="4">
                  <c:v>6.9835566217183564E-2</c:v>
                </c:pt>
                <c:pt idx="5">
                  <c:v>7.363451153681902E-2</c:v>
                </c:pt>
                <c:pt idx="6">
                  <c:v>7.8022063365631944E-2</c:v>
                </c:pt>
                <c:pt idx="7">
                  <c:v>8.0980097607941129E-2</c:v>
                </c:pt>
                <c:pt idx="8">
                  <c:v>8.3886497827907497E-2</c:v>
                </c:pt>
                <c:pt idx="9">
                  <c:v>8.8016147540797243E-2</c:v>
                </c:pt>
                <c:pt idx="10">
                  <c:v>9.0840412576801727E-2</c:v>
                </c:pt>
                <c:pt idx="11">
                  <c:v>9.2064441003356728E-2</c:v>
                </c:pt>
                <c:pt idx="12">
                  <c:v>9.2137217040182684E-2</c:v>
                </c:pt>
                <c:pt idx="13">
                  <c:v>9.1685141492668126E-2</c:v>
                </c:pt>
                <c:pt idx="14">
                  <c:v>8.9787134181050096E-2</c:v>
                </c:pt>
                <c:pt idx="15">
                  <c:v>8.6063054508152395E-2</c:v>
                </c:pt>
                <c:pt idx="16">
                  <c:v>8.0820889523254266E-2</c:v>
                </c:pt>
                <c:pt idx="17">
                  <c:v>7.7707610961412085E-2</c:v>
                </c:pt>
                <c:pt idx="18">
                  <c:v>7.5043258322641998E-2</c:v>
                </c:pt>
                <c:pt idx="19">
                  <c:v>7.0840091801046071E-2</c:v>
                </c:pt>
                <c:pt idx="20">
                  <c:v>6.7190276095042592E-2</c:v>
                </c:pt>
                <c:pt idx="21">
                  <c:v>6.367049088630912E-2</c:v>
                </c:pt>
                <c:pt idx="22">
                  <c:v>6.2091863146258794E-2</c:v>
                </c:pt>
                <c:pt idx="23">
                  <c:v>6.2527907884228934E-2</c:v>
                </c:pt>
              </c:numCache>
            </c:numRef>
          </c:xVal>
          <c:yVal>
            <c:numRef>
              <c:f>Comparison!$A$87:$A$110</c:f>
              <c:numCache>
                <c:formatCode>General</c:formatCode>
                <c:ptCount val="24"/>
                <c:pt idx="0">
                  <c:v>24.764999999999986</c:v>
                </c:pt>
                <c:pt idx="1">
                  <c:v>23.302500000000002</c:v>
                </c:pt>
                <c:pt idx="2">
                  <c:v>22.224999999999987</c:v>
                </c:pt>
                <c:pt idx="3">
                  <c:v>20.608750000000001</c:v>
                </c:pt>
                <c:pt idx="4">
                  <c:v>17.876249999999889</c:v>
                </c:pt>
                <c:pt idx="5">
                  <c:v>15.143750000000001</c:v>
                </c:pt>
                <c:pt idx="6">
                  <c:v>12.411250000000001</c:v>
                </c:pt>
                <c:pt idx="7">
                  <c:v>10.795000000000002</c:v>
                </c:pt>
                <c:pt idx="8">
                  <c:v>9.1787500000000009</c:v>
                </c:pt>
                <c:pt idx="9">
                  <c:v>6.4462500000000134</c:v>
                </c:pt>
                <c:pt idx="10">
                  <c:v>3.7137499999999997</c:v>
                </c:pt>
                <c:pt idx="11">
                  <c:v>0.98124999999999851</c:v>
                </c:pt>
                <c:pt idx="12">
                  <c:v>-0.63500000000000745</c:v>
                </c:pt>
                <c:pt idx="13">
                  <c:v>-2.251249999999978</c:v>
                </c:pt>
                <c:pt idx="14">
                  <c:v>-4.9837500000000023</c:v>
                </c:pt>
                <c:pt idx="15">
                  <c:v>-7.7162500000000014</c:v>
                </c:pt>
                <c:pt idx="16">
                  <c:v>-10.448749999999999</c:v>
                </c:pt>
                <c:pt idx="17">
                  <c:v>-12.065000000000024</c:v>
                </c:pt>
                <c:pt idx="18">
                  <c:v>-13.68125</c:v>
                </c:pt>
                <c:pt idx="19">
                  <c:v>-16.41375</c:v>
                </c:pt>
                <c:pt idx="20">
                  <c:v>-19.14625000000003</c:v>
                </c:pt>
                <c:pt idx="21">
                  <c:v>-21.878750000000004</c:v>
                </c:pt>
                <c:pt idx="22">
                  <c:v>-23.494999999999987</c:v>
                </c:pt>
                <c:pt idx="23">
                  <c:v>-24.572499999999796</c:v>
                </c:pt>
              </c:numCache>
            </c:numRef>
          </c:yVal>
          <c:smooth val="1"/>
        </c:ser>
        <c:axId val="183963648"/>
        <c:axId val="183965568"/>
      </c:scatterChart>
      <c:valAx>
        <c:axId val="183963648"/>
        <c:scaling>
          <c:orientation val="minMax"/>
          <c:max val="9.5000000000000043E-2"/>
          <c:min val="5.5000000000000014E-2"/>
        </c:scaling>
        <c:axPos val="b"/>
        <c:majorGridlines>
          <c:spPr>
            <a:ln>
              <a:solidFill>
                <a:sysClr val="windowText" lastClr="000000"/>
              </a:solidFill>
            </a:ln>
          </c:spPr>
        </c:majorGridlines>
        <c:title>
          <c:tx>
            <c:rich>
              <a:bodyPr/>
              <a:lstStyle/>
              <a:p>
                <a:pPr algn="ctr" rtl="0">
                  <a:defRPr sz="1100"/>
                </a:pPr>
                <a:r>
                  <a:rPr lang="en-US" sz="1100"/>
                  <a:t>Post-Irradiation U-238/Uranium at. %</a:t>
                </a:r>
              </a:p>
            </c:rich>
          </c:tx>
          <c:layout>
            <c:manualLayout>
              <c:xMode val="edge"/>
              <c:yMode val="edge"/>
              <c:x val="0.31165143150209684"/>
              <c:y val="0.94421296296295132"/>
            </c:manualLayout>
          </c:layout>
        </c:title>
        <c:numFmt formatCode="0.0%" sourceLinked="0"/>
        <c:tickLblPos val="low"/>
        <c:spPr>
          <a:ln>
            <a:solidFill>
              <a:sysClr val="windowText" lastClr="000000"/>
            </a:solidFill>
          </a:ln>
        </c:spPr>
        <c:crossAx val="183965568"/>
        <c:crosses val="autoZero"/>
        <c:crossBetween val="midCat"/>
        <c:majorUnit val="5.0000000000000114E-3"/>
        <c:minorUnit val="2.5000000000000092E-3"/>
      </c:valAx>
      <c:valAx>
        <c:axId val="183965568"/>
        <c:scaling>
          <c:orientation val="minMax"/>
          <c:max val="30"/>
          <c:min val="-30"/>
        </c:scaling>
        <c:axPos val="l"/>
        <c:majorGridlines>
          <c:spPr>
            <a:ln>
              <a:solidFill>
                <a:sysClr val="windowText" lastClr="000000"/>
              </a:solidFill>
            </a:ln>
          </c:spPr>
        </c:majorGridlines>
        <c:title>
          <c:tx>
            <c:rich>
              <a:bodyPr rot="-5400000" vert="horz"/>
              <a:lstStyle/>
              <a:p>
                <a:pPr>
                  <a:defRPr sz="1100"/>
                </a:pPr>
                <a:r>
                  <a:rPr lang="en-US" sz="1100"/>
                  <a:t>Distance from Core Axial Midplane (cm)</a:t>
                </a:r>
              </a:p>
            </c:rich>
          </c:tx>
          <c:layout>
            <c:manualLayout>
              <c:xMode val="edge"/>
              <c:yMode val="edge"/>
              <c:x val="1.2556503353747453E-2"/>
              <c:y val="8.7660876272045066E-2"/>
            </c:manualLayout>
          </c:layout>
        </c:title>
        <c:numFmt formatCode="General" sourceLinked="0"/>
        <c:tickLblPos val="low"/>
        <c:spPr>
          <a:ln>
            <a:solidFill>
              <a:schemeClr val="tx1"/>
            </a:solidFill>
          </a:ln>
        </c:spPr>
        <c:crossAx val="183963648"/>
        <c:crosses val="autoZero"/>
        <c:crossBetween val="midCat"/>
        <c:majorUnit val="5"/>
        <c:minorUnit val="2.5"/>
      </c:valAx>
    </c:plotArea>
    <c:legend>
      <c:legendPos val="r"/>
      <c:layout>
        <c:manualLayout>
          <c:xMode val="edge"/>
          <c:yMode val="edge"/>
          <c:x val="0.44391349518810147"/>
          <c:y val="2.2669452502647783E-3"/>
          <c:w val="0.53076297754447577"/>
          <c:h val="0.16335320064158637"/>
        </c:manualLayout>
      </c:layout>
      <c:overlay val="1"/>
      <c:spPr>
        <a:solidFill>
          <a:schemeClr val="bg1"/>
        </a:solidFill>
        <a:ln>
          <a:solidFill>
            <a:sysClr val="windowText" lastClr="000000"/>
          </a:solidFill>
        </a:ln>
      </c:spPr>
      <c:txPr>
        <a:bodyPr/>
        <a:lstStyle/>
        <a:p>
          <a:pPr>
            <a:defRPr sz="800"/>
          </a:pPr>
          <a:endParaRPr lang="en-US"/>
        </a:p>
      </c:txPr>
    </c:legend>
    <c:plotVisOnly val="1"/>
  </c:chart>
  <c:spPr>
    <a:ln>
      <a:solidFill>
        <a:sysClr val="windowText" lastClr="000000"/>
      </a:solidFill>
    </a:ln>
  </c:spPr>
  <c:txPr>
    <a:bodyPr/>
    <a:lstStyle/>
    <a:p>
      <a:pPr>
        <a:defRPr sz="1000">
          <a:latin typeface="Times New Roman" pitchFamily="18" charset="0"/>
          <a:cs typeface="Times New Roman" pitchFamily="18" charset="0"/>
        </a:defRPr>
      </a:pPr>
      <a:endParaRPr lang="en-US"/>
    </a:p>
  </c:txPr>
  <c:externalData r:id="rId1"/>
</c:chartSpace>
</file>

<file path=word/charts/chart26.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9.2891061031164193E-2"/>
          <c:y val="2.2461377068378089E-2"/>
          <c:w val="0.86967598877726449"/>
          <c:h val="0.84435062393516602"/>
        </c:manualLayout>
      </c:layout>
      <c:scatterChart>
        <c:scatterStyle val="smoothMarker"/>
        <c:ser>
          <c:idx val="6"/>
          <c:order val="0"/>
          <c:tx>
            <c:v>Meas. (I)</c:v>
          </c:tx>
          <c:spPr>
            <a:ln>
              <a:noFill/>
            </a:ln>
          </c:spPr>
          <c:marker>
            <c:symbol val="star"/>
            <c:size val="7"/>
            <c:spPr>
              <a:noFill/>
              <a:ln w="19050">
                <a:solidFill>
                  <a:srgbClr val="0000FF"/>
                </a:solidFill>
              </a:ln>
            </c:spPr>
          </c:marker>
          <c:xVal>
            <c:numRef>
              <c:f>Comparison!$L$6:$L$10</c:f>
              <c:numCache>
                <c:formatCode>0.00%</c:formatCode>
                <c:ptCount val="5"/>
                <c:pt idx="0">
                  <c:v>1.4400000000000001E-2</c:v>
                </c:pt>
                <c:pt idx="1">
                  <c:v>1.6399999999999998E-2</c:v>
                </c:pt>
                <c:pt idx="2">
                  <c:v>1.72E-2</c:v>
                </c:pt>
                <c:pt idx="3">
                  <c:v>1.6799999999999999E-2</c:v>
                </c:pt>
                <c:pt idx="4">
                  <c:v>1.4100000000000001E-2</c:v>
                </c:pt>
              </c:numCache>
            </c:numRef>
          </c:xVal>
          <c:yVal>
            <c:numRef>
              <c:f>Comparison!$K$6:$K$10</c:f>
              <c:numCache>
                <c:formatCode>General</c:formatCode>
                <c:ptCount val="5"/>
                <c:pt idx="0">
                  <c:v>23.494999999999987</c:v>
                </c:pt>
                <c:pt idx="1">
                  <c:v>12.065000000000024</c:v>
                </c:pt>
                <c:pt idx="2">
                  <c:v>0.63500000000000656</c:v>
                </c:pt>
                <c:pt idx="3">
                  <c:v>-10.795</c:v>
                </c:pt>
                <c:pt idx="4">
                  <c:v>-22.224999999999987</c:v>
                </c:pt>
              </c:numCache>
            </c:numRef>
          </c:yVal>
          <c:smooth val="1"/>
        </c:ser>
        <c:ser>
          <c:idx val="8"/>
          <c:order val="1"/>
          <c:tx>
            <c:v>VESTA (I)</c:v>
          </c:tx>
          <c:spPr>
            <a:ln w="19050">
              <a:solidFill>
                <a:srgbClr val="0000FF"/>
              </a:solidFill>
            </a:ln>
          </c:spPr>
          <c:marker>
            <c:symbol val="none"/>
          </c:marker>
          <c:xVal>
            <c:numRef>
              <c:f>Comparison!$G$6:$G$29</c:f>
              <c:numCache>
                <c:formatCode>0.00%</c:formatCode>
                <c:ptCount val="24"/>
                <c:pt idx="0">
                  <c:v>1.4068395948534132E-2</c:v>
                </c:pt>
                <c:pt idx="1">
                  <c:v>1.3567338670838381E-2</c:v>
                </c:pt>
                <c:pt idx="2">
                  <c:v>1.3609105743825199E-2</c:v>
                </c:pt>
                <c:pt idx="3">
                  <c:v>1.4116387680610342E-2</c:v>
                </c:pt>
                <c:pt idx="4">
                  <c:v>1.4775784499273551E-2</c:v>
                </c:pt>
                <c:pt idx="5">
                  <c:v>1.5444687975854599E-2</c:v>
                </c:pt>
                <c:pt idx="6">
                  <c:v>1.580093247768426E-2</c:v>
                </c:pt>
                <c:pt idx="7">
                  <c:v>1.6132363931522519E-2</c:v>
                </c:pt>
                <c:pt idx="8">
                  <c:v>1.6590845637587531E-2</c:v>
                </c:pt>
                <c:pt idx="9">
                  <c:v>1.6889728831499091E-2</c:v>
                </c:pt>
                <c:pt idx="10">
                  <c:v>1.7071603572845654E-2</c:v>
                </c:pt>
                <c:pt idx="11">
                  <c:v>1.7127446960961166E-2</c:v>
                </c:pt>
                <c:pt idx="12">
                  <c:v>1.7110713963862562E-2</c:v>
                </c:pt>
                <c:pt idx="13">
                  <c:v>1.6967883766435505E-2</c:v>
                </c:pt>
                <c:pt idx="14">
                  <c:v>1.6697152925834936E-2</c:v>
                </c:pt>
                <c:pt idx="15">
                  <c:v>1.6285489512756521E-2</c:v>
                </c:pt>
                <c:pt idx="16">
                  <c:v>1.5998724384306183E-2</c:v>
                </c:pt>
                <c:pt idx="17">
                  <c:v>1.5693903375172815E-2</c:v>
                </c:pt>
                <c:pt idx="18">
                  <c:v>1.503327235433957E-2</c:v>
                </c:pt>
                <c:pt idx="19">
                  <c:v>1.4342818444650443E-2</c:v>
                </c:pt>
                <c:pt idx="20">
                  <c:v>1.3722292421323038E-2</c:v>
                </c:pt>
                <c:pt idx="21">
                  <c:v>1.3464332459738427E-2</c:v>
                </c:pt>
                <c:pt idx="22">
                  <c:v>1.3498984032499377E-2</c:v>
                </c:pt>
                <c:pt idx="23">
                  <c:v>1.410961103573522E-2</c:v>
                </c:pt>
              </c:numCache>
            </c:numRef>
          </c:xVal>
          <c:yVal>
            <c:numRef>
              <c:f>Comparison!$F$6:$F$29</c:f>
              <c:numCache>
                <c:formatCode>General</c:formatCode>
                <c:ptCount val="24"/>
                <c:pt idx="0">
                  <c:v>24.572499999999774</c:v>
                </c:pt>
                <c:pt idx="1">
                  <c:v>23.494999999999987</c:v>
                </c:pt>
                <c:pt idx="2">
                  <c:v>21.878750000000004</c:v>
                </c:pt>
                <c:pt idx="3">
                  <c:v>19.14625000000003</c:v>
                </c:pt>
                <c:pt idx="4">
                  <c:v>16.41375</c:v>
                </c:pt>
                <c:pt idx="5">
                  <c:v>13.68125</c:v>
                </c:pt>
                <c:pt idx="6">
                  <c:v>12.065000000000024</c:v>
                </c:pt>
                <c:pt idx="7">
                  <c:v>10.448749999999999</c:v>
                </c:pt>
                <c:pt idx="8">
                  <c:v>7.7162500000000014</c:v>
                </c:pt>
                <c:pt idx="9">
                  <c:v>4.9837500000000023</c:v>
                </c:pt>
                <c:pt idx="10">
                  <c:v>2.2512499999999767</c:v>
                </c:pt>
                <c:pt idx="11">
                  <c:v>0.63500000000000822</c:v>
                </c:pt>
                <c:pt idx="12">
                  <c:v>-0.9812499999999984</c:v>
                </c:pt>
                <c:pt idx="13">
                  <c:v>-3.7137499999999983</c:v>
                </c:pt>
                <c:pt idx="14">
                  <c:v>-6.4462500000000134</c:v>
                </c:pt>
                <c:pt idx="15">
                  <c:v>-9.1787500000000009</c:v>
                </c:pt>
                <c:pt idx="16">
                  <c:v>-10.795</c:v>
                </c:pt>
                <c:pt idx="17">
                  <c:v>-12.411250000000001</c:v>
                </c:pt>
                <c:pt idx="18">
                  <c:v>-15.143750000000001</c:v>
                </c:pt>
                <c:pt idx="19">
                  <c:v>-17.876249999999889</c:v>
                </c:pt>
                <c:pt idx="20">
                  <c:v>-20.608750000000001</c:v>
                </c:pt>
                <c:pt idx="21">
                  <c:v>-22.224999999999987</c:v>
                </c:pt>
                <c:pt idx="22">
                  <c:v>-23.302499999999789</c:v>
                </c:pt>
                <c:pt idx="23">
                  <c:v>-24.764999999999986</c:v>
                </c:pt>
              </c:numCache>
            </c:numRef>
          </c:yVal>
          <c:smooth val="1"/>
        </c:ser>
        <c:ser>
          <c:idx val="7"/>
          <c:order val="2"/>
          <c:tx>
            <c:v>ALEPH (I)</c:v>
          </c:tx>
          <c:spPr>
            <a:ln w="19050">
              <a:solidFill>
                <a:srgbClr val="0000FF"/>
              </a:solidFill>
              <a:prstDash val="dash"/>
            </a:ln>
          </c:spPr>
          <c:marker>
            <c:symbol val="none"/>
          </c:marker>
          <c:xVal>
            <c:numRef>
              <c:f>Comparison!$B$6:$B$29</c:f>
              <c:numCache>
                <c:formatCode>0.00%</c:formatCode>
                <c:ptCount val="24"/>
                <c:pt idx="0">
                  <c:v>1.4014679960988773E-2</c:v>
                </c:pt>
                <c:pt idx="1">
                  <c:v>1.3493538661217367E-2</c:v>
                </c:pt>
                <c:pt idx="2">
                  <c:v>1.348152711891821E-2</c:v>
                </c:pt>
                <c:pt idx="3">
                  <c:v>1.393033653597337E-2</c:v>
                </c:pt>
                <c:pt idx="4">
                  <c:v>1.45775044261473E-2</c:v>
                </c:pt>
                <c:pt idx="5">
                  <c:v>1.5212475569865491E-2</c:v>
                </c:pt>
                <c:pt idx="6">
                  <c:v>1.5584507214500434E-2</c:v>
                </c:pt>
                <c:pt idx="7">
                  <c:v>1.5880927648031756E-2</c:v>
                </c:pt>
                <c:pt idx="8">
                  <c:v>1.6323634646652447E-2</c:v>
                </c:pt>
                <c:pt idx="9">
                  <c:v>1.6641421775840749E-2</c:v>
                </c:pt>
                <c:pt idx="10">
                  <c:v>1.6834735192252401E-2</c:v>
                </c:pt>
                <c:pt idx="11">
                  <c:v>1.6897616307624E-2</c:v>
                </c:pt>
                <c:pt idx="12">
                  <c:v>1.6839391797250833E-2</c:v>
                </c:pt>
                <c:pt idx="13">
                  <c:v>1.6718738384933325E-2</c:v>
                </c:pt>
                <c:pt idx="14">
                  <c:v>1.6432098372828215E-2</c:v>
                </c:pt>
                <c:pt idx="15">
                  <c:v>1.604390771147372E-2</c:v>
                </c:pt>
                <c:pt idx="16">
                  <c:v>1.5808353331292643E-2</c:v>
                </c:pt>
                <c:pt idx="17">
                  <c:v>1.544649872268474E-2</c:v>
                </c:pt>
                <c:pt idx="18">
                  <c:v>1.4794248876701499E-2</c:v>
                </c:pt>
                <c:pt idx="19">
                  <c:v>1.4148710697928741E-2</c:v>
                </c:pt>
                <c:pt idx="20">
                  <c:v>1.3575982599939199E-2</c:v>
                </c:pt>
                <c:pt idx="21">
                  <c:v>1.3317676682580701E-2</c:v>
                </c:pt>
                <c:pt idx="22">
                  <c:v>1.3372741940026484E-2</c:v>
                </c:pt>
                <c:pt idx="23">
                  <c:v>1.4029442124398229E-2</c:v>
                </c:pt>
              </c:numCache>
            </c:numRef>
          </c:xVal>
          <c:yVal>
            <c:numRef>
              <c:f>Comparison!$A$6:$A$29</c:f>
              <c:numCache>
                <c:formatCode>General</c:formatCode>
                <c:ptCount val="24"/>
                <c:pt idx="0">
                  <c:v>24.572499999999774</c:v>
                </c:pt>
                <c:pt idx="1">
                  <c:v>23.494999999999987</c:v>
                </c:pt>
                <c:pt idx="2">
                  <c:v>21.878750000000004</c:v>
                </c:pt>
                <c:pt idx="3">
                  <c:v>19.14625000000003</c:v>
                </c:pt>
                <c:pt idx="4">
                  <c:v>16.41375</c:v>
                </c:pt>
                <c:pt idx="5">
                  <c:v>13.68125</c:v>
                </c:pt>
                <c:pt idx="6">
                  <c:v>12.065000000000024</c:v>
                </c:pt>
                <c:pt idx="7">
                  <c:v>10.448749999999999</c:v>
                </c:pt>
                <c:pt idx="8">
                  <c:v>7.7162500000000014</c:v>
                </c:pt>
                <c:pt idx="9">
                  <c:v>4.9837500000000023</c:v>
                </c:pt>
                <c:pt idx="10">
                  <c:v>2.2512499999999767</c:v>
                </c:pt>
                <c:pt idx="11">
                  <c:v>0.63500000000000822</c:v>
                </c:pt>
                <c:pt idx="12">
                  <c:v>-0.9812499999999984</c:v>
                </c:pt>
                <c:pt idx="13">
                  <c:v>-3.7137499999999983</c:v>
                </c:pt>
                <c:pt idx="14">
                  <c:v>-6.4462500000000134</c:v>
                </c:pt>
                <c:pt idx="15">
                  <c:v>-9.1787500000000009</c:v>
                </c:pt>
                <c:pt idx="16">
                  <c:v>-10.795</c:v>
                </c:pt>
                <c:pt idx="17">
                  <c:v>-12.411250000000001</c:v>
                </c:pt>
                <c:pt idx="18">
                  <c:v>-15.143750000000001</c:v>
                </c:pt>
                <c:pt idx="19">
                  <c:v>-17.876249999999889</c:v>
                </c:pt>
                <c:pt idx="20">
                  <c:v>-20.608750000000001</c:v>
                </c:pt>
                <c:pt idx="21">
                  <c:v>-22.224999999999987</c:v>
                </c:pt>
                <c:pt idx="22">
                  <c:v>-23.302499999999789</c:v>
                </c:pt>
                <c:pt idx="23">
                  <c:v>-24.764999999999986</c:v>
                </c:pt>
              </c:numCache>
            </c:numRef>
          </c:yVal>
          <c:smooth val="1"/>
        </c:ser>
        <c:ser>
          <c:idx val="0"/>
          <c:order val="3"/>
          <c:tx>
            <c:v>Meas. (H)</c:v>
          </c:tx>
          <c:spPr>
            <a:ln>
              <a:noFill/>
            </a:ln>
          </c:spPr>
          <c:marker>
            <c:symbol val="triangle"/>
            <c:size val="7"/>
            <c:spPr>
              <a:noFill/>
              <a:ln w="19050">
                <a:solidFill>
                  <a:srgbClr val="008000"/>
                </a:solidFill>
              </a:ln>
            </c:spPr>
          </c:marker>
          <c:xVal>
            <c:numRef>
              <c:f>Comparison!$M$6:$M$10</c:f>
              <c:numCache>
                <c:formatCode>0.00%</c:formatCode>
                <c:ptCount val="5"/>
                <c:pt idx="0">
                  <c:v>1.1699999999999999E-2</c:v>
                </c:pt>
                <c:pt idx="1">
                  <c:v>1.2100000000000001E-2</c:v>
                </c:pt>
                <c:pt idx="2">
                  <c:v>1.2500000000000001E-2</c:v>
                </c:pt>
                <c:pt idx="3">
                  <c:v>1.2199999999999918E-2</c:v>
                </c:pt>
                <c:pt idx="4">
                  <c:v>1.1500000000000154E-2</c:v>
                </c:pt>
              </c:numCache>
            </c:numRef>
          </c:xVal>
          <c:yVal>
            <c:numRef>
              <c:f>Comparison!$K$6:$K$10</c:f>
              <c:numCache>
                <c:formatCode>General</c:formatCode>
                <c:ptCount val="5"/>
                <c:pt idx="0">
                  <c:v>23.494999999999987</c:v>
                </c:pt>
                <c:pt idx="1">
                  <c:v>12.065000000000024</c:v>
                </c:pt>
                <c:pt idx="2">
                  <c:v>0.63500000000000656</c:v>
                </c:pt>
                <c:pt idx="3">
                  <c:v>-10.795</c:v>
                </c:pt>
                <c:pt idx="4">
                  <c:v>-22.224999999999987</c:v>
                </c:pt>
              </c:numCache>
            </c:numRef>
          </c:yVal>
          <c:smooth val="1"/>
        </c:ser>
        <c:ser>
          <c:idx val="2"/>
          <c:order val="4"/>
          <c:tx>
            <c:v>VESTA (H)</c:v>
          </c:tx>
          <c:spPr>
            <a:ln w="19050">
              <a:solidFill>
                <a:srgbClr val="008000"/>
              </a:solidFill>
            </a:ln>
          </c:spPr>
          <c:marker>
            <c:symbol val="none"/>
          </c:marker>
          <c:xVal>
            <c:numRef>
              <c:f>Comparison!$H$6:$H$29</c:f>
              <c:numCache>
                <c:formatCode>0.00%</c:formatCode>
                <c:ptCount val="24"/>
                <c:pt idx="0">
                  <c:v>1.1781717976788522E-2</c:v>
                </c:pt>
                <c:pt idx="1">
                  <c:v>1.1216679682223401E-2</c:v>
                </c:pt>
                <c:pt idx="2">
                  <c:v>1.1133980802274858E-2</c:v>
                </c:pt>
                <c:pt idx="3">
                  <c:v>1.1282312033144976E-2</c:v>
                </c:pt>
                <c:pt idx="4">
                  <c:v>1.1510969708070945E-2</c:v>
                </c:pt>
                <c:pt idx="5">
                  <c:v>1.1749850415924861E-2</c:v>
                </c:pt>
                <c:pt idx="6">
                  <c:v>1.1890501423513843E-2</c:v>
                </c:pt>
                <c:pt idx="7">
                  <c:v>1.2015552518360581E-2</c:v>
                </c:pt>
                <c:pt idx="8">
                  <c:v>1.2201474811808936E-2</c:v>
                </c:pt>
                <c:pt idx="9">
                  <c:v>1.2340857771905661E-2</c:v>
                </c:pt>
                <c:pt idx="10">
                  <c:v>1.2418754292760781E-2</c:v>
                </c:pt>
                <c:pt idx="11">
                  <c:v>1.2442021184897501E-2</c:v>
                </c:pt>
                <c:pt idx="12">
                  <c:v>1.242474759638564E-2</c:v>
                </c:pt>
                <c:pt idx="13">
                  <c:v>1.2367992320708258E-2</c:v>
                </c:pt>
                <c:pt idx="14">
                  <c:v>1.2253588777611981E-2</c:v>
                </c:pt>
                <c:pt idx="15">
                  <c:v>1.2088256592081499E-2</c:v>
                </c:pt>
                <c:pt idx="16">
                  <c:v>1.1966463011262737E-2</c:v>
                </c:pt>
                <c:pt idx="17">
                  <c:v>1.1834597622070323E-2</c:v>
                </c:pt>
                <c:pt idx="18">
                  <c:v>1.1598951998503281E-2</c:v>
                </c:pt>
                <c:pt idx="19">
                  <c:v>1.1354207119666724E-2</c:v>
                </c:pt>
                <c:pt idx="20">
                  <c:v>1.1144198608730815E-2</c:v>
                </c:pt>
                <c:pt idx="21">
                  <c:v>1.1090842881251459E-2</c:v>
                </c:pt>
                <c:pt idx="22">
                  <c:v>1.1187215010448401E-2</c:v>
                </c:pt>
                <c:pt idx="23">
                  <c:v>1.1871081395639933E-2</c:v>
                </c:pt>
              </c:numCache>
            </c:numRef>
          </c:xVal>
          <c:yVal>
            <c:numRef>
              <c:f>Comparison!$F$6:$F$29</c:f>
              <c:numCache>
                <c:formatCode>General</c:formatCode>
                <c:ptCount val="24"/>
                <c:pt idx="0">
                  <c:v>24.572499999999774</c:v>
                </c:pt>
                <c:pt idx="1">
                  <c:v>23.494999999999987</c:v>
                </c:pt>
                <c:pt idx="2">
                  <c:v>21.878750000000004</c:v>
                </c:pt>
                <c:pt idx="3">
                  <c:v>19.14625000000003</c:v>
                </c:pt>
                <c:pt idx="4">
                  <c:v>16.41375</c:v>
                </c:pt>
                <c:pt idx="5">
                  <c:v>13.68125</c:v>
                </c:pt>
                <c:pt idx="6">
                  <c:v>12.065000000000024</c:v>
                </c:pt>
                <c:pt idx="7">
                  <c:v>10.448749999999999</c:v>
                </c:pt>
                <c:pt idx="8">
                  <c:v>7.7162500000000014</c:v>
                </c:pt>
                <c:pt idx="9">
                  <c:v>4.9837500000000023</c:v>
                </c:pt>
                <c:pt idx="10">
                  <c:v>2.2512499999999767</c:v>
                </c:pt>
                <c:pt idx="11">
                  <c:v>0.63500000000000822</c:v>
                </c:pt>
                <c:pt idx="12">
                  <c:v>-0.9812499999999984</c:v>
                </c:pt>
                <c:pt idx="13">
                  <c:v>-3.7137499999999983</c:v>
                </c:pt>
                <c:pt idx="14">
                  <c:v>-6.4462500000000134</c:v>
                </c:pt>
                <c:pt idx="15">
                  <c:v>-9.1787500000000009</c:v>
                </c:pt>
                <c:pt idx="16">
                  <c:v>-10.795</c:v>
                </c:pt>
                <c:pt idx="17">
                  <c:v>-12.411250000000001</c:v>
                </c:pt>
                <c:pt idx="18">
                  <c:v>-15.143750000000001</c:v>
                </c:pt>
                <c:pt idx="19">
                  <c:v>-17.876249999999889</c:v>
                </c:pt>
                <c:pt idx="20">
                  <c:v>-20.608750000000001</c:v>
                </c:pt>
                <c:pt idx="21">
                  <c:v>-22.224999999999987</c:v>
                </c:pt>
                <c:pt idx="22">
                  <c:v>-23.302499999999789</c:v>
                </c:pt>
                <c:pt idx="23">
                  <c:v>-24.764999999999986</c:v>
                </c:pt>
              </c:numCache>
            </c:numRef>
          </c:yVal>
          <c:smooth val="1"/>
        </c:ser>
        <c:ser>
          <c:idx val="1"/>
          <c:order val="5"/>
          <c:tx>
            <c:v>ALEPH (H)</c:v>
          </c:tx>
          <c:spPr>
            <a:ln w="19050">
              <a:solidFill>
                <a:srgbClr val="008000"/>
              </a:solidFill>
              <a:prstDash val="dash"/>
            </a:ln>
          </c:spPr>
          <c:marker>
            <c:symbol val="none"/>
          </c:marker>
          <c:xVal>
            <c:numRef>
              <c:f>Comparison!$C$6:$C$29</c:f>
              <c:numCache>
                <c:formatCode>0.00%</c:formatCode>
                <c:ptCount val="24"/>
                <c:pt idx="0">
                  <c:v>1.1744581505691075E-2</c:v>
                </c:pt>
                <c:pt idx="1">
                  <c:v>1.1150639170678642E-2</c:v>
                </c:pt>
                <c:pt idx="2">
                  <c:v>1.1060606097130441E-2</c:v>
                </c:pt>
                <c:pt idx="3">
                  <c:v>1.1194872607992415E-2</c:v>
                </c:pt>
                <c:pt idx="4">
                  <c:v>1.142453133725054E-2</c:v>
                </c:pt>
                <c:pt idx="5">
                  <c:v>1.1669885036149841E-2</c:v>
                </c:pt>
                <c:pt idx="6">
                  <c:v>1.1788899235997295E-2</c:v>
                </c:pt>
                <c:pt idx="7">
                  <c:v>1.189938547630956E-2</c:v>
                </c:pt>
                <c:pt idx="8">
                  <c:v>1.2057177893641972E-2</c:v>
                </c:pt>
                <c:pt idx="9">
                  <c:v>1.2198489898152727E-2</c:v>
                </c:pt>
                <c:pt idx="10">
                  <c:v>1.2312326237978561E-2</c:v>
                </c:pt>
                <c:pt idx="11">
                  <c:v>1.2339754840535401E-2</c:v>
                </c:pt>
                <c:pt idx="12">
                  <c:v>1.2329807224486481E-2</c:v>
                </c:pt>
                <c:pt idx="13">
                  <c:v>1.2271852316355561E-2</c:v>
                </c:pt>
                <c:pt idx="14">
                  <c:v>1.2140921165980881E-2</c:v>
                </c:pt>
                <c:pt idx="15">
                  <c:v>1.195076168265905E-2</c:v>
                </c:pt>
                <c:pt idx="16">
                  <c:v>1.1877942456486832E-2</c:v>
                </c:pt>
                <c:pt idx="17">
                  <c:v>1.1726995283347492E-2</c:v>
                </c:pt>
                <c:pt idx="18">
                  <c:v>1.1504932119236149E-2</c:v>
                </c:pt>
                <c:pt idx="19">
                  <c:v>1.1283159936659758E-2</c:v>
                </c:pt>
                <c:pt idx="20">
                  <c:v>1.1092918147284704E-2</c:v>
                </c:pt>
                <c:pt idx="21">
                  <c:v>1.104938155296468E-2</c:v>
                </c:pt>
                <c:pt idx="22">
                  <c:v>1.1147784031674001E-2</c:v>
                </c:pt>
                <c:pt idx="23">
                  <c:v>1.18432097823727E-2</c:v>
                </c:pt>
              </c:numCache>
            </c:numRef>
          </c:xVal>
          <c:yVal>
            <c:numRef>
              <c:f>Comparison!$A$6:$A$29</c:f>
              <c:numCache>
                <c:formatCode>General</c:formatCode>
                <c:ptCount val="24"/>
                <c:pt idx="0">
                  <c:v>24.572499999999774</c:v>
                </c:pt>
                <c:pt idx="1">
                  <c:v>23.494999999999987</c:v>
                </c:pt>
                <c:pt idx="2">
                  <c:v>21.878750000000004</c:v>
                </c:pt>
                <c:pt idx="3">
                  <c:v>19.14625000000003</c:v>
                </c:pt>
                <c:pt idx="4">
                  <c:v>16.41375</c:v>
                </c:pt>
                <c:pt idx="5">
                  <c:v>13.68125</c:v>
                </c:pt>
                <c:pt idx="6">
                  <c:v>12.065000000000024</c:v>
                </c:pt>
                <c:pt idx="7">
                  <c:v>10.448749999999999</c:v>
                </c:pt>
                <c:pt idx="8">
                  <c:v>7.7162500000000014</c:v>
                </c:pt>
                <c:pt idx="9">
                  <c:v>4.9837500000000023</c:v>
                </c:pt>
                <c:pt idx="10">
                  <c:v>2.2512499999999767</c:v>
                </c:pt>
                <c:pt idx="11">
                  <c:v>0.63500000000000822</c:v>
                </c:pt>
                <c:pt idx="12">
                  <c:v>-0.9812499999999984</c:v>
                </c:pt>
                <c:pt idx="13">
                  <c:v>-3.7137499999999983</c:v>
                </c:pt>
                <c:pt idx="14">
                  <c:v>-6.4462500000000134</c:v>
                </c:pt>
                <c:pt idx="15">
                  <c:v>-9.1787500000000009</c:v>
                </c:pt>
                <c:pt idx="16">
                  <c:v>-10.795</c:v>
                </c:pt>
                <c:pt idx="17">
                  <c:v>-12.411250000000001</c:v>
                </c:pt>
                <c:pt idx="18">
                  <c:v>-15.143750000000001</c:v>
                </c:pt>
                <c:pt idx="19">
                  <c:v>-17.876249999999889</c:v>
                </c:pt>
                <c:pt idx="20">
                  <c:v>-20.608750000000001</c:v>
                </c:pt>
                <c:pt idx="21">
                  <c:v>-22.224999999999987</c:v>
                </c:pt>
                <c:pt idx="22">
                  <c:v>-23.302499999999789</c:v>
                </c:pt>
                <c:pt idx="23">
                  <c:v>-24.764999999999986</c:v>
                </c:pt>
              </c:numCache>
            </c:numRef>
          </c:yVal>
          <c:smooth val="1"/>
        </c:ser>
        <c:ser>
          <c:idx val="3"/>
          <c:order val="6"/>
          <c:tx>
            <c:v>Meas. (O)</c:v>
          </c:tx>
          <c:spPr>
            <a:ln>
              <a:noFill/>
            </a:ln>
          </c:spPr>
          <c:marker>
            <c:symbol val="circle"/>
            <c:size val="7"/>
            <c:spPr>
              <a:noFill/>
              <a:ln w="19050">
                <a:solidFill>
                  <a:srgbClr val="FF0000"/>
                </a:solidFill>
              </a:ln>
            </c:spPr>
          </c:marker>
          <c:xVal>
            <c:numRef>
              <c:f>Comparison!$N$6:$N$10</c:f>
              <c:numCache>
                <c:formatCode>0.00%</c:formatCode>
                <c:ptCount val="5"/>
                <c:pt idx="0">
                  <c:v>1.2400000000000001E-2</c:v>
                </c:pt>
                <c:pt idx="1">
                  <c:v>1.3000000000000001E-2</c:v>
                </c:pt>
                <c:pt idx="2">
                  <c:v>1.3800000000000165E-2</c:v>
                </c:pt>
                <c:pt idx="3">
                  <c:v>1.3000000000000001E-2</c:v>
                </c:pt>
                <c:pt idx="4">
                  <c:v>1.2199999999999918E-2</c:v>
                </c:pt>
              </c:numCache>
            </c:numRef>
          </c:xVal>
          <c:yVal>
            <c:numRef>
              <c:f>Comparison!$K$6:$K$10</c:f>
              <c:numCache>
                <c:formatCode>General</c:formatCode>
                <c:ptCount val="5"/>
                <c:pt idx="0">
                  <c:v>23.494999999999987</c:v>
                </c:pt>
                <c:pt idx="1">
                  <c:v>12.065000000000024</c:v>
                </c:pt>
                <c:pt idx="2">
                  <c:v>0.63500000000000656</c:v>
                </c:pt>
                <c:pt idx="3">
                  <c:v>-10.795</c:v>
                </c:pt>
                <c:pt idx="4">
                  <c:v>-22.224999999999987</c:v>
                </c:pt>
              </c:numCache>
            </c:numRef>
          </c:yVal>
          <c:smooth val="1"/>
        </c:ser>
        <c:ser>
          <c:idx val="5"/>
          <c:order val="7"/>
          <c:tx>
            <c:v>VESTA (O)</c:v>
          </c:tx>
          <c:spPr>
            <a:ln w="19050">
              <a:solidFill>
                <a:srgbClr val="FF0000"/>
              </a:solidFill>
            </a:ln>
          </c:spPr>
          <c:marker>
            <c:symbol val="none"/>
          </c:marker>
          <c:xVal>
            <c:numRef>
              <c:f>Comparison!$I$6:$I$29</c:f>
              <c:numCache>
                <c:formatCode>0.00%</c:formatCode>
                <c:ptCount val="24"/>
                <c:pt idx="0">
                  <c:v>1.211061433406028E-2</c:v>
                </c:pt>
                <c:pt idx="1">
                  <c:v>1.1739254678986521E-2</c:v>
                </c:pt>
                <c:pt idx="2">
                  <c:v>1.1665096722731895E-2</c:v>
                </c:pt>
                <c:pt idx="3">
                  <c:v>1.1837692664693006E-2</c:v>
                </c:pt>
                <c:pt idx="4">
                  <c:v>1.214525313934065E-2</c:v>
                </c:pt>
                <c:pt idx="5">
                  <c:v>1.2439477909965881E-2</c:v>
                </c:pt>
                <c:pt idx="6">
                  <c:v>1.2603705926552461E-2</c:v>
                </c:pt>
                <c:pt idx="7">
                  <c:v>1.2773257223752908E-2</c:v>
                </c:pt>
                <c:pt idx="8">
                  <c:v>1.3010496527182679E-2</c:v>
                </c:pt>
                <c:pt idx="9">
                  <c:v>1.3169267870397376E-2</c:v>
                </c:pt>
                <c:pt idx="10">
                  <c:v>1.3256946373981076E-2</c:v>
                </c:pt>
                <c:pt idx="11">
                  <c:v>1.3272269468469405E-2</c:v>
                </c:pt>
                <c:pt idx="12">
                  <c:v>1.3282346488642257E-2</c:v>
                </c:pt>
                <c:pt idx="13">
                  <c:v>1.3207018912218241E-2</c:v>
                </c:pt>
                <c:pt idx="14">
                  <c:v>1.3063759590328804E-2</c:v>
                </c:pt>
                <c:pt idx="15">
                  <c:v>1.2854019571639659E-2</c:v>
                </c:pt>
                <c:pt idx="16">
                  <c:v>1.2714628522651478E-2</c:v>
                </c:pt>
                <c:pt idx="17">
                  <c:v>1.2545905138983933E-2</c:v>
                </c:pt>
                <c:pt idx="18">
                  <c:v>1.2244099390316903E-2</c:v>
                </c:pt>
                <c:pt idx="19">
                  <c:v>1.1928255995369804E-2</c:v>
                </c:pt>
                <c:pt idx="20">
                  <c:v>1.1674085723354061E-2</c:v>
                </c:pt>
                <c:pt idx="21">
                  <c:v>1.1608388746350626E-2</c:v>
                </c:pt>
                <c:pt idx="22">
                  <c:v>1.168013381128616E-2</c:v>
                </c:pt>
                <c:pt idx="23">
                  <c:v>1.2130716573763516E-2</c:v>
                </c:pt>
              </c:numCache>
            </c:numRef>
          </c:xVal>
          <c:yVal>
            <c:numRef>
              <c:f>Comparison!$F$6:$F$29</c:f>
              <c:numCache>
                <c:formatCode>General</c:formatCode>
                <c:ptCount val="24"/>
                <c:pt idx="0">
                  <c:v>24.572499999999774</c:v>
                </c:pt>
                <c:pt idx="1">
                  <c:v>23.494999999999987</c:v>
                </c:pt>
                <c:pt idx="2">
                  <c:v>21.878750000000004</c:v>
                </c:pt>
                <c:pt idx="3">
                  <c:v>19.14625000000003</c:v>
                </c:pt>
                <c:pt idx="4">
                  <c:v>16.41375</c:v>
                </c:pt>
                <c:pt idx="5">
                  <c:v>13.68125</c:v>
                </c:pt>
                <c:pt idx="6">
                  <c:v>12.065000000000024</c:v>
                </c:pt>
                <c:pt idx="7">
                  <c:v>10.448749999999999</c:v>
                </c:pt>
                <c:pt idx="8">
                  <c:v>7.7162500000000014</c:v>
                </c:pt>
                <c:pt idx="9">
                  <c:v>4.9837500000000023</c:v>
                </c:pt>
                <c:pt idx="10">
                  <c:v>2.2512499999999767</c:v>
                </c:pt>
                <c:pt idx="11">
                  <c:v>0.63500000000000822</c:v>
                </c:pt>
                <c:pt idx="12">
                  <c:v>-0.9812499999999984</c:v>
                </c:pt>
                <c:pt idx="13">
                  <c:v>-3.7137499999999983</c:v>
                </c:pt>
                <c:pt idx="14">
                  <c:v>-6.4462500000000134</c:v>
                </c:pt>
                <c:pt idx="15">
                  <c:v>-9.1787500000000009</c:v>
                </c:pt>
                <c:pt idx="16">
                  <c:v>-10.795</c:v>
                </c:pt>
                <c:pt idx="17">
                  <c:v>-12.411250000000001</c:v>
                </c:pt>
                <c:pt idx="18">
                  <c:v>-15.143750000000001</c:v>
                </c:pt>
                <c:pt idx="19">
                  <c:v>-17.876249999999889</c:v>
                </c:pt>
                <c:pt idx="20">
                  <c:v>-20.608750000000001</c:v>
                </c:pt>
                <c:pt idx="21">
                  <c:v>-22.224999999999987</c:v>
                </c:pt>
                <c:pt idx="22">
                  <c:v>-23.302499999999789</c:v>
                </c:pt>
                <c:pt idx="23">
                  <c:v>-24.764999999999986</c:v>
                </c:pt>
              </c:numCache>
            </c:numRef>
          </c:yVal>
          <c:smooth val="1"/>
        </c:ser>
        <c:ser>
          <c:idx val="4"/>
          <c:order val="8"/>
          <c:tx>
            <c:v>ALEPH (O)</c:v>
          </c:tx>
          <c:spPr>
            <a:ln w="19050">
              <a:solidFill>
                <a:srgbClr val="FF0000"/>
              </a:solidFill>
              <a:prstDash val="dash"/>
            </a:ln>
          </c:spPr>
          <c:marker>
            <c:symbol val="none"/>
          </c:marker>
          <c:xVal>
            <c:numRef>
              <c:f>Comparison!$D$6:$D$29</c:f>
              <c:numCache>
                <c:formatCode>0.00%</c:formatCode>
                <c:ptCount val="24"/>
                <c:pt idx="0">
                  <c:v>1.2148996585047912E-2</c:v>
                </c:pt>
                <c:pt idx="1">
                  <c:v>1.1751932882107664E-2</c:v>
                </c:pt>
                <c:pt idx="2">
                  <c:v>1.1632830789577954E-2</c:v>
                </c:pt>
                <c:pt idx="3">
                  <c:v>1.1794991941512943E-2</c:v>
                </c:pt>
                <c:pt idx="4">
                  <c:v>1.2092539799653343E-2</c:v>
                </c:pt>
                <c:pt idx="5">
                  <c:v>1.2405819631061564E-2</c:v>
                </c:pt>
                <c:pt idx="6">
                  <c:v>1.2570379744372244E-2</c:v>
                </c:pt>
                <c:pt idx="7">
                  <c:v>1.2755060620416135E-2</c:v>
                </c:pt>
                <c:pt idx="8">
                  <c:v>1.2954212229444402E-2</c:v>
                </c:pt>
                <c:pt idx="9">
                  <c:v>1.3111340010350789E-2</c:v>
                </c:pt>
                <c:pt idx="10">
                  <c:v>1.3198498390672501E-2</c:v>
                </c:pt>
                <c:pt idx="11">
                  <c:v>1.3258656112438047E-2</c:v>
                </c:pt>
                <c:pt idx="12">
                  <c:v>1.3243179664748434E-2</c:v>
                </c:pt>
                <c:pt idx="13">
                  <c:v>1.3142304464620801E-2</c:v>
                </c:pt>
                <c:pt idx="14">
                  <c:v>1.3029177183110923E-2</c:v>
                </c:pt>
                <c:pt idx="15">
                  <c:v>1.2817022770532564E-2</c:v>
                </c:pt>
                <c:pt idx="16">
                  <c:v>1.2652787217250563E-2</c:v>
                </c:pt>
                <c:pt idx="17">
                  <c:v>1.2517988479996658E-2</c:v>
                </c:pt>
                <c:pt idx="18">
                  <c:v>1.221019933260464E-2</c:v>
                </c:pt>
                <c:pt idx="19">
                  <c:v>1.1920906727576105E-2</c:v>
                </c:pt>
                <c:pt idx="20">
                  <c:v>1.1654149483594447E-2</c:v>
                </c:pt>
                <c:pt idx="21">
                  <c:v>1.1637889220208896E-2</c:v>
                </c:pt>
                <c:pt idx="22">
                  <c:v>1.1693721896244401E-2</c:v>
                </c:pt>
                <c:pt idx="23">
                  <c:v>1.2142339817311441E-2</c:v>
                </c:pt>
              </c:numCache>
            </c:numRef>
          </c:xVal>
          <c:yVal>
            <c:numRef>
              <c:f>Comparison!$A$6:$A$29</c:f>
              <c:numCache>
                <c:formatCode>General</c:formatCode>
                <c:ptCount val="24"/>
                <c:pt idx="0">
                  <c:v>24.572499999999774</c:v>
                </c:pt>
                <c:pt idx="1">
                  <c:v>23.494999999999987</c:v>
                </c:pt>
                <c:pt idx="2">
                  <c:v>21.878750000000004</c:v>
                </c:pt>
                <c:pt idx="3">
                  <c:v>19.14625000000003</c:v>
                </c:pt>
                <c:pt idx="4">
                  <c:v>16.41375</c:v>
                </c:pt>
                <c:pt idx="5">
                  <c:v>13.68125</c:v>
                </c:pt>
                <c:pt idx="6">
                  <c:v>12.065000000000024</c:v>
                </c:pt>
                <c:pt idx="7">
                  <c:v>10.448749999999999</c:v>
                </c:pt>
                <c:pt idx="8">
                  <c:v>7.7162500000000014</c:v>
                </c:pt>
                <c:pt idx="9">
                  <c:v>4.9837500000000023</c:v>
                </c:pt>
                <c:pt idx="10">
                  <c:v>2.2512499999999767</c:v>
                </c:pt>
                <c:pt idx="11">
                  <c:v>0.63500000000000822</c:v>
                </c:pt>
                <c:pt idx="12">
                  <c:v>-0.9812499999999984</c:v>
                </c:pt>
                <c:pt idx="13">
                  <c:v>-3.7137499999999983</c:v>
                </c:pt>
                <c:pt idx="14">
                  <c:v>-6.4462500000000134</c:v>
                </c:pt>
                <c:pt idx="15">
                  <c:v>-9.1787500000000009</c:v>
                </c:pt>
                <c:pt idx="16">
                  <c:v>-10.795</c:v>
                </c:pt>
                <c:pt idx="17">
                  <c:v>-12.411250000000001</c:v>
                </c:pt>
                <c:pt idx="18">
                  <c:v>-15.143750000000001</c:v>
                </c:pt>
                <c:pt idx="19">
                  <c:v>-17.876249999999889</c:v>
                </c:pt>
                <c:pt idx="20">
                  <c:v>-20.608750000000001</c:v>
                </c:pt>
                <c:pt idx="21">
                  <c:v>-22.224999999999987</c:v>
                </c:pt>
                <c:pt idx="22">
                  <c:v>-23.302499999999789</c:v>
                </c:pt>
                <c:pt idx="23">
                  <c:v>-24.764999999999986</c:v>
                </c:pt>
              </c:numCache>
            </c:numRef>
          </c:yVal>
          <c:smooth val="1"/>
        </c:ser>
        <c:axId val="184082432"/>
        <c:axId val="184084352"/>
      </c:scatterChart>
      <c:valAx>
        <c:axId val="184082432"/>
        <c:scaling>
          <c:orientation val="minMax"/>
          <c:max val="1.9000000000000204E-2"/>
          <c:min val="1.0000000000000005E-2"/>
        </c:scaling>
        <c:axPos val="b"/>
        <c:majorGridlines>
          <c:spPr>
            <a:ln>
              <a:solidFill>
                <a:sysClr val="windowText" lastClr="000000"/>
              </a:solidFill>
            </a:ln>
          </c:spPr>
        </c:majorGridlines>
        <c:title>
          <c:tx>
            <c:rich>
              <a:bodyPr/>
              <a:lstStyle/>
              <a:p>
                <a:pPr>
                  <a:defRPr sz="1100"/>
                </a:pPr>
                <a:r>
                  <a:rPr lang="en-US" sz="1100"/>
                  <a:t>Post-Irradiation U-234/Uranium at. %</a:t>
                </a:r>
              </a:p>
            </c:rich>
          </c:tx>
          <c:layout>
            <c:manualLayout>
              <c:xMode val="edge"/>
              <c:yMode val="edge"/>
              <c:x val="0.31165135608048999"/>
              <c:y val="0.95712290417609491"/>
            </c:manualLayout>
          </c:layout>
        </c:title>
        <c:numFmt formatCode="0.0%" sourceLinked="0"/>
        <c:tickLblPos val="low"/>
        <c:spPr>
          <a:ln>
            <a:solidFill>
              <a:sysClr val="windowText" lastClr="000000"/>
            </a:solidFill>
          </a:ln>
        </c:spPr>
        <c:crossAx val="184084352"/>
        <c:crosses val="autoZero"/>
        <c:crossBetween val="midCat"/>
        <c:majorUnit val="1.0000000000000041E-3"/>
        <c:minorUnit val="5.0000000000000034E-4"/>
      </c:valAx>
      <c:valAx>
        <c:axId val="184084352"/>
        <c:scaling>
          <c:orientation val="minMax"/>
          <c:max val="30"/>
          <c:min val="-30"/>
        </c:scaling>
        <c:axPos val="l"/>
        <c:majorGridlines>
          <c:spPr>
            <a:ln>
              <a:solidFill>
                <a:sysClr val="windowText" lastClr="000000"/>
              </a:solidFill>
            </a:ln>
          </c:spPr>
        </c:majorGridlines>
        <c:title>
          <c:tx>
            <c:rich>
              <a:bodyPr rot="-5400000" vert="horz"/>
              <a:lstStyle/>
              <a:p>
                <a:pPr algn="ctr" rtl="0">
                  <a:defRPr sz="1100"/>
                </a:pPr>
                <a:r>
                  <a:rPr lang="en-US" sz="1100"/>
                  <a:t>Distance from Core Axial Midplane (cm)</a:t>
                </a:r>
              </a:p>
            </c:rich>
          </c:tx>
          <c:layout>
            <c:manualLayout>
              <c:xMode val="edge"/>
              <c:yMode val="edge"/>
              <c:x val="2.3148148148148147E-3"/>
              <c:y val="9.7116889994013966E-2"/>
            </c:manualLayout>
          </c:layout>
        </c:title>
        <c:numFmt formatCode="General" sourceLinked="0"/>
        <c:tickLblPos val="low"/>
        <c:spPr>
          <a:ln>
            <a:solidFill>
              <a:schemeClr val="tx1"/>
            </a:solidFill>
          </a:ln>
        </c:spPr>
        <c:crossAx val="184082432"/>
        <c:crosses val="autoZero"/>
        <c:crossBetween val="midCat"/>
        <c:majorUnit val="5"/>
        <c:minorUnit val="2.5"/>
      </c:valAx>
    </c:plotArea>
    <c:legend>
      <c:legendPos val="r"/>
      <c:layout>
        <c:manualLayout>
          <c:xMode val="edge"/>
          <c:yMode val="edge"/>
          <c:x val="0.55979238172151558"/>
          <c:y val="5.4567152769730302E-4"/>
          <c:w val="0.43734285618143887"/>
          <c:h val="0.19584972482622587"/>
        </c:manualLayout>
      </c:layout>
      <c:overlay val="1"/>
      <c:spPr>
        <a:solidFill>
          <a:schemeClr val="bg1"/>
        </a:solidFill>
        <a:ln>
          <a:solidFill>
            <a:sysClr val="windowText" lastClr="000000"/>
          </a:solidFill>
        </a:ln>
      </c:spPr>
      <c:txPr>
        <a:bodyPr/>
        <a:lstStyle/>
        <a:p>
          <a:pPr>
            <a:defRPr sz="1000"/>
          </a:pPr>
          <a:endParaRPr lang="en-US"/>
        </a:p>
      </c:txPr>
    </c:legend>
    <c:plotVisOnly val="1"/>
  </c:chart>
  <c:spPr>
    <a:ln>
      <a:solidFill>
        <a:sysClr val="windowText" lastClr="000000"/>
      </a:solidFill>
    </a:ln>
  </c:spPr>
  <c:txPr>
    <a:bodyPr/>
    <a:lstStyle/>
    <a:p>
      <a:pPr>
        <a:defRPr sz="1000">
          <a:latin typeface="Times New Roman" pitchFamily="18" charset="0"/>
          <a:cs typeface="Times New Roman" pitchFamily="18" charset="0"/>
        </a:defRPr>
      </a:pPr>
      <a:endParaRPr lang="en-US"/>
    </a:p>
  </c:txPr>
  <c:externalData r:id="rId1"/>
</c:chartSpace>
</file>

<file path=word/charts/chart27.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0438531390472648"/>
          <c:y val="2.8871573344998541E-2"/>
          <c:w val="0.86129483814523755"/>
          <c:h val="0.83652524519961324"/>
        </c:manualLayout>
      </c:layout>
      <c:scatterChart>
        <c:scatterStyle val="smoothMarker"/>
        <c:ser>
          <c:idx val="6"/>
          <c:order val="0"/>
          <c:tx>
            <c:v>Meas. (I)</c:v>
          </c:tx>
          <c:spPr>
            <a:ln>
              <a:noFill/>
            </a:ln>
          </c:spPr>
          <c:marker>
            <c:symbol val="star"/>
            <c:size val="7"/>
            <c:spPr>
              <a:noFill/>
              <a:ln w="19050">
                <a:solidFill>
                  <a:srgbClr val="0000FF"/>
                </a:solidFill>
              </a:ln>
            </c:spPr>
          </c:marker>
          <c:xVal>
            <c:numRef>
              <c:f>Comparison!$L$33:$L$37</c:f>
              <c:numCache>
                <c:formatCode>0.00%</c:formatCode>
                <c:ptCount val="5"/>
                <c:pt idx="0">
                  <c:v>0.77300000000000624</c:v>
                </c:pt>
                <c:pt idx="1">
                  <c:v>0.66290000000000715</c:v>
                </c:pt>
                <c:pt idx="2">
                  <c:v>0.60829999999999995</c:v>
                </c:pt>
                <c:pt idx="3">
                  <c:v>0.64480000000000715</c:v>
                </c:pt>
                <c:pt idx="4">
                  <c:v>0.77950000000000064</c:v>
                </c:pt>
              </c:numCache>
            </c:numRef>
          </c:xVal>
          <c:yVal>
            <c:numRef>
              <c:f>Comparison!$K$33:$K$37</c:f>
              <c:numCache>
                <c:formatCode>General</c:formatCode>
                <c:ptCount val="5"/>
                <c:pt idx="0">
                  <c:v>23.494999999999987</c:v>
                </c:pt>
                <c:pt idx="1">
                  <c:v>12.065000000000024</c:v>
                </c:pt>
                <c:pt idx="2">
                  <c:v>0.63500000000000623</c:v>
                </c:pt>
                <c:pt idx="3">
                  <c:v>-10.795</c:v>
                </c:pt>
                <c:pt idx="4">
                  <c:v>-22.224999999999987</c:v>
                </c:pt>
              </c:numCache>
            </c:numRef>
          </c:yVal>
          <c:smooth val="1"/>
        </c:ser>
        <c:ser>
          <c:idx val="8"/>
          <c:order val="1"/>
          <c:tx>
            <c:v>VESTA (I)</c:v>
          </c:tx>
          <c:spPr>
            <a:ln w="19050">
              <a:solidFill>
                <a:srgbClr val="0000FF"/>
              </a:solidFill>
            </a:ln>
          </c:spPr>
          <c:marker>
            <c:symbol val="none"/>
          </c:marker>
          <c:xVal>
            <c:numRef>
              <c:f>Comparison!$G$33:$G$56</c:f>
              <c:numCache>
                <c:formatCode>0.00%</c:formatCode>
                <c:ptCount val="24"/>
                <c:pt idx="0">
                  <c:v>0.77696770202687915</c:v>
                </c:pt>
                <c:pt idx="1">
                  <c:v>0.79090662814289669</c:v>
                </c:pt>
                <c:pt idx="2">
                  <c:v>0.78480873936703788</c:v>
                </c:pt>
                <c:pt idx="3">
                  <c:v>0.75901311321236453</c:v>
                </c:pt>
                <c:pt idx="4">
                  <c:v>0.72684023279292465</c:v>
                </c:pt>
                <c:pt idx="5">
                  <c:v>0.6938631350388127</c:v>
                </c:pt>
                <c:pt idx="6">
                  <c:v>0.67562295968968944</c:v>
                </c:pt>
                <c:pt idx="7">
                  <c:v>0.65895788911953124</c:v>
                </c:pt>
                <c:pt idx="8">
                  <c:v>0.63460080047843337</c:v>
                </c:pt>
                <c:pt idx="9">
                  <c:v>0.61775464359029053</c:v>
                </c:pt>
                <c:pt idx="10">
                  <c:v>0.60776037276648565</c:v>
                </c:pt>
                <c:pt idx="11">
                  <c:v>0.60522158118923297</c:v>
                </c:pt>
                <c:pt idx="12">
                  <c:v>0.6060655917058595</c:v>
                </c:pt>
                <c:pt idx="13">
                  <c:v>0.61339757237892245</c:v>
                </c:pt>
                <c:pt idx="14">
                  <c:v>0.62847823499110311</c:v>
                </c:pt>
                <c:pt idx="15">
                  <c:v>0.65007356663470939</c:v>
                </c:pt>
                <c:pt idx="16">
                  <c:v>0.66543121132491301</c:v>
                </c:pt>
                <c:pt idx="17">
                  <c:v>0.68270399143273386</c:v>
                </c:pt>
                <c:pt idx="18">
                  <c:v>0.71462047817256502</c:v>
                </c:pt>
                <c:pt idx="19">
                  <c:v>0.7479243914691116</c:v>
                </c:pt>
                <c:pt idx="20">
                  <c:v>0.7778507531953055</c:v>
                </c:pt>
                <c:pt idx="21">
                  <c:v>0.7910353492757225</c:v>
                </c:pt>
                <c:pt idx="22">
                  <c:v>0.79351534782483557</c:v>
                </c:pt>
                <c:pt idx="23">
                  <c:v>0.77671355946374065</c:v>
                </c:pt>
              </c:numCache>
            </c:numRef>
          </c:xVal>
          <c:yVal>
            <c:numRef>
              <c:f>Comparison!$F$33:$F$56</c:f>
              <c:numCache>
                <c:formatCode>General</c:formatCode>
                <c:ptCount val="24"/>
                <c:pt idx="0">
                  <c:v>24.572499999999785</c:v>
                </c:pt>
                <c:pt idx="1">
                  <c:v>23.494999999999987</c:v>
                </c:pt>
                <c:pt idx="2">
                  <c:v>21.878750000000004</c:v>
                </c:pt>
                <c:pt idx="3">
                  <c:v>19.14625000000003</c:v>
                </c:pt>
                <c:pt idx="4">
                  <c:v>16.41375</c:v>
                </c:pt>
                <c:pt idx="5">
                  <c:v>13.681249999999999</c:v>
                </c:pt>
                <c:pt idx="6">
                  <c:v>12.065000000000024</c:v>
                </c:pt>
                <c:pt idx="7">
                  <c:v>10.44875</c:v>
                </c:pt>
                <c:pt idx="8">
                  <c:v>7.7162500000000014</c:v>
                </c:pt>
                <c:pt idx="9">
                  <c:v>4.9837500000000023</c:v>
                </c:pt>
                <c:pt idx="10">
                  <c:v>2.2512499999999767</c:v>
                </c:pt>
                <c:pt idx="11">
                  <c:v>0.63500000000000789</c:v>
                </c:pt>
                <c:pt idx="12">
                  <c:v>-0.9812499999999984</c:v>
                </c:pt>
                <c:pt idx="13">
                  <c:v>-3.7137499999999983</c:v>
                </c:pt>
                <c:pt idx="14">
                  <c:v>-6.4462500000000134</c:v>
                </c:pt>
                <c:pt idx="15">
                  <c:v>-9.1787500000000009</c:v>
                </c:pt>
                <c:pt idx="16">
                  <c:v>-10.795</c:v>
                </c:pt>
                <c:pt idx="17">
                  <c:v>-12.411250000000001</c:v>
                </c:pt>
                <c:pt idx="18">
                  <c:v>-15.143750000000001</c:v>
                </c:pt>
                <c:pt idx="19">
                  <c:v>-17.876249999999889</c:v>
                </c:pt>
                <c:pt idx="20">
                  <c:v>-20.608750000000001</c:v>
                </c:pt>
                <c:pt idx="21">
                  <c:v>-22.224999999999987</c:v>
                </c:pt>
                <c:pt idx="22">
                  <c:v>-23.302499999999796</c:v>
                </c:pt>
                <c:pt idx="23">
                  <c:v>-24.764999999999986</c:v>
                </c:pt>
              </c:numCache>
            </c:numRef>
          </c:yVal>
          <c:smooth val="1"/>
        </c:ser>
        <c:ser>
          <c:idx val="7"/>
          <c:order val="2"/>
          <c:tx>
            <c:v>ALEPH (I)</c:v>
          </c:tx>
          <c:spPr>
            <a:ln w="19050">
              <a:solidFill>
                <a:srgbClr val="0000FF"/>
              </a:solidFill>
              <a:prstDash val="dash"/>
            </a:ln>
          </c:spPr>
          <c:marker>
            <c:symbol val="none"/>
          </c:marker>
          <c:xVal>
            <c:numRef>
              <c:f>Comparison!$B$33:$B$56</c:f>
              <c:numCache>
                <c:formatCode>0.00%</c:formatCode>
                <c:ptCount val="24"/>
                <c:pt idx="0">
                  <c:v>0.77577799109235068</c:v>
                </c:pt>
                <c:pt idx="1">
                  <c:v>0.79083700657338296</c:v>
                </c:pt>
                <c:pt idx="2">
                  <c:v>0.78612787329265732</c:v>
                </c:pt>
                <c:pt idx="3">
                  <c:v>0.76082329859023778</c:v>
                </c:pt>
                <c:pt idx="4">
                  <c:v>0.72796588893928604</c:v>
                </c:pt>
                <c:pt idx="5">
                  <c:v>0.69455004646097063</c:v>
                </c:pt>
                <c:pt idx="6">
                  <c:v>0.67573983446680974</c:v>
                </c:pt>
                <c:pt idx="7">
                  <c:v>0.6586654771675664</c:v>
                </c:pt>
                <c:pt idx="8">
                  <c:v>0.63420538982117125</c:v>
                </c:pt>
                <c:pt idx="9">
                  <c:v>0.61591230101161965</c:v>
                </c:pt>
                <c:pt idx="10">
                  <c:v>0.60541449212876164</c:v>
                </c:pt>
                <c:pt idx="11">
                  <c:v>0.60300890232380577</c:v>
                </c:pt>
                <c:pt idx="12">
                  <c:v>0.60378606231741361</c:v>
                </c:pt>
                <c:pt idx="13">
                  <c:v>0.61118091252198081</c:v>
                </c:pt>
                <c:pt idx="14">
                  <c:v>0.6273020703208898</c:v>
                </c:pt>
                <c:pt idx="15">
                  <c:v>0.64923961583127865</c:v>
                </c:pt>
                <c:pt idx="16">
                  <c:v>0.66490910962552696</c:v>
                </c:pt>
                <c:pt idx="17">
                  <c:v>0.68320023118991524</c:v>
                </c:pt>
                <c:pt idx="18">
                  <c:v>0.71616591105329164</c:v>
                </c:pt>
                <c:pt idx="19">
                  <c:v>0.74951202730555921</c:v>
                </c:pt>
                <c:pt idx="20">
                  <c:v>0.7795139959651195</c:v>
                </c:pt>
                <c:pt idx="21">
                  <c:v>0.79277930976571942</c:v>
                </c:pt>
                <c:pt idx="22">
                  <c:v>0.79450791861167769</c:v>
                </c:pt>
                <c:pt idx="23">
                  <c:v>0.7759656230287677</c:v>
                </c:pt>
              </c:numCache>
            </c:numRef>
          </c:xVal>
          <c:yVal>
            <c:numRef>
              <c:f>Comparison!$A$33:$A$56</c:f>
              <c:numCache>
                <c:formatCode>General</c:formatCode>
                <c:ptCount val="24"/>
                <c:pt idx="0">
                  <c:v>24.572499999999785</c:v>
                </c:pt>
                <c:pt idx="1">
                  <c:v>23.494999999999987</c:v>
                </c:pt>
                <c:pt idx="2">
                  <c:v>21.878750000000004</c:v>
                </c:pt>
                <c:pt idx="3">
                  <c:v>19.14625000000003</c:v>
                </c:pt>
                <c:pt idx="4">
                  <c:v>16.41375</c:v>
                </c:pt>
                <c:pt idx="5">
                  <c:v>13.681249999999999</c:v>
                </c:pt>
                <c:pt idx="6">
                  <c:v>12.065000000000024</c:v>
                </c:pt>
                <c:pt idx="7">
                  <c:v>10.44875</c:v>
                </c:pt>
                <c:pt idx="8">
                  <c:v>7.7162500000000014</c:v>
                </c:pt>
                <c:pt idx="9">
                  <c:v>4.9837500000000023</c:v>
                </c:pt>
                <c:pt idx="10">
                  <c:v>2.2512499999999767</c:v>
                </c:pt>
                <c:pt idx="11">
                  <c:v>0.63500000000000789</c:v>
                </c:pt>
                <c:pt idx="12">
                  <c:v>-0.9812499999999984</c:v>
                </c:pt>
                <c:pt idx="13">
                  <c:v>-3.7137499999999983</c:v>
                </c:pt>
                <c:pt idx="14">
                  <c:v>-6.4462500000000134</c:v>
                </c:pt>
                <c:pt idx="15">
                  <c:v>-9.1787500000000009</c:v>
                </c:pt>
                <c:pt idx="16">
                  <c:v>-10.795</c:v>
                </c:pt>
                <c:pt idx="17">
                  <c:v>-12.411250000000001</c:v>
                </c:pt>
                <c:pt idx="18">
                  <c:v>-15.143750000000001</c:v>
                </c:pt>
                <c:pt idx="19">
                  <c:v>-17.876249999999889</c:v>
                </c:pt>
                <c:pt idx="20">
                  <c:v>-20.608750000000001</c:v>
                </c:pt>
                <c:pt idx="21">
                  <c:v>-22.224999999999987</c:v>
                </c:pt>
                <c:pt idx="22">
                  <c:v>-23.302499999999796</c:v>
                </c:pt>
                <c:pt idx="23">
                  <c:v>-24.764999999999986</c:v>
                </c:pt>
              </c:numCache>
            </c:numRef>
          </c:yVal>
          <c:smooth val="1"/>
        </c:ser>
        <c:ser>
          <c:idx val="0"/>
          <c:order val="3"/>
          <c:tx>
            <c:v>Meas. (H)</c:v>
          </c:tx>
          <c:spPr>
            <a:ln>
              <a:noFill/>
            </a:ln>
          </c:spPr>
          <c:marker>
            <c:symbol val="triangle"/>
            <c:size val="7"/>
            <c:spPr>
              <a:noFill/>
              <a:ln w="19050">
                <a:solidFill>
                  <a:srgbClr val="008000"/>
                </a:solidFill>
              </a:ln>
            </c:spPr>
          </c:marker>
          <c:xVal>
            <c:numRef>
              <c:f>Comparison!$M$33:$M$37</c:f>
              <c:numCache>
                <c:formatCode>0.00%</c:formatCode>
                <c:ptCount val="5"/>
                <c:pt idx="0">
                  <c:v>0.86170000000000624</c:v>
                </c:pt>
                <c:pt idx="1">
                  <c:v>0.82160000000000555</c:v>
                </c:pt>
                <c:pt idx="2">
                  <c:v>0.79180000000000061</c:v>
                </c:pt>
                <c:pt idx="3">
                  <c:v>0.81760000000000566</c:v>
                </c:pt>
                <c:pt idx="4">
                  <c:v>0.86770000000000702</c:v>
                </c:pt>
              </c:numCache>
            </c:numRef>
          </c:xVal>
          <c:yVal>
            <c:numRef>
              <c:f>Comparison!$K$33:$K$37</c:f>
              <c:numCache>
                <c:formatCode>General</c:formatCode>
                <c:ptCount val="5"/>
                <c:pt idx="0">
                  <c:v>23.494999999999987</c:v>
                </c:pt>
                <c:pt idx="1">
                  <c:v>12.065000000000024</c:v>
                </c:pt>
                <c:pt idx="2">
                  <c:v>0.63500000000000623</c:v>
                </c:pt>
                <c:pt idx="3">
                  <c:v>-10.795</c:v>
                </c:pt>
                <c:pt idx="4">
                  <c:v>-22.224999999999987</c:v>
                </c:pt>
              </c:numCache>
            </c:numRef>
          </c:yVal>
          <c:smooth val="1"/>
        </c:ser>
        <c:ser>
          <c:idx val="2"/>
          <c:order val="4"/>
          <c:tx>
            <c:v>VESTA (H)</c:v>
          </c:tx>
          <c:spPr>
            <a:ln w="19050">
              <a:solidFill>
                <a:srgbClr val="008000"/>
              </a:solidFill>
            </a:ln>
          </c:spPr>
          <c:marker>
            <c:symbol val="none"/>
          </c:marker>
          <c:xVal>
            <c:numRef>
              <c:f>Comparison!$H$33:$H$56</c:f>
              <c:numCache>
                <c:formatCode>0.00%</c:formatCode>
                <c:ptCount val="24"/>
                <c:pt idx="0">
                  <c:v>0.85489722628634035</c:v>
                </c:pt>
                <c:pt idx="1">
                  <c:v>0.87074603546521923</c:v>
                </c:pt>
                <c:pt idx="2">
                  <c:v>0.8700198870756356</c:v>
                </c:pt>
                <c:pt idx="3">
                  <c:v>0.85909359115727868</c:v>
                </c:pt>
                <c:pt idx="4">
                  <c:v>0.84533761920325734</c:v>
                </c:pt>
                <c:pt idx="5">
                  <c:v>0.83187264181727349</c:v>
                </c:pt>
                <c:pt idx="6">
                  <c:v>0.82399420629444098</c:v>
                </c:pt>
                <c:pt idx="7">
                  <c:v>0.81715141569436944</c:v>
                </c:pt>
                <c:pt idx="8">
                  <c:v>0.80705376928503758</c:v>
                </c:pt>
                <c:pt idx="9">
                  <c:v>0.79962226938589065</c:v>
                </c:pt>
                <c:pt idx="10">
                  <c:v>0.79511976276798657</c:v>
                </c:pt>
                <c:pt idx="11">
                  <c:v>0.79383767609818512</c:v>
                </c:pt>
                <c:pt idx="12">
                  <c:v>0.79439295150368971</c:v>
                </c:pt>
                <c:pt idx="13">
                  <c:v>0.7976286184485456</c:v>
                </c:pt>
                <c:pt idx="14">
                  <c:v>0.80402720249620063</c:v>
                </c:pt>
                <c:pt idx="15">
                  <c:v>0.81332222851343861</c:v>
                </c:pt>
                <c:pt idx="16">
                  <c:v>0.81973146477339764</c:v>
                </c:pt>
                <c:pt idx="17">
                  <c:v>0.82715830126796219</c:v>
                </c:pt>
                <c:pt idx="18">
                  <c:v>0.84040908337862164</c:v>
                </c:pt>
                <c:pt idx="19">
                  <c:v>0.85434843450389486</c:v>
                </c:pt>
                <c:pt idx="20">
                  <c:v>0.86730567389304258</c:v>
                </c:pt>
                <c:pt idx="21">
                  <c:v>0.87294727920961468</c:v>
                </c:pt>
                <c:pt idx="22">
                  <c:v>0.87235312656573261</c:v>
                </c:pt>
                <c:pt idx="23">
                  <c:v>0.85309331837716162</c:v>
                </c:pt>
              </c:numCache>
            </c:numRef>
          </c:xVal>
          <c:yVal>
            <c:numRef>
              <c:f>Comparison!$F$33:$F$56</c:f>
              <c:numCache>
                <c:formatCode>General</c:formatCode>
                <c:ptCount val="24"/>
                <c:pt idx="0">
                  <c:v>24.572499999999785</c:v>
                </c:pt>
                <c:pt idx="1">
                  <c:v>23.494999999999987</c:v>
                </c:pt>
                <c:pt idx="2">
                  <c:v>21.878750000000004</c:v>
                </c:pt>
                <c:pt idx="3">
                  <c:v>19.14625000000003</c:v>
                </c:pt>
                <c:pt idx="4">
                  <c:v>16.41375</c:v>
                </c:pt>
                <c:pt idx="5">
                  <c:v>13.681249999999999</c:v>
                </c:pt>
                <c:pt idx="6">
                  <c:v>12.065000000000024</c:v>
                </c:pt>
                <c:pt idx="7">
                  <c:v>10.44875</c:v>
                </c:pt>
                <c:pt idx="8">
                  <c:v>7.7162500000000014</c:v>
                </c:pt>
                <c:pt idx="9">
                  <c:v>4.9837500000000023</c:v>
                </c:pt>
                <c:pt idx="10">
                  <c:v>2.2512499999999767</c:v>
                </c:pt>
                <c:pt idx="11">
                  <c:v>0.63500000000000789</c:v>
                </c:pt>
                <c:pt idx="12">
                  <c:v>-0.9812499999999984</c:v>
                </c:pt>
                <c:pt idx="13">
                  <c:v>-3.7137499999999983</c:v>
                </c:pt>
                <c:pt idx="14">
                  <c:v>-6.4462500000000134</c:v>
                </c:pt>
                <c:pt idx="15">
                  <c:v>-9.1787500000000009</c:v>
                </c:pt>
                <c:pt idx="16">
                  <c:v>-10.795</c:v>
                </c:pt>
                <c:pt idx="17">
                  <c:v>-12.411250000000001</c:v>
                </c:pt>
                <c:pt idx="18">
                  <c:v>-15.143750000000001</c:v>
                </c:pt>
                <c:pt idx="19">
                  <c:v>-17.876249999999889</c:v>
                </c:pt>
                <c:pt idx="20">
                  <c:v>-20.608750000000001</c:v>
                </c:pt>
                <c:pt idx="21">
                  <c:v>-22.224999999999987</c:v>
                </c:pt>
                <c:pt idx="22">
                  <c:v>-23.302499999999796</c:v>
                </c:pt>
                <c:pt idx="23">
                  <c:v>-24.764999999999986</c:v>
                </c:pt>
              </c:numCache>
            </c:numRef>
          </c:yVal>
          <c:smooth val="1"/>
        </c:ser>
        <c:ser>
          <c:idx val="1"/>
          <c:order val="5"/>
          <c:tx>
            <c:v>ALEPH (H)</c:v>
          </c:tx>
          <c:spPr>
            <a:ln w="19050">
              <a:solidFill>
                <a:srgbClr val="008000"/>
              </a:solidFill>
              <a:prstDash val="dash"/>
            </a:ln>
          </c:spPr>
          <c:marker>
            <c:symbol val="none"/>
          </c:marker>
          <c:xVal>
            <c:numRef>
              <c:f>Comparison!$C$33:$C$56</c:f>
              <c:numCache>
                <c:formatCode>0.00%</c:formatCode>
                <c:ptCount val="24"/>
                <c:pt idx="0">
                  <c:v>0.85395579236890606</c:v>
                </c:pt>
                <c:pt idx="1">
                  <c:v>0.87075400798684754</c:v>
                </c:pt>
                <c:pt idx="2">
                  <c:v>0.86974272005349884</c:v>
                </c:pt>
                <c:pt idx="3">
                  <c:v>0.85910333686617679</c:v>
                </c:pt>
                <c:pt idx="4">
                  <c:v>0.84530095052579823</c:v>
                </c:pt>
                <c:pt idx="5">
                  <c:v>0.8311063274936541</c:v>
                </c:pt>
                <c:pt idx="6">
                  <c:v>0.82362391100387733</c:v>
                </c:pt>
                <c:pt idx="7">
                  <c:v>0.81642858500402749</c:v>
                </c:pt>
                <c:pt idx="8">
                  <c:v>0.80654033464822561</c:v>
                </c:pt>
                <c:pt idx="9">
                  <c:v>0.79907523006129866</c:v>
                </c:pt>
                <c:pt idx="10">
                  <c:v>0.79414605293212692</c:v>
                </c:pt>
                <c:pt idx="11">
                  <c:v>0.79324780074717993</c:v>
                </c:pt>
                <c:pt idx="12">
                  <c:v>0.79346957585397559</c:v>
                </c:pt>
                <c:pt idx="13">
                  <c:v>0.7968062133431727</c:v>
                </c:pt>
                <c:pt idx="14">
                  <c:v>0.80353744287446038</c:v>
                </c:pt>
                <c:pt idx="15">
                  <c:v>0.81315467020858656</c:v>
                </c:pt>
                <c:pt idx="16">
                  <c:v>0.81912968231966565</c:v>
                </c:pt>
                <c:pt idx="17">
                  <c:v>0.82705258427822059</c:v>
                </c:pt>
                <c:pt idx="18">
                  <c:v>0.84038394934775229</c:v>
                </c:pt>
                <c:pt idx="19">
                  <c:v>0.85431565803555165</c:v>
                </c:pt>
                <c:pt idx="20">
                  <c:v>0.86685287776253661</c:v>
                </c:pt>
                <c:pt idx="21">
                  <c:v>0.87242082923558284</c:v>
                </c:pt>
                <c:pt idx="22">
                  <c:v>0.87205903189956369</c:v>
                </c:pt>
                <c:pt idx="23">
                  <c:v>0.85198580008025715</c:v>
                </c:pt>
              </c:numCache>
            </c:numRef>
          </c:xVal>
          <c:yVal>
            <c:numRef>
              <c:f>Comparison!$A$33:$A$56</c:f>
              <c:numCache>
                <c:formatCode>General</c:formatCode>
                <c:ptCount val="24"/>
                <c:pt idx="0">
                  <c:v>24.572499999999785</c:v>
                </c:pt>
                <c:pt idx="1">
                  <c:v>23.494999999999987</c:v>
                </c:pt>
                <c:pt idx="2">
                  <c:v>21.878750000000004</c:v>
                </c:pt>
                <c:pt idx="3">
                  <c:v>19.14625000000003</c:v>
                </c:pt>
                <c:pt idx="4">
                  <c:v>16.41375</c:v>
                </c:pt>
                <c:pt idx="5">
                  <c:v>13.681249999999999</c:v>
                </c:pt>
                <c:pt idx="6">
                  <c:v>12.065000000000024</c:v>
                </c:pt>
                <c:pt idx="7">
                  <c:v>10.44875</c:v>
                </c:pt>
                <c:pt idx="8">
                  <c:v>7.7162500000000014</c:v>
                </c:pt>
                <c:pt idx="9">
                  <c:v>4.9837500000000023</c:v>
                </c:pt>
                <c:pt idx="10">
                  <c:v>2.2512499999999767</c:v>
                </c:pt>
                <c:pt idx="11">
                  <c:v>0.63500000000000789</c:v>
                </c:pt>
                <c:pt idx="12">
                  <c:v>-0.9812499999999984</c:v>
                </c:pt>
                <c:pt idx="13">
                  <c:v>-3.7137499999999983</c:v>
                </c:pt>
                <c:pt idx="14">
                  <c:v>-6.4462500000000134</c:v>
                </c:pt>
                <c:pt idx="15">
                  <c:v>-9.1787500000000009</c:v>
                </c:pt>
                <c:pt idx="16">
                  <c:v>-10.795</c:v>
                </c:pt>
                <c:pt idx="17">
                  <c:v>-12.411250000000001</c:v>
                </c:pt>
                <c:pt idx="18">
                  <c:v>-15.143750000000001</c:v>
                </c:pt>
                <c:pt idx="19">
                  <c:v>-17.876249999999889</c:v>
                </c:pt>
                <c:pt idx="20">
                  <c:v>-20.608750000000001</c:v>
                </c:pt>
                <c:pt idx="21">
                  <c:v>-22.224999999999987</c:v>
                </c:pt>
                <c:pt idx="22">
                  <c:v>-23.302499999999796</c:v>
                </c:pt>
                <c:pt idx="23">
                  <c:v>-24.764999999999986</c:v>
                </c:pt>
              </c:numCache>
            </c:numRef>
          </c:yVal>
          <c:smooth val="1"/>
        </c:ser>
        <c:ser>
          <c:idx val="3"/>
          <c:order val="6"/>
          <c:tx>
            <c:v>Meas. (O)</c:v>
          </c:tx>
          <c:spPr>
            <a:ln>
              <a:noFill/>
            </a:ln>
          </c:spPr>
          <c:marker>
            <c:symbol val="circle"/>
            <c:size val="7"/>
            <c:spPr>
              <a:noFill/>
              <a:ln w="19050">
                <a:solidFill>
                  <a:srgbClr val="FF0000"/>
                </a:solidFill>
              </a:ln>
            </c:spPr>
          </c:marker>
          <c:xVal>
            <c:numRef>
              <c:f>Comparison!$N$33:$N$37</c:f>
              <c:numCache>
                <c:formatCode>0.00%</c:formatCode>
                <c:ptCount val="5"/>
                <c:pt idx="0">
                  <c:v>0.83780000000000165</c:v>
                </c:pt>
                <c:pt idx="1">
                  <c:v>0.79180000000000061</c:v>
                </c:pt>
                <c:pt idx="2">
                  <c:v>0.74730000000000063</c:v>
                </c:pt>
                <c:pt idx="3">
                  <c:v>0.78920000000000001</c:v>
                </c:pt>
                <c:pt idx="4">
                  <c:v>0.84629999999999994</c:v>
                </c:pt>
              </c:numCache>
            </c:numRef>
          </c:xVal>
          <c:yVal>
            <c:numRef>
              <c:f>Comparison!$K$33:$K$37</c:f>
              <c:numCache>
                <c:formatCode>General</c:formatCode>
                <c:ptCount val="5"/>
                <c:pt idx="0">
                  <c:v>23.494999999999987</c:v>
                </c:pt>
                <c:pt idx="1">
                  <c:v>12.065000000000024</c:v>
                </c:pt>
                <c:pt idx="2">
                  <c:v>0.63500000000000623</c:v>
                </c:pt>
                <c:pt idx="3">
                  <c:v>-10.795</c:v>
                </c:pt>
                <c:pt idx="4">
                  <c:v>-22.224999999999987</c:v>
                </c:pt>
              </c:numCache>
            </c:numRef>
          </c:yVal>
          <c:smooth val="1"/>
        </c:ser>
        <c:ser>
          <c:idx val="5"/>
          <c:order val="7"/>
          <c:tx>
            <c:v>VESTA (O)</c:v>
          </c:tx>
          <c:spPr>
            <a:ln w="19050">
              <a:solidFill>
                <a:srgbClr val="FF0000"/>
              </a:solidFill>
            </a:ln>
          </c:spPr>
          <c:marker>
            <c:symbol val="none"/>
          </c:marker>
          <c:xVal>
            <c:numRef>
              <c:f>Comparison!$I$33:$I$56</c:f>
              <c:numCache>
                <c:formatCode>0.00%</c:formatCode>
                <c:ptCount val="24"/>
                <c:pt idx="0">
                  <c:v>0.84411420889144451</c:v>
                </c:pt>
                <c:pt idx="1">
                  <c:v>0.85369658565975004</c:v>
                </c:pt>
                <c:pt idx="2">
                  <c:v>0.85194315998306414</c:v>
                </c:pt>
                <c:pt idx="3">
                  <c:v>0.83938750407703056</c:v>
                </c:pt>
                <c:pt idx="4">
                  <c:v>0.82281399045820769</c:v>
                </c:pt>
                <c:pt idx="5">
                  <c:v>0.80622502444916</c:v>
                </c:pt>
                <c:pt idx="6">
                  <c:v>0.79702326535395041</c:v>
                </c:pt>
                <c:pt idx="7">
                  <c:v>0.78854479664569765</c:v>
                </c:pt>
                <c:pt idx="8">
                  <c:v>0.77608752821640015</c:v>
                </c:pt>
                <c:pt idx="9">
                  <c:v>0.76689388834086092</c:v>
                </c:pt>
                <c:pt idx="10">
                  <c:v>0.76163819468993188</c:v>
                </c:pt>
                <c:pt idx="11">
                  <c:v>0.76031694020671559</c:v>
                </c:pt>
                <c:pt idx="12">
                  <c:v>0.76075150541626435</c:v>
                </c:pt>
                <c:pt idx="13">
                  <c:v>0.76473540133430473</c:v>
                </c:pt>
                <c:pt idx="14">
                  <c:v>0.77268744378408161</c:v>
                </c:pt>
                <c:pt idx="15">
                  <c:v>0.78393087283939955</c:v>
                </c:pt>
                <c:pt idx="16">
                  <c:v>0.79197831534885565</c:v>
                </c:pt>
                <c:pt idx="17">
                  <c:v>0.80101520692076655</c:v>
                </c:pt>
                <c:pt idx="18">
                  <c:v>0.81722103742026664</c:v>
                </c:pt>
                <c:pt idx="19">
                  <c:v>0.83408134462717964</c:v>
                </c:pt>
                <c:pt idx="20">
                  <c:v>0.84929145845002396</c:v>
                </c:pt>
                <c:pt idx="21">
                  <c:v>0.8555311550417235</c:v>
                </c:pt>
                <c:pt idx="22">
                  <c:v>0.85598583785851912</c:v>
                </c:pt>
                <c:pt idx="23">
                  <c:v>0.84450805546082164</c:v>
                </c:pt>
              </c:numCache>
            </c:numRef>
          </c:xVal>
          <c:yVal>
            <c:numRef>
              <c:f>Comparison!$F$33:$F$56</c:f>
              <c:numCache>
                <c:formatCode>General</c:formatCode>
                <c:ptCount val="24"/>
                <c:pt idx="0">
                  <c:v>24.572499999999785</c:v>
                </c:pt>
                <c:pt idx="1">
                  <c:v>23.494999999999987</c:v>
                </c:pt>
                <c:pt idx="2">
                  <c:v>21.878750000000004</c:v>
                </c:pt>
                <c:pt idx="3">
                  <c:v>19.14625000000003</c:v>
                </c:pt>
                <c:pt idx="4">
                  <c:v>16.41375</c:v>
                </c:pt>
                <c:pt idx="5">
                  <c:v>13.681249999999999</c:v>
                </c:pt>
                <c:pt idx="6">
                  <c:v>12.065000000000024</c:v>
                </c:pt>
                <c:pt idx="7">
                  <c:v>10.44875</c:v>
                </c:pt>
                <c:pt idx="8">
                  <c:v>7.7162500000000014</c:v>
                </c:pt>
                <c:pt idx="9">
                  <c:v>4.9837500000000023</c:v>
                </c:pt>
                <c:pt idx="10">
                  <c:v>2.2512499999999767</c:v>
                </c:pt>
                <c:pt idx="11">
                  <c:v>0.63500000000000789</c:v>
                </c:pt>
                <c:pt idx="12">
                  <c:v>-0.9812499999999984</c:v>
                </c:pt>
                <c:pt idx="13">
                  <c:v>-3.7137499999999983</c:v>
                </c:pt>
                <c:pt idx="14">
                  <c:v>-6.4462500000000134</c:v>
                </c:pt>
                <c:pt idx="15">
                  <c:v>-9.1787500000000009</c:v>
                </c:pt>
                <c:pt idx="16">
                  <c:v>-10.795</c:v>
                </c:pt>
                <c:pt idx="17">
                  <c:v>-12.411250000000001</c:v>
                </c:pt>
                <c:pt idx="18">
                  <c:v>-15.143750000000001</c:v>
                </c:pt>
                <c:pt idx="19">
                  <c:v>-17.876249999999889</c:v>
                </c:pt>
                <c:pt idx="20">
                  <c:v>-20.608750000000001</c:v>
                </c:pt>
                <c:pt idx="21">
                  <c:v>-22.224999999999987</c:v>
                </c:pt>
                <c:pt idx="22">
                  <c:v>-23.302499999999796</c:v>
                </c:pt>
                <c:pt idx="23">
                  <c:v>-24.764999999999986</c:v>
                </c:pt>
              </c:numCache>
            </c:numRef>
          </c:yVal>
          <c:smooth val="1"/>
        </c:ser>
        <c:ser>
          <c:idx val="4"/>
          <c:order val="8"/>
          <c:tx>
            <c:v>ALEPH (O)</c:v>
          </c:tx>
          <c:spPr>
            <a:ln w="19050">
              <a:solidFill>
                <a:srgbClr val="FF0000"/>
              </a:solidFill>
              <a:prstDash val="dash"/>
            </a:ln>
          </c:spPr>
          <c:marker>
            <c:symbol val="none"/>
          </c:marker>
          <c:xVal>
            <c:numRef>
              <c:f>Comparison!$D$33:$D$56</c:f>
              <c:numCache>
                <c:formatCode>0.00%</c:formatCode>
                <c:ptCount val="24"/>
                <c:pt idx="0">
                  <c:v>0.84180134043791666</c:v>
                </c:pt>
                <c:pt idx="1">
                  <c:v>0.85198068211032763</c:v>
                </c:pt>
                <c:pt idx="2">
                  <c:v>0.85029694951496648</c:v>
                </c:pt>
                <c:pt idx="3">
                  <c:v>0.83762547177522362</c:v>
                </c:pt>
                <c:pt idx="4">
                  <c:v>0.8205778722011805</c:v>
                </c:pt>
                <c:pt idx="5">
                  <c:v>0.80316825353815513</c:v>
                </c:pt>
                <c:pt idx="6">
                  <c:v>0.79394003429126025</c:v>
                </c:pt>
                <c:pt idx="7">
                  <c:v>0.78457637538580649</c:v>
                </c:pt>
                <c:pt idx="8">
                  <c:v>0.7719212463303714</c:v>
                </c:pt>
                <c:pt idx="9">
                  <c:v>0.76230809865859184</c:v>
                </c:pt>
                <c:pt idx="10">
                  <c:v>0.75673850930110664</c:v>
                </c:pt>
                <c:pt idx="11">
                  <c:v>0.75569484353195193</c:v>
                </c:pt>
                <c:pt idx="12">
                  <c:v>0.755694008729766</c:v>
                </c:pt>
                <c:pt idx="13">
                  <c:v>0.76046224888235059</c:v>
                </c:pt>
                <c:pt idx="14">
                  <c:v>0.76825750214105915</c:v>
                </c:pt>
                <c:pt idx="15">
                  <c:v>0.7799161713649263</c:v>
                </c:pt>
                <c:pt idx="16">
                  <c:v>0.78842214822543544</c:v>
                </c:pt>
                <c:pt idx="17">
                  <c:v>0.79779852300985665</c:v>
                </c:pt>
                <c:pt idx="18">
                  <c:v>0.81427925375319643</c:v>
                </c:pt>
                <c:pt idx="19">
                  <c:v>0.83204043453173082</c:v>
                </c:pt>
                <c:pt idx="20">
                  <c:v>0.84740991396278864</c:v>
                </c:pt>
                <c:pt idx="21">
                  <c:v>0.85368422513601072</c:v>
                </c:pt>
                <c:pt idx="22">
                  <c:v>0.85426432349548664</c:v>
                </c:pt>
                <c:pt idx="23">
                  <c:v>0.84255014901658654</c:v>
                </c:pt>
              </c:numCache>
            </c:numRef>
          </c:xVal>
          <c:yVal>
            <c:numRef>
              <c:f>Comparison!$A$33:$A$56</c:f>
              <c:numCache>
                <c:formatCode>General</c:formatCode>
                <c:ptCount val="24"/>
                <c:pt idx="0">
                  <c:v>24.572499999999785</c:v>
                </c:pt>
                <c:pt idx="1">
                  <c:v>23.494999999999987</c:v>
                </c:pt>
                <c:pt idx="2">
                  <c:v>21.878750000000004</c:v>
                </c:pt>
                <c:pt idx="3">
                  <c:v>19.14625000000003</c:v>
                </c:pt>
                <c:pt idx="4">
                  <c:v>16.41375</c:v>
                </c:pt>
                <c:pt idx="5">
                  <c:v>13.681249999999999</c:v>
                </c:pt>
                <c:pt idx="6">
                  <c:v>12.065000000000024</c:v>
                </c:pt>
                <c:pt idx="7">
                  <c:v>10.44875</c:v>
                </c:pt>
                <c:pt idx="8">
                  <c:v>7.7162500000000014</c:v>
                </c:pt>
                <c:pt idx="9">
                  <c:v>4.9837500000000023</c:v>
                </c:pt>
                <c:pt idx="10">
                  <c:v>2.2512499999999767</c:v>
                </c:pt>
                <c:pt idx="11">
                  <c:v>0.63500000000000789</c:v>
                </c:pt>
                <c:pt idx="12">
                  <c:v>-0.9812499999999984</c:v>
                </c:pt>
                <c:pt idx="13">
                  <c:v>-3.7137499999999983</c:v>
                </c:pt>
                <c:pt idx="14">
                  <c:v>-6.4462500000000134</c:v>
                </c:pt>
                <c:pt idx="15">
                  <c:v>-9.1787500000000009</c:v>
                </c:pt>
                <c:pt idx="16">
                  <c:v>-10.795</c:v>
                </c:pt>
                <c:pt idx="17">
                  <c:v>-12.411250000000001</c:v>
                </c:pt>
                <c:pt idx="18">
                  <c:v>-15.143750000000001</c:v>
                </c:pt>
                <c:pt idx="19">
                  <c:v>-17.876249999999889</c:v>
                </c:pt>
                <c:pt idx="20">
                  <c:v>-20.608750000000001</c:v>
                </c:pt>
                <c:pt idx="21">
                  <c:v>-22.224999999999987</c:v>
                </c:pt>
                <c:pt idx="22">
                  <c:v>-23.302499999999796</c:v>
                </c:pt>
                <c:pt idx="23">
                  <c:v>-24.764999999999986</c:v>
                </c:pt>
              </c:numCache>
            </c:numRef>
          </c:yVal>
          <c:smooth val="1"/>
        </c:ser>
        <c:axId val="184348672"/>
        <c:axId val="184350592"/>
      </c:scatterChart>
      <c:valAx>
        <c:axId val="184348672"/>
        <c:scaling>
          <c:orientation val="minMax"/>
          <c:max val="0.9"/>
          <c:min val="0.55000000000000004"/>
        </c:scaling>
        <c:axPos val="b"/>
        <c:majorGridlines>
          <c:spPr>
            <a:ln>
              <a:solidFill>
                <a:sysClr val="windowText" lastClr="000000"/>
              </a:solidFill>
            </a:ln>
          </c:spPr>
        </c:majorGridlines>
        <c:minorGridlines/>
        <c:title>
          <c:tx>
            <c:rich>
              <a:bodyPr/>
              <a:lstStyle/>
              <a:p>
                <a:pPr>
                  <a:defRPr sz="1100"/>
                </a:pPr>
                <a:r>
                  <a:rPr lang="en-US" sz="1100"/>
                  <a:t>Post-Irradiation U-235/Uranium at. %</a:t>
                </a:r>
              </a:p>
            </c:rich>
          </c:tx>
          <c:layout>
            <c:manualLayout>
              <c:xMode val="edge"/>
              <c:yMode val="edge"/>
              <c:x val="0.31129231442223571"/>
              <c:y val="0.9406519188974346"/>
            </c:manualLayout>
          </c:layout>
        </c:title>
        <c:numFmt formatCode="0%" sourceLinked="0"/>
        <c:tickLblPos val="low"/>
        <c:spPr>
          <a:ln>
            <a:solidFill>
              <a:sysClr val="windowText" lastClr="000000"/>
            </a:solidFill>
          </a:ln>
        </c:spPr>
        <c:crossAx val="184350592"/>
        <c:crosses val="autoZero"/>
        <c:crossBetween val="midCat"/>
        <c:majorUnit val="0.05"/>
        <c:minorUnit val="2.5000000000000012E-2"/>
      </c:valAx>
      <c:valAx>
        <c:axId val="184350592"/>
        <c:scaling>
          <c:orientation val="minMax"/>
          <c:max val="30"/>
          <c:min val="-30"/>
        </c:scaling>
        <c:axPos val="l"/>
        <c:majorGridlines>
          <c:spPr>
            <a:ln>
              <a:solidFill>
                <a:sysClr val="windowText" lastClr="000000"/>
              </a:solidFill>
            </a:ln>
          </c:spPr>
        </c:majorGridlines>
        <c:title>
          <c:tx>
            <c:rich>
              <a:bodyPr rot="-5400000" vert="horz"/>
              <a:lstStyle/>
              <a:p>
                <a:pPr>
                  <a:defRPr/>
                </a:pPr>
                <a:r>
                  <a:rPr lang="en-US"/>
                  <a:t>Distance From Core Axial Midplane (cm)</a:t>
                </a:r>
              </a:p>
            </c:rich>
          </c:tx>
          <c:layout>
            <c:manualLayout>
              <c:xMode val="edge"/>
              <c:yMode val="edge"/>
              <c:x val="9.9777631962671368E-3"/>
              <c:y val="0.10642411474881473"/>
            </c:manualLayout>
          </c:layout>
        </c:title>
        <c:numFmt formatCode="General" sourceLinked="0"/>
        <c:tickLblPos val="low"/>
        <c:spPr>
          <a:ln>
            <a:solidFill>
              <a:schemeClr val="tx1"/>
            </a:solidFill>
          </a:ln>
        </c:spPr>
        <c:crossAx val="184348672"/>
        <c:crosses val="autoZero"/>
        <c:crossBetween val="midCat"/>
        <c:majorUnit val="5"/>
        <c:minorUnit val="2.5"/>
      </c:valAx>
    </c:plotArea>
    <c:legend>
      <c:legendPos val="r"/>
      <c:layout>
        <c:manualLayout>
          <c:xMode val="edge"/>
          <c:yMode val="edge"/>
          <c:x val="9.9224081364830033E-2"/>
          <c:y val="1.4629955794999309E-2"/>
          <c:w val="0.52190379848352364"/>
          <c:h val="0.13988983284984124"/>
        </c:manualLayout>
      </c:layout>
      <c:overlay val="1"/>
      <c:spPr>
        <a:solidFill>
          <a:schemeClr val="bg1"/>
        </a:solidFill>
        <a:ln>
          <a:solidFill>
            <a:sysClr val="windowText" lastClr="000000"/>
          </a:solidFill>
        </a:ln>
      </c:spPr>
      <c:txPr>
        <a:bodyPr/>
        <a:lstStyle/>
        <a:p>
          <a:pPr>
            <a:defRPr sz="800"/>
          </a:pPr>
          <a:endParaRPr lang="en-US"/>
        </a:p>
      </c:txPr>
    </c:legend>
    <c:plotVisOnly val="1"/>
  </c:chart>
  <c:spPr>
    <a:ln>
      <a:solidFill>
        <a:sysClr val="windowText" lastClr="000000"/>
      </a:solidFill>
    </a:ln>
  </c:spPr>
  <c:txPr>
    <a:bodyPr/>
    <a:lstStyle/>
    <a:p>
      <a:pPr>
        <a:defRPr sz="1000">
          <a:latin typeface="Times New Roman" pitchFamily="18" charset="0"/>
          <a:cs typeface="Times New Roman" pitchFamily="18" charset="0"/>
        </a:defRPr>
      </a:pPr>
      <a:endParaRPr lang="en-US"/>
    </a:p>
  </c:txPr>
  <c:externalData r:id="rId1"/>
</c:chartSpace>
</file>

<file path=word/charts/chart28.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1587956677829064"/>
          <c:y val="1.7297499270924468E-2"/>
          <c:w val="0.84046142939029178"/>
          <c:h val="0.83918646682322606"/>
        </c:manualLayout>
      </c:layout>
      <c:scatterChart>
        <c:scatterStyle val="smoothMarker"/>
        <c:ser>
          <c:idx val="6"/>
          <c:order val="0"/>
          <c:tx>
            <c:v>Meas. (I)</c:v>
          </c:tx>
          <c:spPr>
            <a:ln>
              <a:noFill/>
            </a:ln>
          </c:spPr>
          <c:marker>
            <c:symbol val="star"/>
            <c:size val="7"/>
            <c:spPr>
              <a:noFill/>
              <a:ln w="19050">
                <a:solidFill>
                  <a:srgbClr val="0000FF"/>
                </a:solidFill>
              </a:ln>
            </c:spPr>
          </c:marker>
          <c:xVal>
            <c:numRef>
              <c:f>Comparison!$L$60:$L$64</c:f>
              <c:numCache>
                <c:formatCode>0.00%</c:formatCode>
                <c:ptCount val="5"/>
                <c:pt idx="0">
                  <c:v>0.1273</c:v>
                </c:pt>
                <c:pt idx="1">
                  <c:v>0.21390000000000178</c:v>
                </c:pt>
                <c:pt idx="2">
                  <c:v>0.25640000000000002</c:v>
                </c:pt>
                <c:pt idx="3">
                  <c:v>0.22760000000000002</c:v>
                </c:pt>
                <c:pt idx="4">
                  <c:v>0.12279999999999999</c:v>
                </c:pt>
              </c:numCache>
            </c:numRef>
          </c:xVal>
          <c:yVal>
            <c:numRef>
              <c:f>Comparison!$K$60:$K$64</c:f>
              <c:numCache>
                <c:formatCode>General</c:formatCode>
                <c:ptCount val="5"/>
                <c:pt idx="0">
                  <c:v>23.494999999999987</c:v>
                </c:pt>
                <c:pt idx="1">
                  <c:v>12.065000000000024</c:v>
                </c:pt>
                <c:pt idx="2">
                  <c:v>0.63500000000000656</c:v>
                </c:pt>
                <c:pt idx="3">
                  <c:v>-10.795</c:v>
                </c:pt>
                <c:pt idx="4">
                  <c:v>-22.224999999999987</c:v>
                </c:pt>
              </c:numCache>
            </c:numRef>
          </c:yVal>
          <c:smooth val="1"/>
        </c:ser>
        <c:ser>
          <c:idx val="8"/>
          <c:order val="1"/>
          <c:tx>
            <c:v>VESTA (I)</c:v>
          </c:tx>
          <c:spPr>
            <a:ln w="19050">
              <a:solidFill>
                <a:srgbClr val="0000FF"/>
              </a:solidFill>
            </a:ln>
          </c:spPr>
          <c:marker>
            <c:symbol val="none"/>
          </c:marker>
          <c:xVal>
            <c:numRef>
              <c:f>Comparison!$G$60:$G$83</c:f>
              <c:numCache>
                <c:formatCode>0.00%</c:formatCode>
                <c:ptCount val="24"/>
                <c:pt idx="0">
                  <c:v>0.12357530750571172</c:v>
                </c:pt>
                <c:pt idx="1">
                  <c:v>0.1135928286209851</c:v>
                </c:pt>
                <c:pt idx="2">
                  <c:v>0.11875517742956022</c:v>
                </c:pt>
                <c:pt idx="3">
                  <c:v>0.13901901883297688</c:v>
                </c:pt>
                <c:pt idx="4">
                  <c:v>0.16394130637753906</c:v>
                </c:pt>
                <c:pt idx="5">
                  <c:v>0.18938480654294418</c:v>
                </c:pt>
                <c:pt idx="6">
                  <c:v>0.20332939810007092</c:v>
                </c:pt>
                <c:pt idx="7">
                  <c:v>0.21621533293764003</c:v>
                </c:pt>
                <c:pt idx="8">
                  <c:v>0.23493080760114746</c:v>
                </c:pt>
                <c:pt idx="9">
                  <c:v>0.24781968397982582</c:v>
                </c:pt>
                <c:pt idx="10">
                  <c:v>0.2554875838409269</c:v>
                </c:pt>
                <c:pt idx="11">
                  <c:v>0.25740866806632839</c:v>
                </c:pt>
                <c:pt idx="12">
                  <c:v>0.25676642726484245</c:v>
                </c:pt>
                <c:pt idx="13">
                  <c:v>0.25110663205415895</c:v>
                </c:pt>
                <c:pt idx="14">
                  <c:v>0.23958584628034191</c:v>
                </c:pt>
                <c:pt idx="15">
                  <c:v>0.22304738565334101</c:v>
                </c:pt>
                <c:pt idx="16">
                  <c:v>0.211305072460789</c:v>
                </c:pt>
                <c:pt idx="17">
                  <c:v>0.19794295587980723</c:v>
                </c:pt>
                <c:pt idx="18">
                  <c:v>0.1733813937135642</c:v>
                </c:pt>
                <c:pt idx="19">
                  <c:v>0.14762746865863552</c:v>
                </c:pt>
                <c:pt idx="20">
                  <c:v>0.12432437350025219</c:v>
                </c:pt>
                <c:pt idx="21">
                  <c:v>0.11392301385813262</c:v>
                </c:pt>
                <c:pt idx="22">
                  <c:v>0.11163557454499309</c:v>
                </c:pt>
                <c:pt idx="23">
                  <c:v>0.12363341100451269</c:v>
                </c:pt>
              </c:numCache>
            </c:numRef>
          </c:xVal>
          <c:yVal>
            <c:numRef>
              <c:f>Comparison!$F$60:$F$83</c:f>
              <c:numCache>
                <c:formatCode>General</c:formatCode>
                <c:ptCount val="24"/>
                <c:pt idx="0">
                  <c:v>24.572499999999774</c:v>
                </c:pt>
                <c:pt idx="1">
                  <c:v>23.494999999999987</c:v>
                </c:pt>
                <c:pt idx="2">
                  <c:v>21.878750000000004</c:v>
                </c:pt>
                <c:pt idx="3">
                  <c:v>19.14625000000003</c:v>
                </c:pt>
                <c:pt idx="4">
                  <c:v>16.41375</c:v>
                </c:pt>
                <c:pt idx="5">
                  <c:v>13.68125</c:v>
                </c:pt>
                <c:pt idx="6">
                  <c:v>12.065000000000024</c:v>
                </c:pt>
                <c:pt idx="7">
                  <c:v>10.448749999999999</c:v>
                </c:pt>
                <c:pt idx="8">
                  <c:v>7.7162500000000014</c:v>
                </c:pt>
                <c:pt idx="9">
                  <c:v>4.9837500000000023</c:v>
                </c:pt>
                <c:pt idx="10">
                  <c:v>2.2512499999999767</c:v>
                </c:pt>
                <c:pt idx="11">
                  <c:v>0.63500000000000822</c:v>
                </c:pt>
                <c:pt idx="12">
                  <c:v>-0.9812499999999984</c:v>
                </c:pt>
                <c:pt idx="13">
                  <c:v>-3.7137499999999983</c:v>
                </c:pt>
                <c:pt idx="14">
                  <c:v>-6.4462500000000134</c:v>
                </c:pt>
                <c:pt idx="15">
                  <c:v>-9.1787500000000009</c:v>
                </c:pt>
                <c:pt idx="16">
                  <c:v>-10.795</c:v>
                </c:pt>
                <c:pt idx="17">
                  <c:v>-12.411250000000001</c:v>
                </c:pt>
                <c:pt idx="18">
                  <c:v>-15.143750000000001</c:v>
                </c:pt>
                <c:pt idx="19">
                  <c:v>-17.876249999999889</c:v>
                </c:pt>
                <c:pt idx="20">
                  <c:v>-20.608750000000001</c:v>
                </c:pt>
                <c:pt idx="21">
                  <c:v>-22.224999999999987</c:v>
                </c:pt>
                <c:pt idx="22">
                  <c:v>-23.302499999999789</c:v>
                </c:pt>
                <c:pt idx="23">
                  <c:v>-24.764999999999986</c:v>
                </c:pt>
              </c:numCache>
            </c:numRef>
          </c:yVal>
          <c:smooth val="1"/>
        </c:ser>
        <c:ser>
          <c:idx val="7"/>
          <c:order val="2"/>
          <c:tx>
            <c:v>ALEPH (I)</c:v>
          </c:tx>
          <c:spPr>
            <a:ln w="19050">
              <a:solidFill>
                <a:srgbClr val="0000FF"/>
              </a:solidFill>
              <a:prstDash val="dash"/>
            </a:ln>
          </c:spPr>
          <c:marker>
            <c:symbol val="none"/>
          </c:marker>
          <c:xVal>
            <c:numRef>
              <c:f>Comparison!$B$60:$B$83</c:f>
              <c:numCache>
                <c:formatCode>0.00%</c:formatCode>
                <c:ptCount val="24"/>
                <c:pt idx="0">
                  <c:v>0.12469040842794472</c:v>
                </c:pt>
                <c:pt idx="1">
                  <c:v>0.11386511119788115</c:v>
                </c:pt>
                <c:pt idx="2">
                  <c:v>0.11803201504576268</c:v>
                </c:pt>
                <c:pt idx="3">
                  <c:v>0.13798151798610792</c:v>
                </c:pt>
                <c:pt idx="4">
                  <c:v>0.16349670831267971</c:v>
                </c:pt>
                <c:pt idx="5">
                  <c:v>0.18935235668485473</c:v>
                </c:pt>
                <c:pt idx="6">
                  <c:v>0.20389395317165621</c:v>
                </c:pt>
                <c:pt idx="7">
                  <c:v>0.21703446403550344</c:v>
                </c:pt>
                <c:pt idx="8">
                  <c:v>0.23583505398381477</c:v>
                </c:pt>
                <c:pt idx="9">
                  <c:v>0.24984634549426449</c:v>
                </c:pt>
                <c:pt idx="10">
                  <c:v>0.25795287618924811</c:v>
                </c:pt>
                <c:pt idx="11">
                  <c:v>0.25992078972803107</c:v>
                </c:pt>
                <c:pt idx="12">
                  <c:v>0.25915817187509382</c:v>
                </c:pt>
                <c:pt idx="13">
                  <c:v>0.25354711909070821</c:v>
                </c:pt>
                <c:pt idx="14">
                  <c:v>0.24117831246367261</c:v>
                </c:pt>
                <c:pt idx="15">
                  <c:v>0.22429763484508491</c:v>
                </c:pt>
                <c:pt idx="16">
                  <c:v>0.21219284326231971</c:v>
                </c:pt>
                <c:pt idx="17">
                  <c:v>0.19813115544853815</c:v>
                </c:pt>
                <c:pt idx="18">
                  <c:v>0.17265370364127425</c:v>
                </c:pt>
                <c:pt idx="19">
                  <c:v>0.14679102932239807</c:v>
                </c:pt>
                <c:pt idx="20">
                  <c:v>0.12336108101514577</c:v>
                </c:pt>
                <c:pt idx="21">
                  <c:v>0.11282526807616312</c:v>
                </c:pt>
                <c:pt idx="22">
                  <c:v>0.11111010441544618</c:v>
                </c:pt>
                <c:pt idx="23">
                  <c:v>0.12441119842187667</c:v>
                </c:pt>
              </c:numCache>
            </c:numRef>
          </c:xVal>
          <c:yVal>
            <c:numRef>
              <c:f>Comparison!$A$60:$A$83</c:f>
              <c:numCache>
                <c:formatCode>General</c:formatCode>
                <c:ptCount val="24"/>
                <c:pt idx="0">
                  <c:v>24.572499999999774</c:v>
                </c:pt>
                <c:pt idx="1">
                  <c:v>23.494999999999987</c:v>
                </c:pt>
                <c:pt idx="2">
                  <c:v>21.878750000000004</c:v>
                </c:pt>
                <c:pt idx="3">
                  <c:v>19.14625000000003</c:v>
                </c:pt>
                <c:pt idx="4">
                  <c:v>16.41375</c:v>
                </c:pt>
                <c:pt idx="5">
                  <c:v>13.68125</c:v>
                </c:pt>
                <c:pt idx="6">
                  <c:v>12.065000000000024</c:v>
                </c:pt>
                <c:pt idx="7">
                  <c:v>10.448749999999999</c:v>
                </c:pt>
                <c:pt idx="8">
                  <c:v>7.7162500000000014</c:v>
                </c:pt>
                <c:pt idx="9">
                  <c:v>4.9837500000000023</c:v>
                </c:pt>
                <c:pt idx="10">
                  <c:v>2.2512499999999767</c:v>
                </c:pt>
                <c:pt idx="11">
                  <c:v>0.63500000000000822</c:v>
                </c:pt>
                <c:pt idx="12">
                  <c:v>-0.9812499999999984</c:v>
                </c:pt>
                <c:pt idx="13">
                  <c:v>-3.7137499999999983</c:v>
                </c:pt>
                <c:pt idx="14">
                  <c:v>-6.4462500000000134</c:v>
                </c:pt>
                <c:pt idx="15">
                  <c:v>-9.1787500000000009</c:v>
                </c:pt>
                <c:pt idx="16">
                  <c:v>-10.795</c:v>
                </c:pt>
                <c:pt idx="17">
                  <c:v>-12.411250000000001</c:v>
                </c:pt>
                <c:pt idx="18">
                  <c:v>-15.143750000000001</c:v>
                </c:pt>
                <c:pt idx="19">
                  <c:v>-17.876249999999889</c:v>
                </c:pt>
                <c:pt idx="20">
                  <c:v>-20.608750000000001</c:v>
                </c:pt>
                <c:pt idx="21">
                  <c:v>-22.224999999999987</c:v>
                </c:pt>
                <c:pt idx="22">
                  <c:v>-23.302499999999789</c:v>
                </c:pt>
                <c:pt idx="23">
                  <c:v>-24.764999999999986</c:v>
                </c:pt>
              </c:numCache>
            </c:numRef>
          </c:yVal>
          <c:smooth val="1"/>
        </c:ser>
        <c:ser>
          <c:idx val="0"/>
          <c:order val="3"/>
          <c:tx>
            <c:v>Meas. (H)</c:v>
          </c:tx>
          <c:spPr>
            <a:ln>
              <a:noFill/>
            </a:ln>
          </c:spPr>
          <c:marker>
            <c:symbol val="triangle"/>
            <c:size val="7"/>
            <c:spPr>
              <a:noFill/>
              <a:ln w="19050">
                <a:solidFill>
                  <a:srgbClr val="008000"/>
                </a:solidFill>
              </a:ln>
            </c:spPr>
          </c:marker>
          <c:xVal>
            <c:numRef>
              <c:f>Comparison!$M$60:$M$64</c:f>
              <c:numCache>
                <c:formatCode>0.00%</c:formatCode>
                <c:ptCount val="5"/>
                <c:pt idx="0">
                  <c:v>6.0900000000000003E-2</c:v>
                </c:pt>
                <c:pt idx="1">
                  <c:v>9.4400000000000026E-2</c:v>
                </c:pt>
                <c:pt idx="2">
                  <c:v>0.11599999999999998</c:v>
                </c:pt>
                <c:pt idx="3">
                  <c:v>9.7700000000000023E-2</c:v>
                </c:pt>
                <c:pt idx="4">
                  <c:v>5.6599999999999998E-2</c:v>
                </c:pt>
              </c:numCache>
            </c:numRef>
          </c:xVal>
          <c:yVal>
            <c:numRef>
              <c:f>Comparison!$K$60:$K$64</c:f>
              <c:numCache>
                <c:formatCode>General</c:formatCode>
                <c:ptCount val="5"/>
                <c:pt idx="0">
                  <c:v>23.494999999999987</c:v>
                </c:pt>
                <c:pt idx="1">
                  <c:v>12.065000000000024</c:v>
                </c:pt>
                <c:pt idx="2">
                  <c:v>0.63500000000000656</c:v>
                </c:pt>
                <c:pt idx="3">
                  <c:v>-10.795</c:v>
                </c:pt>
                <c:pt idx="4">
                  <c:v>-22.224999999999987</c:v>
                </c:pt>
              </c:numCache>
            </c:numRef>
          </c:yVal>
          <c:smooth val="1"/>
        </c:ser>
        <c:ser>
          <c:idx val="2"/>
          <c:order val="4"/>
          <c:tx>
            <c:v>VESTA (H)</c:v>
          </c:tx>
          <c:spPr>
            <a:ln w="19050">
              <a:solidFill>
                <a:srgbClr val="008000"/>
              </a:solidFill>
            </a:ln>
          </c:spPr>
          <c:marker>
            <c:symbol val="none"/>
          </c:marker>
          <c:xVal>
            <c:numRef>
              <c:f>Comparison!$H$60:$H$83</c:f>
              <c:numCache>
                <c:formatCode>0.00%</c:formatCode>
                <c:ptCount val="24"/>
                <c:pt idx="0">
                  <c:v>6.5327180893332032E-2</c:v>
                </c:pt>
                <c:pt idx="1">
                  <c:v>5.3832339099337524E-2</c:v>
                </c:pt>
                <c:pt idx="2">
                  <c:v>5.4901622412055394E-2</c:v>
                </c:pt>
                <c:pt idx="3">
                  <c:v>6.3962430551571178E-2</c:v>
                </c:pt>
                <c:pt idx="4">
                  <c:v>7.5078003065954815E-2</c:v>
                </c:pt>
                <c:pt idx="5">
                  <c:v>8.5908103968436567E-2</c:v>
                </c:pt>
                <c:pt idx="6">
                  <c:v>9.2162675081480724E-2</c:v>
                </c:pt>
                <c:pt idx="7">
                  <c:v>9.7666589175730026E-2</c:v>
                </c:pt>
                <c:pt idx="8">
                  <c:v>0.10570484819060012</c:v>
                </c:pt>
                <c:pt idx="9">
                  <c:v>0.11164809782879055</c:v>
                </c:pt>
                <c:pt idx="10">
                  <c:v>0.11524526733573492</c:v>
                </c:pt>
                <c:pt idx="11">
                  <c:v>0.116227304708735</c:v>
                </c:pt>
                <c:pt idx="12">
                  <c:v>0.11579969067714972</c:v>
                </c:pt>
                <c:pt idx="13">
                  <c:v>0.11323270674387161</c:v>
                </c:pt>
                <c:pt idx="14">
                  <c:v>0.10812531963894793</c:v>
                </c:pt>
                <c:pt idx="15">
                  <c:v>0.10070467673903294</c:v>
                </c:pt>
                <c:pt idx="16">
                  <c:v>9.5607082399008267E-2</c:v>
                </c:pt>
                <c:pt idx="17">
                  <c:v>8.9646370551118265E-2</c:v>
                </c:pt>
                <c:pt idx="18">
                  <c:v>7.9027675850538659E-2</c:v>
                </c:pt>
                <c:pt idx="19">
                  <c:v>6.7807869034173074E-2</c:v>
                </c:pt>
                <c:pt idx="20">
                  <c:v>5.7248964885192322E-2</c:v>
                </c:pt>
                <c:pt idx="21">
                  <c:v>5.2520943406637328E-2</c:v>
                </c:pt>
                <c:pt idx="22">
                  <c:v>5.2589599539200484E-2</c:v>
                </c:pt>
                <c:pt idx="23">
                  <c:v>6.650664925063203E-2</c:v>
                </c:pt>
              </c:numCache>
            </c:numRef>
          </c:xVal>
          <c:yVal>
            <c:numRef>
              <c:f>Comparison!$F$60:$F$83</c:f>
              <c:numCache>
                <c:formatCode>General</c:formatCode>
                <c:ptCount val="24"/>
                <c:pt idx="0">
                  <c:v>24.572499999999774</c:v>
                </c:pt>
                <c:pt idx="1">
                  <c:v>23.494999999999987</c:v>
                </c:pt>
                <c:pt idx="2">
                  <c:v>21.878750000000004</c:v>
                </c:pt>
                <c:pt idx="3">
                  <c:v>19.14625000000003</c:v>
                </c:pt>
                <c:pt idx="4">
                  <c:v>16.41375</c:v>
                </c:pt>
                <c:pt idx="5">
                  <c:v>13.68125</c:v>
                </c:pt>
                <c:pt idx="6">
                  <c:v>12.065000000000024</c:v>
                </c:pt>
                <c:pt idx="7">
                  <c:v>10.448749999999999</c:v>
                </c:pt>
                <c:pt idx="8">
                  <c:v>7.7162500000000014</c:v>
                </c:pt>
                <c:pt idx="9">
                  <c:v>4.9837500000000023</c:v>
                </c:pt>
                <c:pt idx="10">
                  <c:v>2.2512499999999767</c:v>
                </c:pt>
                <c:pt idx="11">
                  <c:v>0.63500000000000822</c:v>
                </c:pt>
                <c:pt idx="12">
                  <c:v>-0.9812499999999984</c:v>
                </c:pt>
                <c:pt idx="13">
                  <c:v>-3.7137499999999983</c:v>
                </c:pt>
                <c:pt idx="14">
                  <c:v>-6.4462500000000134</c:v>
                </c:pt>
                <c:pt idx="15">
                  <c:v>-9.1787500000000009</c:v>
                </c:pt>
                <c:pt idx="16">
                  <c:v>-10.795</c:v>
                </c:pt>
                <c:pt idx="17">
                  <c:v>-12.411250000000001</c:v>
                </c:pt>
                <c:pt idx="18">
                  <c:v>-15.143750000000001</c:v>
                </c:pt>
                <c:pt idx="19">
                  <c:v>-17.876249999999889</c:v>
                </c:pt>
                <c:pt idx="20">
                  <c:v>-20.608750000000001</c:v>
                </c:pt>
                <c:pt idx="21">
                  <c:v>-22.224999999999987</c:v>
                </c:pt>
                <c:pt idx="22">
                  <c:v>-23.302499999999789</c:v>
                </c:pt>
                <c:pt idx="23">
                  <c:v>-24.764999999999986</c:v>
                </c:pt>
              </c:numCache>
            </c:numRef>
          </c:yVal>
          <c:smooth val="1"/>
        </c:ser>
        <c:ser>
          <c:idx val="1"/>
          <c:order val="5"/>
          <c:tx>
            <c:v>ALEPH (H)</c:v>
          </c:tx>
          <c:spPr>
            <a:ln w="19050">
              <a:solidFill>
                <a:srgbClr val="008000"/>
              </a:solidFill>
              <a:prstDash val="dash"/>
            </a:ln>
          </c:spPr>
          <c:marker>
            <c:symbol val="none"/>
          </c:marker>
          <c:xVal>
            <c:numRef>
              <c:f>Comparison!$C$60:$C$83</c:f>
              <c:numCache>
                <c:formatCode>0.00%</c:formatCode>
                <c:ptCount val="24"/>
                <c:pt idx="0">
                  <c:v>6.6052666627864159E-2</c:v>
                </c:pt>
                <c:pt idx="1">
                  <c:v>5.3867340363638064E-2</c:v>
                </c:pt>
                <c:pt idx="2">
                  <c:v>5.5097539657450921E-2</c:v>
                </c:pt>
                <c:pt idx="3">
                  <c:v>6.4193250894019505E-2</c:v>
                </c:pt>
                <c:pt idx="4">
                  <c:v>7.5300138312421494E-2</c:v>
                </c:pt>
                <c:pt idx="5">
                  <c:v>8.662367689338582E-2</c:v>
                </c:pt>
                <c:pt idx="6">
                  <c:v>9.2659019096729967E-2</c:v>
                </c:pt>
                <c:pt idx="7">
                  <c:v>9.8373065910821206E-2</c:v>
                </c:pt>
                <c:pt idx="8">
                  <c:v>0.10644464623384398</c:v>
                </c:pt>
                <c:pt idx="9">
                  <c:v>0.11244783712012604</c:v>
                </c:pt>
                <c:pt idx="10">
                  <c:v>0.11626052003278124</c:v>
                </c:pt>
                <c:pt idx="11">
                  <c:v>0.11701021756864569</c:v>
                </c:pt>
                <c:pt idx="12">
                  <c:v>0.1168252008722873</c:v>
                </c:pt>
                <c:pt idx="13">
                  <c:v>0.11418444962869442</c:v>
                </c:pt>
                <c:pt idx="14">
                  <c:v>0.10886897253849052</c:v>
                </c:pt>
                <c:pt idx="15">
                  <c:v>0.10110630937084036</c:v>
                </c:pt>
                <c:pt idx="16">
                  <c:v>9.6154711038512447E-2</c:v>
                </c:pt>
                <c:pt idx="17">
                  <c:v>8.9984696213806226E-2</c:v>
                </c:pt>
                <c:pt idx="18">
                  <c:v>7.9277669858889024E-2</c:v>
                </c:pt>
                <c:pt idx="19">
                  <c:v>6.8038473691597975E-2</c:v>
                </c:pt>
                <c:pt idx="20">
                  <c:v>5.7547312003963555E-2</c:v>
                </c:pt>
                <c:pt idx="21">
                  <c:v>5.2863648433126985E-2</c:v>
                </c:pt>
                <c:pt idx="22">
                  <c:v>5.2796552403594182E-2</c:v>
                </c:pt>
                <c:pt idx="23">
                  <c:v>6.7358654249201136E-2</c:v>
                </c:pt>
              </c:numCache>
            </c:numRef>
          </c:xVal>
          <c:yVal>
            <c:numRef>
              <c:f>Comparison!$A$60:$A$83</c:f>
              <c:numCache>
                <c:formatCode>General</c:formatCode>
                <c:ptCount val="24"/>
                <c:pt idx="0">
                  <c:v>24.572499999999774</c:v>
                </c:pt>
                <c:pt idx="1">
                  <c:v>23.494999999999987</c:v>
                </c:pt>
                <c:pt idx="2">
                  <c:v>21.878750000000004</c:v>
                </c:pt>
                <c:pt idx="3">
                  <c:v>19.14625000000003</c:v>
                </c:pt>
                <c:pt idx="4">
                  <c:v>16.41375</c:v>
                </c:pt>
                <c:pt idx="5">
                  <c:v>13.68125</c:v>
                </c:pt>
                <c:pt idx="6">
                  <c:v>12.065000000000024</c:v>
                </c:pt>
                <c:pt idx="7">
                  <c:v>10.448749999999999</c:v>
                </c:pt>
                <c:pt idx="8">
                  <c:v>7.7162500000000014</c:v>
                </c:pt>
                <c:pt idx="9">
                  <c:v>4.9837500000000023</c:v>
                </c:pt>
                <c:pt idx="10">
                  <c:v>2.2512499999999767</c:v>
                </c:pt>
                <c:pt idx="11">
                  <c:v>0.63500000000000822</c:v>
                </c:pt>
                <c:pt idx="12">
                  <c:v>-0.9812499999999984</c:v>
                </c:pt>
                <c:pt idx="13">
                  <c:v>-3.7137499999999983</c:v>
                </c:pt>
                <c:pt idx="14">
                  <c:v>-6.4462500000000134</c:v>
                </c:pt>
                <c:pt idx="15">
                  <c:v>-9.1787500000000009</c:v>
                </c:pt>
                <c:pt idx="16">
                  <c:v>-10.795</c:v>
                </c:pt>
                <c:pt idx="17">
                  <c:v>-12.411250000000001</c:v>
                </c:pt>
                <c:pt idx="18">
                  <c:v>-15.143750000000001</c:v>
                </c:pt>
                <c:pt idx="19">
                  <c:v>-17.876249999999889</c:v>
                </c:pt>
                <c:pt idx="20">
                  <c:v>-20.608750000000001</c:v>
                </c:pt>
                <c:pt idx="21">
                  <c:v>-22.224999999999987</c:v>
                </c:pt>
                <c:pt idx="22">
                  <c:v>-23.302499999999789</c:v>
                </c:pt>
                <c:pt idx="23">
                  <c:v>-24.764999999999986</c:v>
                </c:pt>
              </c:numCache>
            </c:numRef>
          </c:yVal>
          <c:smooth val="1"/>
        </c:ser>
        <c:ser>
          <c:idx val="3"/>
          <c:order val="6"/>
          <c:tx>
            <c:v>Meas. (O)</c:v>
          </c:tx>
          <c:spPr>
            <a:ln>
              <a:noFill/>
            </a:ln>
          </c:spPr>
          <c:marker>
            <c:symbol val="circle"/>
            <c:size val="7"/>
            <c:spPr>
              <a:noFill/>
              <a:ln w="19050">
                <a:solidFill>
                  <a:srgbClr val="FF0000"/>
                </a:solidFill>
              </a:ln>
            </c:spPr>
          </c:marker>
          <c:xVal>
            <c:numRef>
              <c:f>Comparison!$N$60:$N$64</c:f>
              <c:numCache>
                <c:formatCode>0.00%</c:formatCode>
                <c:ptCount val="5"/>
                <c:pt idx="0">
                  <c:v>7.8800000000000023E-2</c:v>
                </c:pt>
                <c:pt idx="1">
                  <c:v>0.11699999999999998</c:v>
                </c:pt>
                <c:pt idx="2">
                  <c:v>0.15170000000000144</c:v>
                </c:pt>
                <c:pt idx="3">
                  <c:v>0.11900000000000002</c:v>
                </c:pt>
                <c:pt idx="4">
                  <c:v>7.2600000000000012E-2</c:v>
                </c:pt>
              </c:numCache>
            </c:numRef>
          </c:xVal>
          <c:yVal>
            <c:numRef>
              <c:f>Comparison!$K$60:$K$64</c:f>
              <c:numCache>
                <c:formatCode>General</c:formatCode>
                <c:ptCount val="5"/>
                <c:pt idx="0">
                  <c:v>23.494999999999987</c:v>
                </c:pt>
                <c:pt idx="1">
                  <c:v>12.065000000000024</c:v>
                </c:pt>
                <c:pt idx="2">
                  <c:v>0.63500000000000656</c:v>
                </c:pt>
                <c:pt idx="3">
                  <c:v>-10.795</c:v>
                </c:pt>
                <c:pt idx="4">
                  <c:v>-22.224999999999987</c:v>
                </c:pt>
              </c:numCache>
            </c:numRef>
          </c:yVal>
          <c:smooth val="1"/>
        </c:ser>
        <c:ser>
          <c:idx val="5"/>
          <c:order val="7"/>
          <c:tx>
            <c:v>VESTA (O)</c:v>
          </c:tx>
          <c:spPr>
            <a:ln w="19050">
              <a:solidFill>
                <a:srgbClr val="FF0000"/>
              </a:solidFill>
            </a:ln>
          </c:spPr>
          <c:marker>
            <c:symbol val="none"/>
          </c:marker>
          <c:xVal>
            <c:numRef>
              <c:f>Comparison!$I$60:$I$83</c:f>
              <c:numCache>
                <c:formatCode>0.00%</c:formatCode>
                <c:ptCount val="24"/>
                <c:pt idx="0">
                  <c:v>7.3420631179734533E-2</c:v>
                </c:pt>
                <c:pt idx="1">
                  <c:v>6.6642625774495479E-2</c:v>
                </c:pt>
                <c:pt idx="2">
                  <c:v>6.8525240863778078E-2</c:v>
                </c:pt>
                <c:pt idx="3">
                  <c:v>7.8862039433202524E-2</c:v>
                </c:pt>
                <c:pt idx="4">
                  <c:v>9.2120119038430814E-2</c:v>
                </c:pt>
                <c:pt idx="5">
                  <c:v>0.10532994173304169</c:v>
                </c:pt>
                <c:pt idx="6">
                  <c:v>0.1126438873613325</c:v>
                </c:pt>
                <c:pt idx="7">
                  <c:v>0.11934838103653528</c:v>
                </c:pt>
                <c:pt idx="8">
                  <c:v>0.1291874345464043</c:v>
                </c:pt>
                <c:pt idx="9">
                  <c:v>0.13643669430953709</c:v>
                </c:pt>
                <c:pt idx="10">
                  <c:v>0.14061930856724653</c:v>
                </c:pt>
                <c:pt idx="11">
                  <c:v>0.1416406738077377</c:v>
                </c:pt>
                <c:pt idx="12">
                  <c:v>0.1413111186875102</c:v>
                </c:pt>
                <c:pt idx="13">
                  <c:v>0.13818180059182891</c:v>
                </c:pt>
                <c:pt idx="14">
                  <c:v>0.13189905634910296</c:v>
                </c:pt>
                <c:pt idx="15">
                  <c:v>0.12300841183068525</c:v>
                </c:pt>
                <c:pt idx="16">
                  <c:v>0.11662483699493316</c:v>
                </c:pt>
                <c:pt idx="17">
                  <c:v>0.1094719264293867</c:v>
                </c:pt>
                <c:pt idx="18">
                  <c:v>9.6602422283025707E-2</c:v>
                </c:pt>
                <c:pt idx="19">
                  <c:v>8.3152316331064263E-2</c:v>
                </c:pt>
                <c:pt idx="20">
                  <c:v>7.0865414726241138E-2</c:v>
                </c:pt>
                <c:pt idx="21">
                  <c:v>6.5638687163792384E-2</c:v>
                </c:pt>
                <c:pt idx="22">
                  <c:v>6.49055832818968E-2</c:v>
                </c:pt>
                <c:pt idx="23">
                  <c:v>7.2955295827132824E-2</c:v>
                </c:pt>
              </c:numCache>
            </c:numRef>
          </c:xVal>
          <c:yVal>
            <c:numRef>
              <c:f>Comparison!$F$60:$F$83</c:f>
              <c:numCache>
                <c:formatCode>General</c:formatCode>
                <c:ptCount val="24"/>
                <c:pt idx="0">
                  <c:v>24.572499999999774</c:v>
                </c:pt>
                <c:pt idx="1">
                  <c:v>23.494999999999987</c:v>
                </c:pt>
                <c:pt idx="2">
                  <c:v>21.878750000000004</c:v>
                </c:pt>
                <c:pt idx="3">
                  <c:v>19.14625000000003</c:v>
                </c:pt>
                <c:pt idx="4">
                  <c:v>16.41375</c:v>
                </c:pt>
                <c:pt idx="5">
                  <c:v>13.68125</c:v>
                </c:pt>
                <c:pt idx="6">
                  <c:v>12.065000000000024</c:v>
                </c:pt>
                <c:pt idx="7">
                  <c:v>10.448749999999999</c:v>
                </c:pt>
                <c:pt idx="8">
                  <c:v>7.7162500000000014</c:v>
                </c:pt>
                <c:pt idx="9">
                  <c:v>4.9837500000000023</c:v>
                </c:pt>
                <c:pt idx="10">
                  <c:v>2.2512499999999767</c:v>
                </c:pt>
                <c:pt idx="11">
                  <c:v>0.63500000000000822</c:v>
                </c:pt>
                <c:pt idx="12">
                  <c:v>-0.9812499999999984</c:v>
                </c:pt>
                <c:pt idx="13">
                  <c:v>-3.7137499999999983</c:v>
                </c:pt>
                <c:pt idx="14">
                  <c:v>-6.4462500000000134</c:v>
                </c:pt>
                <c:pt idx="15">
                  <c:v>-9.1787500000000009</c:v>
                </c:pt>
                <c:pt idx="16">
                  <c:v>-10.795</c:v>
                </c:pt>
                <c:pt idx="17">
                  <c:v>-12.411250000000001</c:v>
                </c:pt>
                <c:pt idx="18">
                  <c:v>-15.143750000000001</c:v>
                </c:pt>
                <c:pt idx="19">
                  <c:v>-17.876249999999889</c:v>
                </c:pt>
                <c:pt idx="20">
                  <c:v>-20.608750000000001</c:v>
                </c:pt>
                <c:pt idx="21">
                  <c:v>-22.224999999999987</c:v>
                </c:pt>
                <c:pt idx="22">
                  <c:v>-23.302499999999789</c:v>
                </c:pt>
                <c:pt idx="23">
                  <c:v>-24.764999999999986</c:v>
                </c:pt>
              </c:numCache>
            </c:numRef>
          </c:yVal>
          <c:smooth val="1"/>
        </c:ser>
        <c:ser>
          <c:idx val="4"/>
          <c:order val="8"/>
          <c:tx>
            <c:v>ALEPH (O)</c:v>
          </c:tx>
          <c:spPr>
            <a:ln w="19050">
              <a:solidFill>
                <a:srgbClr val="FF0000"/>
              </a:solidFill>
              <a:prstDash val="dash"/>
            </a:ln>
          </c:spPr>
          <c:marker>
            <c:symbol val="none"/>
          </c:marker>
          <c:xVal>
            <c:numRef>
              <c:f>Comparison!$D$60:$D$83</c:f>
              <c:numCache>
                <c:formatCode>0.00%</c:formatCode>
                <c:ptCount val="24"/>
                <c:pt idx="0">
                  <c:v>7.5151420697151708E-2</c:v>
                </c:pt>
                <c:pt idx="1">
                  <c:v>6.793381719897143E-2</c:v>
                </c:pt>
                <c:pt idx="2">
                  <c:v>6.9834742555485829E-2</c:v>
                </c:pt>
                <c:pt idx="3">
                  <c:v>8.0375771142061347E-2</c:v>
                </c:pt>
                <c:pt idx="4">
                  <c:v>9.4064252955069594E-2</c:v>
                </c:pt>
                <c:pt idx="5">
                  <c:v>0.10779116305398219</c:v>
                </c:pt>
                <c:pt idx="6">
                  <c:v>0.11533885522911141</c:v>
                </c:pt>
                <c:pt idx="7">
                  <c:v>0.12250540036322009</c:v>
                </c:pt>
                <c:pt idx="8">
                  <c:v>0.13264675816142274</c:v>
                </c:pt>
                <c:pt idx="9">
                  <c:v>0.14022049415068671</c:v>
                </c:pt>
                <c:pt idx="10">
                  <c:v>0.14470540345153424</c:v>
                </c:pt>
                <c:pt idx="11">
                  <c:v>0.14545488288062358</c:v>
                </c:pt>
                <c:pt idx="12">
                  <c:v>0.14541532450365641</c:v>
                </c:pt>
                <c:pt idx="13">
                  <c:v>0.14176773533220463</c:v>
                </c:pt>
                <c:pt idx="14">
                  <c:v>0.13555828009172477</c:v>
                </c:pt>
                <c:pt idx="15">
                  <c:v>0.12628151324378598</c:v>
                </c:pt>
                <c:pt idx="16">
                  <c:v>0.11964736905377996</c:v>
                </c:pt>
                <c:pt idx="17">
                  <c:v>0.11216003892573599</c:v>
                </c:pt>
                <c:pt idx="18">
                  <c:v>9.9006248941160682E-2</c:v>
                </c:pt>
                <c:pt idx="19">
                  <c:v>8.4774676176614716E-2</c:v>
                </c:pt>
                <c:pt idx="20">
                  <c:v>7.2294360161096111E-2</c:v>
                </c:pt>
                <c:pt idx="21">
                  <c:v>6.6986798067408079E-2</c:v>
                </c:pt>
                <c:pt idx="22">
                  <c:v>6.6177298211806929E-2</c:v>
                </c:pt>
                <c:pt idx="23">
                  <c:v>7.4619329574771576E-2</c:v>
                </c:pt>
              </c:numCache>
            </c:numRef>
          </c:xVal>
          <c:yVal>
            <c:numRef>
              <c:f>Comparison!$A$60:$A$83</c:f>
              <c:numCache>
                <c:formatCode>General</c:formatCode>
                <c:ptCount val="24"/>
                <c:pt idx="0">
                  <c:v>24.572499999999774</c:v>
                </c:pt>
                <c:pt idx="1">
                  <c:v>23.494999999999987</c:v>
                </c:pt>
                <c:pt idx="2">
                  <c:v>21.878750000000004</c:v>
                </c:pt>
                <c:pt idx="3">
                  <c:v>19.14625000000003</c:v>
                </c:pt>
                <c:pt idx="4">
                  <c:v>16.41375</c:v>
                </c:pt>
                <c:pt idx="5">
                  <c:v>13.68125</c:v>
                </c:pt>
                <c:pt idx="6">
                  <c:v>12.065000000000024</c:v>
                </c:pt>
                <c:pt idx="7">
                  <c:v>10.448749999999999</c:v>
                </c:pt>
                <c:pt idx="8">
                  <c:v>7.7162500000000014</c:v>
                </c:pt>
                <c:pt idx="9">
                  <c:v>4.9837500000000023</c:v>
                </c:pt>
                <c:pt idx="10">
                  <c:v>2.2512499999999767</c:v>
                </c:pt>
                <c:pt idx="11">
                  <c:v>0.63500000000000822</c:v>
                </c:pt>
                <c:pt idx="12">
                  <c:v>-0.9812499999999984</c:v>
                </c:pt>
                <c:pt idx="13">
                  <c:v>-3.7137499999999983</c:v>
                </c:pt>
                <c:pt idx="14">
                  <c:v>-6.4462500000000134</c:v>
                </c:pt>
                <c:pt idx="15">
                  <c:v>-9.1787500000000009</c:v>
                </c:pt>
                <c:pt idx="16">
                  <c:v>-10.795</c:v>
                </c:pt>
                <c:pt idx="17">
                  <c:v>-12.411250000000001</c:v>
                </c:pt>
                <c:pt idx="18">
                  <c:v>-15.143750000000001</c:v>
                </c:pt>
                <c:pt idx="19">
                  <c:v>-17.876249999999889</c:v>
                </c:pt>
                <c:pt idx="20">
                  <c:v>-20.608750000000001</c:v>
                </c:pt>
                <c:pt idx="21">
                  <c:v>-22.224999999999987</c:v>
                </c:pt>
                <c:pt idx="22">
                  <c:v>-23.302499999999789</c:v>
                </c:pt>
                <c:pt idx="23">
                  <c:v>-24.764999999999986</c:v>
                </c:pt>
              </c:numCache>
            </c:numRef>
          </c:yVal>
          <c:smooth val="1"/>
        </c:ser>
        <c:axId val="184414208"/>
        <c:axId val="184416128"/>
      </c:scatterChart>
      <c:valAx>
        <c:axId val="184414208"/>
        <c:scaling>
          <c:orientation val="minMax"/>
          <c:max val="0.32500000000000351"/>
          <c:min val="2.5000000000000012E-2"/>
        </c:scaling>
        <c:axPos val="b"/>
        <c:majorGridlines>
          <c:spPr>
            <a:ln>
              <a:solidFill>
                <a:sysClr val="windowText" lastClr="000000"/>
              </a:solidFill>
            </a:ln>
          </c:spPr>
        </c:majorGridlines>
        <c:title>
          <c:tx>
            <c:rich>
              <a:bodyPr/>
              <a:lstStyle/>
              <a:p>
                <a:pPr algn="ctr" rtl="0">
                  <a:defRPr sz="1100"/>
                </a:pPr>
                <a:r>
                  <a:rPr lang="en-US" sz="1100"/>
                  <a:t>Post-Irradiation U-236/Uranium at. %</a:t>
                </a:r>
              </a:p>
            </c:rich>
          </c:tx>
          <c:layout>
            <c:manualLayout>
              <c:xMode val="edge"/>
              <c:yMode val="edge"/>
              <c:x val="0.31141204332217598"/>
              <c:y val="0.94421296296294988"/>
            </c:manualLayout>
          </c:layout>
        </c:title>
        <c:numFmt formatCode="0.0%" sourceLinked="0"/>
        <c:tickLblPos val="low"/>
        <c:spPr>
          <a:ln>
            <a:solidFill>
              <a:sysClr val="windowText" lastClr="000000"/>
            </a:solidFill>
          </a:ln>
        </c:spPr>
        <c:crossAx val="184416128"/>
        <c:crosses val="autoZero"/>
        <c:crossBetween val="midCat"/>
        <c:majorUnit val="0.05"/>
        <c:minorUnit val="2.5000000000000012E-2"/>
      </c:valAx>
      <c:valAx>
        <c:axId val="184416128"/>
        <c:scaling>
          <c:orientation val="minMax"/>
          <c:max val="30"/>
          <c:min val="-30"/>
        </c:scaling>
        <c:axPos val="l"/>
        <c:majorGridlines>
          <c:spPr>
            <a:ln>
              <a:solidFill>
                <a:sysClr val="windowText" lastClr="000000"/>
              </a:solidFill>
            </a:ln>
          </c:spPr>
        </c:majorGridlines>
        <c:title>
          <c:tx>
            <c:rich>
              <a:bodyPr rot="-5400000" vert="horz"/>
              <a:lstStyle/>
              <a:p>
                <a:pPr algn="ctr" rtl="0">
                  <a:defRPr sz="1100"/>
                </a:pPr>
                <a:r>
                  <a:rPr lang="en-US" sz="1100"/>
                  <a:t>Distance from Core Axial Midplane (cm)</a:t>
                </a:r>
              </a:p>
            </c:rich>
          </c:tx>
          <c:layout>
            <c:manualLayout>
              <c:xMode val="edge"/>
              <c:yMode val="edge"/>
              <c:x val="1.3010899679206787E-2"/>
              <c:y val="8.7777432426209862E-2"/>
            </c:manualLayout>
          </c:layout>
        </c:title>
        <c:numFmt formatCode="General" sourceLinked="0"/>
        <c:tickLblPos val="low"/>
        <c:spPr>
          <a:ln>
            <a:solidFill>
              <a:schemeClr val="tx1"/>
            </a:solidFill>
          </a:ln>
        </c:spPr>
        <c:crossAx val="184414208"/>
        <c:crosses val="autoZero"/>
        <c:crossBetween val="midCat"/>
        <c:majorUnit val="5"/>
        <c:minorUnit val="2.5"/>
      </c:valAx>
    </c:plotArea>
    <c:legend>
      <c:legendPos val="r"/>
      <c:layout>
        <c:manualLayout>
          <c:xMode val="edge"/>
          <c:yMode val="edge"/>
          <c:x val="0.43647892971712055"/>
          <c:y val="1.7043099875673441E-3"/>
          <c:w val="0.54558435403907868"/>
          <c:h val="0.13444517351997845"/>
        </c:manualLayout>
      </c:layout>
      <c:overlay val="1"/>
      <c:spPr>
        <a:solidFill>
          <a:schemeClr val="bg1"/>
        </a:solidFill>
        <a:ln>
          <a:solidFill>
            <a:sysClr val="windowText" lastClr="000000"/>
          </a:solidFill>
        </a:ln>
      </c:spPr>
      <c:txPr>
        <a:bodyPr/>
        <a:lstStyle/>
        <a:p>
          <a:pPr>
            <a:defRPr sz="800"/>
          </a:pPr>
          <a:endParaRPr lang="en-US"/>
        </a:p>
      </c:txPr>
    </c:legend>
    <c:plotVisOnly val="1"/>
  </c:chart>
  <c:spPr>
    <a:ln>
      <a:solidFill>
        <a:sysClr val="windowText" lastClr="000000"/>
      </a:solidFill>
    </a:ln>
  </c:spPr>
  <c:txPr>
    <a:bodyPr/>
    <a:lstStyle/>
    <a:p>
      <a:pPr>
        <a:defRPr sz="1000">
          <a:latin typeface="Times New Roman" pitchFamily="18" charset="0"/>
          <a:cs typeface="Times New Roman" pitchFamily="18" charset="0"/>
        </a:defRPr>
      </a:pPr>
      <a:endParaRPr lang="en-US"/>
    </a:p>
  </c:txPr>
  <c:externalData r:id="rId1"/>
</c:chartSpace>
</file>

<file path=word/charts/chart29.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9.0230205599300145E-2"/>
          <c:y val="2.2826310150425876E-2"/>
          <c:w val="0.87466571886847899"/>
          <c:h val="0.85058479532163656"/>
        </c:manualLayout>
      </c:layout>
      <c:scatterChart>
        <c:scatterStyle val="smoothMarker"/>
        <c:ser>
          <c:idx val="6"/>
          <c:order val="0"/>
          <c:tx>
            <c:v>Meas. (I)</c:v>
          </c:tx>
          <c:spPr>
            <a:ln>
              <a:noFill/>
            </a:ln>
          </c:spPr>
          <c:marker>
            <c:symbol val="star"/>
            <c:size val="7"/>
            <c:spPr>
              <a:noFill/>
              <a:ln w="19050">
                <a:solidFill>
                  <a:srgbClr val="0000FF"/>
                </a:solidFill>
              </a:ln>
            </c:spPr>
          </c:marker>
          <c:xVal>
            <c:numRef>
              <c:f>Comparison!$L$88:$L$92</c:f>
              <c:numCache>
                <c:formatCode>0.00%</c:formatCode>
                <c:ptCount val="5"/>
                <c:pt idx="0">
                  <c:v>8.5300000000000015E-2</c:v>
                </c:pt>
                <c:pt idx="1">
                  <c:v>0.10679999999999999</c:v>
                </c:pt>
                <c:pt idx="2">
                  <c:v>0.11810000000000002</c:v>
                </c:pt>
                <c:pt idx="3">
                  <c:v>0.1108</c:v>
                </c:pt>
                <c:pt idx="4">
                  <c:v>8.3600000000000743E-2</c:v>
                </c:pt>
              </c:numCache>
            </c:numRef>
          </c:xVal>
          <c:yVal>
            <c:numRef>
              <c:f>Comparison!$K$88:$K$92</c:f>
              <c:numCache>
                <c:formatCode>General</c:formatCode>
                <c:ptCount val="5"/>
                <c:pt idx="0">
                  <c:v>23.494999999999987</c:v>
                </c:pt>
                <c:pt idx="1">
                  <c:v>12.065000000000024</c:v>
                </c:pt>
                <c:pt idx="2">
                  <c:v>0.63500000000000589</c:v>
                </c:pt>
                <c:pt idx="3">
                  <c:v>-10.795</c:v>
                </c:pt>
                <c:pt idx="4">
                  <c:v>-22.224999999999987</c:v>
                </c:pt>
              </c:numCache>
            </c:numRef>
          </c:yVal>
          <c:smooth val="1"/>
        </c:ser>
        <c:ser>
          <c:idx val="8"/>
          <c:order val="1"/>
          <c:tx>
            <c:v>VESTA (I)</c:v>
          </c:tx>
          <c:spPr>
            <a:ln w="19050">
              <a:solidFill>
                <a:srgbClr val="0000FF"/>
              </a:solidFill>
            </a:ln>
          </c:spPr>
          <c:marker>
            <c:symbol val="none"/>
          </c:marker>
          <c:xVal>
            <c:numRef>
              <c:f>Comparison!$G$87:$G$110</c:f>
              <c:numCache>
                <c:formatCode>0.00%</c:formatCode>
                <c:ptCount val="24"/>
                <c:pt idx="0">
                  <c:v>8.5388594518882061E-2</c:v>
                </c:pt>
                <c:pt idx="1">
                  <c:v>8.1933204565280054E-2</c:v>
                </c:pt>
                <c:pt idx="2">
                  <c:v>8.2826977459577164E-2</c:v>
                </c:pt>
                <c:pt idx="3">
                  <c:v>8.7851480274050667E-2</c:v>
                </c:pt>
                <c:pt idx="4">
                  <c:v>9.4442676330264888E-2</c:v>
                </c:pt>
                <c:pt idx="5">
                  <c:v>0.10130737044239055</c:v>
                </c:pt>
                <c:pt idx="6">
                  <c:v>0.10524670973256876</c:v>
                </c:pt>
                <c:pt idx="7">
                  <c:v>0.10869441401131673</c:v>
                </c:pt>
                <c:pt idx="8">
                  <c:v>0.11387754628284458</c:v>
                </c:pt>
                <c:pt idx="9">
                  <c:v>0.11753594359839661</c:v>
                </c:pt>
                <c:pt idx="10">
                  <c:v>0.11968043981974434</c:v>
                </c:pt>
                <c:pt idx="11">
                  <c:v>0.12024230378347762</c:v>
                </c:pt>
                <c:pt idx="12">
                  <c:v>0.12005726706543969</c:v>
                </c:pt>
                <c:pt idx="13">
                  <c:v>0.11852791180048966</c:v>
                </c:pt>
                <c:pt idx="14">
                  <c:v>0.11523876580272631</c:v>
                </c:pt>
                <c:pt idx="15">
                  <c:v>0.11059355819920325</c:v>
                </c:pt>
                <c:pt idx="16">
                  <c:v>0.10726499182999792</c:v>
                </c:pt>
                <c:pt idx="17">
                  <c:v>0.10365914931228792</c:v>
                </c:pt>
                <c:pt idx="18">
                  <c:v>9.6964855759538268E-2</c:v>
                </c:pt>
                <c:pt idx="19">
                  <c:v>9.0105321427609728E-2</c:v>
                </c:pt>
                <c:pt idx="20">
                  <c:v>8.4102580883128719E-2</c:v>
                </c:pt>
                <c:pt idx="21">
                  <c:v>8.1577304406406523E-2</c:v>
                </c:pt>
                <c:pt idx="22">
                  <c:v>8.1350093597672771E-2</c:v>
                </c:pt>
                <c:pt idx="23">
                  <c:v>8.5543418496011908E-2</c:v>
                </c:pt>
              </c:numCache>
            </c:numRef>
          </c:xVal>
          <c:yVal>
            <c:numRef>
              <c:f>Comparison!$F$87:$F$110</c:f>
              <c:numCache>
                <c:formatCode>General</c:formatCode>
                <c:ptCount val="24"/>
                <c:pt idx="0">
                  <c:v>24.572499999999796</c:v>
                </c:pt>
                <c:pt idx="1">
                  <c:v>23.494999999999987</c:v>
                </c:pt>
                <c:pt idx="2">
                  <c:v>21.878750000000004</c:v>
                </c:pt>
                <c:pt idx="3">
                  <c:v>19.14625000000003</c:v>
                </c:pt>
                <c:pt idx="4">
                  <c:v>16.41375</c:v>
                </c:pt>
                <c:pt idx="5">
                  <c:v>13.68125</c:v>
                </c:pt>
                <c:pt idx="6">
                  <c:v>12.065000000000024</c:v>
                </c:pt>
                <c:pt idx="7">
                  <c:v>10.448749999999999</c:v>
                </c:pt>
                <c:pt idx="8">
                  <c:v>7.7162500000000014</c:v>
                </c:pt>
                <c:pt idx="9">
                  <c:v>4.9837500000000023</c:v>
                </c:pt>
                <c:pt idx="10">
                  <c:v>2.251249999999978</c:v>
                </c:pt>
                <c:pt idx="11">
                  <c:v>0.63500000000000745</c:v>
                </c:pt>
                <c:pt idx="12">
                  <c:v>-0.9812499999999984</c:v>
                </c:pt>
                <c:pt idx="13">
                  <c:v>-3.7137499999999983</c:v>
                </c:pt>
                <c:pt idx="14">
                  <c:v>-6.4462500000000134</c:v>
                </c:pt>
                <c:pt idx="15">
                  <c:v>-9.1787500000000009</c:v>
                </c:pt>
                <c:pt idx="16">
                  <c:v>-10.795</c:v>
                </c:pt>
                <c:pt idx="17">
                  <c:v>-12.411250000000001</c:v>
                </c:pt>
                <c:pt idx="18">
                  <c:v>-15.143750000000001</c:v>
                </c:pt>
                <c:pt idx="19">
                  <c:v>-17.876249999999889</c:v>
                </c:pt>
                <c:pt idx="20">
                  <c:v>-20.608750000000001</c:v>
                </c:pt>
                <c:pt idx="21">
                  <c:v>-22.224999999999987</c:v>
                </c:pt>
                <c:pt idx="22">
                  <c:v>-23.302499999999807</c:v>
                </c:pt>
                <c:pt idx="23">
                  <c:v>-24.764999999999986</c:v>
                </c:pt>
              </c:numCache>
            </c:numRef>
          </c:yVal>
          <c:smooth val="1"/>
        </c:ser>
        <c:ser>
          <c:idx val="7"/>
          <c:order val="2"/>
          <c:tx>
            <c:v>ALEPH (I)</c:v>
          </c:tx>
          <c:spPr>
            <a:ln w="19050">
              <a:solidFill>
                <a:srgbClr val="0000FF"/>
              </a:solidFill>
              <a:prstDash val="dash"/>
            </a:ln>
          </c:spPr>
          <c:marker>
            <c:symbol val="none"/>
          </c:marker>
          <c:xVal>
            <c:numRef>
              <c:f>Comparison!$B$87:$B$110</c:f>
              <c:numCache>
                <c:formatCode>0.00%</c:formatCode>
                <c:ptCount val="24"/>
                <c:pt idx="0">
                  <c:v>8.5530933409578666E-2</c:v>
                </c:pt>
                <c:pt idx="1">
                  <c:v>8.1817823234181894E-2</c:v>
                </c:pt>
                <c:pt idx="2">
                  <c:v>8.2372153872499437E-2</c:v>
                </c:pt>
                <c:pt idx="3">
                  <c:v>8.7279120676672664E-2</c:v>
                </c:pt>
                <c:pt idx="4">
                  <c:v>9.3975061300357265E-2</c:v>
                </c:pt>
                <c:pt idx="5">
                  <c:v>0.1009011240765848</c:v>
                </c:pt>
                <c:pt idx="6">
                  <c:v>0.10479814688356773</c:v>
                </c:pt>
                <c:pt idx="7">
                  <c:v>0.10843595868076139</c:v>
                </c:pt>
                <c:pt idx="8">
                  <c:v>0.11365326787586311</c:v>
                </c:pt>
                <c:pt idx="9">
                  <c:v>0.117617644029477</c:v>
                </c:pt>
                <c:pt idx="10">
                  <c:v>0.11981580093172436</c:v>
                </c:pt>
                <c:pt idx="11">
                  <c:v>0.12019062604399477</c:v>
                </c:pt>
                <c:pt idx="12">
                  <c:v>0.12023431449269002</c:v>
                </c:pt>
                <c:pt idx="13">
                  <c:v>0.1185710252879026</c:v>
                </c:pt>
                <c:pt idx="14">
                  <c:v>0.11510500126466222</c:v>
                </c:pt>
                <c:pt idx="15">
                  <c:v>0.11043587220777518</c:v>
                </c:pt>
                <c:pt idx="16">
                  <c:v>0.10710638438319378</c:v>
                </c:pt>
                <c:pt idx="17">
                  <c:v>0.10323838404322212</c:v>
                </c:pt>
                <c:pt idx="18">
                  <c:v>9.6401602448336302E-2</c:v>
                </c:pt>
                <c:pt idx="19">
                  <c:v>8.9562818194351579E-2</c:v>
                </c:pt>
                <c:pt idx="20">
                  <c:v>8.3562686599715025E-2</c:v>
                </c:pt>
                <c:pt idx="21">
                  <c:v>8.1091122351074102E-2</c:v>
                </c:pt>
                <c:pt idx="22">
                  <c:v>8.1022596147644246E-2</c:v>
                </c:pt>
                <c:pt idx="23">
                  <c:v>8.5607758558942745E-2</c:v>
                </c:pt>
              </c:numCache>
            </c:numRef>
          </c:xVal>
          <c:yVal>
            <c:numRef>
              <c:f>Comparison!$A$87:$A$110</c:f>
              <c:numCache>
                <c:formatCode>General</c:formatCode>
                <c:ptCount val="24"/>
                <c:pt idx="0">
                  <c:v>24.572499999999796</c:v>
                </c:pt>
                <c:pt idx="1">
                  <c:v>23.494999999999987</c:v>
                </c:pt>
                <c:pt idx="2">
                  <c:v>21.878750000000004</c:v>
                </c:pt>
                <c:pt idx="3">
                  <c:v>19.14625000000003</c:v>
                </c:pt>
                <c:pt idx="4">
                  <c:v>16.41375</c:v>
                </c:pt>
                <c:pt idx="5">
                  <c:v>13.68125</c:v>
                </c:pt>
                <c:pt idx="6">
                  <c:v>12.065000000000024</c:v>
                </c:pt>
                <c:pt idx="7">
                  <c:v>10.448749999999999</c:v>
                </c:pt>
                <c:pt idx="8">
                  <c:v>7.7162500000000014</c:v>
                </c:pt>
                <c:pt idx="9">
                  <c:v>4.9837500000000023</c:v>
                </c:pt>
                <c:pt idx="10">
                  <c:v>2.251249999999978</c:v>
                </c:pt>
                <c:pt idx="11">
                  <c:v>0.63500000000000745</c:v>
                </c:pt>
                <c:pt idx="12">
                  <c:v>-0.9812499999999984</c:v>
                </c:pt>
                <c:pt idx="13">
                  <c:v>-3.7137499999999983</c:v>
                </c:pt>
                <c:pt idx="14">
                  <c:v>-6.4462500000000134</c:v>
                </c:pt>
                <c:pt idx="15">
                  <c:v>-9.1787500000000009</c:v>
                </c:pt>
                <c:pt idx="16">
                  <c:v>-10.795</c:v>
                </c:pt>
                <c:pt idx="17">
                  <c:v>-12.411250000000001</c:v>
                </c:pt>
                <c:pt idx="18">
                  <c:v>-15.143750000000001</c:v>
                </c:pt>
                <c:pt idx="19">
                  <c:v>-17.876249999999889</c:v>
                </c:pt>
                <c:pt idx="20">
                  <c:v>-20.608750000000001</c:v>
                </c:pt>
                <c:pt idx="21">
                  <c:v>-22.224999999999987</c:v>
                </c:pt>
                <c:pt idx="22">
                  <c:v>-23.302499999999807</c:v>
                </c:pt>
                <c:pt idx="23">
                  <c:v>-24.764999999999986</c:v>
                </c:pt>
              </c:numCache>
            </c:numRef>
          </c:yVal>
          <c:smooth val="1"/>
        </c:ser>
        <c:ser>
          <c:idx val="0"/>
          <c:order val="3"/>
          <c:tx>
            <c:v>Meas. (H)</c:v>
          </c:tx>
          <c:spPr>
            <a:ln>
              <a:noFill/>
            </a:ln>
          </c:spPr>
          <c:marker>
            <c:symbol val="triangle"/>
            <c:size val="7"/>
            <c:spPr>
              <a:noFill/>
              <a:ln w="19050">
                <a:solidFill>
                  <a:srgbClr val="008000"/>
                </a:solidFill>
              </a:ln>
            </c:spPr>
          </c:marker>
          <c:xVal>
            <c:numRef>
              <c:f>Comparison!$M$88:$M$92</c:f>
              <c:numCache>
                <c:formatCode>0.00%</c:formatCode>
                <c:ptCount val="5"/>
                <c:pt idx="0">
                  <c:v>6.5700000000000022E-2</c:v>
                </c:pt>
                <c:pt idx="1">
                  <c:v>7.1900000000000006E-2</c:v>
                </c:pt>
                <c:pt idx="2">
                  <c:v>7.9699999999999993E-2</c:v>
                </c:pt>
                <c:pt idx="3">
                  <c:v>7.2500000000000023E-2</c:v>
                </c:pt>
                <c:pt idx="4">
                  <c:v>6.4199999999999993E-2</c:v>
                </c:pt>
              </c:numCache>
            </c:numRef>
          </c:xVal>
          <c:yVal>
            <c:numRef>
              <c:f>Comparison!$K$88:$K$92</c:f>
              <c:numCache>
                <c:formatCode>General</c:formatCode>
                <c:ptCount val="5"/>
                <c:pt idx="0">
                  <c:v>23.494999999999987</c:v>
                </c:pt>
                <c:pt idx="1">
                  <c:v>12.065000000000024</c:v>
                </c:pt>
                <c:pt idx="2">
                  <c:v>0.63500000000000589</c:v>
                </c:pt>
                <c:pt idx="3">
                  <c:v>-10.795</c:v>
                </c:pt>
                <c:pt idx="4">
                  <c:v>-22.224999999999987</c:v>
                </c:pt>
              </c:numCache>
            </c:numRef>
          </c:yVal>
          <c:smooth val="1"/>
        </c:ser>
        <c:ser>
          <c:idx val="2"/>
          <c:order val="4"/>
          <c:tx>
            <c:v>VESTA (H)</c:v>
          </c:tx>
          <c:spPr>
            <a:ln w="19050">
              <a:solidFill>
                <a:srgbClr val="008000"/>
              </a:solidFill>
            </a:ln>
          </c:spPr>
          <c:marker>
            <c:symbol val="none"/>
          </c:marker>
          <c:xVal>
            <c:numRef>
              <c:f>Comparison!$H$87:$H$110</c:f>
              <c:numCache>
                <c:formatCode>0.00%</c:formatCode>
                <c:ptCount val="24"/>
                <c:pt idx="0">
                  <c:v>6.7993874843547214E-2</c:v>
                </c:pt>
                <c:pt idx="1">
                  <c:v>6.4204945753226439E-2</c:v>
                </c:pt>
                <c:pt idx="2">
                  <c:v>6.3944509710034389E-2</c:v>
                </c:pt>
                <c:pt idx="3">
                  <c:v>6.5661666258006124E-2</c:v>
                </c:pt>
                <c:pt idx="4">
                  <c:v>6.8073408022716927E-2</c:v>
                </c:pt>
                <c:pt idx="5">
                  <c:v>7.0469403798365152E-2</c:v>
                </c:pt>
                <c:pt idx="6">
                  <c:v>7.1952617200574692E-2</c:v>
                </c:pt>
                <c:pt idx="7">
                  <c:v>7.3166442611546423E-2</c:v>
                </c:pt>
                <c:pt idx="8">
                  <c:v>7.5039907712553477E-2</c:v>
                </c:pt>
                <c:pt idx="9">
                  <c:v>7.638877501341311E-2</c:v>
                </c:pt>
                <c:pt idx="10">
                  <c:v>7.7216215603517921E-2</c:v>
                </c:pt>
                <c:pt idx="11">
                  <c:v>7.7492998008194924E-2</c:v>
                </c:pt>
                <c:pt idx="12">
                  <c:v>7.7382610222775775E-2</c:v>
                </c:pt>
                <c:pt idx="13">
                  <c:v>7.6770682486888564E-2</c:v>
                </c:pt>
                <c:pt idx="14">
                  <c:v>7.5593889087244501E-2</c:v>
                </c:pt>
                <c:pt idx="15">
                  <c:v>7.3884838155448523E-2</c:v>
                </c:pt>
                <c:pt idx="16">
                  <c:v>7.2694989816333752E-2</c:v>
                </c:pt>
                <c:pt idx="17">
                  <c:v>7.1360730558843913E-2</c:v>
                </c:pt>
                <c:pt idx="18">
                  <c:v>6.8964288772337803E-2</c:v>
                </c:pt>
                <c:pt idx="19">
                  <c:v>6.6489489342281854E-2</c:v>
                </c:pt>
                <c:pt idx="20">
                  <c:v>6.4301162613041724E-2</c:v>
                </c:pt>
                <c:pt idx="21">
                  <c:v>6.3440934502502988E-2</c:v>
                </c:pt>
                <c:pt idx="22">
                  <c:v>6.387005888461908E-2</c:v>
                </c:pt>
                <c:pt idx="23">
                  <c:v>6.8528950976566583E-2</c:v>
                </c:pt>
              </c:numCache>
            </c:numRef>
          </c:xVal>
          <c:yVal>
            <c:numRef>
              <c:f>Comparison!$F$87:$F$110</c:f>
              <c:numCache>
                <c:formatCode>General</c:formatCode>
                <c:ptCount val="24"/>
                <c:pt idx="0">
                  <c:v>24.572499999999796</c:v>
                </c:pt>
                <c:pt idx="1">
                  <c:v>23.494999999999987</c:v>
                </c:pt>
                <c:pt idx="2">
                  <c:v>21.878750000000004</c:v>
                </c:pt>
                <c:pt idx="3">
                  <c:v>19.14625000000003</c:v>
                </c:pt>
                <c:pt idx="4">
                  <c:v>16.41375</c:v>
                </c:pt>
                <c:pt idx="5">
                  <c:v>13.68125</c:v>
                </c:pt>
                <c:pt idx="6">
                  <c:v>12.065000000000024</c:v>
                </c:pt>
                <c:pt idx="7">
                  <c:v>10.448749999999999</c:v>
                </c:pt>
                <c:pt idx="8">
                  <c:v>7.7162500000000014</c:v>
                </c:pt>
                <c:pt idx="9">
                  <c:v>4.9837500000000023</c:v>
                </c:pt>
                <c:pt idx="10">
                  <c:v>2.251249999999978</c:v>
                </c:pt>
                <c:pt idx="11">
                  <c:v>0.63500000000000745</c:v>
                </c:pt>
                <c:pt idx="12">
                  <c:v>-0.9812499999999984</c:v>
                </c:pt>
                <c:pt idx="13">
                  <c:v>-3.7137499999999983</c:v>
                </c:pt>
                <c:pt idx="14">
                  <c:v>-6.4462500000000134</c:v>
                </c:pt>
                <c:pt idx="15">
                  <c:v>-9.1787500000000009</c:v>
                </c:pt>
                <c:pt idx="16">
                  <c:v>-10.795</c:v>
                </c:pt>
                <c:pt idx="17">
                  <c:v>-12.411250000000001</c:v>
                </c:pt>
                <c:pt idx="18">
                  <c:v>-15.143750000000001</c:v>
                </c:pt>
                <c:pt idx="19">
                  <c:v>-17.876249999999889</c:v>
                </c:pt>
                <c:pt idx="20">
                  <c:v>-20.608750000000001</c:v>
                </c:pt>
                <c:pt idx="21">
                  <c:v>-22.224999999999987</c:v>
                </c:pt>
                <c:pt idx="22">
                  <c:v>-23.302499999999807</c:v>
                </c:pt>
                <c:pt idx="23">
                  <c:v>-24.764999999999986</c:v>
                </c:pt>
              </c:numCache>
            </c:numRef>
          </c:yVal>
          <c:smooth val="1"/>
        </c:ser>
        <c:ser>
          <c:idx val="1"/>
          <c:order val="5"/>
          <c:tx>
            <c:v>ALEPH (H)</c:v>
          </c:tx>
          <c:spPr>
            <a:ln w="19050">
              <a:solidFill>
                <a:srgbClr val="008000"/>
              </a:solidFill>
              <a:prstDash val="dash"/>
            </a:ln>
          </c:spPr>
          <c:marker>
            <c:symbol val="none"/>
          </c:marker>
          <c:xVal>
            <c:numRef>
              <c:f>Comparison!$C$87:$C$110</c:f>
              <c:numCache>
                <c:formatCode>0.00%</c:formatCode>
                <c:ptCount val="24"/>
                <c:pt idx="0">
                  <c:v>6.8258298409547016E-2</c:v>
                </c:pt>
                <c:pt idx="1">
                  <c:v>6.4238677663056923E-2</c:v>
                </c:pt>
                <c:pt idx="2">
                  <c:v>6.4109790915577919E-2</c:v>
                </c:pt>
                <c:pt idx="3">
                  <c:v>6.5519476407265173E-2</c:v>
                </c:pt>
                <c:pt idx="4">
                  <c:v>6.7985751557761154E-2</c:v>
                </c:pt>
                <c:pt idx="5">
                  <c:v>7.0611928200049953E-2</c:v>
                </c:pt>
                <c:pt idx="6">
                  <c:v>7.1940210886771314E-2</c:v>
                </c:pt>
                <c:pt idx="7">
                  <c:v>7.3311225910643929E-2</c:v>
                </c:pt>
                <c:pt idx="8">
                  <c:v>7.4970375836264772E-2</c:v>
                </c:pt>
                <c:pt idx="9">
                  <c:v>7.6291187875868638E-2</c:v>
                </c:pt>
                <c:pt idx="10">
                  <c:v>7.7293998958742269E-2</c:v>
                </c:pt>
                <c:pt idx="11">
                  <c:v>7.7415145494787396E-2</c:v>
                </c:pt>
                <c:pt idx="12">
                  <c:v>7.7388329940012934E-2</c:v>
                </c:pt>
                <c:pt idx="13">
                  <c:v>7.6750300604291888E-2</c:v>
                </c:pt>
                <c:pt idx="14">
                  <c:v>7.5465279286963782E-2</c:v>
                </c:pt>
                <c:pt idx="15">
                  <c:v>7.3800604517227114E-2</c:v>
                </c:pt>
                <c:pt idx="16">
                  <c:v>7.2849850522901508E-2</c:v>
                </c:pt>
                <c:pt idx="17">
                  <c:v>7.1247652352447566E-2</c:v>
                </c:pt>
                <c:pt idx="18">
                  <c:v>6.884496994870018E-2</c:v>
                </c:pt>
                <c:pt idx="19">
                  <c:v>6.6373797389165171E-2</c:v>
                </c:pt>
                <c:pt idx="20">
                  <c:v>6.4517628616218931E-2</c:v>
                </c:pt>
                <c:pt idx="21">
                  <c:v>6.3676716368584754E-2</c:v>
                </c:pt>
                <c:pt idx="22">
                  <c:v>6.4007254746226427E-2</c:v>
                </c:pt>
                <c:pt idx="23">
                  <c:v>6.8823764871300333E-2</c:v>
                </c:pt>
              </c:numCache>
            </c:numRef>
          </c:xVal>
          <c:yVal>
            <c:numRef>
              <c:f>Comparison!$A$87:$A$110</c:f>
              <c:numCache>
                <c:formatCode>General</c:formatCode>
                <c:ptCount val="24"/>
                <c:pt idx="0">
                  <c:v>24.572499999999796</c:v>
                </c:pt>
                <c:pt idx="1">
                  <c:v>23.494999999999987</c:v>
                </c:pt>
                <c:pt idx="2">
                  <c:v>21.878750000000004</c:v>
                </c:pt>
                <c:pt idx="3">
                  <c:v>19.14625000000003</c:v>
                </c:pt>
                <c:pt idx="4">
                  <c:v>16.41375</c:v>
                </c:pt>
                <c:pt idx="5">
                  <c:v>13.68125</c:v>
                </c:pt>
                <c:pt idx="6">
                  <c:v>12.065000000000024</c:v>
                </c:pt>
                <c:pt idx="7">
                  <c:v>10.448749999999999</c:v>
                </c:pt>
                <c:pt idx="8">
                  <c:v>7.7162500000000014</c:v>
                </c:pt>
                <c:pt idx="9">
                  <c:v>4.9837500000000023</c:v>
                </c:pt>
                <c:pt idx="10">
                  <c:v>2.251249999999978</c:v>
                </c:pt>
                <c:pt idx="11">
                  <c:v>0.63500000000000745</c:v>
                </c:pt>
                <c:pt idx="12">
                  <c:v>-0.9812499999999984</c:v>
                </c:pt>
                <c:pt idx="13">
                  <c:v>-3.7137499999999983</c:v>
                </c:pt>
                <c:pt idx="14">
                  <c:v>-6.4462500000000134</c:v>
                </c:pt>
                <c:pt idx="15">
                  <c:v>-9.1787500000000009</c:v>
                </c:pt>
                <c:pt idx="16">
                  <c:v>-10.795</c:v>
                </c:pt>
                <c:pt idx="17">
                  <c:v>-12.411250000000001</c:v>
                </c:pt>
                <c:pt idx="18">
                  <c:v>-15.143750000000001</c:v>
                </c:pt>
                <c:pt idx="19">
                  <c:v>-17.876249999999889</c:v>
                </c:pt>
                <c:pt idx="20">
                  <c:v>-20.608750000000001</c:v>
                </c:pt>
                <c:pt idx="21">
                  <c:v>-22.224999999999987</c:v>
                </c:pt>
                <c:pt idx="22">
                  <c:v>-23.302499999999807</c:v>
                </c:pt>
                <c:pt idx="23">
                  <c:v>-24.764999999999986</c:v>
                </c:pt>
              </c:numCache>
            </c:numRef>
          </c:yVal>
          <c:smooth val="1"/>
        </c:ser>
        <c:ser>
          <c:idx val="3"/>
          <c:order val="6"/>
          <c:tx>
            <c:v>Meas. (O)</c:v>
          </c:tx>
          <c:spPr>
            <a:ln>
              <a:noFill/>
            </a:ln>
          </c:spPr>
          <c:marker>
            <c:symbol val="circle"/>
            <c:size val="7"/>
            <c:spPr>
              <a:noFill/>
              <a:ln w="19050">
                <a:solidFill>
                  <a:srgbClr val="FF0000"/>
                </a:solidFill>
              </a:ln>
            </c:spPr>
          </c:marker>
          <c:xVal>
            <c:numRef>
              <c:f>Comparison!$N$88:$N$92</c:f>
              <c:numCache>
                <c:formatCode>0.00%</c:formatCode>
                <c:ptCount val="5"/>
                <c:pt idx="0">
                  <c:v>7.0999999999999994E-2</c:v>
                </c:pt>
                <c:pt idx="1">
                  <c:v>7.8200000000000006E-2</c:v>
                </c:pt>
                <c:pt idx="2">
                  <c:v>8.72E-2</c:v>
                </c:pt>
                <c:pt idx="3">
                  <c:v>7.8800000000000023E-2</c:v>
                </c:pt>
                <c:pt idx="4">
                  <c:v>6.8900000000000003E-2</c:v>
                </c:pt>
              </c:numCache>
            </c:numRef>
          </c:xVal>
          <c:yVal>
            <c:numRef>
              <c:f>Comparison!$K$88:$K$92</c:f>
              <c:numCache>
                <c:formatCode>General</c:formatCode>
                <c:ptCount val="5"/>
                <c:pt idx="0">
                  <c:v>23.494999999999987</c:v>
                </c:pt>
                <c:pt idx="1">
                  <c:v>12.065000000000024</c:v>
                </c:pt>
                <c:pt idx="2">
                  <c:v>0.63500000000000589</c:v>
                </c:pt>
                <c:pt idx="3">
                  <c:v>-10.795</c:v>
                </c:pt>
                <c:pt idx="4">
                  <c:v>-22.224999999999987</c:v>
                </c:pt>
              </c:numCache>
            </c:numRef>
          </c:yVal>
          <c:smooth val="1"/>
        </c:ser>
        <c:ser>
          <c:idx val="5"/>
          <c:order val="7"/>
          <c:tx>
            <c:v>VESTA (O)</c:v>
          </c:tx>
          <c:spPr>
            <a:ln w="19050">
              <a:solidFill>
                <a:srgbClr val="FF0000"/>
              </a:solidFill>
            </a:ln>
          </c:spPr>
          <c:marker>
            <c:symbol val="none"/>
          </c:marker>
          <c:xVal>
            <c:numRef>
              <c:f>Comparison!$I$87:$I$110</c:f>
              <c:numCache>
                <c:formatCode>0.00%</c:formatCode>
                <c:ptCount val="24"/>
                <c:pt idx="0">
                  <c:v>7.035454559476044E-2</c:v>
                </c:pt>
                <c:pt idx="1">
                  <c:v>6.7921533886768082E-2</c:v>
                </c:pt>
                <c:pt idx="2">
                  <c:v>6.7866502430426592E-2</c:v>
                </c:pt>
                <c:pt idx="3">
                  <c:v>6.9912763825072166E-2</c:v>
                </c:pt>
                <c:pt idx="4">
                  <c:v>7.292063736402174E-2</c:v>
                </c:pt>
                <c:pt idx="5">
                  <c:v>7.6005555907838682E-2</c:v>
                </c:pt>
                <c:pt idx="6">
                  <c:v>7.7729141358164749E-2</c:v>
                </c:pt>
                <c:pt idx="7">
                  <c:v>7.9333565094016914E-2</c:v>
                </c:pt>
                <c:pt idx="8">
                  <c:v>8.1714540710015701E-2</c:v>
                </c:pt>
                <c:pt idx="9">
                  <c:v>8.3500149479213262E-2</c:v>
                </c:pt>
                <c:pt idx="10">
                  <c:v>8.4485550368849263E-2</c:v>
                </c:pt>
                <c:pt idx="11">
                  <c:v>8.4770116517077027E-2</c:v>
                </c:pt>
                <c:pt idx="12">
                  <c:v>8.4655029407584584E-2</c:v>
                </c:pt>
                <c:pt idx="13">
                  <c:v>8.3875779161657768E-2</c:v>
                </c:pt>
                <c:pt idx="14">
                  <c:v>8.2349740276494471E-2</c:v>
                </c:pt>
                <c:pt idx="15">
                  <c:v>8.0206695758281266E-2</c:v>
                </c:pt>
                <c:pt idx="16">
                  <c:v>7.8682219133559633E-2</c:v>
                </c:pt>
                <c:pt idx="17">
                  <c:v>7.6966961510862839E-2</c:v>
                </c:pt>
                <c:pt idx="18">
                  <c:v>7.393244090639188E-2</c:v>
                </c:pt>
                <c:pt idx="19">
                  <c:v>7.0838083046389014E-2</c:v>
                </c:pt>
                <c:pt idx="20">
                  <c:v>6.8169041100390682E-2</c:v>
                </c:pt>
                <c:pt idx="21">
                  <c:v>6.7221769048133484E-2</c:v>
                </c:pt>
                <c:pt idx="22">
                  <c:v>6.7428445048310873E-2</c:v>
                </c:pt>
                <c:pt idx="23">
                  <c:v>7.0405932138282723E-2</c:v>
                </c:pt>
              </c:numCache>
            </c:numRef>
          </c:xVal>
          <c:yVal>
            <c:numRef>
              <c:f>Comparison!$F$87:$F$110</c:f>
              <c:numCache>
                <c:formatCode>General</c:formatCode>
                <c:ptCount val="24"/>
                <c:pt idx="0">
                  <c:v>24.572499999999796</c:v>
                </c:pt>
                <c:pt idx="1">
                  <c:v>23.494999999999987</c:v>
                </c:pt>
                <c:pt idx="2">
                  <c:v>21.878750000000004</c:v>
                </c:pt>
                <c:pt idx="3">
                  <c:v>19.14625000000003</c:v>
                </c:pt>
                <c:pt idx="4">
                  <c:v>16.41375</c:v>
                </c:pt>
                <c:pt idx="5">
                  <c:v>13.68125</c:v>
                </c:pt>
                <c:pt idx="6">
                  <c:v>12.065000000000024</c:v>
                </c:pt>
                <c:pt idx="7">
                  <c:v>10.448749999999999</c:v>
                </c:pt>
                <c:pt idx="8">
                  <c:v>7.7162500000000014</c:v>
                </c:pt>
                <c:pt idx="9">
                  <c:v>4.9837500000000023</c:v>
                </c:pt>
                <c:pt idx="10">
                  <c:v>2.251249999999978</c:v>
                </c:pt>
                <c:pt idx="11">
                  <c:v>0.63500000000000745</c:v>
                </c:pt>
                <c:pt idx="12">
                  <c:v>-0.9812499999999984</c:v>
                </c:pt>
                <c:pt idx="13">
                  <c:v>-3.7137499999999983</c:v>
                </c:pt>
                <c:pt idx="14">
                  <c:v>-6.4462500000000134</c:v>
                </c:pt>
                <c:pt idx="15">
                  <c:v>-9.1787500000000009</c:v>
                </c:pt>
                <c:pt idx="16">
                  <c:v>-10.795</c:v>
                </c:pt>
                <c:pt idx="17">
                  <c:v>-12.411250000000001</c:v>
                </c:pt>
                <c:pt idx="18">
                  <c:v>-15.143750000000001</c:v>
                </c:pt>
                <c:pt idx="19">
                  <c:v>-17.876249999999889</c:v>
                </c:pt>
                <c:pt idx="20">
                  <c:v>-20.608750000000001</c:v>
                </c:pt>
                <c:pt idx="21">
                  <c:v>-22.224999999999987</c:v>
                </c:pt>
                <c:pt idx="22">
                  <c:v>-23.302499999999807</c:v>
                </c:pt>
                <c:pt idx="23">
                  <c:v>-24.764999999999986</c:v>
                </c:pt>
              </c:numCache>
            </c:numRef>
          </c:yVal>
          <c:smooth val="1"/>
        </c:ser>
        <c:ser>
          <c:idx val="4"/>
          <c:order val="8"/>
          <c:tx>
            <c:v>ALEPH (O)</c:v>
          </c:tx>
          <c:spPr>
            <a:ln w="19050">
              <a:solidFill>
                <a:srgbClr val="FF0000"/>
              </a:solidFill>
              <a:prstDash val="dash"/>
            </a:ln>
          </c:spPr>
          <c:marker>
            <c:symbol val="none"/>
          </c:marker>
          <c:xVal>
            <c:numRef>
              <c:f>Comparison!$D$87:$D$110</c:f>
              <c:numCache>
                <c:formatCode>0.00%</c:formatCode>
                <c:ptCount val="24"/>
                <c:pt idx="0">
                  <c:v>7.0910023276383891E-2</c:v>
                </c:pt>
                <c:pt idx="1">
                  <c:v>6.8344934754373504E-2</c:v>
                </c:pt>
                <c:pt idx="2">
                  <c:v>6.8246843784621425E-2</c:v>
                </c:pt>
                <c:pt idx="3">
                  <c:v>7.0215485470972908E-2</c:v>
                </c:pt>
                <c:pt idx="4">
                  <c:v>7.3277568526936995E-2</c:v>
                </c:pt>
                <c:pt idx="5">
                  <c:v>7.6647531722521631E-2</c:v>
                </c:pt>
                <c:pt idx="6">
                  <c:v>7.8163741215118834E-2</c:v>
                </c:pt>
                <c:pt idx="7">
                  <c:v>8.0176471993112508E-2</c:v>
                </c:pt>
                <c:pt idx="8">
                  <c:v>8.2491435127592244E-2</c:v>
                </c:pt>
                <c:pt idx="9">
                  <c:v>8.4373987684967983E-2</c:v>
                </c:pt>
                <c:pt idx="10">
                  <c:v>8.5371651193429446E-2</c:v>
                </c:pt>
                <c:pt idx="11">
                  <c:v>8.5605712907184522E-2</c:v>
                </c:pt>
                <c:pt idx="12">
                  <c:v>8.5661588609391173E-2</c:v>
                </c:pt>
                <c:pt idx="13">
                  <c:v>8.4641671741690225E-2</c:v>
                </c:pt>
                <c:pt idx="14">
                  <c:v>8.3168791243007995E-2</c:v>
                </c:pt>
                <c:pt idx="15">
                  <c:v>8.0998724791235779E-2</c:v>
                </c:pt>
                <c:pt idx="16">
                  <c:v>7.9290874542297524E-2</c:v>
                </c:pt>
                <c:pt idx="17">
                  <c:v>7.7536360483592859E-2</c:v>
                </c:pt>
                <c:pt idx="18">
                  <c:v>7.4516729698147544E-2</c:v>
                </c:pt>
                <c:pt idx="19">
                  <c:v>7.1275880767514246E-2</c:v>
                </c:pt>
                <c:pt idx="20">
                  <c:v>6.8653018847599959E-2</c:v>
                </c:pt>
                <c:pt idx="21">
                  <c:v>6.7702356647945924E-2</c:v>
                </c:pt>
                <c:pt idx="22">
                  <c:v>6.787594341676477E-2</c:v>
                </c:pt>
                <c:pt idx="23">
                  <c:v>7.0699930172734529E-2</c:v>
                </c:pt>
              </c:numCache>
            </c:numRef>
          </c:xVal>
          <c:yVal>
            <c:numRef>
              <c:f>Comparison!$A$87:$A$110</c:f>
              <c:numCache>
                <c:formatCode>General</c:formatCode>
                <c:ptCount val="24"/>
                <c:pt idx="0">
                  <c:v>24.572499999999796</c:v>
                </c:pt>
                <c:pt idx="1">
                  <c:v>23.494999999999987</c:v>
                </c:pt>
                <c:pt idx="2">
                  <c:v>21.878750000000004</c:v>
                </c:pt>
                <c:pt idx="3">
                  <c:v>19.14625000000003</c:v>
                </c:pt>
                <c:pt idx="4">
                  <c:v>16.41375</c:v>
                </c:pt>
                <c:pt idx="5">
                  <c:v>13.68125</c:v>
                </c:pt>
                <c:pt idx="6">
                  <c:v>12.065000000000024</c:v>
                </c:pt>
                <c:pt idx="7">
                  <c:v>10.448749999999999</c:v>
                </c:pt>
                <c:pt idx="8">
                  <c:v>7.7162500000000014</c:v>
                </c:pt>
                <c:pt idx="9">
                  <c:v>4.9837500000000023</c:v>
                </c:pt>
                <c:pt idx="10">
                  <c:v>2.251249999999978</c:v>
                </c:pt>
                <c:pt idx="11">
                  <c:v>0.63500000000000745</c:v>
                </c:pt>
                <c:pt idx="12">
                  <c:v>-0.9812499999999984</c:v>
                </c:pt>
                <c:pt idx="13">
                  <c:v>-3.7137499999999983</c:v>
                </c:pt>
                <c:pt idx="14">
                  <c:v>-6.4462500000000134</c:v>
                </c:pt>
                <c:pt idx="15">
                  <c:v>-9.1787500000000009</c:v>
                </c:pt>
                <c:pt idx="16">
                  <c:v>-10.795</c:v>
                </c:pt>
                <c:pt idx="17">
                  <c:v>-12.411250000000001</c:v>
                </c:pt>
                <c:pt idx="18">
                  <c:v>-15.143750000000001</c:v>
                </c:pt>
                <c:pt idx="19">
                  <c:v>-17.876249999999889</c:v>
                </c:pt>
                <c:pt idx="20">
                  <c:v>-20.608750000000001</c:v>
                </c:pt>
                <c:pt idx="21">
                  <c:v>-22.224999999999987</c:v>
                </c:pt>
                <c:pt idx="22">
                  <c:v>-23.302499999999807</c:v>
                </c:pt>
                <c:pt idx="23">
                  <c:v>-24.764999999999986</c:v>
                </c:pt>
              </c:numCache>
            </c:numRef>
          </c:yVal>
          <c:smooth val="1"/>
        </c:ser>
        <c:axId val="184553472"/>
        <c:axId val="184555392"/>
      </c:scatterChart>
      <c:valAx>
        <c:axId val="184553472"/>
        <c:scaling>
          <c:orientation val="minMax"/>
          <c:max val="0.13"/>
          <c:min val="6.0000000000000032E-2"/>
        </c:scaling>
        <c:axPos val="b"/>
        <c:majorGridlines>
          <c:spPr>
            <a:ln>
              <a:solidFill>
                <a:sysClr val="windowText" lastClr="000000"/>
              </a:solidFill>
            </a:ln>
          </c:spPr>
        </c:majorGridlines>
        <c:title>
          <c:tx>
            <c:rich>
              <a:bodyPr/>
              <a:lstStyle/>
              <a:p>
                <a:pPr>
                  <a:defRPr sz="1100"/>
                </a:pPr>
                <a:r>
                  <a:rPr lang="en-US" sz="1100"/>
                  <a:t>Post-Irradiation U-238/Uranium at. %</a:t>
                </a:r>
              </a:p>
            </c:rich>
          </c:tx>
          <c:layout>
            <c:manualLayout>
              <c:xMode val="edge"/>
              <c:yMode val="edge"/>
              <c:x val="0.30899704347301415"/>
              <c:y val="0.94652777777777752"/>
            </c:manualLayout>
          </c:layout>
        </c:title>
        <c:numFmt formatCode="0%" sourceLinked="0"/>
        <c:tickLblPos val="low"/>
        <c:spPr>
          <a:ln>
            <a:solidFill>
              <a:sysClr val="windowText" lastClr="000000"/>
            </a:solidFill>
          </a:ln>
        </c:spPr>
        <c:crossAx val="184555392"/>
        <c:crosses val="autoZero"/>
        <c:crossBetween val="midCat"/>
        <c:minorUnit val="5.0000000000000114E-3"/>
      </c:valAx>
      <c:valAx>
        <c:axId val="184555392"/>
        <c:scaling>
          <c:orientation val="minMax"/>
          <c:max val="30"/>
          <c:min val="-30"/>
        </c:scaling>
        <c:axPos val="l"/>
        <c:majorGridlines>
          <c:spPr>
            <a:ln>
              <a:solidFill>
                <a:sysClr val="windowText" lastClr="000000"/>
              </a:solidFill>
            </a:ln>
          </c:spPr>
        </c:majorGridlines>
        <c:title>
          <c:tx>
            <c:rich>
              <a:bodyPr rot="-5400000" vert="horz"/>
              <a:lstStyle/>
              <a:p>
                <a:pPr algn="ctr" rtl="0">
                  <a:defRPr sz="1100"/>
                </a:pPr>
                <a:r>
                  <a:rPr lang="en-US" sz="1100"/>
                  <a:t>Distance from Core Axial Midplane (cm)</a:t>
                </a:r>
              </a:p>
            </c:rich>
          </c:tx>
          <c:layout>
            <c:manualLayout>
              <c:xMode val="edge"/>
              <c:yMode val="edge"/>
              <c:x val="6.9444444444444675E-3"/>
              <c:y val="8.1745003913984468E-2"/>
            </c:manualLayout>
          </c:layout>
        </c:title>
        <c:numFmt formatCode="General" sourceLinked="0"/>
        <c:tickLblPos val="low"/>
        <c:spPr>
          <a:ln>
            <a:solidFill>
              <a:schemeClr val="tx1"/>
            </a:solidFill>
          </a:ln>
        </c:spPr>
        <c:crossAx val="184553472"/>
        <c:crosses val="autoZero"/>
        <c:crossBetween val="midCat"/>
        <c:majorUnit val="5"/>
        <c:minorUnit val="2.5"/>
      </c:valAx>
    </c:plotArea>
    <c:legend>
      <c:legendPos val="r"/>
      <c:layout>
        <c:manualLayout>
          <c:xMode val="edge"/>
          <c:yMode val="edge"/>
          <c:x val="0.43534940944881995"/>
          <c:y val="1.8553437399272527E-2"/>
          <c:w val="0.54724243521283966"/>
          <c:h val="0.12447451881014868"/>
        </c:manualLayout>
      </c:layout>
      <c:overlay val="1"/>
      <c:spPr>
        <a:solidFill>
          <a:schemeClr val="bg1"/>
        </a:solidFill>
        <a:ln>
          <a:solidFill>
            <a:sysClr val="windowText" lastClr="000000"/>
          </a:solidFill>
        </a:ln>
      </c:spPr>
      <c:txPr>
        <a:bodyPr/>
        <a:lstStyle/>
        <a:p>
          <a:pPr>
            <a:defRPr sz="800"/>
          </a:pPr>
          <a:endParaRPr lang="en-US"/>
        </a:p>
      </c:txPr>
    </c:legend>
    <c:plotVisOnly val="1"/>
  </c:chart>
  <c:spPr>
    <a:ln>
      <a:solidFill>
        <a:sysClr val="windowText" lastClr="000000"/>
      </a:solidFill>
    </a:ln>
  </c:spPr>
  <c:txPr>
    <a:bodyPr/>
    <a:lstStyle/>
    <a:p>
      <a:pPr>
        <a:defRPr sz="1000">
          <a:latin typeface="Times New Roman" pitchFamily="18" charset="0"/>
          <a:cs typeface="Times New Roman" pitchFamily="18" charset="0"/>
        </a:defRPr>
      </a:pPr>
      <a:endParaRPr lang="en-US"/>
    </a:p>
  </c:txPr>
  <c:externalData r:id="rId1"/>
</c:chartSpace>
</file>

<file path=word/charts/chart30.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3260097773690269"/>
          <c:y val="3.3681731506210212E-2"/>
          <c:w val="0.77849743763692891"/>
          <c:h val="0.83306615386210359"/>
        </c:manualLayout>
      </c:layout>
      <c:scatterChart>
        <c:scatterStyle val="smoothMarker"/>
        <c:ser>
          <c:idx val="0"/>
          <c:order val="0"/>
          <c:tx>
            <c:v>U-235</c:v>
          </c:tx>
          <c:spPr>
            <a:ln w="25400">
              <a:solidFill>
                <a:srgbClr val="0000FF"/>
              </a:solidFill>
              <a:prstDash val="solid"/>
            </a:ln>
          </c:spPr>
          <c:marker>
            <c:symbol val="diamond"/>
            <c:size val="7"/>
            <c:spPr>
              <a:solidFill>
                <a:sysClr val="window" lastClr="FFFFFF"/>
              </a:solidFill>
              <a:ln w="15875">
                <a:solidFill>
                  <a:srgbClr val="0000FF"/>
                </a:solidFill>
              </a:ln>
            </c:spPr>
          </c:marker>
          <c:xVal>
            <c:numRef>
              <c:f>'u235'!$C$373:$C$395</c:f>
              <c:numCache>
                <c:formatCode>0.0</c:formatCode>
                <c:ptCount val="23"/>
                <c:pt idx="0">
                  <c:v>0</c:v>
                </c:pt>
                <c:pt idx="1">
                  <c:v>16.666666666666668</c:v>
                </c:pt>
                <c:pt idx="2">
                  <c:v>33.333333333333336</c:v>
                </c:pt>
                <c:pt idx="3">
                  <c:v>50</c:v>
                </c:pt>
                <c:pt idx="4">
                  <c:v>94.333333333333258</c:v>
                </c:pt>
                <c:pt idx="5">
                  <c:v>183</c:v>
                </c:pt>
                <c:pt idx="6">
                  <c:v>433</c:v>
                </c:pt>
                <c:pt idx="7">
                  <c:v>733</c:v>
                </c:pt>
                <c:pt idx="8">
                  <c:v>1033</c:v>
                </c:pt>
                <c:pt idx="9">
                  <c:v>1233</c:v>
                </c:pt>
                <c:pt idx="10">
                  <c:v>1383</c:v>
                </c:pt>
                <c:pt idx="11">
                  <c:v>1533</c:v>
                </c:pt>
                <c:pt idx="12">
                  <c:v>1633</c:v>
                </c:pt>
                <c:pt idx="13">
                  <c:v>1733</c:v>
                </c:pt>
                <c:pt idx="14">
                  <c:v>1833</c:v>
                </c:pt>
                <c:pt idx="15">
                  <c:v>1916.3333333333105</c:v>
                </c:pt>
                <c:pt idx="16">
                  <c:v>1999.6666666666665</c:v>
                </c:pt>
                <c:pt idx="17">
                  <c:v>2066.3333333334072</c:v>
                </c:pt>
                <c:pt idx="18">
                  <c:v>2132.9999999999995</c:v>
                </c:pt>
                <c:pt idx="19">
                  <c:v>2183</c:v>
                </c:pt>
                <c:pt idx="20">
                  <c:v>2233</c:v>
                </c:pt>
                <c:pt idx="21">
                  <c:v>2283</c:v>
                </c:pt>
                <c:pt idx="22">
                  <c:v>2308.9999999999995</c:v>
                </c:pt>
              </c:numCache>
            </c:numRef>
          </c:xVal>
          <c:yVal>
            <c:numRef>
              <c:f>'u235'!$E$373:$E$395</c:f>
              <c:numCache>
                <c:formatCode>General</c:formatCode>
                <c:ptCount val="23"/>
                <c:pt idx="0">
                  <c:v>9.4039389580290766</c:v>
                </c:pt>
                <c:pt idx="1">
                  <c:v>9.3826539210578304</c:v>
                </c:pt>
                <c:pt idx="2">
                  <c:v>9.3614854881799268</c:v>
                </c:pt>
                <c:pt idx="3">
                  <c:v>9.3403130139201789</c:v>
                </c:pt>
                <c:pt idx="4">
                  <c:v>9.2839628708424193</c:v>
                </c:pt>
                <c:pt idx="5">
                  <c:v>9.1712811354666144</c:v>
                </c:pt>
                <c:pt idx="6">
                  <c:v>8.8537027632424294</c:v>
                </c:pt>
                <c:pt idx="7">
                  <c:v>8.4732837024006304</c:v>
                </c:pt>
                <c:pt idx="8">
                  <c:v>8.0939325289352748</c:v>
                </c:pt>
                <c:pt idx="9">
                  <c:v>7.8415236052447934</c:v>
                </c:pt>
                <c:pt idx="10">
                  <c:v>7.6523988084641852</c:v>
                </c:pt>
                <c:pt idx="11">
                  <c:v>7.4634839967871995</c:v>
                </c:pt>
                <c:pt idx="12">
                  <c:v>7.3376613918568934</c:v>
                </c:pt>
                <c:pt idx="13">
                  <c:v>7.2121471663592365</c:v>
                </c:pt>
                <c:pt idx="14">
                  <c:v>7.0865924448480824</c:v>
                </c:pt>
                <c:pt idx="15">
                  <c:v>6.9820433996078934</c:v>
                </c:pt>
                <c:pt idx="16">
                  <c:v>6.8775945195562702</c:v>
                </c:pt>
                <c:pt idx="17">
                  <c:v>6.7940738697242775</c:v>
                </c:pt>
                <c:pt idx="18">
                  <c:v>6.7106998662241519</c:v>
                </c:pt>
                <c:pt idx="19">
                  <c:v>6.6480619109729178</c:v>
                </c:pt>
                <c:pt idx="20">
                  <c:v>6.5856361176052385</c:v>
                </c:pt>
                <c:pt idx="21">
                  <c:v>6.5232550250253007</c:v>
                </c:pt>
                <c:pt idx="22">
                  <c:v>6.4908383859181695</c:v>
                </c:pt>
              </c:numCache>
            </c:numRef>
          </c:yVal>
          <c:smooth val="1"/>
        </c:ser>
        <c:axId val="184616064"/>
        <c:axId val="184617984"/>
      </c:scatterChart>
      <c:scatterChart>
        <c:scatterStyle val="smoothMarker"/>
        <c:ser>
          <c:idx val="1"/>
          <c:order val="1"/>
          <c:tx>
            <c:v>Pu-239</c:v>
          </c:tx>
          <c:spPr>
            <a:ln w="25400">
              <a:solidFill>
                <a:srgbClr val="FF0000"/>
              </a:solidFill>
              <a:prstDash val="dashDot"/>
            </a:ln>
          </c:spPr>
          <c:marker>
            <c:symbol val="star"/>
            <c:size val="6"/>
            <c:spPr>
              <a:solidFill>
                <a:schemeClr val="bg1"/>
              </a:solidFill>
              <a:ln>
                <a:solidFill>
                  <a:srgbClr val="FF0000"/>
                </a:solidFill>
              </a:ln>
            </c:spPr>
          </c:marker>
          <c:dPt>
            <c:idx val="7"/>
            <c:spPr>
              <a:ln w="25400">
                <a:solidFill>
                  <a:srgbClr val="FF0000"/>
                </a:solidFill>
                <a:prstDash val="sysDash"/>
              </a:ln>
            </c:spPr>
          </c:dPt>
          <c:xVal>
            <c:numRef>
              <c:f>'pu239'!$B$373:$B$395</c:f>
              <c:numCache>
                <c:formatCode>0.0</c:formatCode>
                <c:ptCount val="23"/>
                <c:pt idx="0">
                  <c:v>0</c:v>
                </c:pt>
                <c:pt idx="1">
                  <c:v>16.666666666666668</c:v>
                </c:pt>
                <c:pt idx="2">
                  <c:v>33.333333333333336</c:v>
                </c:pt>
                <c:pt idx="3">
                  <c:v>50</c:v>
                </c:pt>
                <c:pt idx="4">
                  <c:v>94.333333333333258</c:v>
                </c:pt>
                <c:pt idx="5">
                  <c:v>183</c:v>
                </c:pt>
                <c:pt idx="6">
                  <c:v>433</c:v>
                </c:pt>
                <c:pt idx="7">
                  <c:v>733</c:v>
                </c:pt>
                <c:pt idx="8">
                  <c:v>1033</c:v>
                </c:pt>
                <c:pt idx="9">
                  <c:v>1233</c:v>
                </c:pt>
                <c:pt idx="10">
                  <c:v>1383</c:v>
                </c:pt>
                <c:pt idx="11">
                  <c:v>1533</c:v>
                </c:pt>
                <c:pt idx="12">
                  <c:v>1633</c:v>
                </c:pt>
                <c:pt idx="13">
                  <c:v>1733</c:v>
                </c:pt>
                <c:pt idx="14">
                  <c:v>1833</c:v>
                </c:pt>
                <c:pt idx="15">
                  <c:v>1916.3333333333105</c:v>
                </c:pt>
                <c:pt idx="16">
                  <c:v>1999.6666666666665</c:v>
                </c:pt>
                <c:pt idx="17">
                  <c:v>2066.3333333334072</c:v>
                </c:pt>
                <c:pt idx="18">
                  <c:v>2132.9999999999995</c:v>
                </c:pt>
                <c:pt idx="19">
                  <c:v>2183</c:v>
                </c:pt>
                <c:pt idx="20">
                  <c:v>2233</c:v>
                </c:pt>
                <c:pt idx="21">
                  <c:v>2283</c:v>
                </c:pt>
                <c:pt idx="22">
                  <c:v>2308.9999999999995</c:v>
                </c:pt>
              </c:numCache>
            </c:numRef>
          </c:xVal>
          <c:yVal>
            <c:numRef>
              <c:f>'pu239'!$C$373:$C$395</c:f>
              <c:numCache>
                <c:formatCode>General</c:formatCode>
                <c:ptCount val="23"/>
                <c:pt idx="0">
                  <c:v>0</c:v>
                </c:pt>
                <c:pt idx="1">
                  <c:v>3.3134564003750853E-3</c:v>
                </c:pt>
                <c:pt idx="2">
                  <c:v>1.4110638097777501E-2</c:v>
                </c:pt>
                <c:pt idx="3">
                  <c:v>3.1993122022686012E-2</c:v>
                </c:pt>
                <c:pt idx="4">
                  <c:v>0.11110459744892566</c:v>
                </c:pt>
                <c:pt idx="5">
                  <c:v>0.38518693036159823</c:v>
                </c:pt>
                <c:pt idx="6">
                  <c:v>1.6949994524833698</c:v>
                </c:pt>
                <c:pt idx="7">
                  <c:v>3.7064899130227738</c:v>
                </c:pt>
                <c:pt idx="8">
                  <c:v>5.7472859583106075</c:v>
                </c:pt>
                <c:pt idx="9">
                  <c:v>7.0200526433495885</c:v>
                </c:pt>
                <c:pt idx="10">
                  <c:v>7.9090124899770524</c:v>
                </c:pt>
                <c:pt idx="11">
                  <c:v>8.7369126737944889</c:v>
                </c:pt>
                <c:pt idx="12">
                  <c:v>9.2547203313518889</c:v>
                </c:pt>
                <c:pt idx="13">
                  <c:v>9.7441318473317402</c:v>
                </c:pt>
                <c:pt idx="14">
                  <c:v>10.206030310232537</c:v>
                </c:pt>
                <c:pt idx="15">
                  <c:v>10.570941924957763</c:v>
                </c:pt>
                <c:pt idx="16">
                  <c:v>10.917416295880461</c:v>
                </c:pt>
                <c:pt idx="17">
                  <c:v>11.181911247551698</c:v>
                </c:pt>
                <c:pt idx="18">
                  <c:v>11.435389640878137</c:v>
                </c:pt>
                <c:pt idx="19">
                  <c:v>11.618449734906322</c:v>
                </c:pt>
                <c:pt idx="20">
                  <c:v>11.795513866534669</c:v>
                </c:pt>
                <c:pt idx="21">
                  <c:v>11.966512037470126</c:v>
                </c:pt>
                <c:pt idx="22">
                  <c:v>12.053297788092051</c:v>
                </c:pt>
              </c:numCache>
            </c:numRef>
          </c:yVal>
          <c:smooth val="1"/>
        </c:ser>
        <c:axId val="184626176"/>
        <c:axId val="184624256"/>
      </c:scatterChart>
      <c:valAx>
        <c:axId val="184616064"/>
        <c:scaling>
          <c:orientation val="minMax"/>
          <c:max val="2400"/>
        </c:scaling>
        <c:axPos val="b"/>
        <c:majorGridlines>
          <c:spPr>
            <a:ln>
              <a:solidFill>
                <a:sysClr val="windowText" lastClr="000000"/>
              </a:solidFill>
            </a:ln>
          </c:spPr>
        </c:majorGridlines>
        <c:title>
          <c:tx>
            <c:rich>
              <a:bodyPr/>
              <a:lstStyle/>
              <a:p>
                <a:pPr algn="ctr">
                  <a:defRPr/>
                </a:pPr>
                <a:r>
                  <a:rPr lang="en-US"/>
                  <a:t>Core Exposure (MWd)</a:t>
                </a:r>
              </a:p>
            </c:rich>
          </c:tx>
          <c:layout>
            <c:manualLayout>
              <c:xMode val="edge"/>
              <c:yMode val="edge"/>
              <c:x val="0.39158880139983254"/>
              <c:y val="0.95253937833215852"/>
            </c:manualLayout>
          </c:layout>
        </c:title>
        <c:numFmt formatCode="General" sourceLinked="0"/>
        <c:tickLblPos val="nextTo"/>
        <c:spPr>
          <a:ln>
            <a:solidFill>
              <a:sysClr val="windowText" lastClr="000000"/>
            </a:solidFill>
          </a:ln>
        </c:spPr>
        <c:txPr>
          <a:bodyPr/>
          <a:lstStyle/>
          <a:p>
            <a:pPr>
              <a:defRPr sz="900"/>
            </a:pPr>
            <a:endParaRPr lang="en-US"/>
          </a:p>
        </c:txPr>
        <c:crossAx val="184617984"/>
        <c:crosses val="autoZero"/>
        <c:crossBetween val="midCat"/>
        <c:majorUnit val="200"/>
      </c:valAx>
      <c:valAx>
        <c:axId val="184617984"/>
        <c:scaling>
          <c:orientation val="minMax"/>
          <c:max val="9.5"/>
          <c:min val="6.25"/>
        </c:scaling>
        <c:axPos val="l"/>
        <c:majorGridlines>
          <c:spPr>
            <a:ln>
              <a:solidFill>
                <a:sysClr val="windowText" lastClr="000000"/>
              </a:solidFill>
            </a:ln>
          </c:spPr>
        </c:majorGridlines>
        <c:title>
          <c:tx>
            <c:rich>
              <a:bodyPr rot="-5400000" vert="horz"/>
              <a:lstStyle/>
              <a:p>
                <a:pPr>
                  <a:defRPr/>
                </a:pPr>
                <a:r>
                  <a:rPr lang="en-US"/>
                  <a:t>Uranium-235 Inventory (kilograms)</a:t>
                </a:r>
              </a:p>
            </c:rich>
          </c:tx>
          <c:layout>
            <c:manualLayout>
              <c:xMode val="edge"/>
              <c:yMode val="edge"/>
              <c:x val="6.6666666666666714E-3"/>
              <c:y val="0.2054404796548599"/>
            </c:manualLayout>
          </c:layout>
        </c:title>
        <c:numFmt formatCode="#,##0.00" sourceLinked="0"/>
        <c:tickLblPos val="nextTo"/>
        <c:spPr>
          <a:ln>
            <a:solidFill>
              <a:sysClr val="windowText" lastClr="000000"/>
            </a:solidFill>
          </a:ln>
        </c:spPr>
        <c:txPr>
          <a:bodyPr/>
          <a:lstStyle/>
          <a:p>
            <a:pPr>
              <a:defRPr sz="900"/>
            </a:pPr>
            <a:endParaRPr lang="en-US"/>
          </a:p>
        </c:txPr>
        <c:crossAx val="184616064"/>
        <c:crosses val="autoZero"/>
        <c:crossBetween val="midCat"/>
        <c:majorUnit val="0.25"/>
        <c:minorUnit val="0.125"/>
      </c:valAx>
      <c:valAx>
        <c:axId val="184624256"/>
        <c:scaling>
          <c:orientation val="minMax"/>
          <c:max val="13"/>
          <c:min val="0"/>
        </c:scaling>
        <c:axPos val="r"/>
        <c:title>
          <c:tx>
            <c:rich>
              <a:bodyPr rot="-5400000" vert="horz"/>
              <a:lstStyle/>
              <a:p>
                <a:pPr>
                  <a:defRPr/>
                </a:pPr>
                <a:r>
                  <a:rPr lang="en-US"/>
                  <a:t>Plutonium-239 Inventory (grams)</a:t>
                </a:r>
              </a:p>
            </c:rich>
          </c:tx>
          <c:layout>
            <c:manualLayout>
              <c:xMode val="edge"/>
              <c:yMode val="edge"/>
              <c:x val="0.95666666666666667"/>
              <c:y val="0.22075035761222844"/>
            </c:manualLayout>
          </c:layout>
        </c:title>
        <c:numFmt formatCode="General" sourceLinked="0"/>
        <c:tickLblPos val="nextTo"/>
        <c:spPr>
          <a:ln>
            <a:solidFill>
              <a:schemeClr val="tx1"/>
            </a:solidFill>
          </a:ln>
        </c:spPr>
        <c:txPr>
          <a:bodyPr/>
          <a:lstStyle/>
          <a:p>
            <a:pPr>
              <a:defRPr sz="900"/>
            </a:pPr>
            <a:endParaRPr lang="en-US"/>
          </a:p>
        </c:txPr>
        <c:crossAx val="184626176"/>
        <c:crosses val="max"/>
        <c:crossBetween val="midCat"/>
        <c:majorUnit val="1"/>
        <c:minorUnit val="0.5"/>
      </c:valAx>
      <c:valAx>
        <c:axId val="184626176"/>
        <c:scaling>
          <c:orientation val="minMax"/>
        </c:scaling>
        <c:delete val="1"/>
        <c:axPos val="b"/>
        <c:numFmt formatCode="0.0" sourceLinked="1"/>
        <c:tickLblPos val="none"/>
        <c:crossAx val="184624256"/>
        <c:crosses val="autoZero"/>
        <c:crossBetween val="midCat"/>
      </c:valAx>
    </c:plotArea>
    <c:legend>
      <c:legendPos val="r"/>
      <c:layout>
        <c:manualLayout>
          <c:xMode val="edge"/>
          <c:yMode val="edge"/>
          <c:x val="0.64729148439778894"/>
          <c:y val="0.36666796057236639"/>
          <c:w val="0.22072725284339578"/>
          <c:h val="0.14451525590551181"/>
        </c:manualLayout>
      </c:layout>
      <c:overlay val="1"/>
      <c:spPr>
        <a:solidFill>
          <a:sysClr val="window" lastClr="FFFFFF"/>
        </a:solidFill>
        <a:ln>
          <a:solidFill>
            <a:schemeClr val="tx1"/>
          </a:solidFill>
        </a:ln>
      </c:spPr>
    </c:legend>
    <c:plotVisOnly val="1"/>
  </c:chart>
  <c:spPr>
    <a:ln>
      <a:solidFill>
        <a:sysClr val="windowText" lastClr="000000"/>
      </a:solidFill>
    </a:ln>
  </c:spPr>
  <c:txPr>
    <a:bodyPr/>
    <a:lstStyle/>
    <a:p>
      <a:pPr>
        <a:defRPr>
          <a:latin typeface="Times New Roman" pitchFamily="18" charset="0"/>
          <a:cs typeface="Times New Roman" pitchFamily="18" charset="0"/>
        </a:defRPr>
      </a:pPr>
      <a:endParaRPr lang="en-US"/>
    </a:p>
  </c:txPr>
  <c:externalData r:id="rId1"/>
</c:chartSpace>
</file>

<file path=word/charts/chart31.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2427401574803305"/>
          <c:y val="3.3681731506210212E-2"/>
          <c:w val="0.75145196850393703"/>
          <c:h val="0.83142525153105862"/>
        </c:manualLayout>
      </c:layout>
      <c:scatterChart>
        <c:scatterStyle val="smoothMarker"/>
        <c:ser>
          <c:idx val="0"/>
          <c:order val="0"/>
          <c:tx>
            <c:v>Sm-149</c:v>
          </c:tx>
          <c:spPr>
            <a:ln w="22225">
              <a:solidFill>
                <a:srgbClr val="0000FF"/>
              </a:solidFill>
            </a:ln>
          </c:spPr>
          <c:marker>
            <c:symbol val="diamond"/>
            <c:size val="7"/>
            <c:spPr>
              <a:solidFill>
                <a:sysClr val="window" lastClr="FFFFFF"/>
              </a:solidFill>
              <a:ln w="12700">
                <a:solidFill>
                  <a:srgbClr val="0000FF"/>
                </a:solidFill>
              </a:ln>
            </c:spPr>
          </c:marker>
          <c:xVal>
            <c:numRef>
              <c:f>'sm149'!$B$373:$B$395</c:f>
              <c:numCache>
                <c:formatCode>0.0</c:formatCode>
                <c:ptCount val="23"/>
                <c:pt idx="0">
                  <c:v>0</c:v>
                </c:pt>
                <c:pt idx="1">
                  <c:v>16.666666666666668</c:v>
                </c:pt>
                <c:pt idx="2">
                  <c:v>33.333333333333336</c:v>
                </c:pt>
                <c:pt idx="3">
                  <c:v>50</c:v>
                </c:pt>
                <c:pt idx="4">
                  <c:v>94.333333333333258</c:v>
                </c:pt>
                <c:pt idx="5">
                  <c:v>183</c:v>
                </c:pt>
                <c:pt idx="6">
                  <c:v>433</c:v>
                </c:pt>
                <c:pt idx="7">
                  <c:v>733</c:v>
                </c:pt>
                <c:pt idx="8">
                  <c:v>1033</c:v>
                </c:pt>
                <c:pt idx="9">
                  <c:v>1233</c:v>
                </c:pt>
                <c:pt idx="10">
                  <c:v>1383</c:v>
                </c:pt>
                <c:pt idx="11">
                  <c:v>1533</c:v>
                </c:pt>
                <c:pt idx="12">
                  <c:v>1633</c:v>
                </c:pt>
                <c:pt idx="13">
                  <c:v>1733</c:v>
                </c:pt>
                <c:pt idx="14">
                  <c:v>1833</c:v>
                </c:pt>
                <c:pt idx="15">
                  <c:v>1916.3333333333105</c:v>
                </c:pt>
                <c:pt idx="16">
                  <c:v>1999.6666666666665</c:v>
                </c:pt>
                <c:pt idx="17">
                  <c:v>2066.3333333334072</c:v>
                </c:pt>
                <c:pt idx="18">
                  <c:v>2132.9999999999995</c:v>
                </c:pt>
                <c:pt idx="19">
                  <c:v>2183</c:v>
                </c:pt>
                <c:pt idx="20">
                  <c:v>2233</c:v>
                </c:pt>
                <c:pt idx="21">
                  <c:v>2283</c:v>
                </c:pt>
                <c:pt idx="22">
                  <c:v>2308.9999999999995</c:v>
                </c:pt>
              </c:numCache>
            </c:numRef>
          </c:xVal>
          <c:yVal>
            <c:numRef>
              <c:f>'sm149'!$C$373:$C$395</c:f>
              <c:numCache>
                <c:formatCode>0.00E+00</c:formatCode>
                <c:ptCount val="23"/>
                <c:pt idx="0">
                  <c:v>0</c:v>
                </c:pt>
                <c:pt idx="1">
                  <c:v>1.0559790085306357E-3</c:v>
                </c:pt>
                <c:pt idx="2">
                  <c:v>5.8299531092795833E-3</c:v>
                </c:pt>
                <c:pt idx="3">
                  <c:v>1.425249977801352E-2</c:v>
                </c:pt>
                <c:pt idx="4">
                  <c:v>4.7933736229144534E-2</c:v>
                </c:pt>
                <c:pt idx="5">
                  <c:v>0.13373015105423094</c:v>
                </c:pt>
                <c:pt idx="6">
                  <c:v>0.30364526112311718</c:v>
                </c:pt>
                <c:pt idx="7">
                  <c:v>0.38339616789275943</c:v>
                </c:pt>
                <c:pt idx="8">
                  <c:v>0.40234593235895538</c:v>
                </c:pt>
                <c:pt idx="9">
                  <c:v>0.39702685895201145</c:v>
                </c:pt>
                <c:pt idx="10">
                  <c:v>0.39295457627767749</c:v>
                </c:pt>
                <c:pt idx="11">
                  <c:v>0.38894746595233637</c:v>
                </c:pt>
                <c:pt idx="12">
                  <c:v>0.38525665908029688</c:v>
                </c:pt>
                <c:pt idx="13">
                  <c:v>0.38217373210346572</c:v>
                </c:pt>
                <c:pt idx="14">
                  <c:v>0.37913977858048681</c:v>
                </c:pt>
                <c:pt idx="15">
                  <c:v>0.37636818506557645</c:v>
                </c:pt>
                <c:pt idx="16">
                  <c:v>0.37369564941802413</c:v>
                </c:pt>
                <c:pt idx="17">
                  <c:v>0.36860869992061807</c:v>
                </c:pt>
                <c:pt idx="18">
                  <c:v>0.36605129926022872</c:v>
                </c:pt>
                <c:pt idx="19">
                  <c:v>0.36434927555073582</c:v>
                </c:pt>
                <c:pt idx="20">
                  <c:v>0.36282385208802881</c:v>
                </c:pt>
                <c:pt idx="21">
                  <c:v>0.36136659275775618</c:v>
                </c:pt>
                <c:pt idx="22">
                  <c:v>0.36050937610298223</c:v>
                </c:pt>
              </c:numCache>
            </c:numRef>
          </c:yVal>
          <c:smooth val="1"/>
        </c:ser>
        <c:axId val="184676352"/>
        <c:axId val="184678656"/>
      </c:scatterChart>
      <c:scatterChart>
        <c:scatterStyle val="smoothMarker"/>
        <c:ser>
          <c:idx val="1"/>
          <c:order val="1"/>
          <c:tx>
            <c:v>Xe-135</c:v>
          </c:tx>
          <c:spPr>
            <a:ln w="22225">
              <a:solidFill>
                <a:srgbClr val="FF0000"/>
              </a:solidFill>
              <a:prstDash val="sysDash"/>
            </a:ln>
          </c:spPr>
          <c:marker>
            <c:symbol val="star"/>
            <c:size val="6"/>
            <c:spPr>
              <a:solidFill>
                <a:sysClr val="window" lastClr="FFFFFF"/>
              </a:solidFill>
              <a:ln w="12700">
                <a:solidFill>
                  <a:srgbClr val="FF0000"/>
                </a:solidFill>
              </a:ln>
            </c:spPr>
          </c:marker>
          <c:xVal>
            <c:numRef>
              <c:f>'xe135'!$B$373:$B$395</c:f>
              <c:numCache>
                <c:formatCode>0.0</c:formatCode>
                <c:ptCount val="23"/>
                <c:pt idx="0">
                  <c:v>0</c:v>
                </c:pt>
                <c:pt idx="1">
                  <c:v>16.666666666666668</c:v>
                </c:pt>
                <c:pt idx="2">
                  <c:v>33.333333333333336</c:v>
                </c:pt>
                <c:pt idx="3">
                  <c:v>50</c:v>
                </c:pt>
                <c:pt idx="4">
                  <c:v>94.333333333333258</c:v>
                </c:pt>
                <c:pt idx="5">
                  <c:v>183</c:v>
                </c:pt>
                <c:pt idx="6">
                  <c:v>433</c:v>
                </c:pt>
                <c:pt idx="7">
                  <c:v>733</c:v>
                </c:pt>
                <c:pt idx="8">
                  <c:v>1033</c:v>
                </c:pt>
                <c:pt idx="9">
                  <c:v>1233</c:v>
                </c:pt>
                <c:pt idx="10">
                  <c:v>1383</c:v>
                </c:pt>
                <c:pt idx="11">
                  <c:v>1533</c:v>
                </c:pt>
                <c:pt idx="12">
                  <c:v>1633</c:v>
                </c:pt>
                <c:pt idx="13">
                  <c:v>1733</c:v>
                </c:pt>
                <c:pt idx="14">
                  <c:v>1833</c:v>
                </c:pt>
                <c:pt idx="15">
                  <c:v>1916.3333333333105</c:v>
                </c:pt>
                <c:pt idx="16">
                  <c:v>1999.6666666666665</c:v>
                </c:pt>
                <c:pt idx="17">
                  <c:v>2066.3333333334072</c:v>
                </c:pt>
                <c:pt idx="18">
                  <c:v>2132.9999999999995</c:v>
                </c:pt>
                <c:pt idx="19">
                  <c:v>2183</c:v>
                </c:pt>
                <c:pt idx="20">
                  <c:v>2233</c:v>
                </c:pt>
                <c:pt idx="21">
                  <c:v>2283</c:v>
                </c:pt>
                <c:pt idx="22">
                  <c:v>2308.9999999999995</c:v>
                </c:pt>
              </c:numCache>
            </c:numRef>
          </c:xVal>
          <c:yVal>
            <c:numRef>
              <c:f>'xe135'!$C$373:$C$395</c:f>
              <c:numCache>
                <c:formatCode>0.00E+00</c:formatCode>
                <c:ptCount val="23"/>
                <c:pt idx="0">
                  <c:v>0</c:v>
                </c:pt>
                <c:pt idx="1">
                  <c:v>2.6350836660058712E-2</c:v>
                </c:pt>
                <c:pt idx="2">
                  <c:v>4.3791267522242133E-2</c:v>
                </c:pt>
                <c:pt idx="3">
                  <c:v>5.5155332008881515E-2</c:v>
                </c:pt>
                <c:pt idx="4">
                  <c:v>6.9974789115150871E-2</c:v>
                </c:pt>
                <c:pt idx="5">
                  <c:v>7.4665884147697592E-2</c:v>
                </c:pt>
                <c:pt idx="6">
                  <c:v>7.2424874519248422E-2</c:v>
                </c:pt>
                <c:pt idx="7">
                  <c:v>6.8850054254131973E-2</c:v>
                </c:pt>
                <c:pt idx="8">
                  <c:v>6.5327578032657194E-2</c:v>
                </c:pt>
                <c:pt idx="9">
                  <c:v>6.2986753351177135E-2</c:v>
                </c:pt>
                <c:pt idx="10">
                  <c:v>6.1191527984759672E-2</c:v>
                </c:pt>
                <c:pt idx="11">
                  <c:v>5.9470305894534704E-2</c:v>
                </c:pt>
                <c:pt idx="12">
                  <c:v>5.8308411939076057E-2</c:v>
                </c:pt>
                <c:pt idx="13">
                  <c:v>5.7197672946914135E-2</c:v>
                </c:pt>
                <c:pt idx="14">
                  <c:v>5.6078319171497366E-2</c:v>
                </c:pt>
                <c:pt idx="15">
                  <c:v>5.5166104093452684E-2</c:v>
                </c:pt>
                <c:pt idx="16">
                  <c:v>5.4242156086276354E-2</c:v>
                </c:pt>
                <c:pt idx="17">
                  <c:v>5.3543382285866956E-2</c:v>
                </c:pt>
                <c:pt idx="18">
                  <c:v>5.2801788786308264E-2</c:v>
                </c:pt>
                <c:pt idx="19">
                  <c:v>5.2354328029952928E-2</c:v>
                </c:pt>
                <c:pt idx="20">
                  <c:v>5.1804813334148894E-2</c:v>
                </c:pt>
                <c:pt idx="21">
                  <c:v>5.1249918754465246E-2</c:v>
                </c:pt>
                <c:pt idx="22">
                  <c:v>5.1224722004650648E-2</c:v>
                </c:pt>
              </c:numCache>
            </c:numRef>
          </c:yVal>
          <c:smooth val="1"/>
        </c:ser>
        <c:axId val="184699136"/>
        <c:axId val="184697216"/>
      </c:scatterChart>
      <c:valAx>
        <c:axId val="184676352"/>
        <c:scaling>
          <c:orientation val="minMax"/>
          <c:max val="2400"/>
          <c:min val="0"/>
        </c:scaling>
        <c:axPos val="b"/>
        <c:majorGridlines>
          <c:spPr>
            <a:ln>
              <a:solidFill>
                <a:sysClr val="windowText" lastClr="000000"/>
              </a:solidFill>
            </a:ln>
          </c:spPr>
        </c:majorGridlines>
        <c:title>
          <c:tx>
            <c:rich>
              <a:bodyPr/>
              <a:lstStyle/>
              <a:p>
                <a:pPr>
                  <a:defRPr/>
                </a:pPr>
                <a:r>
                  <a:rPr lang="en-US"/>
                  <a:t>Core Exposure (MWd)</a:t>
                </a:r>
              </a:p>
            </c:rich>
          </c:tx>
          <c:layout>
            <c:manualLayout>
              <c:xMode val="edge"/>
              <c:yMode val="edge"/>
              <c:x val="0.3840888888888972"/>
              <c:y val="0.94029147596626428"/>
            </c:manualLayout>
          </c:layout>
        </c:title>
        <c:numFmt formatCode="General" sourceLinked="0"/>
        <c:tickLblPos val="nextTo"/>
        <c:spPr>
          <a:ln>
            <a:solidFill>
              <a:schemeClr val="tx1"/>
            </a:solidFill>
          </a:ln>
        </c:spPr>
        <c:txPr>
          <a:bodyPr/>
          <a:lstStyle/>
          <a:p>
            <a:pPr>
              <a:defRPr sz="900"/>
            </a:pPr>
            <a:endParaRPr lang="en-US"/>
          </a:p>
        </c:txPr>
        <c:crossAx val="184678656"/>
        <c:crosses val="autoZero"/>
        <c:crossBetween val="midCat"/>
        <c:majorUnit val="200"/>
      </c:valAx>
      <c:valAx>
        <c:axId val="184678656"/>
        <c:scaling>
          <c:orientation val="minMax"/>
          <c:max val="0.45"/>
          <c:min val="0"/>
        </c:scaling>
        <c:axPos val="l"/>
        <c:majorGridlines>
          <c:spPr>
            <a:ln>
              <a:solidFill>
                <a:sysClr val="windowText" lastClr="000000"/>
              </a:solidFill>
            </a:ln>
          </c:spPr>
        </c:majorGridlines>
        <c:title>
          <c:tx>
            <c:rich>
              <a:bodyPr rot="-5400000" vert="horz"/>
              <a:lstStyle/>
              <a:p>
                <a:pPr>
                  <a:defRPr/>
                </a:pPr>
                <a:r>
                  <a:rPr lang="en-US"/>
                  <a:t>Samarium-149 Inventory (grams)</a:t>
                </a:r>
              </a:p>
            </c:rich>
          </c:tx>
          <c:layout>
            <c:manualLayout>
              <c:xMode val="edge"/>
              <c:yMode val="edge"/>
              <c:x val="8.8888888888889878E-3"/>
              <c:y val="0.22382752253143892"/>
            </c:manualLayout>
          </c:layout>
        </c:title>
        <c:numFmt formatCode="#,##0.00" sourceLinked="0"/>
        <c:tickLblPos val="nextTo"/>
        <c:spPr>
          <a:ln>
            <a:solidFill>
              <a:sysClr val="windowText" lastClr="000000"/>
            </a:solidFill>
          </a:ln>
        </c:spPr>
        <c:txPr>
          <a:bodyPr/>
          <a:lstStyle/>
          <a:p>
            <a:pPr>
              <a:defRPr sz="900"/>
            </a:pPr>
            <a:endParaRPr lang="en-US"/>
          </a:p>
        </c:txPr>
        <c:crossAx val="184676352"/>
        <c:crosses val="autoZero"/>
        <c:crossBetween val="midCat"/>
        <c:majorUnit val="0.05"/>
      </c:valAx>
      <c:valAx>
        <c:axId val="184697216"/>
        <c:scaling>
          <c:orientation val="minMax"/>
          <c:max val="9.0000000000000024E-2"/>
          <c:min val="0"/>
        </c:scaling>
        <c:axPos val="r"/>
        <c:title>
          <c:tx>
            <c:rich>
              <a:bodyPr rot="-5400000" vert="horz"/>
              <a:lstStyle/>
              <a:p>
                <a:pPr>
                  <a:defRPr/>
                </a:pPr>
                <a:r>
                  <a:rPr lang="en-US"/>
                  <a:t>Xenon-135 Inventory (grams)</a:t>
                </a:r>
              </a:p>
            </c:rich>
          </c:tx>
          <c:layout>
            <c:manualLayout>
              <c:xMode val="edge"/>
              <c:yMode val="edge"/>
              <c:x val="0.95222222222222219"/>
              <c:y val="0.25325310796550043"/>
            </c:manualLayout>
          </c:layout>
        </c:title>
        <c:numFmt formatCode="#,##0.00" sourceLinked="0"/>
        <c:tickLblPos val="nextTo"/>
        <c:spPr>
          <a:ln>
            <a:solidFill>
              <a:sysClr val="windowText" lastClr="000000"/>
            </a:solidFill>
          </a:ln>
        </c:spPr>
        <c:txPr>
          <a:bodyPr/>
          <a:lstStyle/>
          <a:p>
            <a:pPr>
              <a:defRPr sz="900"/>
            </a:pPr>
            <a:endParaRPr lang="en-US"/>
          </a:p>
        </c:txPr>
        <c:crossAx val="184699136"/>
        <c:crosses val="max"/>
        <c:crossBetween val="midCat"/>
      </c:valAx>
      <c:valAx>
        <c:axId val="184699136"/>
        <c:scaling>
          <c:orientation val="minMax"/>
        </c:scaling>
        <c:delete val="1"/>
        <c:axPos val="b"/>
        <c:numFmt formatCode="0.0" sourceLinked="1"/>
        <c:tickLblPos val="none"/>
        <c:crossAx val="184697216"/>
        <c:crosses val="autoZero"/>
        <c:crossBetween val="midCat"/>
      </c:valAx>
    </c:plotArea>
    <c:legend>
      <c:legendPos val="r"/>
      <c:layout>
        <c:manualLayout>
          <c:xMode val="edge"/>
          <c:yMode val="edge"/>
          <c:x val="0.64397445319335911"/>
          <c:y val="0.64923082531350829"/>
          <c:w val="0.20651688538932814"/>
          <c:h val="0.15455745115194131"/>
        </c:manualLayout>
      </c:layout>
      <c:overlay val="1"/>
      <c:spPr>
        <a:solidFill>
          <a:sysClr val="window" lastClr="FFFFFF"/>
        </a:solidFill>
        <a:ln w="12700">
          <a:solidFill>
            <a:sysClr val="windowText" lastClr="000000"/>
          </a:solidFill>
        </a:ln>
      </c:spPr>
    </c:legend>
    <c:plotVisOnly val="1"/>
  </c:chart>
  <c:spPr>
    <a:noFill/>
    <a:ln>
      <a:solidFill>
        <a:sysClr val="windowText" lastClr="000000"/>
      </a:solidFill>
    </a:ln>
  </c:spPr>
  <c:txPr>
    <a:bodyPr/>
    <a:lstStyle/>
    <a:p>
      <a:pPr>
        <a:defRPr>
          <a:latin typeface="Times New Roman" pitchFamily="18" charset="0"/>
          <a:cs typeface="Times New Roman" pitchFamily="18" charset="0"/>
        </a:defRPr>
      </a:pPr>
      <a:endParaRPr lang="en-US"/>
    </a:p>
  </c:txPr>
  <c:externalData r:id="rId1"/>
</c:chartSpace>
</file>

<file path=word/charts/chart32.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1949424591157094"/>
          <c:y val="3.2386279994111596E-2"/>
          <c:w val="0.83777071135340042"/>
          <c:h val="0.83948668789432357"/>
        </c:manualLayout>
      </c:layout>
      <c:scatterChart>
        <c:scatterStyle val="smoothMarker"/>
        <c:ser>
          <c:idx val="0"/>
          <c:order val="0"/>
          <c:tx>
            <c:v>B-10</c:v>
          </c:tx>
          <c:spPr>
            <a:ln w="25400">
              <a:solidFill>
                <a:srgbClr val="0000FF"/>
              </a:solidFill>
            </a:ln>
          </c:spPr>
          <c:marker>
            <c:symbol val="diamond"/>
            <c:size val="7"/>
            <c:spPr>
              <a:noFill/>
              <a:ln w="12700">
                <a:solidFill>
                  <a:srgbClr val="0000FF"/>
                </a:solidFill>
              </a:ln>
            </c:spPr>
          </c:marker>
          <c:xVal>
            <c:numRef>
              <c:f>'b10'!$B$157:$B$179</c:f>
              <c:numCache>
                <c:formatCode>0.0</c:formatCode>
                <c:ptCount val="23"/>
                <c:pt idx="0">
                  <c:v>0</c:v>
                </c:pt>
                <c:pt idx="1">
                  <c:v>16.666666666666668</c:v>
                </c:pt>
                <c:pt idx="2">
                  <c:v>33.333333333333336</c:v>
                </c:pt>
                <c:pt idx="3">
                  <c:v>50</c:v>
                </c:pt>
                <c:pt idx="4">
                  <c:v>94.333333333333258</c:v>
                </c:pt>
                <c:pt idx="5">
                  <c:v>183</c:v>
                </c:pt>
                <c:pt idx="6">
                  <c:v>433</c:v>
                </c:pt>
                <c:pt idx="7">
                  <c:v>733</c:v>
                </c:pt>
                <c:pt idx="8">
                  <c:v>1033</c:v>
                </c:pt>
                <c:pt idx="9">
                  <c:v>1233</c:v>
                </c:pt>
                <c:pt idx="10">
                  <c:v>1383</c:v>
                </c:pt>
                <c:pt idx="11">
                  <c:v>1533</c:v>
                </c:pt>
                <c:pt idx="12">
                  <c:v>1633</c:v>
                </c:pt>
                <c:pt idx="13">
                  <c:v>1733</c:v>
                </c:pt>
                <c:pt idx="14">
                  <c:v>1833</c:v>
                </c:pt>
                <c:pt idx="15">
                  <c:v>1916.3333333333105</c:v>
                </c:pt>
                <c:pt idx="16">
                  <c:v>1999.6666666666665</c:v>
                </c:pt>
                <c:pt idx="17">
                  <c:v>2066.3333333334072</c:v>
                </c:pt>
                <c:pt idx="18">
                  <c:v>2132.9999999999995</c:v>
                </c:pt>
                <c:pt idx="19">
                  <c:v>2183</c:v>
                </c:pt>
                <c:pt idx="20">
                  <c:v>2233</c:v>
                </c:pt>
                <c:pt idx="21">
                  <c:v>2283</c:v>
                </c:pt>
                <c:pt idx="22">
                  <c:v>2308.9999999999995</c:v>
                </c:pt>
              </c:numCache>
            </c:numRef>
          </c:xVal>
          <c:yVal>
            <c:numRef>
              <c:f>'b10'!$C$157:$C$179</c:f>
              <c:numCache>
                <c:formatCode>General</c:formatCode>
                <c:ptCount val="23"/>
                <c:pt idx="0">
                  <c:v>2.8132285361486895</c:v>
                </c:pt>
                <c:pt idx="1">
                  <c:v>2.7557909513148862</c:v>
                </c:pt>
                <c:pt idx="2">
                  <c:v>2.7004251909262007</c:v>
                </c:pt>
                <c:pt idx="3">
                  <c:v>2.6467967980037601</c:v>
                </c:pt>
                <c:pt idx="4">
                  <c:v>2.511112278777003</c:v>
                </c:pt>
                <c:pt idx="5">
                  <c:v>2.2609746017841252</c:v>
                </c:pt>
                <c:pt idx="6">
                  <c:v>1.6780497265232144</c:v>
                </c:pt>
                <c:pt idx="7">
                  <c:v>1.1643812281550361</c:v>
                </c:pt>
                <c:pt idx="8">
                  <c:v>0.80322498075239657</c:v>
                </c:pt>
                <c:pt idx="9">
                  <c:v>0.62558232759475652</c:v>
                </c:pt>
                <c:pt idx="10">
                  <c:v>0.51825371985013058</c:v>
                </c:pt>
                <c:pt idx="11">
                  <c:v>0.42901004071785387</c:v>
                </c:pt>
                <c:pt idx="12">
                  <c:v>0.37799248903879568</c:v>
                </c:pt>
                <c:pt idx="13">
                  <c:v>0.33293455169905511</c:v>
                </c:pt>
                <c:pt idx="14">
                  <c:v>0.29305842810749932</c:v>
                </c:pt>
                <c:pt idx="15">
                  <c:v>0.26340176342969773</c:v>
                </c:pt>
                <c:pt idx="16">
                  <c:v>0.23664074636274671</c:v>
                </c:pt>
                <c:pt idx="17">
                  <c:v>0.21715418281047108</c:v>
                </c:pt>
                <c:pt idx="18">
                  <c:v>0.19919224191255536</c:v>
                </c:pt>
                <c:pt idx="19">
                  <c:v>0.18665630354236515</c:v>
                </c:pt>
                <c:pt idx="20">
                  <c:v>0.17486915663271754</c:v>
                </c:pt>
                <c:pt idx="21">
                  <c:v>0.16380109449968366</c:v>
                </c:pt>
                <c:pt idx="22">
                  <c:v>0.15831550595631291</c:v>
                </c:pt>
              </c:numCache>
            </c:numRef>
          </c:yVal>
          <c:smooth val="1"/>
        </c:ser>
        <c:axId val="184709504"/>
        <c:axId val="184711808"/>
      </c:scatterChart>
      <c:valAx>
        <c:axId val="184709504"/>
        <c:scaling>
          <c:orientation val="minMax"/>
          <c:max val="2400"/>
          <c:min val="0"/>
        </c:scaling>
        <c:axPos val="b"/>
        <c:majorGridlines>
          <c:spPr>
            <a:ln>
              <a:solidFill>
                <a:sysClr val="windowText" lastClr="000000"/>
              </a:solidFill>
            </a:ln>
          </c:spPr>
        </c:majorGridlines>
        <c:title>
          <c:tx>
            <c:rich>
              <a:bodyPr/>
              <a:lstStyle/>
              <a:p>
                <a:pPr>
                  <a:defRPr/>
                </a:pPr>
                <a:r>
                  <a:rPr lang="en-US"/>
                  <a:t>Core Exposure (MWd)</a:t>
                </a:r>
              </a:p>
            </c:rich>
          </c:tx>
          <c:layout>
            <c:manualLayout>
              <c:xMode val="edge"/>
              <c:yMode val="edge"/>
              <c:x val="0.42692661013527544"/>
              <c:y val="0.94258795819225083"/>
            </c:manualLayout>
          </c:layout>
        </c:title>
        <c:numFmt formatCode="General" sourceLinked="0"/>
        <c:tickLblPos val="nextTo"/>
        <c:spPr>
          <a:ln>
            <a:solidFill>
              <a:sysClr val="windowText" lastClr="000000"/>
            </a:solidFill>
          </a:ln>
        </c:spPr>
        <c:txPr>
          <a:bodyPr/>
          <a:lstStyle/>
          <a:p>
            <a:pPr>
              <a:defRPr sz="900"/>
            </a:pPr>
            <a:endParaRPr lang="en-US"/>
          </a:p>
        </c:txPr>
        <c:crossAx val="184711808"/>
        <c:crosses val="autoZero"/>
        <c:crossBetween val="midCat"/>
        <c:majorUnit val="200"/>
      </c:valAx>
      <c:valAx>
        <c:axId val="184711808"/>
        <c:scaling>
          <c:orientation val="minMax"/>
        </c:scaling>
        <c:axPos val="l"/>
        <c:majorGridlines>
          <c:spPr>
            <a:ln>
              <a:solidFill>
                <a:schemeClr val="tx1"/>
              </a:solidFill>
            </a:ln>
          </c:spPr>
        </c:majorGridlines>
        <c:title>
          <c:tx>
            <c:rich>
              <a:bodyPr rot="-5400000" vert="horz"/>
              <a:lstStyle/>
              <a:p>
                <a:pPr>
                  <a:defRPr/>
                </a:pPr>
                <a:r>
                  <a:rPr lang="en-US"/>
                  <a:t>Boron-10 IFE Inventory (grams)</a:t>
                </a:r>
              </a:p>
            </c:rich>
          </c:tx>
          <c:layout>
            <c:manualLayout>
              <c:xMode val="edge"/>
              <c:yMode val="edge"/>
              <c:x val="1.4957264957264866E-2"/>
              <c:y val="0.23762928721205595"/>
            </c:manualLayout>
          </c:layout>
        </c:title>
        <c:numFmt formatCode="#,##0.00" sourceLinked="0"/>
        <c:tickLblPos val="nextTo"/>
        <c:spPr>
          <a:ln>
            <a:solidFill>
              <a:schemeClr val="tx1"/>
            </a:solidFill>
          </a:ln>
        </c:spPr>
        <c:txPr>
          <a:bodyPr/>
          <a:lstStyle/>
          <a:p>
            <a:pPr>
              <a:defRPr sz="900"/>
            </a:pPr>
            <a:endParaRPr lang="en-US"/>
          </a:p>
        </c:txPr>
        <c:crossAx val="184709504"/>
        <c:crosses val="autoZero"/>
        <c:crossBetween val="midCat"/>
        <c:majorUnit val="0.25"/>
        <c:minorUnit val="0.125"/>
      </c:valAx>
    </c:plotArea>
    <c:legend>
      <c:legendPos val="r"/>
      <c:layout>
        <c:manualLayout>
          <c:xMode val="edge"/>
          <c:yMode val="edge"/>
          <c:x val="0.77361531731611255"/>
          <c:y val="5.5042632201776923E-2"/>
          <c:w val="0.14875092536509871"/>
          <c:h val="9.8579709775347746E-2"/>
        </c:manualLayout>
      </c:layout>
      <c:overlay val="1"/>
      <c:spPr>
        <a:solidFill>
          <a:schemeClr val="bg1"/>
        </a:solidFill>
        <a:ln w="15875">
          <a:solidFill>
            <a:sysClr val="windowText" lastClr="000000"/>
          </a:solidFill>
        </a:ln>
      </c:spPr>
    </c:legend>
    <c:plotVisOnly val="1"/>
  </c:chart>
  <c:spPr>
    <a:ln>
      <a:solidFill>
        <a:sysClr val="windowText" lastClr="000000"/>
      </a:solidFill>
    </a:ln>
  </c:spPr>
  <c:txPr>
    <a:bodyPr/>
    <a:lstStyle/>
    <a:p>
      <a:pPr>
        <a:defRPr>
          <a:latin typeface="Times New Roman" pitchFamily="18" charset="0"/>
          <a:cs typeface="Times New Roman" pitchFamily="18" charset="0"/>
        </a:defRPr>
      </a:pPr>
      <a:endParaRPr lang="en-US"/>
    </a:p>
  </c:txPr>
  <c:externalData r:id="rId1"/>
</c:chartSpace>
</file>

<file path=word/charts/chart33.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4055901866433371"/>
          <c:y val="1.6352479505767851E-2"/>
          <c:w val="0.83203740157480521"/>
          <c:h val="0.86314542936430771"/>
        </c:manualLayout>
      </c:layout>
      <c:scatterChart>
        <c:scatterStyle val="lineMarker"/>
        <c:ser>
          <c:idx val="7"/>
          <c:order val="0"/>
          <c:tx>
            <c:v>SCALE</c:v>
          </c:tx>
          <c:spPr>
            <a:ln w="57150" cap="rnd" cmpd="sng">
              <a:solidFill>
                <a:srgbClr val="0000FF"/>
              </a:solidFill>
              <a:prstDash val="sysDot"/>
              <a:round/>
            </a:ln>
            <a:effectLst>
              <a:innerShdw blurRad="63500" dist="50800" dir="13500000">
                <a:prstClr val="black">
                  <a:alpha val="50000"/>
                </a:prstClr>
              </a:innerShdw>
            </a:effectLst>
          </c:spPr>
          <c:marker>
            <c:symbol val="none"/>
          </c:marker>
          <c:xVal>
            <c:numRef>
              <c:f>Sheet2!$C$13:$C$26</c:f>
              <c:numCache>
                <c:formatCode>General</c:formatCode>
                <c:ptCount val="14"/>
                <c:pt idx="0">
                  <c:v>33.337499999999999</c:v>
                </c:pt>
                <c:pt idx="1">
                  <c:v>36.337499999999999</c:v>
                </c:pt>
                <c:pt idx="2">
                  <c:v>36.337499999999999</c:v>
                </c:pt>
                <c:pt idx="3">
                  <c:v>39.337499999999999</c:v>
                </c:pt>
                <c:pt idx="4">
                  <c:v>39.337499999999999</c:v>
                </c:pt>
                <c:pt idx="5">
                  <c:v>42.337499999999999</c:v>
                </c:pt>
                <c:pt idx="6">
                  <c:v>42.337499999999999</c:v>
                </c:pt>
                <c:pt idx="7">
                  <c:v>45.337499999999999</c:v>
                </c:pt>
                <c:pt idx="8">
                  <c:v>45.337499999999999</c:v>
                </c:pt>
                <c:pt idx="9">
                  <c:v>48.337499999999999</c:v>
                </c:pt>
                <c:pt idx="10">
                  <c:v>48.337499999999999</c:v>
                </c:pt>
                <c:pt idx="11">
                  <c:v>51.337499999999999</c:v>
                </c:pt>
                <c:pt idx="12">
                  <c:v>51.337499999999999</c:v>
                </c:pt>
                <c:pt idx="13">
                  <c:v>54.61</c:v>
                </c:pt>
              </c:numCache>
            </c:numRef>
          </c:xVal>
          <c:yVal>
            <c:numRef>
              <c:f>Sheet2!$D$13:$D$26</c:f>
              <c:numCache>
                <c:formatCode>General</c:formatCode>
                <c:ptCount val="14"/>
                <c:pt idx="0">
                  <c:v>636074444444444.5</c:v>
                </c:pt>
                <c:pt idx="1">
                  <c:v>636074444444444.5</c:v>
                </c:pt>
                <c:pt idx="2">
                  <c:v>555115555555555.56</c:v>
                </c:pt>
                <c:pt idx="3">
                  <c:v>555115555555555.56</c:v>
                </c:pt>
                <c:pt idx="4">
                  <c:v>475585555555555.56</c:v>
                </c:pt>
                <c:pt idx="5">
                  <c:v>475585555555555.56</c:v>
                </c:pt>
                <c:pt idx="6">
                  <c:v>398537777777777.75</c:v>
                </c:pt>
                <c:pt idx="7">
                  <c:v>398537777777777.75</c:v>
                </c:pt>
                <c:pt idx="8">
                  <c:v>326163333333333.31</c:v>
                </c:pt>
                <c:pt idx="9">
                  <c:v>326163333333333.31</c:v>
                </c:pt>
                <c:pt idx="10">
                  <c:v>259400000000000</c:v>
                </c:pt>
                <c:pt idx="11">
                  <c:v>259400000000000</c:v>
                </c:pt>
                <c:pt idx="12">
                  <c:v>194294444444444.44</c:v>
                </c:pt>
                <c:pt idx="13">
                  <c:v>194294444444444.44</c:v>
                </c:pt>
              </c:numCache>
            </c:numRef>
          </c:yVal>
        </c:ser>
        <c:ser>
          <c:idx val="6"/>
          <c:order val="1"/>
          <c:tx>
            <c:v>Day 24</c:v>
          </c:tx>
          <c:spPr>
            <a:ln w="19050">
              <a:solidFill>
                <a:schemeClr val="tx1"/>
              </a:solidFill>
            </a:ln>
          </c:spPr>
          <c:marker>
            <c:symbol val="none"/>
          </c:marker>
          <c:xVal>
            <c:numRef>
              <c:f>Sheet1!$T$2:$T$15</c:f>
              <c:numCache>
                <c:formatCode>General</c:formatCode>
                <c:ptCount val="14"/>
                <c:pt idx="0">
                  <c:v>33.337499999999999</c:v>
                </c:pt>
                <c:pt idx="1">
                  <c:v>36.337499999999999</c:v>
                </c:pt>
                <c:pt idx="2">
                  <c:v>36.337499999999999</c:v>
                </c:pt>
                <c:pt idx="3">
                  <c:v>39.337499999999999</c:v>
                </c:pt>
                <c:pt idx="4">
                  <c:v>39.337499999999999</c:v>
                </c:pt>
                <c:pt idx="5">
                  <c:v>42.337499999999999</c:v>
                </c:pt>
                <c:pt idx="6">
                  <c:v>42.337499999999999</c:v>
                </c:pt>
                <c:pt idx="7">
                  <c:v>45.337499999999999</c:v>
                </c:pt>
                <c:pt idx="8">
                  <c:v>45.337499999999999</c:v>
                </c:pt>
                <c:pt idx="9">
                  <c:v>48.337499999999999</c:v>
                </c:pt>
                <c:pt idx="10">
                  <c:v>48.337499999999999</c:v>
                </c:pt>
                <c:pt idx="11">
                  <c:v>51.337499999999999</c:v>
                </c:pt>
                <c:pt idx="12">
                  <c:v>51.337499999999999</c:v>
                </c:pt>
                <c:pt idx="13">
                  <c:v>54.61</c:v>
                </c:pt>
              </c:numCache>
            </c:numRef>
          </c:xVal>
          <c:yVal>
            <c:numRef>
              <c:f>Sheet1!$AA$2:$AA$15</c:f>
              <c:numCache>
                <c:formatCode>0.00E+00</c:formatCode>
                <c:ptCount val="14"/>
                <c:pt idx="0">
                  <c:v>712143087800000</c:v>
                </c:pt>
                <c:pt idx="1">
                  <c:v>712143087800000</c:v>
                </c:pt>
                <c:pt idx="2">
                  <c:v>580377314240000</c:v>
                </c:pt>
                <c:pt idx="3">
                  <c:v>580377314240000</c:v>
                </c:pt>
                <c:pt idx="4">
                  <c:v>452983949060000</c:v>
                </c:pt>
                <c:pt idx="5">
                  <c:v>452983949060000</c:v>
                </c:pt>
                <c:pt idx="6">
                  <c:v>363371095660000</c:v>
                </c:pt>
                <c:pt idx="7">
                  <c:v>363371095660000</c:v>
                </c:pt>
                <c:pt idx="8">
                  <c:v>289115949320000</c:v>
                </c:pt>
                <c:pt idx="9">
                  <c:v>289115949320000</c:v>
                </c:pt>
                <c:pt idx="10">
                  <c:v>220932843000000</c:v>
                </c:pt>
                <c:pt idx="11">
                  <c:v>220932843000000</c:v>
                </c:pt>
                <c:pt idx="12">
                  <c:v>158793513740000</c:v>
                </c:pt>
                <c:pt idx="13">
                  <c:v>158793513740000</c:v>
                </c:pt>
              </c:numCache>
            </c:numRef>
          </c:yVal>
        </c:ser>
        <c:ser>
          <c:idx val="5"/>
          <c:order val="2"/>
          <c:tx>
            <c:v>Day 19</c:v>
          </c:tx>
          <c:spPr>
            <a:ln w="19050">
              <a:solidFill>
                <a:srgbClr val="660066"/>
              </a:solidFill>
            </a:ln>
          </c:spPr>
          <c:marker>
            <c:symbol val="none"/>
          </c:marker>
          <c:xVal>
            <c:numRef>
              <c:f>Sheet1!$T$2:$T$15</c:f>
              <c:numCache>
                <c:formatCode>General</c:formatCode>
                <c:ptCount val="14"/>
                <c:pt idx="0">
                  <c:v>33.337499999999999</c:v>
                </c:pt>
                <c:pt idx="1">
                  <c:v>36.337499999999999</c:v>
                </c:pt>
                <c:pt idx="2">
                  <c:v>36.337499999999999</c:v>
                </c:pt>
                <c:pt idx="3">
                  <c:v>39.337499999999999</c:v>
                </c:pt>
                <c:pt idx="4">
                  <c:v>39.337499999999999</c:v>
                </c:pt>
                <c:pt idx="5">
                  <c:v>42.337499999999999</c:v>
                </c:pt>
                <c:pt idx="6">
                  <c:v>42.337499999999999</c:v>
                </c:pt>
                <c:pt idx="7">
                  <c:v>45.337499999999999</c:v>
                </c:pt>
                <c:pt idx="8">
                  <c:v>45.337499999999999</c:v>
                </c:pt>
                <c:pt idx="9">
                  <c:v>48.337499999999999</c:v>
                </c:pt>
                <c:pt idx="10">
                  <c:v>48.337499999999999</c:v>
                </c:pt>
                <c:pt idx="11">
                  <c:v>51.337499999999999</c:v>
                </c:pt>
                <c:pt idx="12">
                  <c:v>51.337499999999999</c:v>
                </c:pt>
                <c:pt idx="13">
                  <c:v>54.61</c:v>
                </c:pt>
              </c:numCache>
            </c:numRef>
          </c:xVal>
          <c:yVal>
            <c:numRef>
              <c:f>Sheet1!$Z$2:$Z$15</c:f>
              <c:numCache>
                <c:formatCode>0.00E+00</c:formatCode>
                <c:ptCount val="14"/>
                <c:pt idx="0">
                  <c:v>670898436400000</c:v>
                </c:pt>
                <c:pt idx="1">
                  <c:v>670898436400000</c:v>
                </c:pt>
                <c:pt idx="2">
                  <c:v>549435154100000</c:v>
                </c:pt>
                <c:pt idx="3">
                  <c:v>549435154100000</c:v>
                </c:pt>
                <c:pt idx="4">
                  <c:v>431397471019999.94</c:v>
                </c:pt>
                <c:pt idx="5">
                  <c:v>431397471019999.94</c:v>
                </c:pt>
                <c:pt idx="6">
                  <c:v>347154580020000</c:v>
                </c:pt>
                <c:pt idx="7">
                  <c:v>347154580020000</c:v>
                </c:pt>
                <c:pt idx="8">
                  <c:v>277005913299999.97</c:v>
                </c:pt>
                <c:pt idx="9">
                  <c:v>277005913299999.97</c:v>
                </c:pt>
                <c:pt idx="10">
                  <c:v>212369166120000.03</c:v>
                </c:pt>
                <c:pt idx="11">
                  <c:v>212369166120000.03</c:v>
                </c:pt>
                <c:pt idx="12">
                  <c:v>152927664860000</c:v>
                </c:pt>
                <c:pt idx="13">
                  <c:v>152927664860000</c:v>
                </c:pt>
              </c:numCache>
            </c:numRef>
          </c:yVal>
        </c:ser>
        <c:ser>
          <c:idx val="4"/>
          <c:order val="3"/>
          <c:tx>
            <c:v>Day 14</c:v>
          </c:tx>
          <c:spPr>
            <a:ln w="19050">
              <a:solidFill>
                <a:srgbClr val="008000"/>
              </a:solidFill>
            </a:ln>
          </c:spPr>
          <c:marker>
            <c:symbol val="none"/>
          </c:marker>
          <c:xVal>
            <c:numRef>
              <c:f>Sheet1!$T$2:$T$15</c:f>
              <c:numCache>
                <c:formatCode>General</c:formatCode>
                <c:ptCount val="14"/>
                <c:pt idx="0">
                  <c:v>33.337499999999999</c:v>
                </c:pt>
                <c:pt idx="1">
                  <c:v>36.337499999999999</c:v>
                </c:pt>
                <c:pt idx="2">
                  <c:v>36.337499999999999</c:v>
                </c:pt>
                <c:pt idx="3">
                  <c:v>39.337499999999999</c:v>
                </c:pt>
                <c:pt idx="4">
                  <c:v>39.337499999999999</c:v>
                </c:pt>
                <c:pt idx="5">
                  <c:v>42.337499999999999</c:v>
                </c:pt>
                <c:pt idx="6">
                  <c:v>42.337499999999999</c:v>
                </c:pt>
                <c:pt idx="7">
                  <c:v>45.337499999999999</c:v>
                </c:pt>
                <c:pt idx="8">
                  <c:v>45.337499999999999</c:v>
                </c:pt>
                <c:pt idx="9">
                  <c:v>48.337499999999999</c:v>
                </c:pt>
                <c:pt idx="10">
                  <c:v>48.337499999999999</c:v>
                </c:pt>
                <c:pt idx="11">
                  <c:v>51.337499999999999</c:v>
                </c:pt>
                <c:pt idx="12">
                  <c:v>51.337499999999999</c:v>
                </c:pt>
                <c:pt idx="13">
                  <c:v>54.61</c:v>
                </c:pt>
              </c:numCache>
            </c:numRef>
          </c:xVal>
          <c:yVal>
            <c:numRef>
              <c:f>Sheet1!$Y$2:$Y$15</c:f>
              <c:numCache>
                <c:formatCode>0.00E+00</c:formatCode>
                <c:ptCount val="14"/>
                <c:pt idx="0">
                  <c:v>638999832000000</c:v>
                </c:pt>
                <c:pt idx="1">
                  <c:v>638999832000000</c:v>
                </c:pt>
                <c:pt idx="2">
                  <c:v>525626179660000</c:v>
                </c:pt>
                <c:pt idx="3">
                  <c:v>525626179660000</c:v>
                </c:pt>
                <c:pt idx="4">
                  <c:v>414344628700000</c:v>
                </c:pt>
                <c:pt idx="5">
                  <c:v>414344628700000</c:v>
                </c:pt>
                <c:pt idx="6">
                  <c:v>334255108140000</c:v>
                </c:pt>
                <c:pt idx="7">
                  <c:v>334255108140000</c:v>
                </c:pt>
                <c:pt idx="8">
                  <c:v>266977701220000</c:v>
                </c:pt>
                <c:pt idx="9">
                  <c:v>266977701220000</c:v>
                </c:pt>
                <c:pt idx="10">
                  <c:v>205033000980000</c:v>
                </c:pt>
                <c:pt idx="11">
                  <c:v>205033000980000</c:v>
                </c:pt>
                <c:pt idx="12">
                  <c:v>147809499740000</c:v>
                </c:pt>
                <c:pt idx="13">
                  <c:v>147809499740000</c:v>
                </c:pt>
              </c:numCache>
            </c:numRef>
          </c:yVal>
        </c:ser>
        <c:ser>
          <c:idx val="3"/>
          <c:order val="4"/>
          <c:tx>
            <c:v>Day 10</c:v>
          </c:tx>
          <c:spPr>
            <a:ln w="19050">
              <a:solidFill>
                <a:srgbClr val="0000FF"/>
              </a:solidFill>
            </a:ln>
          </c:spPr>
          <c:marker>
            <c:symbol val="none"/>
          </c:marker>
          <c:xVal>
            <c:numRef>
              <c:f>Sheet1!$T$2:$T$15</c:f>
              <c:numCache>
                <c:formatCode>General</c:formatCode>
                <c:ptCount val="14"/>
                <c:pt idx="0">
                  <c:v>33.337499999999999</c:v>
                </c:pt>
                <c:pt idx="1">
                  <c:v>36.337499999999999</c:v>
                </c:pt>
                <c:pt idx="2">
                  <c:v>36.337499999999999</c:v>
                </c:pt>
                <c:pt idx="3">
                  <c:v>39.337499999999999</c:v>
                </c:pt>
                <c:pt idx="4">
                  <c:v>39.337499999999999</c:v>
                </c:pt>
                <c:pt idx="5">
                  <c:v>42.337499999999999</c:v>
                </c:pt>
                <c:pt idx="6">
                  <c:v>42.337499999999999</c:v>
                </c:pt>
                <c:pt idx="7">
                  <c:v>45.337499999999999</c:v>
                </c:pt>
                <c:pt idx="8">
                  <c:v>45.337499999999999</c:v>
                </c:pt>
                <c:pt idx="9">
                  <c:v>48.337499999999999</c:v>
                </c:pt>
                <c:pt idx="10">
                  <c:v>48.337499999999999</c:v>
                </c:pt>
                <c:pt idx="11">
                  <c:v>51.337499999999999</c:v>
                </c:pt>
                <c:pt idx="12">
                  <c:v>51.337499999999999</c:v>
                </c:pt>
                <c:pt idx="13">
                  <c:v>54.61</c:v>
                </c:pt>
              </c:numCache>
            </c:numRef>
          </c:xVal>
          <c:yVal>
            <c:numRef>
              <c:f>Sheet1!$X$2:$X$15</c:f>
              <c:numCache>
                <c:formatCode>0.00E+00</c:formatCode>
                <c:ptCount val="14"/>
                <c:pt idx="0">
                  <c:v>624179121180000</c:v>
                </c:pt>
                <c:pt idx="1">
                  <c:v>624179121180000</c:v>
                </c:pt>
                <c:pt idx="2">
                  <c:v>514587566759999.94</c:v>
                </c:pt>
                <c:pt idx="3">
                  <c:v>514587566759999.94</c:v>
                </c:pt>
                <c:pt idx="4">
                  <c:v>406123319040000.06</c:v>
                </c:pt>
                <c:pt idx="5">
                  <c:v>406123319040000.06</c:v>
                </c:pt>
                <c:pt idx="6">
                  <c:v>328233812980000</c:v>
                </c:pt>
                <c:pt idx="7">
                  <c:v>328233812980000</c:v>
                </c:pt>
                <c:pt idx="8">
                  <c:v>262683658320000</c:v>
                </c:pt>
                <c:pt idx="9">
                  <c:v>262683658320000</c:v>
                </c:pt>
                <c:pt idx="10">
                  <c:v>202010148939999.97</c:v>
                </c:pt>
                <c:pt idx="11">
                  <c:v>202010148939999.97</c:v>
                </c:pt>
                <c:pt idx="12">
                  <c:v>145703266880000</c:v>
                </c:pt>
                <c:pt idx="13">
                  <c:v>145703266880000</c:v>
                </c:pt>
              </c:numCache>
            </c:numRef>
          </c:yVal>
        </c:ser>
        <c:ser>
          <c:idx val="2"/>
          <c:order val="5"/>
          <c:tx>
            <c:v>Day 5</c:v>
          </c:tx>
          <c:spPr>
            <a:ln w="19050">
              <a:solidFill>
                <a:srgbClr val="FF0000"/>
              </a:solidFill>
            </a:ln>
          </c:spPr>
          <c:marker>
            <c:symbol val="none"/>
          </c:marker>
          <c:xVal>
            <c:numRef>
              <c:f>Sheet1!$T$2:$T$15</c:f>
              <c:numCache>
                <c:formatCode>General</c:formatCode>
                <c:ptCount val="14"/>
                <c:pt idx="0">
                  <c:v>33.337499999999999</c:v>
                </c:pt>
                <c:pt idx="1">
                  <c:v>36.337499999999999</c:v>
                </c:pt>
                <c:pt idx="2">
                  <c:v>36.337499999999999</c:v>
                </c:pt>
                <c:pt idx="3">
                  <c:v>39.337499999999999</c:v>
                </c:pt>
                <c:pt idx="4">
                  <c:v>39.337499999999999</c:v>
                </c:pt>
                <c:pt idx="5">
                  <c:v>42.337499999999999</c:v>
                </c:pt>
                <c:pt idx="6">
                  <c:v>42.337499999999999</c:v>
                </c:pt>
                <c:pt idx="7">
                  <c:v>45.337499999999999</c:v>
                </c:pt>
                <c:pt idx="8">
                  <c:v>45.337499999999999</c:v>
                </c:pt>
                <c:pt idx="9">
                  <c:v>48.337499999999999</c:v>
                </c:pt>
                <c:pt idx="10">
                  <c:v>48.337499999999999</c:v>
                </c:pt>
                <c:pt idx="11">
                  <c:v>51.337499999999999</c:v>
                </c:pt>
                <c:pt idx="12">
                  <c:v>51.337499999999999</c:v>
                </c:pt>
                <c:pt idx="13">
                  <c:v>54.61</c:v>
                </c:pt>
              </c:numCache>
            </c:numRef>
          </c:xVal>
          <c:yVal>
            <c:numRef>
              <c:f>Sheet1!$W$2:$W$15</c:f>
              <c:numCache>
                <c:formatCode>0.00E+00</c:formatCode>
                <c:ptCount val="14"/>
                <c:pt idx="0">
                  <c:v>617125585640000</c:v>
                </c:pt>
                <c:pt idx="1">
                  <c:v>617125585640000</c:v>
                </c:pt>
                <c:pt idx="2">
                  <c:v>509846455219999.94</c:v>
                </c:pt>
                <c:pt idx="3">
                  <c:v>509846455219999.94</c:v>
                </c:pt>
                <c:pt idx="4">
                  <c:v>403368322779999.94</c:v>
                </c:pt>
                <c:pt idx="5">
                  <c:v>403368322779999.94</c:v>
                </c:pt>
                <c:pt idx="6">
                  <c:v>326428837580000</c:v>
                </c:pt>
                <c:pt idx="7">
                  <c:v>326428837580000</c:v>
                </c:pt>
                <c:pt idx="8">
                  <c:v>261289138180000</c:v>
                </c:pt>
                <c:pt idx="9">
                  <c:v>261289138180000</c:v>
                </c:pt>
                <c:pt idx="10">
                  <c:v>200852652260000</c:v>
                </c:pt>
                <c:pt idx="11">
                  <c:v>200852652260000</c:v>
                </c:pt>
                <c:pt idx="12">
                  <c:v>144892633800000</c:v>
                </c:pt>
                <c:pt idx="13">
                  <c:v>144892633800000</c:v>
                </c:pt>
              </c:numCache>
            </c:numRef>
          </c:yVal>
        </c:ser>
        <c:ser>
          <c:idx val="1"/>
          <c:order val="6"/>
          <c:tx>
            <c:v>Day 1</c:v>
          </c:tx>
          <c:spPr>
            <a:ln w="19050">
              <a:solidFill>
                <a:srgbClr val="FF99FF"/>
              </a:solidFill>
            </a:ln>
          </c:spPr>
          <c:marker>
            <c:symbol val="none"/>
          </c:marker>
          <c:xVal>
            <c:numRef>
              <c:f>Sheet1!$T$2:$T$15</c:f>
              <c:numCache>
                <c:formatCode>General</c:formatCode>
                <c:ptCount val="14"/>
                <c:pt idx="0">
                  <c:v>33.337499999999999</c:v>
                </c:pt>
                <c:pt idx="1">
                  <c:v>36.337499999999999</c:v>
                </c:pt>
                <c:pt idx="2">
                  <c:v>36.337499999999999</c:v>
                </c:pt>
                <c:pt idx="3">
                  <c:v>39.337499999999999</c:v>
                </c:pt>
                <c:pt idx="4">
                  <c:v>39.337499999999999</c:v>
                </c:pt>
                <c:pt idx="5">
                  <c:v>42.337499999999999</c:v>
                </c:pt>
                <c:pt idx="6">
                  <c:v>42.337499999999999</c:v>
                </c:pt>
                <c:pt idx="7">
                  <c:v>45.337499999999999</c:v>
                </c:pt>
                <c:pt idx="8">
                  <c:v>45.337499999999999</c:v>
                </c:pt>
                <c:pt idx="9">
                  <c:v>48.337499999999999</c:v>
                </c:pt>
                <c:pt idx="10">
                  <c:v>48.337499999999999</c:v>
                </c:pt>
                <c:pt idx="11">
                  <c:v>51.337499999999999</c:v>
                </c:pt>
                <c:pt idx="12">
                  <c:v>51.337499999999999</c:v>
                </c:pt>
                <c:pt idx="13">
                  <c:v>54.61</c:v>
                </c:pt>
              </c:numCache>
            </c:numRef>
          </c:xVal>
          <c:yVal>
            <c:numRef>
              <c:f>Sheet1!$V$2:$V$15</c:f>
              <c:numCache>
                <c:formatCode>0.00E+00</c:formatCode>
                <c:ptCount val="14"/>
                <c:pt idx="0">
                  <c:v>601397248400000</c:v>
                </c:pt>
                <c:pt idx="1">
                  <c:v>601397248400000</c:v>
                </c:pt>
                <c:pt idx="2">
                  <c:v>498134027659999.94</c:v>
                </c:pt>
                <c:pt idx="3">
                  <c:v>498134027659999.94</c:v>
                </c:pt>
                <c:pt idx="4">
                  <c:v>394974866000000</c:v>
                </c:pt>
                <c:pt idx="5">
                  <c:v>394974866000000</c:v>
                </c:pt>
                <c:pt idx="6">
                  <c:v>319956619740000</c:v>
                </c:pt>
                <c:pt idx="7">
                  <c:v>319956619740000</c:v>
                </c:pt>
                <c:pt idx="8">
                  <c:v>256437544160000.03</c:v>
                </c:pt>
                <c:pt idx="9">
                  <c:v>256437544160000.03</c:v>
                </c:pt>
                <c:pt idx="10">
                  <c:v>197488075340000</c:v>
                </c:pt>
                <c:pt idx="11">
                  <c:v>197488075340000</c:v>
                </c:pt>
                <c:pt idx="12">
                  <c:v>142621961900000</c:v>
                </c:pt>
                <c:pt idx="13">
                  <c:v>142621961900000</c:v>
                </c:pt>
              </c:numCache>
            </c:numRef>
          </c:yVal>
        </c:ser>
        <c:ser>
          <c:idx val="0"/>
          <c:order val="7"/>
          <c:tx>
            <c:v>BOC</c:v>
          </c:tx>
          <c:spPr>
            <a:ln w="19050">
              <a:solidFill>
                <a:srgbClr val="FFFF00"/>
              </a:solidFill>
            </a:ln>
          </c:spPr>
          <c:marker>
            <c:symbol val="none"/>
          </c:marker>
          <c:xVal>
            <c:numRef>
              <c:f>Sheet1!$T$2:$T$15</c:f>
              <c:numCache>
                <c:formatCode>General</c:formatCode>
                <c:ptCount val="14"/>
                <c:pt idx="0">
                  <c:v>33.337499999999999</c:v>
                </c:pt>
                <c:pt idx="1">
                  <c:v>36.337499999999999</c:v>
                </c:pt>
                <c:pt idx="2">
                  <c:v>36.337499999999999</c:v>
                </c:pt>
                <c:pt idx="3">
                  <c:v>39.337499999999999</c:v>
                </c:pt>
                <c:pt idx="4">
                  <c:v>39.337499999999999</c:v>
                </c:pt>
                <c:pt idx="5">
                  <c:v>42.337499999999999</c:v>
                </c:pt>
                <c:pt idx="6">
                  <c:v>42.337499999999999</c:v>
                </c:pt>
                <c:pt idx="7">
                  <c:v>45.337499999999999</c:v>
                </c:pt>
                <c:pt idx="8">
                  <c:v>45.337499999999999</c:v>
                </c:pt>
                <c:pt idx="9">
                  <c:v>48.337499999999999</c:v>
                </c:pt>
                <c:pt idx="10">
                  <c:v>48.337499999999999</c:v>
                </c:pt>
                <c:pt idx="11">
                  <c:v>51.337499999999999</c:v>
                </c:pt>
                <c:pt idx="12">
                  <c:v>51.337499999999999</c:v>
                </c:pt>
                <c:pt idx="13">
                  <c:v>54.61</c:v>
                </c:pt>
              </c:numCache>
            </c:numRef>
          </c:xVal>
          <c:yVal>
            <c:numRef>
              <c:f>Sheet1!$U$2:$U$15</c:f>
              <c:numCache>
                <c:formatCode>0.00E+00</c:formatCode>
                <c:ptCount val="14"/>
                <c:pt idx="0">
                  <c:v>542938527340000</c:v>
                </c:pt>
                <c:pt idx="1">
                  <c:v>542938527340000</c:v>
                </c:pt>
                <c:pt idx="2">
                  <c:v>454878209719999.94</c:v>
                </c:pt>
                <c:pt idx="3">
                  <c:v>454878209719999.94</c:v>
                </c:pt>
                <c:pt idx="4">
                  <c:v>363664645040000</c:v>
                </c:pt>
                <c:pt idx="5">
                  <c:v>363664645040000</c:v>
                </c:pt>
                <c:pt idx="6">
                  <c:v>296024316020000</c:v>
                </c:pt>
                <c:pt idx="7">
                  <c:v>296024316020000</c:v>
                </c:pt>
                <c:pt idx="8">
                  <c:v>237681216160000.03</c:v>
                </c:pt>
                <c:pt idx="9">
                  <c:v>237681216160000.03</c:v>
                </c:pt>
                <c:pt idx="10">
                  <c:v>183447165280000</c:v>
                </c:pt>
                <c:pt idx="11">
                  <c:v>183447165280000</c:v>
                </c:pt>
                <c:pt idx="12">
                  <c:v>132569983240000</c:v>
                </c:pt>
                <c:pt idx="13">
                  <c:v>132569983240000</c:v>
                </c:pt>
              </c:numCache>
            </c:numRef>
          </c:yVal>
        </c:ser>
        <c:ser>
          <c:idx val="8"/>
          <c:order val="8"/>
          <c:tx>
            <c:v>SCALEf</c:v>
          </c:tx>
          <c:spPr>
            <a:ln w="57150">
              <a:solidFill>
                <a:srgbClr val="0000FF"/>
              </a:solidFill>
              <a:prstDash val="sysDot"/>
            </a:ln>
          </c:spPr>
          <c:marker>
            <c:symbol val="none"/>
          </c:marker>
          <c:xVal>
            <c:numRef>
              <c:f>Sheet2!$C$13:$C$26</c:f>
              <c:numCache>
                <c:formatCode>General</c:formatCode>
                <c:ptCount val="14"/>
                <c:pt idx="0">
                  <c:v>33.337499999999999</c:v>
                </c:pt>
                <c:pt idx="1">
                  <c:v>36.337499999999999</c:v>
                </c:pt>
                <c:pt idx="2">
                  <c:v>36.337499999999999</c:v>
                </c:pt>
                <c:pt idx="3">
                  <c:v>39.337499999999999</c:v>
                </c:pt>
                <c:pt idx="4">
                  <c:v>39.337499999999999</c:v>
                </c:pt>
                <c:pt idx="5">
                  <c:v>42.337499999999999</c:v>
                </c:pt>
                <c:pt idx="6">
                  <c:v>42.337499999999999</c:v>
                </c:pt>
                <c:pt idx="7">
                  <c:v>45.337499999999999</c:v>
                </c:pt>
                <c:pt idx="8">
                  <c:v>45.337499999999999</c:v>
                </c:pt>
                <c:pt idx="9">
                  <c:v>48.337499999999999</c:v>
                </c:pt>
                <c:pt idx="10">
                  <c:v>48.337499999999999</c:v>
                </c:pt>
                <c:pt idx="11">
                  <c:v>51.337499999999999</c:v>
                </c:pt>
                <c:pt idx="12">
                  <c:v>51.337499999999999</c:v>
                </c:pt>
                <c:pt idx="13">
                  <c:v>54.61</c:v>
                </c:pt>
              </c:numCache>
            </c:numRef>
          </c:xVal>
          <c:yVal>
            <c:numRef>
              <c:f>Sheet2!$E$13:$E$26</c:f>
              <c:numCache>
                <c:formatCode>0.00E+00</c:formatCode>
                <c:ptCount val="14"/>
                <c:pt idx="0">
                  <c:v>221000000000000</c:v>
                </c:pt>
                <c:pt idx="1">
                  <c:v>221000000000000</c:v>
                </c:pt>
                <c:pt idx="2">
                  <c:v>149172222222222.19</c:v>
                </c:pt>
                <c:pt idx="3">
                  <c:v>149172222222222.19</c:v>
                </c:pt>
                <c:pt idx="4">
                  <c:v>103435555555555.56</c:v>
                </c:pt>
                <c:pt idx="5">
                  <c:v>103435555555555.56</c:v>
                </c:pt>
                <c:pt idx="6">
                  <c:v>70208888888888.937</c:v>
                </c:pt>
                <c:pt idx="7">
                  <c:v>70208888888888.937</c:v>
                </c:pt>
                <c:pt idx="8">
                  <c:v>46350000000000</c:v>
                </c:pt>
                <c:pt idx="9">
                  <c:v>46350000000000</c:v>
                </c:pt>
                <c:pt idx="10">
                  <c:v>29061111111111.125</c:v>
                </c:pt>
                <c:pt idx="11">
                  <c:v>29061111111111.125</c:v>
                </c:pt>
                <c:pt idx="12">
                  <c:v>15283333333333.344</c:v>
                </c:pt>
                <c:pt idx="13">
                  <c:v>15283333333333.344</c:v>
                </c:pt>
              </c:numCache>
            </c:numRef>
          </c:yVal>
        </c:ser>
        <c:ser>
          <c:idx val="9"/>
          <c:order val="9"/>
          <c:tx>
            <c:v>Day 24f</c:v>
          </c:tx>
          <c:spPr>
            <a:ln w="19050">
              <a:solidFill>
                <a:schemeClr val="tx1"/>
              </a:solidFill>
            </a:ln>
          </c:spPr>
          <c:marker>
            <c:symbol val="none"/>
          </c:marker>
          <c:xVal>
            <c:numRef>
              <c:f>Sheet1!$T$18:$T$31</c:f>
              <c:numCache>
                <c:formatCode>General</c:formatCode>
                <c:ptCount val="14"/>
                <c:pt idx="0">
                  <c:v>33.337499999999999</c:v>
                </c:pt>
                <c:pt idx="1">
                  <c:v>36.337499999999999</c:v>
                </c:pt>
                <c:pt idx="2">
                  <c:v>36.337499999999999</c:v>
                </c:pt>
                <c:pt idx="3">
                  <c:v>39.337499999999999</c:v>
                </c:pt>
                <c:pt idx="4">
                  <c:v>39.337499999999999</c:v>
                </c:pt>
                <c:pt idx="5">
                  <c:v>42.337499999999999</c:v>
                </c:pt>
                <c:pt idx="6">
                  <c:v>42.337499999999999</c:v>
                </c:pt>
                <c:pt idx="7">
                  <c:v>45.337499999999999</c:v>
                </c:pt>
                <c:pt idx="8">
                  <c:v>45.337499999999999</c:v>
                </c:pt>
                <c:pt idx="9">
                  <c:v>48.337499999999999</c:v>
                </c:pt>
                <c:pt idx="10">
                  <c:v>48.337499999999999</c:v>
                </c:pt>
                <c:pt idx="11">
                  <c:v>51.337499999999999</c:v>
                </c:pt>
                <c:pt idx="12">
                  <c:v>51.337499999999999</c:v>
                </c:pt>
                <c:pt idx="13">
                  <c:v>54.61</c:v>
                </c:pt>
              </c:numCache>
            </c:numRef>
          </c:xVal>
          <c:yVal>
            <c:numRef>
              <c:f>Sheet1!$AA$18:$AA$31</c:f>
              <c:numCache>
                <c:formatCode>0.00E+00</c:formatCode>
                <c:ptCount val="14"/>
                <c:pt idx="0">
                  <c:v>233122529180000</c:v>
                </c:pt>
                <c:pt idx="1">
                  <c:v>233122529180000</c:v>
                </c:pt>
                <c:pt idx="2">
                  <c:v>138250838200000</c:v>
                </c:pt>
                <c:pt idx="3">
                  <c:v>138250838200000</c:v>
                </c:pt>
                <c:pt idx="4">
                  <c:v>79973257020000</c:v>
                </c:pt>
                <c:pt idx="5">
                  <c:v>79973257020000</c:v>
                </c:pt>
                <c:pt idx="6">
                  <c:v>49836077368000</c:v>
                </c:pt>
                <c:pt idx="7">
                  <c:v>49836077368000</c:v>
                </c:pt>
                <c:pt idx="8">
                  <c:v>30695501579999.996</c:v>
                </c:pt>
                <c:pt idx="9">
                  <c:v>30695501579999.996</c:v>
                </c:pt>
                <c:pt idx="10">
                  <c:v>18321142650000</c:v>
                </c:pt>
                <c:pt idx="11">
                  <c:v>18321142650000</c:v>
                </c:pt>
                <c:pt idx="12">
                  <c:v>9412208020000</c:v>
                </c:pt>
                <c:pt idx="13">
                  <c:v>9412208020000</c:v>
                </c:pt>
              </c:numCache>
            </c:numRef>
          </c:yVal>
        </c:ser>
        <c:ser>
          <c:idx val="10"/>
          <c:order val="10"/>
          <c:tx>
            <c:v>Day 19f</c:v>
          </c:tx>
          <c:spPr>
            <a:ln w="19050">
              <a:solidFill>
                <a:srgbClr val="660066"/>
              </a:solidFill>
            </a:ln>
          </c:spPr>
          <c:marker>
            <c:symbol val="none"/>
          </c:marker>
          <c:xVal>
            <c:numRef>
              <c:f>Sheet1!$T$18:$T$31</c:f>
              <c:numCache>
                <c:formatCode>General</c:formatCode>
                <c:ptCount val="14"/>
                <c:pt idx="0">
                  <c:v>33.337499999999999</c:v>
                </c:pt>
                <c:pt idx="1">
                  <c:v>36.337499999999999</c:v>
                </c:pt>
                <c:pt idx="2">
                  <c:v>36.337499999999999</c:v>
                </c:pt>
                <c:pt idx="3">
                  <c:v>39.337499999999999</c:v>
                </c:pt>
                <c:pt idx="4">
                  <c:v>39.337499999999999</c:v>
                </c:pt>
                <c:pt idx="5">
                  <c:v>42.337499999999999</c:v>
                </c:pt>
                <c:pt idx="6">
                  <c:v>42.337499999999999</c:v>
                </c:pt>
                <c:pt idx="7">
                  <c:v>45.337499999999999</c:v>
                </c:pt>
                <c:pt idx="8">
                  <c:v>45.337499999999999</c:v>
                </c:pt>
                <c:pt idx="9">
                  <c:v>48.337499999999999</c:v>
                </c:pt>
                <c:pt idx="10">
                  <c:v>48.337499999999999</c:v>
                </c:pt>
                <c:pt idx="11">
                  <c:v>51.337499999999999</c:v>
                </c:pt>
                <c:pt idx="12">
                  <c:v>51.337499999999999</c:v>
                </c:pt>
                <c:pt idx="13">
                  <c:v>54.61</c:v>
                </c:pt>
              </c:numCache>
            </c:numRef>
          </c:xVal>
          <c:yVal>
            <c:numRef>
              <c:f>Sheet1!$Z$18:$Z$31</c:f>
              <c:numCache>
                <c:formatCode>0.00E+00</c:formatCode>
                <c:ptCount val="14"/>
                <c:pt idx="0">
                  <c:v>230016815280000.03</c:v>
                </c:pt>
                <c:pt idx="1">
                  <c:v>230016815280000.03</c:v>
                </c:pt>
                <c:pt idx="2">
                  <c:v>136397044960000</c:v>
                </c:pt>
                <c:pt idx="3">
                  <c:v>136397044960000</c:v>
                </c:pt>
                <c:pt idx="4">
                  <c:v>79016812760000</c:v>
                </c:pt>
                <c:pt idx="5">
                  <c:v>79016812760000</c:v>
                </c:pt>
                <c:pt idx="6">
                  <c:v>49351881476000</c:v>
                </c:pt>
                <c:pt idx="7">
                  <c:v>49351881476000</c:v>
                </c:pt>
                <c:pt idx="8">
                  <c:v>30388591527999.996</c:v>
                </c:pt>
                <c:pt idx="9">
                  <c:v>30388591527999.996</c:v>
                </c:pt>
                <c:pt idx="10">
                  <c:v>18166981050000</c:v>
                </c:pt>
                <c:pt idx="11">
                  <c:v>18166981050000</c:v>
                </c:pt>
                <c:pt idx="12">
                  <c:v>9379320212000</c:v>
                </c:pt>
                <c:pt idx="13">
                  <c:v>9379320212000</c:v>
                </c:pt>
              </c:numCache>
            </c:numRef>
          </c:yVal>
        </c:ser>
        <c:ser>
          <c:idx val="11"/>
          <c:order val="11"/>
          <c:tx>
            <c:v>Day14f</c:v>
          </c:tx>
          <c:spPr>
            <a:ln w="19050">
              <a:solidFill>
                <a:srgbClr val="008000"/>
              </a:solidFill>
            </a:ln>
          </c:spPr>
          <c:marker>
            <c:symbol val="none"/>
          </c:marker>
          <c:xVal>
            <c:numRef>
              <c:f>Sheet1!$T$18:$T$31</c:f>
              <c:numCache>
                <c:formatCode>General</c:formatCode>
                <c:ptCount val="14"/>
                <c:pt idx="0">
                  <c:v>33.337499999999999</c:v>
                </c:pt>
                <c:pt idx="1">
                  <c:v>36.337499999999999</c:v>
                </c:pt>
                <c:pt idx="2">
                  <c:v>36.337499999999999</c:v>
                </c:pt>
                <c:pt idx="3">
                  <c:v>39.337499999999999</c:v>
                </c:pt>
                <c:pt idx="4">
                  <c:v>39.337499999999999</c:v>
                </c:pt>
                <c:pt idx="5">
                  <c:v>42.337499999999999</c:v>
                </c:pt>
                <c:pt idx="6">
                  <c:v>42.337499999999999</c:v>
                </c:pt>
                <c:pt idx="7">
                  <c:v>45.337499999999999</c:v>
                </c:pt>
                <c:pt idx="8">
                  <c:v>45.337499999999999</c:v>
                </c:pt>
                <c:pt idx="9">
                  <c:v>48.337499999999999</c:v>
                </c:pt>
                <c:pt idx="10">
                  <c:v>48.337499999999999</c:v>
                </c:pt>
                <c:pt idx="11">
                  <c:v>51.337499999999999</c:v>
                </c:pt>
                <c:pt idx="12">
                  <c:v>51.337499999999999</c:v>
                </c:pt>
                <c:pt idx="13">
                  <c:v>54.61</c:v>
                </c:pt>
              </c:numCache>
            </c:numRef>
          </c:xVal>
          <c:yVal>
            <c:numRef>
              <c:f>Sheet1!$Y$18:$Y$31</c:f>
              <c:numCache>
                <c:formatCode>0.00E+00</c:formatCode>
                <c:ptCount val="14"/>
                <c:pt idx="0">
                  <c:v>227196942680000</c:v>
                </c:pt>
                <c:pt idx="1">
                  <c:v>227196942680000</c:v>
                </c:pt>
                <c:pt idx="2">
                  <c:v>134777705820000</c:v>
                </c:pt>
                <c:pt idx="3">
                  <c:v>134777705820000</c:v>
                </c:pt>
                <c:pt idx="4">
                  <c:v>78071288280000</c:v>
                </c:pt>
                <c:pt idx="5">
                  <c:v>78071288280000</c:v>
                </c:pt>
                <c:pt idx="6">
                  <c:v>48734978140000</c:v>
                </c:pt>
                <c:pt idx="7">
                  <c:v>48734978140000</c:v>
                </c:pt>
                <c:pt idx="8">
                  <c:v>30074101864000</c:v>
                </c:pt>
                <c:pt idx="9">
                  <c:v>30074101864000</c:v>
                </c:pt>
                <c:pt idx="10">
                  <c:v>17952567958000</c:v>
                </c:pt>
                <c:pt idx="11">
                  <c:v>17952567958000</c:v>
                </c:pt>
                <c:pt idx="12">
                  <c:v>9288942974000</c:v>
                </c:pt>
                <c:pt idx="13">
                  <c:v>9288942974000</c:v>
                </c:pt>
              </c:numCache>
            </c:numRef>
          </c:yVal>
        </c:ser>
        <c:ser>
          <c:idx val="12"/>
          <c:order val="12"/>
          <c:tx>
            <c:v>Day 10f</c:v>
          </c:tx>
          <c:spPr>
            <a:ln w="19050">
              <a:solidFill>
                <a:srgbClr val="0000FF"/>
              </a:solidFill>
            </a:ln>
          </c:spPr>
          <c:marker>
            <c:symbol val="none"/>
          </c:marker>
          <c:xVal>
            <c:numRef>
              <c:f>Sheet1!$T$18:$T$31</c:f>
              <c:numCache>
                <c:formatCode>General</c:formatCode>
                <c:ptCount val="14"/>
                <c:pt idx="0">
                  <c:v>33.337499999999999</c:v>
                </c:pt>
                <c:pt idx="1">
                  <c:v>36.337499999999999</c:v>
                </c:pt>
                <c:pt idx="2">
                  <c:v>36.337499999999999</c:v>
                </c:pt>
                <c:pt idx="3">
                  <c:v>39.337499999999999</c:v>
                </c:pt>
                <c:pt idx="4">
                  <c:v>39.337499999999999</c:v>
                </c:pt>
                <c:pt idx="5">
                  <c:v>42.337499999999999</c:v>
                </c:pt>
                <c:pt idx="6">
                  <c:v>42.337499999999999</c:v>
                </c:pt>
                <c:pt idx="7">
                  <c:v>45.337499999999999</c:v>
                </c:pt>
                <c:pt idx="8">
                  <c:v>45.337499999999999</c:v>
                </c:pt>
                <c:pt idx="9">
                  <c:v>48.337499999999999</c:v>
                </c:pt>
                <c:pt idx="10">
                  <c:v>48.337499999999999</c:v>
                </c:pt>
                <c:pt idx="11">
                  <c:v>51.337499999999999</c:v>
                </c:pt>
                <c:pt idx="12">
                  <c:v>51.337499999999999</c:v>
                </c:pt>
                <c:pt idx="13">
                  <c:v>54.61</c:v>
                </c:pt>
              </c:numCache>
            </c:numRef>
          </c:xVal>
          <c:yVal>
            <c:numRef>
              <c:f>Sheet1!$X$18:$X$31</c:f>
              <c:numCache>
                <c:formatCode>0.00E+00</c:formatCode>
                <c:ptCount val="14"/>
                <c:pt idx="0">
                  <c:v>226306659440000.03</c:v>
                </c:pt>
                <c:pt idx="1">
                  <c:v>226306659440000.03</c:v>
                </c:pt>
                <c:pt idx="2">
                  <c:v>134064708420000.02</c:v>
                </c:pt>
                <c:pt idx="3">
                  <c:v>134064708420000.02</c:v>
                </c:pt>
                <c:pt idx="4">
                  <c:v>77719928300000</c:v>
                </c:pt>
                <c:pt idx="5">
                  <c:v>77719928300000</c:v>
                </c:pt>
                <c:pt idx="6">
                  <c:v>48579917264000</c:v>
                </c:pt>
                <c:pt idx="7">
                  <c:v>48579917264000</c:v>
                </c:pt>
                <c:pt idx="8">
                  <c:v>30012565692000</c:v>
                </c:pt>
                <c:pt idx="9">
                  <c:v>30012565692000</c:v>
                </c:pt>
                <c:pt idx="10">
                  <c:v>17942290518000</c:v>
                </c:pt>
                <c:pt idx="11">
                  <c:v>17942290518000</c:v>
                </c:pt>
                <c:pt idx="12">
                  <c:v>9293760524000</c:v>
                </c:pt>
                <c:pt idx="13">
                  <c:v>9293760524000</c:v>
                </c:pt>
              </c:numCache>
            </c:numRef>
          </c:yVal>
        </c:ser>
        <c:ser>
          <c:idx val="13"/>
          <c:order val="13"/>
          <c:tx>
            <c:v>Day 5f</c:v>
          </c:tx>
          <c:spPr>
            <a:ln w="19050">
              <a:solidFill>
                <a:srgbClr val="FF0000"/>
              </a:solidFill>
            </a:ln>
          </c:spPr>
          <c:marker>
            <c:symbol val="none"/>
          </c:marker>
          <c:xVal>
            <c:numRef>
              <c:f>Sheet1!$T$18:$T$31</c:f>
              <c:numCache>
                <c:formatCode>General</c:formatCode>
                <c:ptCount val="14"/>
                <c:pt idx="0">
                  <c:v>33.337499999999999</c:v>
                </c:pt>
                <c:pt idx="1">
                  <c:v>36.337499999999999</c:v>
                </c:pt>
                <c:pt idx="2">
                  <c:v>36.337499999999999</c:v>
                </c:pt>
                <c:pt idx="3">
                  <c:v>39.337499999999999</c:v>
                </c:pt>
                <c:pt idx="4">
                  <c:v>39.337499999999999</c:v>
                </c:pt>
                <c:pt idx="5">
                  <c:v>42.337499999999999</c:v>
                </c:pt>
                <c:pt idx="6">
                  <c:v>42.337499999999999</c:v>
                </c:pt>
                <c:pt idx="7">
                  <c:v>45.337499999999999</c:v>
                </c:pt>
                <c:pt idx="8">
                  <c:v>45.337499999999999</c:v>
                </c:pt>
                <c:pt idx="9">
                  <c:v>48.337499999999999</c:v>
                </c:pt>
                <c:pt idx="10">
                  <c:v>48.337499999999999</c:v>
                </c:pt>
                <c:pt idx="11">
                  <c:v>51.337499999999999</c:v>
                </c:pt>
                <c:pt idx="12">
                  <c:v>51.337499999999999</c:v>
                </c:pt>
                <c:pt idx="13">
                  <c:v>54.61</c:v>
                </c:pt>
              </c:numCache>
            </c:numRef>
          </c:xVal>
          <c:yVal>
            <c:numRef>
              <c:f>Sheet1!$W$18:$W$31</c:f>
              <c:numCache>
                <c:formatCode>0.00E+00</c:formatCode>
                <c:ptCount val="14"/>
                <c:pt idx="0">
                  <c:v>226823743139999.97</c:v>
                </c:pt>
                <c:pt idx="1">
                  <c:v>226823743139999.97</c:v>
                </c:pt>
                <c:pt idx="2">
                  <c:v>134446258380000</c:v>
                </c:pt>
                <c:pt idx="3">
                  <c:v>134446258380000</c:v>
                </c:pt>
                <c:pt idx="4">
                  <c:v>77944747300000</c:v>
                </c:pt>
                <c:pt idx="5">
                  <c:v>77944747300000</c:v>
                </c:pt>
                <c:pt idx="6">
                  <c:v>48812701280000</c:v>
                </c:pt>
                <c:pt idx="7">
                  <c:v>48812701280000</c:v>
                </c:pt>
                <c:pt idx="8">
                  <c:v>30117459814000.004</c:v>
                </c:pt>
                <c:pt idx="9">
                  <c:v>30117459814000.004</c:v>
                </c:pt>
                <c:pt idx="10">
                  <c:v>17976655708000</c:v>
                </c:pt>
                <c:pt idx="11">
                  <c:v>17976655708000</c:v>
                </c:pt>
                <c:pt idx="12">
                  <c:v>9291833504000</c:v>
                </c:pt>
                <c:pt idx="13">
                  <c:v>9291833504000</c:v>
                </c:pt>
              </c:numCache>
            </c:numRef>
          </c:yVal>
        </c:ser>
        <c:ser>
          <c:idx val="14"/>
          <c:order val="14"/>
          <c:tx>
            <c:v>Day 1f</c:v>
          </c:tx>
          <c:spPr>
            <a:ln w="19050">
              <a:solidFill>
                <a:srgbClr val="FF99FF"/>
              </a:solidFill>
            </a:ln>
          </c:spPr>
          <c:marker>
            <c:symbol val="none"/>
          </c:marker>
          <c:xVal>
            <c:numRef>
              <c:f>Sheet1!$T$18:$T$31</c:f>
              <c:numCache>
                <c:formatCode>General</c:formatCode>
                <c:ptCount val="14"/>
                <c:pt idx="0">
                  <c:v>33.337499999999999</c:v>
                </c:pt>
                <c:pt idx="1">
                  <c:v>36.337499999999999</c:v>
                </c:pt>
                <c:pt idx="2">
                  <c:v>36.337499999999999</c:v>
                </c:pt>
                <c:pt idx="3">
                  <c:v>39.337499999999999</c:v>
                </c:pt>
                <c:pt idx="4">
                  <c:v>39.337499999999999</c:v>
                </c:pt>
                <c:pt idx="5">
                  <c:v>42.337499999999999</c:v>
                </c:pt>
                <c:pt idx="6">
                  <c:v>42.337499999999999</c:v>
                </c:pt>
                <c:pt idx="7">
                  <c:v>45.337499999999999</c:v>
                </c:pt>
                <c:pt idx="8">
                  <c:v>45.337499999999999</c:v>
                </c:pt>
                <c:pt idx="9">
                  <c:v>48.337499999999999</c:v>
                </c:pt>
                <c:pt idx="10">
                  <c:v>48.337499999999999</c:v>
                </c:pt>
                <c:pt idx="11">
                  <c:v>51.337499999999999</c:v>
                </c:pt>
                <c:pt idx="12">
                  <c:v>51.337499999999999</c:v>
                </c:pt>
                <c:pt idx="13">
                  <c:v>54.61</c:v>
                </c:pt>
              </c:numCache>
            </c:numRef>
          </c:xVal>
          <c:yVal>
            <c:numRef>
              <c:f>Sheet1!$V$18:$V$31</c:f>
              <c:numCache>
                <c:formatCode>0.00E+00</c:formatCode>
                <c:ptCount val="14"/>
                <c:pt idx="0">
                  <c:v>226595712440000</c:v>
                </c:pt>
                <c:pt idx="1">
                  <c:v>226595712440000</c:v>
                </c:pt>
                <c:pt idx="2">
                  <c:v>134282461680000</c:v>
                </c:pt>
                <c:pt idx="3">
                  <c:v>134282461680000</c:v>
                </c:pt>
                <c:pt idx="4">
                  <c:v>77874732240000</c:v>
                </c:pt>
                <c:pt idx="5">
                  <c:v>77874732240000</c:v>
                </c:pt>
                <c:pt idx="6">
                  <c:v>48670551438000</c:v>
                </c:pt>
                <c:pt idx="7">
                  <c:v>48670551438000</c:v>
                </c:pt>
                <c:pt idx="8">
                  <c:v>30106604268000</c:v>
                </c:pt>
                <c:pt idx="9">
                  <c:v>30106604268000</c:v>
                </c:pt>
                <c:pt idx="10">
                  <c:v>17980509748000</c:v>
                </c:pt>
                <c:pt idx="11">
                  <c:v>17980509748000</c:v>
                </c:pt>
                <c:pt idx="12">
                  <c:v>9306928494000</c:v>
                </c:pt>
                <c:pt idx="13">
                  <c:v>9306928494000</c:v>
                </c:pt>
              </c:numCache>
            </c:numRef>
          </c:yVal>
        </c:ser>
        <c:ser>
          <c:idx val="15"/>
          <c:order val="15"/>
          <c:tx>
            <c:v>BOCf</c:v>
          </c:tx>
          <c:spPr>
            <a:ln w="19050">
              <a:solidFill>
                <a:srgbClr val="FFFF00"/>
              </a:solidFill>
            </a:ln>
          </c:spPr>
          <c:marker>
            <c:symbol val="none"/>
          </c:marker>
          <c:xVal>
            <c:numRef>
              <c:f>Sheet1!$T$18:$T$31</c:f>
              <c:numCache>
                <c:formatCode>General</c:formatCode>
                <c:ptCount val="14"/>
                <c:pt idx="0">
                  <c:v>33.337499999999999</c:v>
                </c:pt>
                <c:pt idx="1">
                  <c:v>36.337499999999999</c:v>
                </c:pt>
                <c:pt idx="2">
                  <c:v>36.337499999999999</c:v>
                </c:pt>
                <c:pt idx="3">
                  <c:v>39.337499999999999</c:v>
                </c:pt>
                <c:pt idx="4">
                  <c:v>39.337499999999999</c:v>
                </c:pt>
                <c:pt idx="5">
                  <c:v>42.337499999999999</c:v>
                </c:pt>
                <c:pt idx="6">
                  <c:v>42.337499999999999</c:v>
                </c:pt>
                <c:pt idx="7">
                  <c:v>45.337499999999999</c:v>
                </c:pt>
                <c:pt idx="8">
                  <c:v>45.337499999999999</c:v>
                </c:pt>
                <c:pt idx="9">
                  <c:v>48.337499999999999</c:v>
                </c:pt>
                <c:pt idx="10">
                  <c:v>48.337499999999999</c:v>
                </c:pt>
                <c:pt idx="11">
                  <c:v>51.337499999999999</c:v>
                </c:pt>
                <c:pt idx="12">
                  <c:v>51.337499999999999</c:v>
                </c:pt>
                <c:pt idx="13">
                  <c:v>54.61</c:v>
                </c:pt>
              </c:numCache>
            </c:numRef>
          </c:xVal>
          <c:yVal>
            <c:numRef>
              <c:f>Sheet1!$U$18:$U$31</c:f>
              <c:numCache>
                <c:formatCode>0.00E+00</c:formatCode>
                <c:ptCount val="14"/>
                <c:pt idx="0">
                  <c:v>219687345740000</c:v>
                </c:pt>
                <c:pt idx="1">
                  <c:v>219687345740000</c:v>
                </c:pt>
                <c:pt idx="2">
                  <c:v>130307661760000</c:v>
                </c:pt>
                <c:pt idx="3">
                  <c:v>130307661760000</c:v>
                </c:pt>
                <c:pt idx="4">
                  <c:v>75659943920000</c:v>
                </c:pt>
                <c:pt idx="5">
                  <c:v>75659943920000</c:v>
                </c:pt>
                <c:pt idx="6">
                  <c:v>47314378996000</c:v>
                </c:pt>
                <c:pt idx="7">
                  <c:v>47314378996000</c:v>
                </c:pt>
                <c:pt idx="8">
                  <c:v>29244391286000</c:v>
                </c:pt>
                <c:pt idx="9">
                  <c:v>29244391286000</c:v>
                </c:pt>
                <c:pt idx="10">
                  <c:v>17501709511999.998</c:v>
                </c:pt>
                <c:pt idx="11">
                  <c:v>17501709511999.998</c:v>
                </c:pt>
                <c:pt idx="12">
                  <c:v>9043569094000</c:v>
                </c:pt>
                <c:pt idx="13">
                  <c:v>9043569094000</c:v>
                </c:pt>
              </c:numCache>
            </c:numRef>
          </c:yVal>
        </c:ser>
        <c:axId val="189380480"/>
        <c:axId val="189399040"/>
      </c:scatterChart>
      <c:valAx>
        <c:axId val="189380480"/>
        <c:scaling>
          <c:orientation val="minMax"/>
          <c:max val="55"/>
          <c:min val="33"/>
        </c:scaling>
        <c:axPos val="b"/>
        <c:majorGridlines>
          <c:spPr>
            <a:ln>
              <a:solidFill>
                <a:sysClr val="windowText" lastClr="000000"/>
              </a:solidFill>
            </a:ln>
          </c:spPr>
        </c:majorGridlines>
        <c:title>
          <c:tx>
            <c:rich>
              <a:bodyPr/>
              <a:lstStyle/>
              <a:p>
                <a:pPr>
                  <a:defRPr sz="1100"/>
                </a:pPr>
                <a:r>
                  <a:rPr lang="en-US" sz="1100"/>
                  <a:t>Distance from Core Centerline (cm)</a:t>
                </a:r>
              </a:p>
            </c:rich>
          </c:tx>
        </c:title>
        <c:numFmt formatCode="General" sourceLinked="0"/>
        <c:tickLblPos val="nextTo"/>
        <c:spPr>
          <a:ln>
            <a:solidFill>
              <a:sysClr val="windowText" lastClr="000000"/>
            </a:solidFill>
          </a:ln>
        </c:spPr>
        <c:crossAx val="189399040"/>
        <c:crosses val="autoZero"/>
        <c:crossBetween val="midCat"/>
        <c:majorUnit val="2"/>
      </c:valAx>
      <c:valAx>
        <c:axId val="189399040"/>
        <c:scaling>
          <c:orientation val="minMax"/>
        </c:scaling>
        <c:axPos val="l"/>
        <c:majorGridlines>
          <c:spPr>
            <a:ln>
              <a:solidFill>
                <a:sysClr val="windowText" lastClr="000000"/>
              </a:solidFill>
            </a:ln>
          </c:spPr>
        </c:majorGridlines>
        <c:title>
          <c:tx>
            <c:rich>
              <a:bodyPr rot="-5400000" vert="horz"/>
              <a:lstStyle/>
              <a:p>
                <a:pPr>
                  <a:defRPr sz="1100">
                    <a:latin typeface="Times New Roman" pitchFamily="18" charset="0"/>
                    <a:cs typeface="Times New Roman" pitchFamily="18" charset="0"/>
                  </a:defRPr>
                </a:pPr>
                <a:r>
                  <a:rPr lang="en-US" sz="1100">
                    <a:latin typeface="Times New Roman" pitchFamily="18" charset="0"/>
                    <a:cs typeface="Times New Roman" pitchFamily="18" charset="0"/>
                  </a:rPr>
                  <a:t> Neutron Flux (n/cm</a:t>
                </a:r>
                <a:r>
                  <a:rPr lang="en-US" sz="1100" baseline="30000">
                    <a:latin typeface="Times New Roman" pitchFamily="18" charset="0"/>
                    <a:cs typeface="Times New Roman" pitchFamily="18" charset="0"/>
                  </a:rPr>
                  <a:t>2</a:t>
                </a:r>
                <a:r>
                  <a:rPr lang="en-US" sz="1100">
                    <a:latin typeface="Times New Roman" pitchFamily="18" charset="0"/>
                    <a:cs typeface="Times New Roman" pitchFamily="18" charset="0"/>
                  </a:rPr>
                  <a:t>/s)</a:t>
                </a:r>
              </a:p>
            </c:rich>
          </c:tx>
        </c:title>
        <c:numFmt formatCode="0.E+00" sourceLinked="0"/>
        <c:tickLblPos val="nextTo"/>
        <c:spPr>
          <a:ln>
            <a:solidFill>
              <a:sysClr val="windowText" lastClr="000000"/>
            </a:solidFill>
          </a:ln>
        </c:spPr>
        <c:crossAx val="189380480"/>
        <c:crosses val="autoZero"/>
        <c:crossBetween val="midCat"/>
      </c:valAx>
      <c:spPr>
        <a:ln>
          <a:solidFill>
            <a:sysClr val="windowText" lastClr="000000"/>
          </a:solidFill>
        </a:ln>
      </c:spPr>
    </c:plotArea>
    <c:legend>
      <c:legendPos val="r"/>
      <c:legendEntry>
        <c:idx val="8"/>
        <c:delete val="1"/>
      </c:legendEntry>
      <c:legendEntry>
        <c:idx val="9"/>
        <c:delete val="1"/>
      </c:legendEntry>
      <c:legendEntry>
        <c:idx val="10"/>
        <c:delete val="1"/>
      </c:legendEntry>
      <c:legendEntry>
        <c:idx val="11"/>
        <c:delete val="1"/>
      </c:legendEntry>
      <c:legendEntry>
        <c:idx val="12"/>
        <c:delete val="1"/>
      </c:legendEntry>
      <c:legendEntry>
        <c:idx val="13"/>
        <c:delete val="1"/>
      </c:legendEntry>
      <c:legendEntry>
        <c:idx val="14"/>
        <c:delete val="1"/>
      </c:legendEntry>
      <c:legendEntry>
        <c:idx val="15"/>
        <c:delete val="1"/>
      </c:legendEntry>
      <c:layout>
        <c:manualLayout>
          <c:xMode val="edge"/>
          <c:yMode val="edge"/>
          <c:x val="0.78758059088767185"/>
          <c:y val="1.9160104986876661E-2"/>
          <c:w val="0.17965862440271888"/>
          <c:h val="0.48591536882631936"/>
        </c:manualLayout>
      </c:layout>
      <c:overlay val="1"/>
      <c:spPr>
        <a:solidFill>
          <a:schemeClr val="bg1"/>
        </a:solidFill>
        <a:ln>
          <a:solidFill>
            <a:schemeClr val="tx1"/>
          </a:solidFill>
        </a:ln>
      </c:spPr>
    </c:legend>
    <c:plotVisOnly val="1"/>
  </c:chart>
  <c:spPr>
    <a:ln>
      <a:noFill/>
    </a:ln>
  </c:spPr>
  <c:txPr>
    <a:bodyPr/>
    <a:lstStyle/>
    <a:p>
      <a:pPr>
        <a:defRPr sz="1100">
          <a:latin typeface="Times New Roman" pitchFamily="18" charset="0"/>
          <a:cs typeface="Times New Roman" pitchFamily="18" charset="0"/>
        </a:defRPr>
      </a:pPr>
      <a:endParaRPr lang="en-US"/>
    </a:p>
  </c:txPr>
  <c:externalData r:id="rId1"/>
</c:chartSpace>
</file>

<file path=word/charts/chart34.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5104818628440997"/>
          <c:y val="3.060699588477462E-2"/>
          <c:w val="0.81371597817006869"/>
          <c:h val="0.83279320987654371"/>
        </c:manualLayout>
      </c:layout>
      <c:scatterChart>
        <c:scatterStyle val="smoothMarker"/>
        <c:ser>
          <c:idx val="0"/>
          <c:order val="0"/>
          <c:tx>
            <c:v>Helium-4</c:v>
          </c:tx>
          <c:spPr>
            <a:ln w="31750" cmpd="sng">
              <a:solidFill>
                <a:srgbClr val="009900"/>
              </a:solidFill>
              <a:prstDash val="sysDot"/>
            </a:ln>
          </c:spPr>
          <c:marker>
            <c:symbol val="none"/>
          </c:marker>
          <c:xVal>
            <c:numRef>
              <c:f>'He4'!$D$39:$BD$39</c:f>
              <c:numCache>
                <c:formatCode>General</c:formatCode>
                <c:ptCount val="53"/>
                <c:pt idx="0">
                  <c:v>0</c:v>
                </c:pt>
                <c:pt idx="1">
                  <c:v>25</c:v>
                </c:pt>
                <c:pt idx="2">
                  <c:v>50</c:v>
                </c:pt>
                <c:pt idx="3">
                  <c:v>75</c:v>
                </c:pt>
                <c:pt idx="4">
                  <c:v>100</c:v>
                </c:pt>
                <c:pt idx="5">
                  <c:v>125</c:v>
                </c:pt>
                <c:pt idx="6">
                  <c:v>150</c:v>
                </c:pt>
                <c:pt idx="7">
                  <c:v>175</c:v>
                </c:pt>
                <c:pt idx="8">
                  <c:v>200</c:v>
                </c:pt>
                <c:pt idx="9">
                  <c:v>225</c:v>
                </c:pt>
                <c:pt idx="10">
                  <c:v>250</c:v>
                </c:pt>
                <c:pt idx="11">
                  <c:v>275</c:v>
                </c:pt>
                <c:pt idx="12">
                  <c:v>300</c:v>
                </c:pt>
                <c:pt idx="13">
                  <c:v>325</c:v>
                </c:pt>
                <c:pt idx="14">
                  <c:v>350</c:v>
                </c:pt>
                <c:pt idx="15">
                  <c:v>375</c:v>
                </c:pt>
                <c:pt idx="16">
                  <c:v>400</c:v>
                </c:pt>
                <c:pt idx="17">
                  <c:v>425</c:v>
                </c:pt>
                <c:pt idx="18">
                  <c:v>450</c:v>
                </c:pt>
                <c:pt idx="19">
                  <c:v>475</c:v>
                </c:pt>
                <c:pt idx="20">
                  <c:v>500</c:v>
                </c:pt>
                <c:pt idx="21">
                  <c:v>525</c:v>
                </c:pt>
                <c:pt idx="22">
                  <c:v>550</c:v>
                </c:pt>
                <c:pt idx="23">
                  <c:v>575</c:v>
                </c:pt>
                <c:pt idx="24">
                  <c:v>600</c:v>
                </c:pt>
                <c:pt idx="25">
                  <c:v>625</c:v>
                </c:pt>
                <c:pt idx="26">
                  <c:v>650</c:v>
                </c:pt>
                <c:pt idx="27">
                  <c:v>675</c:v>
                </c:pt>
                <c:pt idx="28">
                  <c:v>700</c:v>
                </c:pt>
                <c:pt idx="29">
                  <c:v>725</c:v>
                </c:pt>
                <c:pt idx="30">
                  <c:v>750</c:v>
                </c:pt>
                <c:pt idx="31">
                  <c:v>775</c:v>
                </c:pt>
                <c:pt idx="32">
                  <c:v>800</c:v>
                </c:pt>
                <c:pt idx="33">
                  <c:v>825</c:v>
                </c:pt>
                <c:pt idx="34">
                  <c:v>850</c:v>
                </c:pt>
                <c:pt idx="35">
                  <c:v>875</c:v>
                </c:pt>
                <c:pt idx="36">
                  <c:v>900</c:v>
                </c:pt>
                <c:pt idx="37">
                  <c:v>925</c:v>
                </c:pt>
                <c:pt idx="38">
                  <c:v>950</c:v>
                </c:pt>
                <c:pt idx="39">
                  <c:v>975</c:v>
                </c:pt>
                <c:pt idx="40">
                  <c:v>1000</c:v>
                </c:pt>
                <c:pt idx="41">
                  <c:v>1025</c:v>
                </c:pt>
                <c:pt idx="42">
                  <c:v>1028</c:v>
                </c:pt>
                <c:pt idx="43">
                  <c:v>1031</c:v>
                </c:pt>
                <c:pt idx="44">
                  <c:v>1037</c:v>
                </c:pt>
                <c:pt idx="45">
                  <c:v>1049</c:v>
                </c:pt>
                <c:pt idx="46">
                  <c:v>1073</c:v>
                </c:pt>
                <c:pt idx="47">
                  <c:v>1121</c:v>
                </c:pt>
                <c:pt idx="48">
                  <c:v>1217</c:v>
                </c:pt>
                <c:pt idx="49">
                  <c:v>1409</c:v>
                </c:pt>
                <c:pt idx="50">
                  <c:v>1517</c:v>
                </c:pt>
                <c:pt idx="51">
                  <c:v>1636</c:v>
                </c:pt>
                <c:pt idx="52">
                  <c:v>1755</c:v>
                </c:pt>
              </c:numCache>
            </c:numRef>
          </c:xVal>
          <c:yVal>
            <c:numRef>
              <c:f>'He4'!$D$42:$BD$42</c:f>
              <c:numCache>
                <c:formatCode>0.000E+00</c:formatCode>
                <c:ptCount val="53"/>
                <c:pt idx="0">
                  <c:v>2.1023707855156706E-22</c:v>
                </c:pt>
                <c:pt idx="1">
                  <c:v>3.4362785471978667</c:v>
                </c:pt>
                <c:pt idx="2">
                  <c:v>3.4362785471978667</c:v>
                </c:pt>
                <c:pt idx="3">
                  <c:v>7.0835807777017346</c:v>
                </c:pt>
                <c:pt idx="4">
                  <c:v>7.0835807777017346</c:v>
                </c:pt>
                <c:pt idx="5">
                  <c:v>10.810905771310749</c:v>
                </c:pt>
                <c:pt idx="6">
                  <c:v>10.810905771310749</c:v>
                </c:pt>
                <c:pt idx="7">
                  <c:v>14.579086222667092</c:v>
                </c:pt>
                <c:pt idx="8">
                  <c:v>14.579086222667092</c:v>
                </c:pt>
                <c:pt idx="9">
                  <c:v>18.364752771219329</c:v>
                </c:pt>
                <c:pt idx="10">
                  <c:v>18.364752771219329</c:v>
                </c:pt>
                <c:pt idx="11">
                  <c:v>22.148695699029986</c:v>
                </c:pt>
                <c:pt idx="12">
                  <c:v>22.148695699029986</c:v>
                </c:pt>
                <c:pt idx="13">
                  <c:v>25.941152218093826</c:v>
                </c:pt>
                <c:pt idx="14">
                  <c:v>25.941152218093826</c:v>
                </c:pt>
                <c:pt idx="15">
                  <c:v>29.723023605871589</c:v>
                </c:pt>
                <c:pt idx="16">
                  <c:v>29.723023605871589</c:v>
                </c:pt>
                <c:pt idx="17">
                  <c:v>33.509646911086094</c:v>
                </c:pt>
                <c:pt idx="18">
                  <c:v>33.509646911086094</c:v>
                </c:pt>
                <c:pt idx="19">
                  <c:v>37.294560211446374</c:v>
                </c:pt>
                <c:pt idx="20">
                  <c:v>37.294560211446374</c:v>
                </c:pt>
                <c:pt idx="21">
                  <c:v>41.076719939576513</c:v>
                </c:pt>
                <c:pt idx="22">
                  <c:v>41.076719939576513</c:v>
                </c:pt>
                <c:pt idx="23">
                  <c:v>44.860614253849725</c:v>
                </c:pt>
                <c:pt idx="24">
                  <c:v>44.860614253849725</c:v>
                </c:pt>
                <c:pt idx="25">
                  <c:v>48.648170886320663</c:v>
                </c:pt>
                <c:pt idx="26">
                  <c:v>48.648170886320663</c:v>
                </c:pt>
                <c:pt idx="27">
                  <c:v>52.439842267937394</c:v>
                </c:pt>
                <c:pt idx="28">
                  <c:v>52.439842267937394</c:v>
                </c:pt>
                <c:pt idx="29">
                  <c:v>56.227812486438587</c:v>
                </c:pt>
                <c:pt idx="30">
                  <c:v>56.227812486438587</c:v>
                </c:pt>
                <c:pt idx="31">
                  <c:v>60.019390255509606</c:v>
                </c:pt>
                <c:pt idx="32">
                  <c:v>60.019390255509606</c:v>
                </c:pt>
                <c:pt idx="33">
                  <c:v>63.817491530545944</c:v>
                </c:pt>
                <c:pt idx="34">
                  <c:v>63.817491530545944</c:v>
                </c:pt>
                <c:pt idx="35">
                  <c:v>67.609843500620258</c:v>
                </c:pt>
                <c:pt idx="36">
                  <c:v>67.609843500620258</c:v>
                </c:pt>
                <c:pt idx="37">
                  <c:v>71.404138769173727</c:v>
                </c:pt>
                <c:pt idx="38">
                  <c:v>71.404138769173727</c:v>
                </c:pt>
                <c:pt idx="39">
                  <c:v>75.205066354286089</c:v>
                </c:pt>
                <c:pt idx="40">
                  <c:v>75.205066354286089</c:v>
                </c:pt>
                <c:pt idx="41">
                  <c:v>78.992487685651355</c:v>
                </c:pt>
                <c:pt idx="42">
                  <c:v>78.992487685651355</c:v>
                </c:pt>
                <c:pt idx="43">
                  <c:v>78.992487685651355</c:v>
                </c:pt>
                <c:pt idx="44">
                  <c:v>78.992487685651355</c:v>
                </c:pt>
                <c:pt idx="45">
                  <c:v>78.992487685651355</c:v>
                </c:pt>
                <c:pt idx="46">
                  <c:v>78.992487685651355</c:v>
                </c:pt>
                <c:pt idx="47">
                  <c:v>78.992487685651355</c:v>
                </c:pt>
                <c:pt idx="48">
                  <c:v>78.992487685651355</c:v>
                </c:pt>
                <c:pt idx="49">
                  <c:v>78.992487685651355</c:v>
                </c:pt>
                <c:pt idx="50">
                  <c:v>78.992487685651355</c:v>
                </c:pt>
                <c:pt idx="51">
                  <c:v>78.992487685651355</c:v>
                </c:pt>
                <c:pt idx="52">
                  <c:v>78.992487685651355</c:v>
                </c:pt>
              </c:numCache>
            </c:numRef>
          </c:yVal>
          <c:smooth val="1"/>
        </c:ser>
        <c:ser>
          <c:idx val="1"/>
          <c:order val="1"/>
          <c:tx>
            <c:v>Tritium</c:v>
          </c:tx>
          <c:spPr>
            <a:ln w="22225">
              <a:solidFill>
                <a:srgbClr val="FF0000"/>
              </a:solidFill>
              <a:prstDash val="lgDash"/>
            </a:ln>
          </c:spPr>
          <c:marker>
            <c:symbol val="none"/>
          </c:marker>
          <c:xVal>
            <c:numRef>
              <c:f>'H3'!$D$39:$BD$39</c:f>
              <c:numCache>
                <c:formatCode>General</c:formatCode>
                <c:ptCount val="53"/>
                <c:pt idx="0">
                  <c:v>0</c:v>
                </c:pt>
                <c:pt idx="1">
                  <c:v>25</c:v>
                </c:pt>
                <c:pt idx="2">
                  <c:v>50</c:v>
                </c:pt>
                <c:pt idx="3">
                  <c:v>75</c:v>
                </c:pt>
                <c:pt idx="4">
                  <c:v>100</c:v>
                </c:pt>
                <c:pt idx="5">
                  <c:v>125</c:v>
                </c:pt>
                <c:pt idx="6">
                  <c:v>150</c:v>
                </c:pt>
                <c:pt idx="7">
                  <c:v>175</c:v>
                </c:pt>
                <c:pt idx="8">
                  <c:v>200</c:v>
                </c:pt>
                <c:pt idx="9">
                  <c:v>225</c:v>
                </c:pt>
                <c:pt idx="10">
                  <c:v>250</c:v>
                </c:pt>
                <c:pt idx="11">
                  <c:v>275</c:v>
                </c:pt>
                <c:pt idx="12">
                  <c:v>300</c:v>
                </c:pt>
                <c:pt idx="13">
                  <c:v>325</c:v>
                </c:pt>
                <c:pt idx="14">
                  <c:v>350</c:v>
                </c:pt>
                <c:pt idx="15">
                  <c:v>375</c:v>
                </c:pt>
                <c:pt idx="16">
                  <c:v>400</c:v>
                </c:pt>
                <c:pt idx="17">
                  <c:v>425</c:v>
                </c:pt>
                <c:pt idx="18">
                  <c:v>450</c:v>
                </c:pt>
                <c:pt idx="19">
                  <c:v>475</c:v>
                </c:pt>
                <c:pt idx="20">
                  <c:v>500</c:v>
                </c:pt>
                <c:pt idx="21">
                  <c:v>525</c:v>
                </c:pt>
                <c:pt idx="22">
                  <c:v>550</c:v>
                </c:pt>
                <c:pt idx="23">
                  <c:v>575</c:v>
                </c:pt>
                <c:pt idx="24">
                  <c:v>600</c:v>
                </c:pt>
                <c:pt idx="25">
                  <c:v>625</c:v>
                </c:pt>
                <c:pt idx="26">
                  <c:v>650</c:v>
                </c:pt>
                <c:pt idx="27">
                  <c:v>675</c:v>
                </c:pt>
                <c:pt idx="28">
                  <c:v>700</c:v>
                </c:pt>
                <c:pt idx="29">
                  <c:v>725</c:v>
                </c:pt>
                <c:pt idx="30">
                  <c:v>750</c:v>
                </c:pt>
                <c:pt idx="31">
                  <c:v>775</c:v>
                </c:pt>
                <c:pt idx="32">
                  <c:v>800</c:v>
                </c:pt>
                <c:pt idx="33">
                  <c:v>825</c:v>
                </c:pt>
                <c:pt idx="34">
                  <c:v>850</c:v>
                </c:pt>
                <c:pt idx="35">
                  <c:v>875</c:v>
                </c:pt>
                <c:pt idx="36">
                  <c:v>900</c:v>
                </c:pt>
                <c:pt idx="37">
                  <c:v>925</c:v>
                </c:pt>
                <c:pt idx="38">
                  <c:v>950</c:v>
                </c:pt>
                <c:pt idx="39">
                  <c:v>975</c:v>
                </c:pt>
                <c:pt idx="40">
                  <c:v>1000</c:v>
                </c:pt>
                <c:pt idx="41">
                  <c:v>1025</c:v>
                </c:pt>
                <c:pt idx="42">
                  <c:v>1028</c:v>
                </c:pt>
                <c:pt idx="43">
                  <c:v>1031</c:v>
                </c:pt>
                <c:pt idx="44">
                  <c:v>1037</c:v>
                </c:pt>
                <c:pt idx="45">
                  <c:v>1049</c:v>
                </c:pt>
                <c:pt idx="46">
                  <c:v>1073</c:v>
                </c:pt>
                <c:pt idx="47">
                  <c:v>1121</c:v>
                </c:pt>
                <c:pt idx="48">
                  <c:v>1217</c:v>
                </c:pt>
                <c:pt idx="49">
                  <c:v>1409</c:v>
                </c:pt>
                <c:pt idx="50">
                  <c:v>1517</c:v>
                </c:pt>
                <c:pt idx="51">
                  <c:v>1636</c:v>
                </c:pt>
                <c:pt idx="52">
                  <c:v>1755</c:v>
                </c:pt>
              </c:numCache>
            </c:numRef>
          </c:xVal>
          <c:yVal>
            <c:numRef>
              <c:f>'H3'!$D$42:$BD$42</c:f>
              <c:numCache>
                <c:formatCode>0.000E+00</c:formatCode>
                <c:ptCount val="53"/>
                <c:pt idx="0">
                  <c:v>2.8940157729841015E-26</c:v>
                </c:pt>
                <c:pt idx="1">
                  <c:v>0.13382706301909381</c:v>
                </c:pt>
                <c:pt idx="2">
                  <c:v>0.13330943129347197</c:v>
                </c:pt>
                <c:pt idx="3">
                  <c:v>0.4205711059911163</c:v>
                </c:pt>
                <c:pt idx="4">
                  <c:v>0.41897432776098736</c:v>
                </c:pt>
                <c:pt idx="5">
                  <c:v>0.76906907845024963</c:v>
                </c:pt>
                <c:pt idx="6">
                  <c:v>0.76601856664445123</c:v>
                </c:pt>
                <c:pt idx="7">
                  <c:v>1.1445030419933058</c:v>
                </c:pt>
                <c:pt idx="8">
                  <c:v>1.1401247607167821</c:v>
                </c:pt>
                <c:pt idx="9">
                  <c:v>1.5298308361369457</c:v>
                </c:pt>
                <c:pt idx="10">
                  <c:v>1.5238904135812819</c:v>
                </c:pt>
                <c:pt idx="11">
                  <c:v>1.9198733629025486</c:v>
                </c:pt>
                <c:pt idx="12">
                  <c:v>1.9124966243719121</c:v>
                </c:pt>
                <c:pt idx="13">
                  <c:v>2.3122286068933633</c:v>
                </c:pt>
                <c:pt idx="14">
                  <c:v>2.3032391892717867</c:v>
                </c:pt>
                <c:pt idx="15">
                  <c:v>2.7055972042072254</c:v>
                </c:pt>
                <c:pt idx="16">
                  <c:v>2.6952790987956687</c:v>
                </c:pt>
                <c:pt idx="17">
                  <c:v>3.0996417097007769</c:v>
                </c:pt>
                <c:pt idx="18">
                  <c:v>3.08799970154148</c:v>
                </c:pt>
                <c:pt idx="19">
                  <c:v>3.4934241631718557</c:v>
                </c:pt>
                <c:pt idx="20">
                  <c:v>3.4802782966458028</c:v>
                </c:pt>
                <c:pt idx="21">
                  <c:v>3.8868858324866578</c:v>
                </c:pt>
                <c:pt idx="22">
                  <c:v>3.8716844287767067</c:v>
                </c:pt>
                <c:pt idx="23">
                  <c:v>4.2804442328995416</c:v>
                </c:pt>
                <c:pt idx="24">
                  <c:v>4.2644004182166757</c:v>
                </c:pt>
                <c:pt idx="25">
                  <c:v>4.674848304843052</c:v>
                </c:pt>
                <c:pt idx="26">
                  <c:v>4.6575200733492208</c:v>
                </c:pt>
                <c:pt idx="27">
                  <c:v>5.0688035516435477</c:v>
                </c:pt>
                <c:pt idx="28">
                  <c:v>5.0492726637726157</c:v>
                </c:pt>
                <c:pt idx="29">
                  <c:v>5.4632316264704155</c:v>
                </c:pt>
                <c:pt idx="30">
                  <c:v>5.4424002242923084</c:v>
                </c:pt>
                <c:pt idx="31">
                  <c:v>5.8571477267015375</c:v>
                </c:pt>
                <c:pt idx="32">
                  <c:v>5.8349451706938478</c:v>
                </c:pt>
                <c:pt idx="33">
                  <c:v>6.2516486039593522</c:v>
                </c:pt>
                <c:pt idx="34">
                  <c:v>6.227788291208368</c:v>
                </c:pt>
                <c:pt idx="35">
                  <c:v>6.6463953131456694</c:v>
                </c:pt>
                <c:pt idx="36">
                  <c:v>6.6218328726915345</c:v>
                </c:pt>
                <c:pt idx="37">
                  <c:v>7.0408090394820508</c:v>
                </c:pt>
                <c:pt idx="38">
                  <c:v>7.0143657224527187</c:v>
                </c:pt>
                <c:pt idx="39">
                  <c:v>7.4367586394208924</c:v>
                </c:pt>
                <c:pt idx="40">
                  <c:v>7.4076558676244755</c:v>
                </c:pt>
                <c:pt idx="41">
                  <c:v>7.8310930618983434</c:v>
                </c:pt>
                <c:pt idx="42">
                  <c:v>7.8274149554306645</c:v>
                </c:pt>
                <c:pt idx="43">
                  <c:v>7.8236369516989646</c:v>
                </c:pt>
                <c:pt idx="44">
                  <c:v>7.8169764849264975</c:v>
                </c:pt>
                <c:pt idx="45">
                  <c:v>7.8020150547143405</c:v>
                </c:pt>
                <c:pt idx="46">
                  <c:v>7.7732694577636403</c:v>
                </c:pt>
                <c:pt idx="47">
                  <c:v>7.7166465468106313</c:v>
                </c:pt>
                <c:pt idx="48">
                  <c:v>7.6037327091301332</c:v>
                </c:pt>
                <c:pt idx="49">
                  <c:v>7.3820423201978898</c:v>
                </c:pt>
                <c:pt idx="50">
                  <c:v>7.2600510637121394</c:v>
                </c:pt>
                <c:pt idx="51">
                  <c:v>7.1286072957369067</c:v>
                </c:pt>
                <c:pt idx="52">
                  <c:v>6.9997213684700039</c:v>
                </c:pt>
              </c:numCache>
            </c:numRef>
          </c:yVal>
          <c:smooth val="1"/>
        </c:ser>
        <c:ser>
          <c:idx val="2"/>
          <c:order val="2"/>
          <c:tx>
            <c:v>Lithium-6</c:v>
          </c:tx>
          <c:spPr>
            <a:ln w="22225">
              <a:solidFill>
                <a:srgbClr val="0000FF"/>
              </a:solidFill>
              <a:prstDash val="dash"/>
            </a:ln>
          </c:spPr>
          <c:marker>
            <c:symbol val="none"/>
          </c:marker>
          <c:xVal>
            <c:numRef>
              <c:f>'Li6'!$D$39:$BD$39</c:f>
              <c:numCache>
                <c:formatCode>General</c:formatCode>
                <c:ptCount val="53"/>
                <c:pt idx="0">
                  <c:v>0</c:v>
                </c:pt>
                <c:pt idx="1">
                  <c:v>25</c:v>
                </c:pt>
                <c:pt idx="2">
                  <c:v>50</c:v>
                </c:pt>
                <c:pt idx="3">
                  <c:v>75</c:v>
                </c:pt>
                <c:pt idx="4">
                  <c:v>100</c:v>
                </c:pt>
                <c:pt idx="5">
                  <c:v>125</c:v>
                </c:pt>
                <c:pt idx="6">
                  <c:v>150</c:v>
                </c:pt>
                <c:pt idx="7">
                  <c:v>175</c:v>
                </c:pt>
                <c:pt idx="8">
                  <c:v>200</c:v>
                </c:pt>
                <c:pt idx="9">
                  <c:v>225</c:v>
                </c:pt>
                <c:pt idx="10">
                  <c:v>250</c:v>
                </c:pt>
                <c:pt idx="11">
                  <c:v>275</c:v>
                </c:pt>
                <c:pt idx="12">
                  <c:v>300</c:v>
                </c:pt>
                <c:pt idx="13">
                  <c:v>325</c:v>
                </c:pt>
                <c:pt idx="14">
                  <c:v>350</c:v>
                </c:pt>
                <c:pt idx="15">
                  <c:v>375</c:v>
                </c:pt>
                <c:pt idx="16">
                  <c:v>400</c:v>
                </c:pt>
                <c:pt idx="17">
                  <c:v>425</c:v>
                </c:pt>
                <c:pt idx="18">
                  <c:v>450</c:v>
                </c:pt>
                <c:pt idx="19">
                  <c:v>475</c:v>
                </c:pt>
                <c:pt idx="20">
                  <c:v>500</c:v>
                </c:pt>
                <c:pt idx="21">
                  <c:v>525</c:v>
                </c:pt>
                <c:pt idx="22">
                  <c:v>550</c:v>
                </c:pt>
                <c:pt idx="23">
                  <c:v>575</c:v>
                </c:pt>
                <c:pt idx="24">
                  <c:v>600</c:v>
                </c:pt>
                <c:pt idx="25">
                  <c:v>625</c:v>
                </c:pt>
                <c:pt idx="26">
                  <c:v>650</c:v>
                </c:pt>
                <c:pt idx="27">
                  <c:v>675</c:v>
                </c:pt>
                <c:pt idx="28">
                  <c:v>700</c:v>
                </c:pt>
                <c:pt idx="29">
                  <c:v>725</c:v>
                </c:pt>
                <c:pt idx="30">
                  <c:v>750</c:v>
                </c:pt>
                <c:pt idx="31">
                  <c:v>775</c:v>
                </c:pt>
                <c:pt idx="32">
                  <c:v>800</c:v>
                </c:pt>
                <c:pt idx="33">
                  <c:v>825</c:v>
                </c:pt>
                <c:pt idx="34">
                  <c:v>850</c:v>
                </c:pt>
                <c:pt idx="35">
                  <c:v>875</c:v>
                </c:pt>
                <c:pt idx="36">
                  <c:v>900</c:v>
                </c:pt>
                <c:pt idx="37">
                  <c:v>925</c:v>
                </c:pt>
                <c:pt idx="38">
                  <c:v>950</c:v>
                </c:pt>
                <c:pt idx="39">
                  <c:v>975</c:v>
                </c:pt>
                <c:pt idx="40">
                  <c:v>1000</c:v>
                </c:pt>
                <c:pt idx="41">
                  <c:v>1025</c:v>
                </c:pt>
                <c:pt idx="42">
                  <c:v>1028</c:v>
                </c:pt>
                <c:pt idx="43">
                  <c:v>1031</c:v>
                </c:pt>
                <c:pt idx="44">
                  <c:v>1037</c:v>
                </c:pt>
                <c:pt idx="45">
                  <c:v>1049</c:v>
                </c:pt>
                <c:pt idx="46">
                  <c:v>1073</c:v>
                </c:pt>
                <c:pt idx="47">
                  <c:v>1121</c:v>
                </c:pt>
                <c:pt idx="48">
                  <c:v>1217</c:v>
                </c:pt>
                <c:pt idx="49">
                  <c:v>1409</c:v>
                </c:pt>
                <c:pt idx="50">
                  <c:v>1517</c:v>
                </c:pt>
                <c:pt idx="51">
                  <c:v>1636</c:v>
                </c:pt>
                <c:pt idx="52">
                  <c:v>1755</c:v>
                </c:pt>
              </c:numCache>
            </c:numRef>
          </c:xVal>
          <c:yVal>
            <c:numRef>
              <c:f>'Li6'!$D$42:$BD$42</c:f>
              <c:numCache>
                <c:formatCode>0.000E+00</c:formatCode>
                <c:ptCount val="53"/>
                <c:pt idx="0">
                  <c:v>1.1701217373888113E-37</c:v>
                </c:pt>
                <c:pt idx="1">
                  <c:v>0.52068327163086425</c:v>
                </c:pt>
                <c:pt idx="2">
                  <c:v>0.52068327163086425</c:v>
                </c:pt>
                <c:pt idx="3">
                  <c:v>0.7360174254318006</c:v>
                </c:pt>
                <c:pt idx="4">
                  <c:v>0.7360174254318006</c:v>
                </c:pt>
                <c:pt idx="5">
                  <c:v>0.82869320197142504</c:v>
                </c:pt>
                <c:pt idx="6">
                  <c:v>0.82869320197142504</c:v>
                </c:pt>
                <c:pt idx="7">
                  <c:v>0.86698548122789965</c:v>
                </c:pt>
                <c:pt idx="8">
                  <c:v>0.86698548122789965</c:v>
                </c:pt>
                <c:pt idx="9">
                  <c:v>0.88545561126054584</c:v>
                </c:pt>
                <c:pt idx="10">
                  <c:v>0.88545561126054584</c:v>
                </c:pt>
                <c:pt idx="11">
                  <c:v>0.89520949847824083</c:v>
                </c:pt>
                <c:pt idx="12">
                  <c:v>0.89520949847824083</c:v>
                </c:pt>
                <c:pt idx="13">
                  <c:v>0.90154421184223832</c:v>
                </c:pt>
                <c:pt idx="14">
                  <c:v>0.90154421184223832</c:v>
                </c:pt>
                <c:pt idx="15">
                  <c:v>0.9020990930020496</c:v>
                </c:pt>
                <c:pt idx="16">
                  <c:v>0.9020990930020496</c:v>
                </c:pt>
                <c:pt idx="17">
                  <c:v>0.90429114758263329</c:v>
                </c:pt>
                <c:pt idx="18">
                  <c:v>0.90429114758263329</c:v>
                </c:pt>
                <c:pt idx="19">
                  <c:v>0.90318197306390102</c:v>
                </c:pt>
                <c:pt idx="20">
                  <c:v>0.90318197306390102</c:v>
                </c:pt>
                <c:pt idx="21">
                  <c:v>0.90378389717345575</c:v>
                </c:pt>
                <c:pt idx="22">
                  <c:v>0.90378389717345575</c:v>
                </c:pt>
                <c:pt idx="23">
                  <c:v>0.90466947938371511</c:v>
                </c:pt>
                <c:pt idx="24">
                  <c:v>0.90466947938371511</c:v>
                </c:pt>
                <c:pt idx="25">
                  <c:v>0.90606587353020562</c:v>
                </c:pt>
                <c:pt idx="26">
                  <c:v>0.90606587353020562</c:v>
                </c:pt>
                <c:pt idx="27">
                  <c:v>0.90570950231908265</c:v>
                </c:pt>
                <c:pt idx="28">
                  <c:v>0.90570950231908265</c:v>
                </c:pt>
                <c:pt idx="29">
                  <c:v>0.90612778323789989</c:v>
                </c:pt>
                <c:pt idx="30">
                  <c:v>0.90612778323789989</c:v>
                </c:pt>
                <c:pt idx="31">
                  <c:v>0.90698743688104977</c:v>
                </c:pt>
                <c:pt idx="32">
                  <c:v>0.90698743688104977</c:v>
                </c:pt>
                <c:pt idx="33">
                  <c:v>0.90782380669733564</c:v>
                </c:pt>
                <c:pt idx="34">
                  <c:v>0.90782759885333153</c:v>
                </c:pt>
                <c:pt idx="35">
                  <c:v>0.907724954387084</c:v>
                </c:pt>
                <c:pt idx="36">
                  <c:v>0.907724954387084</c:v>
                </c:pt>
                <c:pt idx="37">
                  <c:v>0.90777213992064687</c:v>
                </c:pt>
                <c:pt idx="38">
                  <c:v>0.90777213992064687</c:v>
                </c:pt>
                <c:pt idx="39">
                  <c:v>0.90761872305723756</c:v>
                </c:pt>
                <c:pt idx="40">
                  <c:v>0.90761872305723756</c:v>
                </c:pt>
                <c:pt idx="41">
                  <c:v>0.90765656052751331</c:v>
                </c:pt>
                <c:pt idx="42">
                  <c:v>0.90765656052751331</c:v>
                </c:pt>
                <c:pt idx="43">
                  <c:v>0.90765656052751331</c:v>
                </c:pt>
                <c:pt idx="44">
                  <c:v>0.90765656052751331</c:v>
                </c:pt>
                <c:pt idx="45">
                  <c:v>0.90765656052751331</c:v>
                </c:pt>
                <c:pt idx="46">
                  <c:v>0.90765656052751331</c:v>
                </c:pt>
                <c:pt idx="47">
                  <c:v>0.90765656052751331</c:v>
                </c:pt>
                <c:pt idx="48">
                  <c:v>0.90765656052751331</c:v>
                </c:pt>
                <c:pt idx="49">
                  <c:v>0.90765656052751331</c:v>
                </c:pt>
                <c:pt idx="50">
                  <c:v>0.90765656052751331</c:v>
                </c:pt>
                <c:pt idx="51">
                  <c:v>0.90765656052751331</c:v>
                </c:pt>
                <c:pt idx="52">
                  <c:v>0.90765656052751331</c:v>
                </c:pt>
              </c:numCache>
            </c:numRef>
          </c:yVal>
          <c:smooth val="1"/>
        </c:ser>
        <c:ser>
          <c:idx val="3"/>
          <c:order val="3"/>
          <c:tx>
            <c:v>Helium-3</c:v>
          </c:tx>
          <c:spPr>
            <a:ln w="22225">
              <a:solidFill>
                <a:sysClr val="windowText" lastClr="000000"/>
              </a:solidFill>
            </a:ln>
          </c:spPr>
          <c:marker>
            <c:symbol val="none"/>
          </c:marker>
          <c:xVal>
            <c:numRef>
              <c:f>'He3'!$D$39:$BD$39</c:f>
              <c:numCache>
                <c:formatCode>General</c:formatCode>
                <c:ptCount val="53"/>
                <c:pt idx="0">
                  <c:v>0</c:v>
                </c:pt>
                <c:pt idx="1">
                  <c:v>25</c:v>
                </c:pt>
                <c:pt idx="2">
                  <c:v>50</c:v>
                </c:pt>
                <c:pt idx="3">
                  <c:v>75</c:v>
                </c:pt>
                <c:pt idx="4">
                  <c:v>100</c:v>
                </c:pt>
                <c:pt idx="5">
                  <c:v>125</c:v>
                </c:pt>
                <c:pt idx="6">
                  <c:v>150</c:v>
                </c:pt>
                <c:pt idx="7">
                  <c:v>175</c:v>
                </c:pt>
                <c:pt idx="8">
                  <c:v>200</c:v>
                </c:pt>
                <c:pt idx="9">
                  <c:v>225</c:v>
                </c:pt>
                <c:pt idx="10">
                  <c:v>250</c:v>
                </c:pt>
                <c:pt idx="11">
                  <c:v>275</c:v>
                </c:pt>
                <c:pt idx="12">
                  <c:v>300</c:v>
                </c:pt>
                <c:pt idx="13">
                  <c:v>325</c:v>
                </c:pt>
                <c:pt idx="14">
                  <c:v>350</c:v>
                </c:pt>
                <c:pt idx="15">
                  <c:v>375</c:v>
                </c:pt>
                <c:pt idx="16">
                  <c:v>400</c:v>
                </c:pt>
                <c:pt idx="17">
                  <c:v>425</c:v>
                </c:pt>
                <c:pt idx="18">
                  <c:v>450</c:v>
                </c:pt>
                <c:pt idx="19">
                  <c:v>475</c:v>
                </c:pt>
                <c:pt idx="20">
                  <c:v>500</c:v>
                </c:pt>
                <c:pt idx="21">
                  <c:v>525</c:v>
                </c:pt>
                <c:pt idx="22">
                  <c:v>550</c:v>
                </c:pt>
                <c:pt idx="23">
                  <c:v>575</c:v>
                </c:pt>
                <c:pt idx="24">
                  <c:v>600</c:v>
                </c:pt>
                <c:pt idx="25">
                  <c:v>625</c:v>
                </c:pt>
                <c:pt idx="26">
                  <c:v>650</c:v>
                </c:pt>
                <c:pt idx="27">
                  <c:v>675</c:v>
                </c:pt>
                <c:pt idx="28">
                  <c:v>700</c:v>
                </c:pt>
                <c:pt idx="29">
                  <c:v>725</c:v>
                </c:pt>
                <c:pt idx="30">
                  <c:v>750</c:v>
                </c:pt>
                <c:pt idx="31">
                  <c:v>775</c:v>
                </c:pt>
                <c:pt idx="32">
                  <c:v>800</c:v>
                </c:pt>
                <c:pt idx="33">
                  <c:v>825</c:v>
                </c:pt>
                <c:pt idx="34">
                  <c:v>850</c:v>
                </c:pt>
                <c:pt idx="35">
                  <c:v>875</c:v>
                </c:pt>
                <c:pt idx="36">
                  <c:v>900</c:v>
                </c:pt>
                <c:pt idx="37">
                  <c:v>925</c:v>
                </c:pt>
                <c:pt idx="38">
                  <c:v>950</c:v>
                </c:pt>
                <c:pt idx="39">
                  <c:v>975</c:v>
                </c:pt>
                <c:pt idx="40">
                  <c:v>1000</c:v>
                </c:pt>
                <c:pt idx="41">
                  <c:v>1025</c:v>
                </c:pt>
                <c:pt idx="42">
                  <c:v>1028</c:v>
                </c:pt>
                <c:pt idx="43">
                  <c:v>1031</c:v>
                </c:pt>
                <c:pt idx="44">
                  <c:v>1037</c:v>
                </c:pt>
                <c:pt idx="45">
                  <c:v>1049</c:v>
                </c:pt>
                <c:pt idx="46">
                  <c:v>1073</c:v>
                </c:pt>
                <c:pt idx="47">
                  <c:v>1121</c:v>
                </c:pt>
                <c:pt idx="48">
                  <c:v>1217</c:v>
                </c:pt>
                <c:pt idx="49">
                  <c:v>1409</c:v>
                </c:pt>
                <c:pt idx="50">
                  <c:v>1517</c:v>
                </c:pt>
                <c:pt idx="51">
                  <c:v>1636</c:v>
                </c:pt>
                <c:pt idx="52">
                  <c:v>1755</c:v>
                </c:pt>
              </c:numCache>
            </c:numRef>
          </c:xVal>
          <c:yVal>
            <c:numRef>
              <c:f>('He3'!$D$43,'He3'!$E$42:$BD$42)</c:f>
              <c:numCache>
                <c:formatCode>0.000E+00</c:formatCode>
                <c:ptCount val="53"/>
                <c:pt idx="0" formatCode="General">
                  <c:v>1.0000000000001206E-25</c:v>
                </c:pt>
                <c:pt idx="1">
                  <c:v>7.1115360573344239E-5</c:v>
                </c:pt>
                <c:pt idx="2">
                  <c:v>5.8508559188355177E-4</c:v>
                </c:pt>
                <c:pt idx="3">
                  <c:v>2.7463396280476987E-4</c:v>
                </c:pt>
                <c:pt idx="4">
                  <c:v>1.8898277749834023E-3</c:v>
                </c:pt>
                <c:pt idx="5">
                  <c:v>5.4296190888077035E-4</c:v>
                </c:pt>
                <c:pt idx="6">
                  <c:v>3.4963627274848994E-3</c:v>
                </c:pt>
                <c:pt idx="7">
                  <c:v>8.3646699088691485E-4</c:v>
                </c:pt>
                <c:pt idx="8">
                  <c:v>5.2319373101312903E-3</c:v>
                </c:pt>
                <c:pt idx="9">
                  <c:v>1.1463840566848201E-3</c:v>
                </c:pt>
                <c:pt idx="10">
                  <c:v>7.0215604211657928E-3</c:v>
                </c:pt>
                <c:pt idx="11">
                  <c:v>1.4616533795063042E-3</c:v>
                </c:pt>
                <c:pt idx="12">
                  <c:v>8.8343445215294768E-3</c:v>
                </c:pt>
                <c:pt idx="13">
                  <c:v>1.7821053899646881E-3</c:v>
                </c:pt>
                <c:pt idx="14">
                  <c:v>1.0661222098251925E-2</c:v>
                </c:pt>
                <c:pt idx="15">
                  <c:v>2.0997415588027068E-3</c:v>
                </c:pt>
                <c:pt idx="16">
                  <c:v>1.2491864095421875E-2</c:v>
                </c:pt>
                <c:pt idx="17">
                  <c:v>2.4206663468136751E-3</c:v>
                </c:pt>
                <c:pt idx="18">
                  <c:v>1.4325338303724679E-2</c:v>
                </c:pt>
                <c:pt idx="19">
                  <c:v>2.7412824168113812E-3</c:v>
                </c:pt>
                <c:pt idx="20">
                  <c:v>1.61574938633707E-2</c:v>
                </c:pt>
                <c:pt idx="21">
                  <c:v>3.0628677326994492E-3</c:v>
                </c:pt>
                <c:pt idx="22">
                  <c:v>1.7991453501117523E-2</c:v>
                </c:pt>
                <c:pt idx="23">
                  <c:v>3.38625913771704E-3</c:v>
                </c:pt>
                <c:pt idx="24">
                  <c:v>1.9826010397729923E-2</c:v>
                </c:pt>
                <c:pt idx="25">
                  <c:v>3.7043937067238655E-3</c:v>
                </c:pt>
                <c:pt idx="26">
                  <c:v>2.1659032889280692E-2</c:v>
                </c:pt>
                <c:pt idx="27">
                  <c:v>4.0300589725764495E-3</c:v>
                </c:pt>
                <c:pt idx="28">
                  <c:v>2.3496854330306974E-2</c:v>
                </c:pt>
                <c:pt idx="29">
                  <c:v>4.3503433362534014E-3</c:v>
                </c:pt>
                <c:pt idx="30">
                  <c:v>2.5330517605706072E-2</c:v>
                </c:pt>
                <c:pt idx="31">
                  <c:v>4.6800919723490424E-3</c:v>
                </c:pt>
                <c:pt idx="32">
                  <c:v>2.7175983399958314E-2</c:v>
                </c:pt>
                <c:pt idx="33">
                  <c:v>4.998992532755998E-3</c:v>
                </c:pt>
                <c:pt idx="34">
                  <c:v>2.9008519543056239E-2</c:v>
                </c:pt>
                <c:pt idx="35">
                  <c:v>5.3176954736284428E-3</c:v>
                </c:pt>
                <c:pt idx="36">
                  <c:v>3.0845081867936847E-2</c:v>
                </c:pt>
                <c:pt idx="37">
                  <c:v>5.6404772286071329E-3</c:v>
                </c:pt>
                <c:pt idx="38">
                  <c:v>3.2680770720051162E-2</c:v>
                </c:pt>
                <c:pt idx="39">
                  <c:v>5.9580658337569804E-3</c:v>
                </c:pt>
                <c:pt idx="40">
                  <c:v>3.451811934150003E-2</c:v>
                </c:pt>
                <c:pt idx="41">
                  <c:v>6.2953495427997925E-3</c:v>
                </c:pt>
                <c:pt idx="42">
                  <c:v>9.910823155052071E-3</c:v>
                </c:pt>
                <c:pt idx="43">
                  <c:v>1.3523979275976861E-2</c:v>
                </c:pt>
                <c:pt idx="44">
                  <c:v>2.0747282163695441E-2</c:v>
                </c:pt>
                <c:pt idx="45">
                  <c:v>3.516595852744421E-2</c:v>
                </c:pt>
                <c:pt idx="46">
                  <c:v>6.3940274421316792E-2</c:v>
                </c:pt>
                <c:pt idx="47">
                  <c:v>0.12114696687449139</c:v>
                </c:pt>
                <c:pt idx="48">
                  <c:v>0.23433613456940963</c:v>
                </c:pt>
                <c:pt idx="49">
                  <c:v>0.45572272175006734</c:v>
                </c:pt>
                <c:pt idx="50">
                  <c:v>0.57735031185268559</c:v>
                </c:pt>
                <c:pt idx="51">
                  <c:v>0.70924327397421671</c:v>
                </c:pt>
                <c:pt idx="52">
                  <c:v>0.8386430057779275</c:v>
                </c:pt>
              </c:numCache>
            </c:numRef>
          </c:yVal>
          <c:smooth val="1"/>
        </c:ser>
        <c:axId val="190121088"/>
        <c:axId val="190123008"/>
      </c:scatterChart>
      <c:valAx>
        <c:axId val="190121088"/>
        <c:scaling>
          <c:orientation val="minMax"/>
          <c:max val="1800"/>
          <c:min val="0"/>
        </c:scaling>
        <c:axPos val="b"/>
        <c:majorGridlines>
          <c:spPr>
            <a:ln>
              <a:solidFill>
                <a:sysClr val="windowText" lastClr="000000"/>
              </a:solidFill>
            </a:ln>
          </c:spPr>
        </c:majorGridlines>
        <c:title>
          <c:tx>
            <c:rich>
              <a:bodyPr/>
              <a:lstStyle/>
              <a:p>
                <a:pPr>
                  <a:defRPr sz="1100"/>
                </a:pPr>
                <a:r>
                  <a:rPr lang="en-US" sz="1100"/>
                  <a:t>Days into Calculation (21 cycles + 730d decay)</a:t>
                </a:r>
              </a:p>
            </c:rich>
          </c:tx>
          <c:layout>
            <c:manualLayout>
              <c:xMode val="edge"/>
              <c:yMode val="edge"/>
              <c:x val="0.27707834075088927"/>
              <c:y val="0.94058641975308643"/>
            </c:manualLayout>
          </c:layout>
        </c:title>
        <c:numFmt formatCode="General" sourceLinked="1"/>
        <c:tickLblPos val="low"/>
        <c:spPr>
          <a:ln>
            <a:solidFill>
              <a:schemeClr val="tx1"/>
            </a:solidFill>
          </a:ln>
        </c:spPr>
        <c:crossAx val="190123008"/>
        <c:crosses val="autoZero"/>
        <c:crossBetween val="midCat"/>
        <c:majorUnit val="200"/>
        <c:minorUnit val="50"/>
      </c:valAx>
      <c:valAx>
        <c:axId val="190123008"/>
        <c:scaling>
          <c:logBase val="10"/>
          <c:orientation val="minMax"/>
          <c:max val="100"/>
          <c:min val="1.0000000000000267E-5"/>
        </c:scaling>
        <c:axPos val="l"/>
        <c:majorGridlines>
          <c:spPr>
            <a:ln>
              <a:solidFill>
                <a:sysClr val="windowText" lastClr="000000"/>
              </a:solidFill>
            </a:ln>
          </c:spPr>
        </c:majorGridlines>
        <c:minorGridlines/>
        <c:title>
          <c:tx>
            <c:rich>
              <a:bodyPr rot="-5400000" vert="horz"/>
              <a:lstStyle/>
              <a:p>
                <a:pPr>
                  <a:defRPr sz="1050"/>
                </a:pPr>
                <a:r>
                  <a:rPr lang="en-US" sz="1100"/>
                  <a:t>Amount of Isotope in Reflector (grams)</a:t>
                </a:r>
              </a:p>
            </c:rich>
          </c:tx>
          <c:layout>
            <c:manualLayout>
              <c:xMode val="edge"/>
              <c:yMode val="edge"/>
              <c:x val="1.1147789218655722E-2"/>
              <c:y val="0.18751049868766798"/>
            </c:manualLayout>
          </c:layout>
        </c:title>
        <c:numFmt formatCode="0.E+00" sourceLinked="0"/>
        <c:tickLblPos val="nextTo"/>
        <c:spPr>
          <a:ln>
            <a:solidFill>
              <a:sysClr val="windowText" lastClr="000000"/>
            </a:solidFill>
          </a:ln>
        </c:spPr>
        <c:crossAx val="190121088"/>
        <c:crosses val="autoZero"/>
        <c:crossBetween val="midCat"/>
      </c:valAx>
    </c:plotArea>
    <c:legend>
      <c:legendPos val="r"/>
      <c:layout>
        <c:manualLayout>
          <c:xMode val="edge"/>
          <c:yMode val="edge"/>
          <c:x val="0.71430479843865669"/>
          <c:y val="0.43292295289028204"/>
          <c:w val="0.2087608520088835"/>
          <c:h val="0.22672440944881889"/>
        </c:manualLayout>
      </c:layout>
      <c:overlay val="1"/>
      <c:spPr>
        <a:solidFill>
          <a:schemeClr val="bg1"/>
        </a:solidFill>
        <a:ln>
          <a:solidFill>
            <a:sysClr val="windowText" lastClr="000000"/>
          </a:solidFill>
        </a:ln>
      </c:spPr>
      <c:txPr>
        <a:bodyPr/>
        <a:lstStyle/>
        <a:p>
          <a:pPr>
            <a:defRPr sz="1100"/>
          </a:pPr>
          <a:endParaRPr lang="en-US"/>
        </a:p>
      </c:txPr>
    </c:legend>
    <c:plotVisOnly val="1"/>
  </c:chart>
  <c:spPr>
    <a:solidFill>
      <a:schemeClr val="lt1"/>
    </a:solidFill>
    <a:ln w="9525" cap="flat" cmpd="sng" algn="ctr">
      <a:solidFill>
        <a:schemeClr val="dk1"/>
      </a:solidFill>
      <a:prstDash val="solid"/>
    </a:ln>
    <a:effectLst/>
  </c:spPr>
  <c:txPr>
    <a:bodyPr/>
    <a:lstStyle/>
    <a:p>
      <a:pPr>
        <a:defRPr sz="1050">
          <a:solidFill>
            <a:schemeClr val="dk1"/>
          </a:solidFill>
          <a:latin typeface="Times New Roman" pitchFamily="18" charset="0"/>
          <a:ea typeface="+mn-ea"/>
          <a:cs typeface="Times New Roman" pitchFamily="18" charset="0"/>
        </a:defRPr>
      </a:pPr>
      <a:endParaRPr lang="en-US"/>
    </a:p>
  </c:txPr>
  <c:externalData r:id="rId1"/>
  <c:userShapes r:id="rId2"/>
</c:chartSpace>
</file>

<file path=word/charts/chart35.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2568779864055166"/>
          <c:y val="3.8194444444444448E-2"/>
          <c:w val="0.72356618884176416"/>
          <c:h val="0.79824584426946665"/>
        </c:manualLayout>
      </c:layout>
      <c:scatterChart>
        <c:scatterStyle val="smoothMarker"/>
        <c:ser>
          <c:idx val="0"/>
          <c:order val="0"/>
          <c:tx>
            <c:v>Proposed Methodology</c:v>
          </c:tx>
          <c:spPr>
            <a:ln w="19050">
              <a:solidFill>
                <a:srgbClr val="0000FF"/>
              </a:solidFill>
            </a:ln>
          </c:spPr>
          <c:marker>
            <c:symbol val="none"/>
          </c:marker>
          <c:xVal>
            <c:numRef>
              <c:f>keffs!$Z$4:$Z$15</c:f>
              <c:numCache>
                <c:formatCode>General</c:formatCode>
                <c:ptCount val="12"/>
                <c:pt idx="0">
                  <c:v>0</c:v>
                </c:pt>
                <c:pt idx="1">
                  <c:v>3</c:v>
                </c:pt>
                <c:pt idx="2">
                  <c:v>6</c:v>
                </c:pt>
                <c:pt idx="3">
                  <c:v>12</c:v>
                </c:pt>
                <c:pt idx="4">
                  <c:v>24</c:v>
                </c:pt>
                <c:pt idx="5">
                  <c:v>48</c:v>
                </c:pt>
                <c:pt idx="6">
                  <c:v>96</c:v>
                </c:pt>
                <c:pt idx="7">
                  <c:v>192</c:v>
                </c:pt>
                <c:pt idx="8">
                  <c:v>384</c:v>
                </c:pt>
                <c:pt idx="9">
                  <c:v>492</c:v>
                </c:pt>
                <c:pt idx="10">
                  <c:v>611</c:v>
                </c:pt>
                <c:pt idx="11">
                  <c:v>730</c:v>
                </c:pt>
              </c:numCache>
            </c:numRef>
          </c:xVal>
          <c:yVal>
            <c:numRef>
              <c:f>keffs!$AB$4:$AB$15</c:f>
              <c:numCache>
                <c:formatCode>0.00000</c:formatCode>
                <c:ptCount val="12"/>
                <c:pt idx="0" formatCode="General">
                  <c:v>0</c:v>
                </c:pt>
                <c:pt idx="1">
                  <c:v>-2.2675077720001512E-2</c:v>
                </c:pt>
                <c:pt idx="2">
                  <c:v>-4.5287570880000003E-2</c:v>
                </c:pt>
                <c:pt idx="3">
                  <c:v>-9.0324803520003563E-2</c:v>
                </c:pt>
                <c:pt idx="4">
                  <c:v>-0.17964825408000451</c:v>
                </c:pt>
                <c:pt idx="5">
                  <c:v>-0.35529109632</c:v>
                </c:pt>
                <c:pt idx="6">
                  <c:v>-0.69456054527999656</c:v>
                </c:pt>
                <c:pt idx="7">
                  <c:v>-1.32503450112</c:v>
                </c:pt>
                <c:pt idx="8">
                  <c:v>-2.3937226444799999</c:v>
                </c:pt>
                <c:pt idx="9">
                  <c:v>-2.8822075171199999</c:v>
                </c:pt>
                <c:pt idx="10">
                  <c:v>-3.3265234386799998</c:v>
                </c:pt>
                <c:pt idx="11">
                  <c:v>-3.6723660319999998</c:v>
                </c:pt>
              </c:numCache>
            </c:numRef>
          </c:yVal>
          <c:smooth val="1"/>
        </c:ser>
        <c:ser>
          <c:idx val="2"/>
          <c:order val="1"/>
          <c:tx>
            <c:v>Current Methodology</c:v>
          </c:tx>
          <c:spPr>
            <a:ln w="19050">
              <a:solidFill>
                <a:srgbClr val="006600"/>
              </a:solidFill>
              <a:prstDash val="dash"/>
            </a:ln>
          </c:spPr>
          <c:marker>
            <c:symbol val="none"/>
          </c:marker>
          <c:xVal>
            <c:numRef>
              <c:f>keffs!$J$19:$J$29</c:f>
              <c:numCache>
                <c:formatCode>General</c:formatCode>
                <c:ptCount val="11"/>
                <c:pt idx="0">
                  <c:v>3</c:v>
                </c:pt>
                <c:pt idx="1">
                  <c:v>6</c:v>
                </c:pt>
                <c:pt idx="2">
                  <c:v>12</c:v>
                </c:pt>
                <c:pt idx="3">
                  <c:v>24</c:v>
                </c:pt>
                <c:pt idx="4">
                  <c:v>48</c:v>
                </c:pt>
                <c:pt idx="5">
                  <c:v>96</c:v>
                </c:pt>
                <c:pt idx="6">
                  <c:v>192</c:v>
                </c:pt>
                <c:pt idx="7">
                  <c:v>384</c:v>
                </c:pt>
                <c:pt idx="8">
                  <c:v>492</c:v>
                </c:pt>
                <c:pt idx="9">
                  <c:v>611</c:v>
                </c:pt>
                <c:pt idx="10">
                  <c:v>730</c:v>
                </c:pt>
              </c:numCache>
            </c:numRef>
          </c:xVal>
          <c:yVal>
            <c:numRef>
              <c:f>keffs!$L$19:$L$29</c:f>
              <c:numCache>
                <c:formatCode>General</c:formatCode>
                <c:ptCount val="11"/>
                <c:pt idx="0">
                  <c:v>-4.3710000000000034E-2</c:v>
                </c:pt>
                <c:pt idx="1">
                  <c:v>-8.7420000000000012E-2</c:v>
                </c:pt>
                <c:pt idx="2">
                  <c:v>-0.17484000000000041</c:v>
                </c:pt>
                <c:pt idx="3">
                  <c:v>-0.34968000000000032</c:v>
                </c:pt>
                <c:pt idx="4">
                  <c:v>-0.69936000000000009</c:v>
                </c:pt>
                <c:pt idx="5">
                  <c:v>-1.3987200000000002</c:v>
                </c:pt>
                <c:pt idx="6">
                  <c:v>-2.7974400000000004</c:v>
                </c:pt>
                <c:pt idx="7">
                  <c:v>-5.5948799999999945</c:v>
                </c:pt>
                <c:pt idx="8">
                  <c:v>-7.1684399999999755</c:v>
                </c:pt>
                <c:pt idx="9">
                  <c:v>-8.9022700000000015</c:v>
                </c:pt>
                <c:pt idx="10">
                  <c:v>-10.636100000000001</c:v>
                </c:pt>
              </c:numCache>
            </c:numRef>
          </c:yVal>
          <c:smooth val="1"/>
        </c:ser>
        <c:axId val="191239680"/>
        <c:axId val="191241600"/>
      </c:scatterChart>
      <c:scatterChart>
        <c:scatterStyle val="smoothMarker"/>
        <c:ser>
          <c:idx val="1"/>
          <c:order val="2"/>
          <c:spPr>
            <a:ln w="19050">
              <a:noFill/>
            </a:ln>
          </c:spPr>
          <c:marker>
            <c:symbol val="none"/>
          </c:marker>
          <c:xVal>
            <c:numRef>
              <c:f>keffs!$J$19:$J$29</c:f>
              <c:numCache>
                <c:formatCode>General</c:formatCode>
                <c:ptCount val="11"/>
                <c:pt idx="0">
                  <c:v>3</c:v>
                </c:pt>
                <c:pt idx="1">
                  <c:v>6</c:v>
                </c:pt>
                <c:pt idx="2">
                  <c:v>12</c:v>
                </c:pt>
                <c:pt idx="3">
                  <c:v>24</c:v>
                </c:pt>
                <c:pt idx="4">
                  <c:v>48</c:v>
                </c:pt>
                <c:pt idx="5">
                  <c:v>96</c:v>
                </c:pt>
                <c:pt idx="6">
                  <c:v>192</c:v>
                </c:pt>
                <c:pt idx="7">
                  <c:v>384</c:v>
                </c:pt>
                <c:pt idx="8">
                  <c:v>492</c:v>
                </c:pt>
                <c:pt idx="9">
                  <c:v>611</c:v>
                </c:pt>
                <c:pt idx="10">
                  <c:v>730</c:v>
                </c:pt>
              </c:numCache>
            </c:numRef>
          </c:xVal>
          <c:yVal>
            <c:numRef>
              <c:f>keffs!$K$19:$K$29</c:f>
              <c:numCache>
                <c:formatCode>General</c:formatCode>
                <c:ptCount val="11"/>
                <c:pt idx="0">
                  <c:v>-1.4100000000000001E-2</c:v>
                </c:pt>
                <c:pt idx="1">
                  <c:v>-2.8200000000000006E-2</c:v>
                </c:pt>
                <c:pt idx="2">
                  <c:v>-5.6400000000000013E-2</c:v>
                </c:pt>
                <c:pt idx="3">
                  <c:v>-0.11280000000000001</c:v>
                </c:pt>
                <c:pt idx="4">
                  <c:v>-0.22560000000000002</c:v>
                </c:pt>
                <c:pt idx="5">
                  <c:v>-0.45120000000000005</c:v>
                </c:pt>
                <c:pt idx="6">
                  <c:v>-0.90240000000000009</c:v>
                </c:pt>
                <c:pt idx="7">
                  <c:v>-1.8048000000000002</c:v>
                </c:pt>
                <c:pt idx="8">
                  <c:v>-2.3123999999999967</c:v>
                </c:pt>
                <c:pt idx="9">
                  <c:v>-2.8716999999999375</c:v>
                </c:pt>
                <c:pt idx="10">
                  <c:v>-3.4309999999999987</c:v>
                </c:pt>
              </c:numCache>
            </c:numRef>
          </c:yVal>
          <c:smooth val="1"/>
        </c:ser>
        <c:axId val="191262080"/>
        <c:axId val="191260160"/>
      </c:scatterChart>
      <c:valAx>
        <c:axId val="191239680"/>
        <c:scaling>
          <c:orientation val="minMax"/>
          <c:max val="750"/>
        </c:scaling>
        <c:axPos val="b"/>
        <c:majorGridlines>
          <c:spPr>
            <a:ln>
              <a:solidFill>
                <a:sysClr val="windowText" lastClr="000000"/>
              </a:solidFill>
            </a:ln>
          </c:spPr>
        </c:majorGridlines>
        <c:minorGridlines/>
        <c:title>
          <c:tx>
            <c:rich>
              <a:bodyPr/>
              <a:lstStyle/>
              <a:p>
                <a:pPr>
                  <a:defRPr/>
                </a:pPr>
                <a:r>
                  <a:rPr lang="en-US" b="1"/>
                  <a:t>Outage Time (Days)</a:t>
                </a:r>
              </a:p>
            </c:rich>
          </c:tx>
          <c:layout>
            <c:manualLayout>
              <c:xMode val="edge"/>
              <c:yMode val="edge"/>
              <c:x val="0.37866158557103441"/>
              <c:y val="0.95243066491688544"/>
            </c:manualLayout>
          </c:layout>
        </c:title>
        <c:numFmt formatCode="General" sourceLinked="1"/>
        <c:tickLblPos val="low"/>
        <c:spPr>
          <a:ln>
            <a:solidFill>
              <a:sysClr val="windowText" lastClr="000000"/>
            </a:solidFill>
          </a:ln>
        </c:spPr>
        <c:crossAx val="191241600"/>
        <c:crosses val="autoZero"/>
        <c:crossBetween val="midCat"/>
        <c:majorUnit val="50"/>
        <c:minorUnit val="25"/>
      </c:valAx>
      <c:valAx>
        <c:axId val="191241600"/>
        <c:scaling>
          <c:orientation val="minMax"/>
          <c:max val="0"/>
          <c:min val="-11"/>
        </c:scaling>
        <c:axPos val="l"/>
        <c:majorGridlines>
          <c:spPr>
            <a:ln>
              <a:solidFill>
                <a:sysClr val="windowText" lastClr="000000"/>
              </a:solidFill>
            </a:ln>
          </c:spPr>
        </c:majorGridlines>
        <c:minorGridlines/>
        <c:title>
          <c:tx>
            <c:rich>
              <a:bodyPr rot="-5400000" vert="horz"/>
              <a:lstStyle/>
              <a:p>
                <a:pPr>
                  <a:defRPr/>
                </a:pPr>
                <a:r>
                  <a:rPr lang="el-GR" b="1"/>
                  <a:t>Δρ</a:t>
                </a:r>
                <a:r>
                  <a:rPr lang="en-US" b="1"/>
                  <a:t> ($) w/Respect to Reference Case</a:t>
                </a:r>
              </a:p>
            </c:rich>
          </c:tx>
          <c:layout>
            <c:manualLayout>
              <c:xMode val="edge"/>
              <c:yMode val="edge"/>
              <c:x val="9.0033677339785706E-3"/>
              <c:y val="0.17392857142857138"/>
            </c:manualLayout>
          </c:layout>
        </c:title>
        <c:numFmt formatCode="0.0" sourceLinked="0"/>
        <c:tickLblPos val="nextTo"/>
        <c:spPr>
          <a:ln>
            <a:solidFill>
              <a:sysClr val="windowText" lastClr="000000"/>
            </a:solidFill>
          </a:ln>
        </c:spPr>
        <c:crossAx val="191239680"/>
        <c:crosses val="autoZero"/>
        <c:crossBetween val="midCat"/>
        <c:majorUnit val="1"/>
        <c:minorUnit val="0.5"/>
      </c:valAx>
      <c:valAx>
        <c:axId val="191260160"/>
        <c:scaling>
          <c:orientation val="minMax"/>
          <c:max val="0"/>
          <c:min val="-3.548387000000059"/>
        </c:scaling>
        <c:axPos val="r"/>
        <c:title>
          <c:tx>
            <c:rich>
              <a:bodyPr rot="-5400000" vert="horz"/>
              <a:lstStyle/>
              <a:p>
                <a:pPr>
                  <a:defRPr/>
                </a:pPr>
                <a:r>
                  <a:rPr lang="el-GR" b="1"/>
                  <a:t>Δ</a:t>
                </a:r>
                <a:r>
                  <a:rPr lang="en-US" b="1"/>
                  <a:t>R (Inches) w/Respect to Reference Case</a:t>
                </a:r>
              </a:p>
            </c:rich>
          </c:tx>
          <c:layout>
            <c:manualLayout>
              <c:xMode val="edge"/>
              <c:yMode val="edge"/>
              <c:x val="0.94705661954404385"/>
              <c:y val="7.3314585676790389E-2"/>
            </c:manualLayout>
          </c:layout>
        </c:title>
        <c:numFmt formatCode="#,##0.000" sourceLinked="0"/>
        <c:tickLblPos val="nextTo"/>
        <c:crossAx val="191262080"/>
        <c:crosses val="max"/>
        <c:crossBetween val="midCat"/>
        <c:majorUnit val="0.32258000000001003"/>
      </c:valAx>
      <c:valAx>
        <c:axId val="191262080"/>
        <c:scaling>
          <c:orientation val="minMax"/>
        </c:scaling>
        <c:delete val="1"/>
        <c:axPos val="b"/>
        <c:numFmt formatCode="General" sourceLinked="1"/>
        <c:tickLblPos val="none"/>
        <c:crossAx val="191260160"/>
        <c:crosses val="autoZero"/>
        <c:crossBetween val="midCat"/>
      </c:valAx>
    </c:plotArea>
    <c:legend>
      <c:legendPos val="r"/>
      <c:legendEntry>
        <c:idx val="2"/>
        <c:delete val="1"/>
      </c:legendEntry>
      <c:layout>
        <c:manualLayout>
          <c:xMode val="edge"/>
          <c:yMode val="edge"/>
          <c:x val="0.49430793651864235"/>
          <c:y val="3.0553680789901276E-2"/>
          <c:w val="0.33556665461377982"/>
          <c:h val="0.14839957505311835"/>
        </c:manualLayout>
      </c:layout>
      <c:overlay val="1"/>
      <c:spPr>
        <a:solidFill>
          <a:schemeClr val="bg1"/>
        </a:solidFill>
        <a:ln>
          <a:solidFill>
            <a:sysClr val="windowText" lastClr="000000"/>
          </a:solidFill>
        </a:ln>
      </c:spPr>
      <c:txPr>
        <a:bodyPr/>
        <a:lstStyle/>
        <a:p>
          <a:pPr>
            <a:defRPr sz="1000"/>
          </a:pPr>
          <a:endParaRPr lang="en-US"/>
        </a:p>
      </c:txPr>
    </c:legend>
    <c:plotVisOnly val="1"/>
  </c:chart>
  <c:spPr>
    <a:solidFill>
      <a:schemeClr val="lt1"/>
    </a:solidFill>
    <a:ln w="9525" cap="flat" cmpd="sng" algn="ctr">
      <a:solidFill>
        <a:schemeClr val="dk1"/>
      </a:solidFill>
      <a:prstDash val="solid"/>
    </a:ln>
    <a:effectLst/>
  </c:spPr>
  <c:txPr>
    <a:bodyPr/>
    <a:lstStyle/>
    <a:p>
      <a:pPr>
        <a:defRPr sz="1100" b="0">
          <a:solidFill>
            <a:schemeClr val="dk1"/>
          </a:solidFill>
          <a:latin typeface="Times New Roman" pitchFamily="18" charset="0"/>
          <a:ea typeface="+mn-ea"/>
          <a:cs typeface="Times New Roman" pitchFamily="18" charset="0"/>
        </a:defRPr>
      </a:pPr>
      <a:endParaRPr lang="en-US"/>
    </a:p>
  </c:txPr>
  <c:externalData r:id="rId1"/>
</c:chartSpace>
</file>

<file path=word/charts/chart36.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0903122686587408"/>
          <c:y val="3.2085520559930011E-2"/>
          <c:w val="0.8633104515781822"/>
          <c:h val="0.82802892285523144"/>
        </c:manualLayout>
      </c:layout>
      <c:scatterChart>
        <c:scatterStyle val="lineMarker"/>
        <c:ser>
          <c:idx val="0"/>
          <c:order val="0"/>
          <c:tx>
            <c:v>Proposed Methodology</c:v>
          </c:tx>
          <c:spPr>
            <a:ln w="28575">
              <a:noFill/>
            </a:ln>
          </c:spPr>
          <c:marker>
            <c:symbol val="star"/>
            <c:size val="7"/>
            <c:spPr>
              <a:noFill/>
              <a:ln>
                <a:solidFill>
                  <a:srgbClr val="0000FF"/>
                </a:solidFill>
              </a:ln>
            </c:spPr>
          </c:marker>
          <c:xVal>
            <c:numRef>
              <c:f>('2nddeg'!$AA$5:$AA$30,'2nddeg'!$AA$32:$AA$49)</c:f>
              <c:numCache>
                <c:formatCode>0.000</c:formatCode>
                <c:ptCount val="44"/>
                <c:pt idx="0">
                  <c:v>3.033726666667105E-2</c:v>
                </c:pt>
                <c:pt idx="1">
                  <c:v>-7.1410459915608834E-2</c:v>
                </c:pt>
                <c:pt idx="5">
                  <c:v>1.4975565612509723E-3</c:v>
                </c:pt>
                <c:pt idx="6">
                  <c:v>-0.14791529379299856</c:v>
                </c:pt>
                <c:pt idx="7">
                  <c:v>-2.8673748340076245E-3</c:v>
                </c:pt>
                <c:pt idx="9">
                  <c:v>0.1232759471182077</c:v>
                </c:pt>
                <c:pt idx="10">
                  <c:v>3.3270272195928006E-2</c:v>
                </c:pt>
                <c:pt idx="11">
                  <c:v>-2.8675632076724175E-2</c:v>
                </c:pt>
                <c:pt idx="13">
                  <c:v>-4.0207743076457775E-2</c:v>
                </c:pt>
                <c:pt idx="14">
                  <c:v>-0.32987903422518638</c:v>
                </c:pt>
                <c:pt idx="15">
                  <c:v>6.3266125885064639E-2</c:v>
                </c:pt>
                <c:pt idx="17">
                  <c:v>-7.3385821701066594E-4</c:v>
                </c:pt>
                <c:pt idx="18">
                  <c:v>-0.11935354576502639</c:v>
                </c:pt>
                <c:pt idx="19">
                  <c:v>-0.12062240164562379</c:v>
                </c:pt>
                <c:pt idx="20">
                  <c:v>0.12856538425914721</c:v>
                </c:pt>
                <c:pt idx="21">
                  <c:v>-0.22380204966476569</c:v>
                </c:pt>
                <c:pt idx="22">
                  <c:v>-9.0253929162184263E-2</c:v>
                </c:pt>
                <c:pt idx="23">
                  <c:v>-0.28014148754010293</c:v>
                </c:pt>
                <c:pt idx="24">
                  <c:v>-4.4792975252854958E-2</c:v>
                </c:pt>
                <c:pt idx="25">
                  <c:v>-0.4362390101850977</c:v>
                </c:pt>
                <c:pt idx="26">
                  <c:v>-0.12631147954852295</c:v>
                </c:pt>
                <c:pt idx="27">
                  <c:v>0.23168694467863915</c:v>
                </c:pt>
                <c:pt idx="28">
                  <c:v>0.15748015055544856</c:v>
                </c:pt>
                <c:pt idx="29">
                  <c:v>0.38394794713365737</c:v>
                </c:pt>
                <c:pt idx="30">
                  <c:v>-0.36892843122871538</c:v>
                </c:pt>
                <c:pt idx="31">
                  <c:v>0.23810632050971847</c:v>
                </c:pt>
                <c:pt idx="32">
                  <c:v>-0.38277782327467946</c:v>
                </c:pt>
                <c:pt idx="33">
                  <c:v>0.17673788830662898</c:v>
                </c:pt>
                <c:pt idx="34">
                  <c:v>7.3686142968991689E-2</c:v>
                </c:pt>
                <c:pt idx="35">
                  <c:v>-0.11285387549843405</c:v>
                </c:pt>
                <c:pt idx="36">
                  <c:v>0.16621758150184376</c:v>
                </c:pt>
                <c:pt idx="37">
                  <c:v>-0.16079271670906792</c:v>
                </c:pt>
                <c:pt idx="38">
                  <c:v>0.153802820559644</c:v>
                </c:pt>
                <c:pt idx="39">
                  <c:v>-9.5531368982740256E-2</c:v>
                </c:pt>
                <c:pt idx="40">
                  <c:v>-0.12359452165097723</c:v>
                </c:pt>
                <c:pt idx="41">
                  <c:v>-0.21796848248665956</c:v>
                </c:pt>
                <c:pt idx="42">
                  <c:v>-0.17595298144483007</c:v>
                </c:pt>
                <c:pt idx="43">
                  <c:v>0.19104138105601648</c:v>
                </c:pt>
              </c:numCache>
            </c:numRef>
          </c:xVal>
          <c:yVal>
            <c:numRef>
              <c:f>('2nddeg'!$T$5:$T$30,'2nddeg'!$T$32:$T$50)</c:f>
              <c:numCache>
                <c:formatCode>General</c:formatCode>
                <c:ptCount val="45"/>
                <c:pt idx="0">
                  <c:v>430</c:v>
                </c:pt>
                <c:pt idx="1">
                  <c:v>30</c:v>
                </c:pt>
                <c:pt idx="5">
                  <c:v>2.8749999999999987</c:v>
                </c:pt>
                <c:pt idx="6">
                  <c:v>9.3972000000000016</c:v>
                </c:pt>
                <c:pt idx="7">
                  <c:v>8.3330000000000002</c:v>
                </c:pt>
                <c:pt idx="9">
                  <c:v>21.166</c:v>
                </c:pt>
                <c:pt idx="10">
                  <c:v>2.125</c:v>
                </c:pt>
                <c:pt idx="11">
                  <c:v>60.63</c:v>
                </c:pt>
                <c:pt idx="13">
                  <c:v>18.729199999999889</c:v>
                </c:pt>
                <c:pt idx="14">
                  <c:v>8.5416999999999987</c:v>
                </c:pt>
                <c:pt idx="15">
                  <c:v>16.660399999999989</c:v>
                </c:pt>
                <c:pt idx="17">
                  <c:v>17.839600000000001</c:v>
                </c:pt>
                <c:pt idx="18">
                  <c:v>23.833300000000001</c:v>
                </c:pt>
                <c:pt idx="19">
                  <c:v>14.902800000000004</c:v>
                </c:pt>
                <c:pt idx="20">
                  <c:v>0</c:v>
                </c:pt>
                <c:pt idx="21">
                  <c:v>25.934000000000001</c:v>
                </c:pt>
                <c:pt idx="22">
                  <c:v>23.515999999999988</c:v>
                </c:pt>
                <c:pt idx="23">
                  <c:v>32.8264</c:v>
                </c:pt>
                <c:pt idx="24">
                  <c:v>64.022899999999979</c:v>
                </c:pt>
                <c:pt idx="25">
                  <c:v>61.017399999999995</c:v>
                </c:pt>
                <c:pt idx="26">
                  <c:v>7.7493000000000034</c:v>
                </c:pt>
                <c:pt idx="27">
                  <c:v>7.1221999999999746</c:v>
                </c:pt>
                <c:pt idx="28">
                  <c:v>143.73999999999998</c:v>
                </c:pt>
                <c:pt idx="29">
                  <c:v>468.52</c:v>
                </c:pt>
                <c:pt idx="30">
                  <c:v>17.8125</c:v>
                </c:pt>
                <c:pt idx="31">
                  <c:v>25.708299999999689</c:v>
                </c:pt>
                <c:pt idx="32">
                  <c:v>22.875</c:v>
                </c:pt>
                <c:pt idx="33">
                  <c:v>42.804199999999994</c:v>
                </c:pt>
                <c:pt idx="34">
                  <c:v>10.3451</c:v>
                </c:pt>
                <c:pt idx="35">
                  <c:v>26.291699999999889</c:v>
                </c:pt>
                <c:pt idx="36">
                  <c:v>25</c:v>
                </c:pt>
                <c:pt idx="37">
                  <c:v>45.7819</c:v>
                </c:pt>
                <c:pt idx="38">
                  <c:v>16.1493</c:v>
                </c:pt>
                <c:pt idx="39">
                  <c:v>48.926400000000001</c:v>
                </c:pt>
                <c:pt idx="40">
                  <c:v>25.090299999999989</c:v>
                </c:pt>
                <c:pt idx="41">
                  <c:v>32.562500000000163</c:v>
                </c:pt>
                <c:pt idx="42">
                  <c:v>17.878499999999889</c:v>
                </c:pt>
                <c:pt idx="43">
                  <c:v>59.541699999999999</c:v>
                </c:pt>
                <c:pt idx="44">
                  <c:v>17.588899999999889</c:v>
                </c:pt>
              </c:numCache>
            </c:numRef>
          </c:yVal>
        </c:ser>
        <c:ser>
          <c:idx val="1"/>
          <c:order val="1"/>
          <c:tx>
            <c:v>Current Methodology</c:v>
          </c:tx>
          <c:spPr>
            <a:ln w="28575">
              <a:noFill/>
            </a:ln>
          </c:spPr>
          <c:marker>
            <c:symbol val="triangle"/>
            <c:size val="7"/>
            <c:spPr>
              <a:solidFill>
                <a:srgbClr val="FF0000"/>
              </a:solidFill>
              <a:ln>
                <a:noFill/>
              </a:ln>
            </c:spPr>
          </c:marker>
          <c:xVal>
            <c:numRef>
              <c:f>('2nddeg'!$S$5:$S$30,'2nddeg'!$S$32:$S$49)</c:f>
              <c:numCache>
                <c:formatCode>0.000</c:formatCode>
                <c:ptCount val="44"/>
                <c:pt idx="0">
                  <c:v>-0.18000000000000024</c:v>
                </c:pt>
                <c:pt idx="1">
                  <c:v>0.31000000000000238</c:v>
                </c:pt>
                <c:pt idx="2">
                  <c:v>7.9999999999999724E-2</c:v>
                </c:pt>
                <c:pt idx="5">
                  <c:v>1.000000000000156E-2</c:v>
                </c:pt>
                <c:pt idx="6">
                  <c:v>-0.16200000000000001</c:v>
                </c:pt>
                <c:pt idx="7">
                  <c:v>1.0999999999999226E-2</c:v>
                </c:pt>
                <c:pt idx="9">
                  <c:v>0.10200000000000042</c:v>
                </c:pt>
                <c:pt idx="10">
                  <c:v>6.2999999999999112E-2</c:v>
                </c:pt>
                <c:pt idx="11">
                  <c:v>-0.14700000000000021</c:v>
                </c:pt>
                <c:pt idx="12">
                  <c:v>-0.15000000000000024</c:v>
                </c:pt>
                <c:pt idx="13">
                  <c:v>4.0999999999997032E-2</c:v>
                </c:pt>
                <c:pt idx="14">
                  <c:v>-0.28800000000000031</c:v>
                </c:pt>
                <c:pt idx="15">
                  <c:v>4.5999999999999423E-2</c:v>
                </c:pt>
                <c:pt idx="17">
                  <c:v>9.0000000000003567E-3</c:v>
                </c:pt>
                <c:pt idx="18">
                  <c:v>-8.1999999999997228E-2</c:v>
                </c:pt>
                <c:pt idx="19">
                  <c:v>-0.10000000000000142</c:v>
                </c:pt>
                <c:pt idx="20">
                  <c:v>0.17900000000000021</c:v>
                </c:pt>
                <c:pt idx="21">
                  <c:v>-0.28200000000000008</c:v>
                </c:pt>
                <c:pt idx="22">
                  <c:v>-2.0000000000003251E-2</c:v>
                </c:pt>
                <c:pt idx="23">
                  <c:v>-0.32100000000000434</c:v>
                </c:pt>
                <c:pt idx="24">
                  <c:v>-7.6000000000000512E-2</c:v>
                </c:pt>
                <c:pt idx="25">
                  <c:v>-0.43000000000000038</c:v>
                </c:pt>
                <c:pt idx="26">
                  <c:v>-0.14200000000000004</c:v>
                </c:pt>
                <c:pt idx="27">
                  <c:v>0.23400000000000001</c:v>
                </c:pt>
                <c:pt idx="28">
                  <c:v>-0.16500000000000001</c:v>
                </c:pt>
                <c:pt idx="29">
                  <c:v>-0.56599999999999895</c:v>
                </c:pt>
                <c:pt idx="30">
                  <c:v>-0.40100000000000002</c:v>
                </c:pt>
                <c:pt idx="31">
                  <c:v>0.22000000000000003</c:v>
                </c:pt>
                <c:pt idx="32">
                  <c:v>-0.34000000000000008</c:v>
                </c:pt>
                <c:pt idx="33">
                  <c:v>0.14000000000000071</c:v>
                </c:pt>
                <c:pt idx="34">
                  <c:v>0.14000000000000001</c:v>
                </c:pt>
                <c:pt idx="35">
                  <c:v>-0.12199999999999989</c:v>
                </c:pt>
                <c:pt idx="36">
                  <c:v>0.16900000000000048</c:v>
                </c:pt>
                <c:pt idx="37">
                  <c:v>-0.20700000000000074</c:v>
                </c:pt>
                <c:pt idx="38">
                  <c:v>0.2240000000000002</c:v>
                </c:pt>
                <c:pt idx="39">
                  <c:v>-0.17200000000000071</c:v>
                </c:pt>
                <c:pt idx="40">
                  <c:v>-6.9000000000002823E-2</c:v>
                </c:pt>
                <c:pt idx="41">
                  <c:v>-0.23500000000000298</c:v>
                </c:pt>
                <c:pt idx="42">
                  <c:v>-0.14200000000000004</c:v>
                </c:pt>
                <c:pt idx="43">
                  <c:v>9.3999999999998765E-2</c:v>
                </c:pt>
              </c:numCache>
            </c:numRef>
          </c:xVal>
          <c:yVal>
            <c:numRef>
              <c:f>('2nddeg'!$T$5:$T$30,'2nddeg'!$T$32:$T$50)</c:f>
              <c:numCache>
                <c:formatCode>General</c:formatCode>
                <c:ptCount val="45"/>
                <c:pt idx="0">
                  <c:v>430</c:v>
                </c:pt>
                <c:pt idx="1">
                  <c:v>30</c:v>
                </c:pt>
                <c:pt idx="5">
                  <c:v>2.8749999999999987</c:v>
                </c:pt>
                <c:pt idx="6">
                  <c:v>9.3972000000000016</c:v>
                </c:pt>
                <c:pt idx="7">
                  <c:v>8.3330000000000002</c:v>
                </c:pt>
                <c:pt idx="9">
                  <c:v>21.166</c:v>
                </c:pt>
                <c:pt idx="10">
                  <c:v>2.125</c:v>
                </c:pt>
                <c:pt idx="11">
                  <c:v>60.63</c:v>
                </c:pt>
                <c:pt idx="13">
                  <c:v>18.729199999999889</c:v>
                </c:pt>
                <c:pt idx="14">
                  <c:v>8.5416999999999987</c:v>
                </c:pt>
                <c:pt idx="15">
                  <c:v>16.660399999999989</c:v>
                </c:pt>
                <c:pt idx="17">
                  <c:v>17.839600000000001</c:v>
                </c:pt>
                <c:pt idx="18">
                  <c:v>23.833300000000001</c:v>
                </c:pt>
                <c:pt idx="19">
                  <c:v>14.902800000000004</c:v>
                </c:pt>
                <c:pt idx="20">
                  <c:v>0</c:v>
                </c:pt>
                <c:pt idx="21">
                  <c:v>25.934000000000001</c:v>
                </c:pt>
                <c:pt idx="22">
                  <c:v>23.515999999999988</c:v>
                </c:pt>
                <c:pt idx="23">
                  <c:v>32.8264</c:v>
                </c:pt>
                <c:pt idx="24">
                  <c:v>64.022899999999979</c:v>
                </c:pt>
                <c:pt idx="25">
                  <c:v>61.017399999999995</c:v>
                </c:pt>
                <c:pt idx="26">
                  <c:v>7.7493000000000034</c:v>
                </c:pt>
                <c:pt idx="27">
                  <c:v>7.1221999999999746</c:v>
                </c:pt>
                <c:pt idx="28">
                  <c:v>143.73999999999998</c:v>
                </c:pt>
                <c:pt idx="29">
                  <c:v>468.52</c:v>
                </c:pt>
                <c:pt idx="30">
                  <c:v>17.8125</c:v>
                </c:pt>
                <c:pt idx="31">
                  <c:v>25.708299999999689</c:v>
                </c:pt>
                <c:pt idx="32">
                  <c:v>22.875</c:v>
                </c:pt>
                <c:pt idx="33">
                  <c:v>42.804199999999994</c:v>
                </c:pt>
                <c:pt idx="34">
                  <c:v>10.3451</c:v>
                </c:pt>
                <c:pt idx="35">
                  <c:v>26.291699999999889</c:v>
                </c:pt>
                <c:pt idx="36">
                  <c:v>25</c:v>
                </c:pt>
                <c:pt idx="37">
                  <c:v>45.7819</c:v>
                </c:pt>
                <c:pt idx="38">
                  <c:v>16.1493</c:v>
                </c:pt>
                <c:pt idx="39">
                  <c:v>48.926400000000001</c:v>
                </c:pt>
                <c:pt idx="40">
                  <c:v>25.090299999999989</c:v>
                </c:pt>
                <c:pt idx="41">
                  <c:v>32.562500000000163</c:v>
                </c:pt>
                <c:pt idx="42">
                  <c:v>17.878499999999889</c:v>
                </c:pt>
                <c:pt idx="43">
                  <c:v>59.541699999999999</c:v>
                </c:pt>
                <c:pt idx="44">
                  <c:v>17.588899999999889</c:v>
                </c:pt>
              </c:numCache>
            </c:numRef>
          </c:yVal>
        </c:ser>
        <c:ser>
          <c:idx val="2"/>
          <c:order val="2"/>
          <c:spPr>
            <a:ln w="31750">
              <a:solidFill>
                <a:srgbClr val="7030A0"/>
              </a:solidFill>
            </a:ln>
          </c:spPr>
          <c:marker>
            <c:symbol val="none"/>
          </c:marker>
          <c:xVal>
            <c:numRef>
              <c:f>Sheet2!$B$3:$B$4</c:f>
              <c:numCache>
                <c:formatCode>General</c:formatCode>
                <c:ptCount val="2"/>
                <c:pt idx="0">
                  <c:v>-0.5</c:v>
                </c:pt>
                <c:pt idx="1">
                  <c:v>-0.5</c:v>
                </c:pt>
              </c:numCache>
            </c:numRef>
          </c:xVal>
          <c:yVal>
            <c:numRef>
              <c:f>Sheet2!$C$3:$C$4</c:f>
              <c:numCache>
                <c:formatCode>General</c:formatCode>
                <c:ptCount val="2"/>
                <c:pt idx="0">
                  <c:v>0</c:v>
                </c:pt>
                <c:pt idx="1">
                  <c:v>500</c:v>
                </c:pt>
              </c:numCache>
            </c:numRef>
          </c:yVal>
        </c:ser>
        <c:ser>
          <c:idx val="3"/>
          <c:order val="3"/>
          <c:spPr>
            <a:ln w="31750">
              <a:solidFill>
                <a:srgbClr val="7030A0"/>
              </a:solidFill>
            </a:ln>
          </c:spPr>
          <c:marker>
            <c:symbol val="none"/>
          </c:marker>
          <c:xVal>
            <c:numRef>
              <c:f>Sheet2!$B$7:$B$8</c:f>
              <c:numCache>
                <c:formatCode>General</c:formatCode>
                <c:ptCount val="2"/>
                <c:pt idx="0">
                  <c:v>0.5</c:v>
                </c:pt>
                <c:pt idx="1">
                  <c:v>0.5</c:v>
                </c:pt>
              </c:numCache>
            </c:numRef>
          </c:xVal>
          <c:yVal>
            <c:numRef>
              <c:f>Sheet2!$C$7:$C$8</c:f>
              <c:numCache>
                <c:formatCode>General</c:formatCode>
                <c:ptCount val="2"/>
                <c:pt idx="0">
                  <c:v>0</c:v>
                </c:pt>
                <c:pt idx="1">
                  <c:v>500</c:v>
                </c:pt>
              </c:numCache>
            </c:numRef>
          </c:yVal>
        </c:ser>
        <c:ser>
          <c:idx val="4"/>
          <c:order val="4"/>
          <c:spPr>
            <a:ln w="28575">
              <a:noFill/>
            </a:ln>
          </c:spPr>
          <c:marker>
            <c:symbol val="triangle"/>
            <c:size val="7"/>
            <c:spPr>
              <a:solidFill>
                <a:srgbClr val="FF0000"/>
              </a:solidFill>
              <a:ln w="25400">
                <a:noFill/>
              </a:ln>
            </c:spPr>
          </c:marker>
          <c:xVal>
            <c:numRef>
              <c:f>Sheet2!$B$12</c:f>
              <c:numCache>
                <c:formatCode>General</c:formatCode>
                <c:ptCount val="1"/>
                <c:pt idx="0">
                  <c:v>-0.85800000000000065</c:v>
                </c:pt>
              </c:numCache>
            </c:numRef>
          </c:xVal>
          <c:yVal>
            <c:numRef>
              <c:f>Sheet2!$C$12</c:f>
              <c:numCache>
                <c:formatCode>General</c:formatCode>
                <c:ptCount val="1"/>
                <c:pt idx="0">
                  <c:v>430</c:v>
                </c:pt>
              </c:numCache>
            </c:numRef>
          </c:yVal>
        </c:ser>
        <c:axId val="191352192"/>
        <c:axId val="191514496"/>
      </c:scatterChart>
      <c:valAx>
        <c:axId val="191352192"/>
        <c:scaling>
          <c:orientation val="minMax"/>
          <c:max val="1"/>
          <c:min val="-1"/>
        </c:scaling>
        <c:axPos val="b"/>
        <c:majorGridlines>
          <c:spPr>
            <a:ln>
              <a:solidFill>
                <a:sysClr val="windowText" lastClr="000000"/>
              </a:solidFill>
            </a:ln>
          </c:spPr>
        </c:majorGridlines>
        <c:minorGridlines/>
        <c:title>
          <c:tx>
            <c:rich>
              <a:bodyPr/>
              <a:lstStyle/>
              <a:p>
                <a:pPr>
                  <a:defRPr/>
                </a:pPr>
                <a:r>
                  <a:rPr lang="en-US"/>
                  <a:t>ASCCEP - ESCCEP (inches)</a:t>
                </a:r>
              </a:p>
            </c:rich>
          </c:tx>
          <c:layout>
            <c:manualLayout>
              <c:xMode val="edge"/>
              <c:yMode val="edge"/>
              <c:x val="0.37720354667205058"/>
              <c:y val="0.9416487314085964"/>
            </c:manualLayout>
          </c:layout>
        </c:title>
        <c:numFmt formatCode="0.0" sourceLinked="0"/>
        <c:tickLblPos val="nextTo"/>
        <c:spPr>
          <a:ln>
            <a:solidFill>
              <a:schemeClr val="tx1"/>
            </a:solidFill>
          </a:ln>
        </c:spPr>
        <c:crossAx val="191514496"/>
        <c:crosses val="autoZero"/>
        <c:crossBetween val="midCat"/>
        <c:majorUnit val="0.1"/>
        <c:minorUnit val="0.05"/>
      </c:valAx>
      <c:valAx>
        <c:axId val="191514496"/>
        <c:scaling>
          <c:orientation val="minMax"/>
          <c:max val="500"/>
        </c:scaling>
        <c:axPos val="l"/>
        <c:majorGridlines>
          <c:spPr>
            <a:ln>
              <a:solidFill>
                <a:sysClr val="windowText" lastClr="000000"/>
              </a:solidFill>
            </a:ln>
          </c:spPr>
        </c:majorGridlines>
        <c:minorGridlines/>
        <c:title>
          <c:tx>
            <c:rich>
              <a:bodyPr rot="-5400000" vert="horz"/>
              <a:lstStyle/>
              <a:p>
                <a:pPr>
                  <a:defRPr/>
                </a:pPr>
                <a:r>
                  <a:rPr lang="en-US"/>
                  <a:t>Outage Time Prior to Current Cycle Startup (d)</a:t>
                </a:r>
              </a:p>
            </c:rich>
          </c:tx>
        </c:title>
        <c:numFmt formatCode="0" sourceLinked="0"/>
        <c:tickLblPos val="low"/>
        <c:spPr>
          <a:ln w="25400">
            <a:solidFill>
              <a:srgbClr val="00B050"/>
            </a:solidFill>
          </a:ln>
        </c:spPr>
        <c:crossAx val="191352192"/>
        <c:crosses val="autoZero"/>
        <c:crossBetween val="midCat"/>
        <c:majorUnit val="50"/>
        <c:minorUnit val="25"/>
      </c:valAx>
    </c:plotArea>
    <c:legend>
      <c:legendPos val="r"/>
      <c:legendEntry>
        <c:idx val="2"/>
        <c:delete val="1"/>
      </c:legendEntry>
      <c:legendEntry>
        <c:idx val="3"/>
        <c:delete val="1"/>
      </c:legendEntry>
      <c:legendEntry>
        <c:idx val="4"/>
        <c:delete val="1"/>
      </c:legendEntry>
      <c:layout>
        <c:manualLayout>
          <c:xMode val="edge"/>
          <c:yMode val="edge"/>
          <c:x val="0.76566155192139462"/>
          <c:y val="3.9661854768154002E-2"/>
          <c:w val="0.1909010116551523"/>
          <c:h val="0.19508635639295091"/>
        </c:manualLayout>
      </c:layout>
      <c:overlay val="1"/>
      <c:spPr>
        <a:solidFill>
          <a:sysClr val="window" lastClr="FFFFFF"/>
        </a:solidFill>
        <a:ln w="12700">
          <a:solidFill>
            <a:schemeClr val="tx1"/>
          </a:solidFill>
        </a:ln>
      </c:spPr>
      <c:txPr>
        <a:bodyPr/>
        <a:lstStyle/>
        <a:p>
          <a:pPr>
            <a:defRPr sz="1000"/>
          </a:pPr>
          <a:endParaRPr lang="en-US"/>
        </a:p>
      </c:txPr>
    </c:legend>
    <c:plotVisOnly val="1"/>
  </c:chart>
  <c:spPr>
    <a:solidFill>
      <a:schemeClr val="lt1"/>
    </a:solidFill>
    <a:ln w="9525" cap="flat" cmpd="sng" algn="ctr">
      <a:solidFill>
        <a:schemeClr val="dk1"/>
      </a:solidFill>
      <a:prstDash val="solid"/>
    </a:ln>
    <a:effectLst/>
  </c:spPr>
  <c:txPr>
    <a:bodyPr/>
    <a:lstStyle/>
    <a:p>
      <a:pPr>
        <a:defRPr sz="1100">
          <a:solidFill>
            <a:schemeClr val="dk1"/>
          </a:solidFill>
          <a:latin typeface="Times New Roman" pitchFamily="18" charset="0"/>
          <a:ea typeface="+mn-ea"/>
          <a:cs typeface="Times New Roman" pitchFamily="18" charset="0"/>
        </a:defRPr>
      </a:pPr>
      <a:endParaRPr lang="en-US"/>
    </a:p>
  </c:txPr>
  <c:externalData r:id="rId1"/>
  <c:userShapes r:id="rId2"/>
</c:chartSpace>
</file>

<file path=word/charts/chart37.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1860965296004666"/>
          <c:y val="0.11123498767199556"/>
          <c:w val="0.84522145669291604"/>
          <c:h val="0.76228688561365732"/>
        </c:manualLayout>
      </c:layout>
      <c:scatterChart>
        <c:scatterStyle val="smoothMarker"/>
        <c:ser>
          <c:idx val="1"/>
          <c:order val="0"/>
          <c:tx>
            <c:v>RB (0.0044wt%U)</c:v>
          </c:tx>
          <c:spPr>
            <a:ln w="25400">
              <a:solidFill>
                <a:srgbClr val="0000FF"/>
              </a:solidFill>
              <a:prstDash val="sysDash"/>
            </a:ln>
          </c:spPr>
          <c:marker>
            <c:symbol val="square"/>
            <c:size val="7"/>
            <c:spPr>
              <a:solidFill>
                <a:srgbClr val="0000FF"/>
              </a:solidFill>
              <a:ln>
                <a:solidFill>
                  <a:srgbClr val="0000FF"/>
                </a:solidFill>
              </a:ln>
            </c:spPr>
          </c:marker>
          <c:xVal>
            <c:numRef>
              <c:f>Sheet1!$B$4:$G$4</c:f>
              <c:numCache>
                <c:formatCode>General</c:formatCode>
                <c:ptCount val="6"/>
                <c:pt idx="0">
                  <c:v>0</c:v>
                </c:pt>
                <c:pt idx="1">
                  <c:v>10</c:v>
                </c:pt>
                <c:pt idx="2">
                  <c:v>20</c:v>
                </c:pt>
                <c:pt idx="3">
                  <c:v>30</c:v>
                </c:pt>
                <c:pt idx="4">
                  <c:v>40</c:v>
                </c:pt>
                <c:pt idx="5">
                  <c:v>50</c:v>
                </c:pt>
              </c:numCache>
            </c:numRef>
          </c:xVal>
          <c:yVal>
            <c:numRef>
              <c:f>Sheet1!$B$8:$G$8</c:f>
              <c:numCache>
                <c:formatCode>0.00</c:formatCode>
                <c:ptCount val="6"/>
                <c:pt idx="0">
                  <c:v>125.36188360661772</c:v>
                </c:pt>
                <c:pt idx="1">
                  <c:v>257.70211892186899</c:v>
                </c:pt>
                <c:pt idx="2">
                  <c:v>327.31822278124969</c:v>
                </c:pt>
                <c:pt idx="3">
                  <c:v>370.20303252297663</c:v>
                </c:pt>
                <c:pt idx="4">
                  <c:v>396.08962627113965</c:v>
                </c:pt>
                <c:pt idx="5">
                  <c:v>411.26409593933931</c:v>
                </c:pt>
              </c:numCache>
            </c:numRef>
          </c:yVal>
          <c:smooth val="1"/>
        </c:ser>
        <c:ser>
          <c:idx val="3"/>
          <c:order val="1"/>
          <c:tx>
            <c:v>SPB (0.0044wt%U)</c:v>
          </c:tx>
          <c:spPr>
            <a:ln w="25400">
              <a:solidFill>
                <a:srgbClr val="FF0000"/>
              </a:solidFill>
              <a:prstDash val="dashDot"/>
            </a:ln>
          </c:spPr>
          <c:marker>
            <c:symbol val="star"/>
            <c:size val="7"/>
            <c:spPr>
              <a:ln w="19050">
                <a:solidFill>
                  <a:srgbClr val="FF0000"/>
                </a:solidFill>
              </a:ln>
            </c:spPr>
          </c:marker>
          <c:xVal>
            <c:numRef>
              <c:f>Sheet1!$B$4:$G$4</c:f>
              <c:numCache>
                <c:formatCode>General</c:formatCode>
                <c:ptCount val="6"/>
                <c:pt idx="0">
                  <c:v>0</c:v>
                </c:pt>
                <c:pt idx="1">
                  <c:v>10</c:v>
                </c:pt>
                <c:pt idx="2">
                  <c:v>20</c:v>
                </c:pt>
                <c:pt idx="3">
                  <c:v>30</c:v>
                </c:pt>
                <c:pt idx="4">
                  <c:v>40</c:v>
                </c:pt>
                <c:pt idx="5">
                  <c:v>50</c:v>
                </c:pt>
              </c:numCache>
            </c:numRef>
          </c:xVal>
          <c:yVal>
            <c:numRef>
              <c:f>Sheet1!$B$9:$G$9</c:f>
              <c:numCache>
                <c:formatCode>0.00</c:formatCode>
                <c:ptCount val="6"/>
                <c:pt idx="0">
                  <c:v>103.66743189053771</c:v>
                </c:pt>
                <c:pt idx="1">
                  <c:v>172.12017504922414</c:v>
                </c:pt>
                <c:pt idx="2">
                  <c:v>209.96371751209747</c:v>
                </c:pt>
                <c:pt idx="3">
                  <c:v>233.73583182379443</c:v>
                </c:pt>
                <c:pt idx="4">
                  <c:v>248.51535292841655</c:v>
                </c:pt>
                <c:pt idx="5">
                  <c:v>257.4653757850769</c:v>
                </c:pt>
              </c:numCache>
            </c:numRef>
          </c:yVal>
          <c:smooth val="1"/>
        </c:ser>
        <c:ser>
          <c:idx val="5"/>
          <c:order val="2"/>
          <c:tx>
            <c:v>PB3 (0.0044wt%U)</c:v>
          </c:tx>
          <c:spPr>
            <a:ln w="31750">
              <a:solidFill>
                <a:srgbClr val="006600"/>
              </a:solidFill>
              <a:prstDash val="sysDot"/>
            </a:ln>
          </c:spPr>
          <c:marker>
            <c:symbol val="circle"/>
            <c:size val="6"/>
            <c:spPr>
              <a:solidFill>
                <a:srgbClr val="006600"/>
              </a:solidFill>
              <a:ln>
                <a:solidFill>
                  <a:srgbClr val="006600"/>
                </a:solidFill>
              </a:ln>
            </c:spPr>
          </c:marker>
          <c:xVal>
            <c:numRef>
              <c:f>Sheet1!$B$4:$G$4</c:f>
              <c:numCache>
                <c:formatCode>General</c:formatCode>
                <c:ptCount val="6"/>
                <c:pt idx="0">
                  <c:v>0</c:v>
                </c:pt>
                <c:pt idx="1">
                  <c:v>10</c:v>
                </c:pt>
                <c:pt idx="2">
                  <c:v>20</c:v>
                </c:pt>
                <c:pt idx="3">
                  <c:v>30</c:v>
                </c:pt>
                <c:pt idx="4">
                  <c:v>40</c:v>
                </c:pt>
                <c:pt idx="5">
                  <c:v>50</c:v>
                </c:pt>
              </c:numCache>
            </c:numRef>
          </c:xVal>
          <c:yVal>
            <c:numRef>
              <c:f>Sheet1!$B$10:$G$10</c:f>
              <c:numCache>
                <c:formatCode>0.00</c:formatCode>
                <c:ptCount val="6"/>
                <c:pt idx="0">
                  <c:v>84.569111612656258</c:v>
                </c:pt>
                <c:pt idx="1">
                  <c:v>146.96956851620303</c:v>
                </c:pt>
                <c:pt idx="2">
                  <c:v>188.78386186814367</c:v>
                </c:pt>
                <c:pt idx="3">
                  <c:v>210.98194407748156</c:v>
                </c:pt>
                <c:pt idx="4">
                  <c:v>224.4495984559162</c:v>
                </c:pt>
                <c:pt idx="5">
                  <c:v>232.27269251257965</c:v>
                </c:pt>
              </c:numCache>
            </c:numRef>
          </c:yVal>
          <c:smooth val="1"/>
        </c:ser>
        <c:ser>
          <c:idx val="0"/>
          <c:order val="3"/>
          <c:tx>
            <c:v>RB (0.0011wt%U)</c:v>
          </c:tx>
          <c:spPr>
            <a:ln w="25400">
              <a:solidFill>
                <a:srgbClr val="0000FF"/>
              </a:solidFill>
            </a:ln>
          </c:spPr>
          <c:marker>
            <c:symbol val="square"/>
            <c:size val="6"/>
            <c:spPr>
              <a:solidFill>
                <a:srgbClr val="0000FF"/>
              </a:solidFill>
              <a:ln>
                <a:solidFill>
                  <a:srgbClr val="0000FF"/>
                </a:solidFill>
              </a:ln>
            </c:spPr>
          </c:marker>
          <c:xVal>
            <c:numRef>
              <c:f>Sheet1!$B$4:$G$4</c:f>
              <c:numCache>
                <c:formatCode>General</c:formatCode>
                <c:ptCount val="6"/>
                <c:pt idx="0">
                  <c:v>0</c:v>
                </c:pt>
                <c:pt idx="1">
                  <c:v>10</c:v>
                </c:pt>
                <c:pt idx="2">
                  <c:v>20</c:v>
                </c:pt>
                <c:pt idx="3">
                  <c:v>30</c:v>
                </c:pt>
                <c:pt idx="4">
                  <c:v>40</c:v>
                </c:pt>
                <c:pt idx="5">
                  <c:v>50</c:v>
                </c:pt>
              </c:numCache>
            </c:numRef>
          </c:xVal>
          <c:yVal>
            <c:numRef>
              <c:f>Sheet1!$B$5:$G$5</c:f>
              <c:numCache>
                <c:formatCode>0.00</c:formatCode>
                <c:ptCount val="6"/>
                <c:pt idx="0">
                  <c:v>31.302201043198533</c:v>
                </c:pt>
                <c:pt idx="1">
                  <c:v>64.349078507168358</c:v>
                </c:pt>
                <c:pt idx="2">
                  <c:v>81.727049278952194</c:v>
                </c:pt>
                <c:pt idx="3">
                  <c:v>92.436030344761051</c:v>
                </c:pt>
                <c:pt idx="4">
                  <c:v>98.91461490331109</c:v>
                </c:pt>
                <c:pt idx="5">
                  <c:v>102.68523429632315</c:v>
                </c:pt>
              </c:numCache>
            </c:numRef>
          </c:yVal>
          <c:smooth val="1"/>
        </c:ser>
        <c:ser>
          <c:idx val="2"/>
          <c:order val="4"/>
          <c:tx>
            <c:v>SPB (0.0011wt%U)</c:v>
          </c:tx>
          <c:spPr>
            <a:ln w="25400">
              <a:solidFill>
                <a:srgbClr val="FF0000"/>
              </a:solidFill>
            </a:ln>
          </c:spPr>
          <c:marker>
            <c:symbol val="star"/>
            <c:size val="7"/>
            <c:spPr>
              <a:noFill/>
              <a:ln w="15875">
                <a:solidFill>
                  <a:srgbClr val="FF0000"/>
                </a:solidFill>
              </a:ln>
            </c:spPr>
          </c:marker>
          <c:xVal>
            <c:numRef>
              <c:f>Sheet1!$B$4:$G$4</c:f>
              <c:numCache>
                <c:formatCode>General</c:formatCode>
                <c:ptCount val="6"/>
                <c:pt idx="0">
                  <c:v>0</c:v>
                </c:pt>
                <c:pt idx="1">
                  <c:v>10</c:v>
                </c:pt>
                <c:pt idx="2">
                  <c:v>20</c:v>
                </c:pt>
                <c:pt idx="3">
                  <c:v>30</c:v>
                </c:pt>
                <c:pt idx="4">
                  <c:v>40</c:v>
                </c:pt>
                <c:pt idx="5">
                  <c:v>50</c:v>
                </c:pt>
              </c:numCache>
            </c:numRef>
          </c:xVal>
          <c:yVal>
            <c:numRef>
              <c:f>Sheet1!$B$6:$G$6</c:f>
              <c:numCache>
                <c:formatCode>0.00</c:formatCode>
                <c:ptCount val="6"/>
                <c:pt idx="0">
                  <c:v>25.893386406406435</c:v>
                </c:pt>
                <c:pt idx="1">
                  <c:v>42.984303955621975</c:v>
                </c:pt>
                <c:pt idx="2">
                  <c:v>52.436507375709034</c:v>
                </c:pt>
                <c:pt idx="3">
                  <c:v>58.380251086085998</c:v>
                </c:pt>
                <c:pt idx="4">
                  <c:v>62.072405238572578</c:v>
                </c:pt>
                <c:pt idx="5">
                  <c:v>64.307860045046027</c:v>
                </c:pt>
              </c:numCache>
            </c:numRef>
          </c:yVal>
          <c:smooth val="1"/>
        </c:ser>
        <c:ser>
          <c:idx val="4"/>
          <c:order val="5"/>
          <c:tx>
            <c:v>PB3 (0.0011wt%U)</c:v>
          </c:tx>
          <c:spPr>
            <a:ln w="25400">
              <a:solidFill>
                <a:srgbClr val="006600"/>
              </a:solidFill>
            </a:ln>
          </c:spPr>
          <c:marker>
            <c:symbol val="circle"/>
            <c:size val="6"/>
            <c:spPr>
              <a:solidFill>
                <a:srgbClr val="006600"/>
              </a:solidFill>
              <a:ln>
                <a:solidFill>
                  <a:srgbClr val="006600"/>
                </a:solidFill>
              </a:ln>
            </c:spPr>
          </c:marker>
          <c:xVal>
            <c:numRef>
              <c:f>Sheet1!$B$4:$G$4</c:f>
              <c:numCache>
                <c:formatCode>General</c:formatCode>
                <c:ptCount val="6"/>
                <c:pt idx="0">
                  <c:v>0</c:v>
                </c:pt>
                <c:pt idx="1">
                  <c:v>10</c:v>
                </c:pt>
                <c:pt idx="2">
                  <c:v>20</c:v>
                </c:pt>
                <c:pt idx="3">
                  <c:v>30</c:v>
                </c:pt>
                <c:pt idx="4">
                  <c:v>40</c:v>
                </c:pt>
                <c:pt idx="5">
                  <c:v>50</c:v>
                </c:pt>
              </c:numCache>
            </c:numRef>
          </c:xVal>
          <c:yVal>
            <c:numRef>
              <c:f>Sheet1!$B$7:$G$7</c:f>
              <c:numCache>
                <c:formatCode>0.00</c:formatCode>
                <c:ptCount val="6"/>
                <c:pt idx="0">
                  <c:v>21.116471349298845</c:v>
                </c:pt>
                <c:pt idx="1">
                  <c:v>38.120573948140304</c:v>
                </c:pt>
                <c:pt idx="2">
                  <c:v>47.147033223459431</c:v>
                </c:pt>
                <c:pt idx="3">
                  <c:v>52.697007445392792</c:v>
                </c:pt>
                <c:pt idx="4">
                  <c:v>56.061431484289194</c:v>
                </c:pt>
                <c:pt idx="5">
                  <c:v>58.015411807657095</c:v>
                </c:pt>
              </c:numCache>
            </c:numRef>
          </c:yVal>
          <c:smooth val="1"/>
        </c:ser>
        <c:ser>
          <c:idx val="6"/>
          <c:order val="6"/>
          <c:tx>
            <c:v>TRU Threshold</c:v>
          </c:tx>
          <c:spPr>
            <a:ln w="31750" cmpd="sng">
              <a:solidFill>
                <a:schemeClr val="tx1"/>
              </a:solidFill>
              <a:prstDash val="solid"/>
            </a:ln>
          </c:spPr>
          <c:marker>
            <c:symbol val="none"/>
          </c:marker>
          <c:xVal>
            <c:numLit>
              <c:formatCode>General</c:formatCode>
              <c:ptCount val="2"/>
              <c:pt idx="0">
                <c:v>0</c:v>
              </c:pt>
              <c:pt idx="1">
                <c:v>50</c:v>
              </c:pt>
            </c:numLit>
          </c:xVal>
          <c:yVal>
            <c:numLit>
              <c:formatCode>General</c:formatCode>
              <c:ptCount val="2"/>
              <c:pt idx="0">
                <c:v>100</c:v>
              </c:pt>
              <c:pt idx="1">
                <c:v>100</c:v>
              </c:pt>
            </c:numLit>
          </c:yVal>
          <c:smooth val="1"/>
        </c:ser>
        <c:axId val="191667584"/>
        <c:axId val="192022016"/>
      </c:scatterChart>
      <c:valAx>
        <c:axId val="191667584"/>
        <c:scaling>
          <c:orientation val="minMax"/>
          <c:max val="52.5"/>
          <c:min val="0"/>
        </c:scaling>
        <c:axPos val="b"/>
        <c:majorGridlines>
          <c:spPr>
            <a:ln>
              <a:solidFill>
                <a:schemeClr val="tx1"/>
              </a:solidFill>
            </a:ln>
          </c:spPr>
        </c:majorGridlines>
        <c:minorGridlines/>
        <c:title>
          <c:tx>
            <c:rich>
              <a:bodyPr/>
              <a:lstStyle/>
              <a:p>
                <a:pPr>
                  <a:defRPr sz="1100"/>
                </a:pPr>
                <a:r>
                  <a:rPr lang="en-US" sz="1100"/>
                  <a:t>Years After Discharge</a:t>
                </a:r>
              </a:p>
            </c:rich>
          </c:tx>
          <c:layout>
            <c:manualLayout>
              <c:xMode val="edge"/>
              <c:yMode val="edge"/>
              <c:x val="0.43896457872473854"/>
              <c:y val="0.95398511238179351"/>
            </c:manualLayout>
          </c:layout>
        </c:title>
        <c:numFmt formatCode="General" sourceLinked="1"/>
        <c:tickLblPos val="nextTo"/>
        <c:spPr>
          <a:ln>
            <a:solidFill>
              <a:sysClr val="windowText" lastClr="000000"/>
            </a:solidFill>
          </a:ln>
        </c:spPr>
        <c:txPr>
          <a:bodyPr/>
          <a:lstStyle/>
          <a:p>
            <a:pPr>
              <a:defRPr sz="1100"/>
            </a:pPr>
            <a:endParaRPr lang="en-US"/>
          </a:p>
        </c:txPr>
        <c:crossAx val="192022016"/>
        <c:crosses val="autoZero"/>
        <c:crossBetween val="midCat"/>
        <c:majorUnit val="5"/>
        <c:minorUnit val="2.5"/>
      </c:valAx>
      <c:valAx>
        <c:axId val="192022016"/>
        <c:scaling>
          <c:orientation val="minMax"/>
          <c:max val="425"/>
          <c:min val="0"/>
        </c:scaling>
        <c:axPos val="l"/>
        <c:majorGridlines>
          <c:spPr>
            <a:ln>
              <a:solidFill>
                <a:schemeClr val="tx1"/>
              </a:solidFill>
            </a:ln>
          </c:spPr>
        </c:majorGridlines>
        <c:minorGridlines/>
        <c:title>
          <c:tx>
            <c:rich>
              <a:bodyPr rot="-5400000" vert="horz"/>
              <a:lstStyle/>
              <a:p>
                <a:pPr>
                  <a:defRPr sz="1100"/>
                </a:pPr>
                <a:r>
                  <a:rPr lang="en-US" sz="1100"/>
                  <a:t>TRU Waste Radioactivity (nCi/g waste)</a:t>
                </a:r>
              </a:p>
            </c:rich>
          </c:tx>
          <c:layout>
            <c:manualLayout>
              <c:xMode val="edge"/>
              <c:yMode val="edge"/>
              <c:x val="7.9932195975503419E-3"/>
              <c:y val="0.1331462974179515"/>
            </c:manualLayout>
          </c:layout>
        </c:title>
        <c:numFmt formatCode="General" sourceLinked="0"/>
        <c:tickLblPos val="nextTo"/>
        <c:spPr>
          <a:ln>
            <a:solidFill>
              <a:schemeClr val="tx1"/>
            </a:solidFill>
          </a:ln>
        </c:spPr>
        <c:txPr>
          <a:bodyPr/>
          <a:lstStyle/>
          <a:p>
            <a:pPr>
              <a:defRPr sz="1100" b="0"/>
            </a:pPr>
            <a:endParaRPr lang="en-US"/>
          </a:p>
        </c:txPr>
        <c:crossAx val="191667584"/>
        <c:crosses val="autoZero"/>
        <c:crossBetween val="midCat"/>
        <c:majorUnit val="50"/>
        <c:minorUnit val="12.5"/>
      </c:valAx>
    </c:plotArea>
    <c:legend>
      <c:legendPos val="t"/>
      <c:layout>
        <c:manualLayout>
          <c:xMode val="edge"/>
          <c:yMode val="edge"/>
          <c:x val="0"/>
          <c:y val="0"/>
          <c:w val="0.99902803015008679"/>
          <c:h val="0.11759854031404"/>
        </c:manualLayout>
      </c:layout>
      <c:spPr>
        <a:solidFill>
          <a:schemeClr val="bg1"/>
        </a:solidFill>
        <a:ln w="12700">
          <a:solidFill>
            <a:schemeClr val="tx1"/>
          </a:solidFill>
        </a:ln>
      </c:spPr>
      <c:txPr>
        <a:bodyPr/>
        <a:lstStyle/>
        <a:p>
          <a:pPr>
            <a:defRPr sz="1000"/>
          </a:pPr>
          <a:endParaRPr lang="en-US"/>
        </a:p>
      </c:txPr>
    </c:legend>
    <c:plotVisOnly val="1"/>
  </c:chart>
  <c:spPr>
    <a:ln w="9525">
      <a:solidFill>
        <a:sysClr val="windowText" lastClr="000000"/>
      </a:solidFill>
    </a:ln>
  </c:spPr>
  <c:txPr>
    <a:bodyPr/>
    <a:lstStyle/>
    <a:p>
      <a:pPr>
        <a:defRPr sz="1200">
          <a:latin typeface="Times New Roman" pitchFamily="18" charset="0"/>
          <a:cs typeface="Times New Roman" pitchFamily="18" charset="0"/>
        </a:defRPr>
      </a:pPr>
      <a:endParaRPr lang="en-US"/>
    </a:p>
  </c:txPr>
  <c:externalData r:id="rId1"/>
</c:chartSpace>
</file>

<file path=word/charts/chart38.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0973635507100266"/>
          <c:y val="3.1451443569554545E-2"/>
          <c:w val="0.85500723467260065"/>
          <c:h val="0.83740437893981201"/>
        </c:manualLayout>
      </c:layout>
      <c:scatterChart>
        <c:scatterStyle val="smoothMarker"/>
        <c:ser>
          <c:idx val="1"/>
          <c:order val="0"/>
          <c:tx>
            <c:v>TRITON (KENO-VI)</c:v>
          </c:tx>
          <c:spPr>
            <a:ln w="31750">
              <a:solidFill>
                <a:sysClr val="windowText" lastClr="000000"/>
              </a:solidFill>
              <a:prstDash val="sysDot"/>
            </a:ln>
          </c:spPr>
          <c:marker>
            <c:symbol val="none"/>
          </c:marker>
          <c:xVal>
            <c:numRef>
              <c:f>Sheet1!$B$23:$J$23</c:f>
              <c:numCache>
                <c:formatCode>General</c:formatCode>
                <c:ptCount val="9"/>
                <c:pt idx="0">
                  <c:v>0</c:v>
                </c:pt>
                <c:pt idx="1">
                  <c:v>0.24640657084183051</c:v>
                </c:pt>
                <c:pt idx="2">
                  <c:v>2.6009582477754978</c:v>
                </c:pt>
                <c:pt idx="3">
                  <c:v>4.9555099247090784</c:v>
                </c:pt>
                <c:pt idx="4">
                  <c:v>7.3100616016427011</c:v>
                </c:pt>
                <c:pt idx="5">
                  <c:v>9.6646132785763257</c:v>
                </c:pt>
                <c:pt idx="6">
                  <c:v>14.663928815879444</c:v>
                </c:pt>
                <c:pt idx="7">
                  <c:v>19.665982203969484</c:v>
                </c:pt>
                <c:pt idx="8">
                  <c:v>29.664613278575956</c:v>
                </c:pt>
              </c:numCache>
            </c:numRef>
          </c:xVal>
          <c:yVal>
            <c:numRef>
              <c:f>Sheet1!$B$24:$J$24</c:f>
              <c:numCache>
                <c:formatCode>General</c:formatCode>
                <c:ptCount val="9"/>
                <c:pt idx="0">
                  <c:v>87.914346999630595</c:v>
                </c:pt>
                <c:pt idx="1">
                  <c:v>93.913571880494658</c:v>
                </c:pt>
                <c:pt idx="2">
                  <c:v>117.27971009235245</c:v>
                </c:pt>
                <c:pt idx="3">
                  <c:v>132.61189073494333</c:v>
                </c:pt>
                <c:pt idx="4">
                  <c:v>146.14932941244967</c:v>
                </c:pt>
                <c:pt idx="5">
                  <c:v>158.28496443258192</c:v>
                </c:pt>
                <c:pt idx="6">
                  <c:v>179.97521916272629</c:v>
                </c:pt>
                <c:pt idx="7">
                  <c:v>197.05892141577732</c:v>
                </c:pt>
                <c:pt idx="8">
                  <c:v>220.91812976394525</c:v>
                </c:pt>
              </c:numCache>
            </c:numRef>
          </c:yVal>
          <c:smooth val="1"/>
        </c:ser>
        <c:ser>
          <c:idx val="0"/>
          <c:order val="1"/>
          <c:tx>
            <c:v>TRITON (KENO V.a)</c:v>
          </c:tx>
          <c:spPr>
            <a:ln>
              <a:solidFill>
                <a:srgbClr val="0000FF"/>
              </a:solidFill>
              <a:prstDash val="dash"/>
            </a:ln>
          </c:spPr>
          <c:marker>
            <c:symbol val="none"/>
          </c:marker>
          <c:xVal>
            <c:numRef>
              <c:f>Sheet1!$B$20:$E$20</c:f>
              <c:numCache>
                <c:formatCode>General</c:formatCode>
                <c:ptCount val="4"/>
                <c:pt idx="0">
                  <c:v>0</c:v>
                </c:pt>
                <c:pt idx="1">
                  <c:v>10</c:v>
                </c:pt>
                <c:pt idx="2">
                  <c:v>20</c:v>
                </c:pt>
                <c:pt idx="3">
                  <c:v>30</c:v>
                </c:pt>
              </c:numCache>
            </c:numRef>
          </c:xVal>
          <c:yVal>
            <c:numRef>
              <c:f>Sheet1!$B$21:$E$21</c:f>
              <c:numCache>
                <c:formatCode>0.00</c:formatCode>
                <c:ptCount val="4"/>
                <c:pt idx="0">
                  <c:v>84.569111612656258</c:v>
                </c:pt>
                <c:pt idx="1">
                  <c:v>146.96956851620303</c:v>
                </c:pt>
                <c:pt idx="2">
                  <c:v>188.78386186814367</c:v>
                </c:pt>
                <c:pt idx="3">
                  <c:v>210.98194407748156</c:v>
                </c:pt>
              </c:numCache>
            </c:numRef>
          </c:yVal>
          <c:smooth val="1"/>
        </c:ser>
        <c:ser>
          <c:idx val="3"/>
          <c:order val="2"/>
          <c:tx>
            <c:v>ORIGEN-S (Conservative)</c:v>
          </c:tx>
          <c:spPr>
            <a:ln>
              <a:solidFill>
                <a:srgbClr val="006600"/>
              </a:solidFill>
              <a:prstDash val="sysDash"/>
            </a:ln>
          </c:spPr>
          <c:marker>
            <c:symbol val="none"/>
          </c:marker>
          <c:xVal>
            <c:numRef>
              <c:f>Sheet1!$B$26:$L$26</c:f>
              <c:numCache>
                <c:formatCode>General</c:formatCode>
                <c:ptCount val="11"/>
                <c:pt idx="0">
                  <c:v>0</c:v>
                </c:pt>
                <c:pt idx="1">
                  <c:v>2.7378507871390012E-2</c:v>
                </c:pt>
                <c:pt idx="2">
                  <c:v>0.24640657084183051</c:v>
                </c:pt>
                <c:pt idx="3">
                  <c:v>0.99931553730311862</c:v>
                </c:pt>
                <c:pt idx="4">
                  <c:v>2.6009582477754978</c:v>
                </c:pt>
                <c:pt idx="5">
                  <c:v>4.9555099247090784</c:v>
                </c:pt>
                <c:pt idx="6">
                  <c:v>7.3100616016427011</c:v>
                </c:pt>
                <c:pt idx="7">
                  <c:v>9.6646132785763257</c:v>
                </c:pt>
                <c:pt idx="8">
                  <c:v>14.663928815879444</c:v>
                </c:pt>
                <c:pt idx="9">
                  <c:v>19.665982203969484</c:v>
                </c:pt>
                <c:pt idx="10">
                  <c:v>29.664613278575956</c:v>
                </c:pt>
              </c:numCache>
            </c:numRef>
          </c:xVal>
          <c:yVal>
            <c:numRef>
              <c:f>Sheet1!$B$28:$L$28</c:f>
              <c:numCache>
                <c:formatCode>General</c:formatCode>
                <c:ptCount val="11"/>
                <c:pt idx="0">
                  <c:v>58.205392531037113</c:v>
                </c:pt>
                <c:pt idx="1">
                  <c:v>59.436495656434396</c:v>
                </c:pt>
                <c:pt idx="2">
                  <c:v>62.172355097766165</c:v>
                </c:pt>
                <c:pt idx="3">
                  <c:v>68.878482393251559</c:v>
                </c:pt>
                <c:pt idx="4">
                  <c:v>78.502919243840623</c:v>
                </c:pt>
                <c:pt idx="5">
                  <c:v>90.192511760130699</c:v>
                </c:pt>
                <c:pt idx="6">
                  <c:v>100.64836386233512</c:v>
                </c:pt>
                <c:pt idx="7">
                  <c:v>110.04277290798393</c:v>
                </c:pt>
                <c:pt idx="8">
                  <c:v>126.99559490001479</c:v>
                </c:pt>
                <c:pt idx="9">
                  <c:v>140.57188808047547</c:v>
                </c:pt>
                <c:pt idx="10">
                  <c:v>159.926529266139</c:v>
                </c:pt>
              </c:numCache>
            </c:numRef>
          </c:yVal>
          <c:smooth val="1"/>
        </c:ser>
        <c:ser>
          <c:idx val="2"/>
          <c:order val="3"/>
          <c:tx>
            <c:v>ORIGEN-S (BestEstimate)</c:v>
          </c:tx>
          <c:spPr>
            <a:ln>
              <a:solidFill>
                <a:srgbClr val="FF0000"/>
              </a:solidFill>
            </a:ln>
          </c:spPr>
          <c:marker>
            <c:symbol val="none"/>
          </c:marker>
          <c:xVal>
            <c:numRef>
              <c:f>Sheet1!$B$26:$L$26</c:f>
              <c:numCache>
                <c:formatCode>General</c:formatCode>
                <c:ptCount val="11"/>
                <c:pt idx="0">
                  <c:v>0</c:v>
                </c:pt>
                <c:pt idx="1">
                  <c:v>2.7378507871390012E-2</c:v>
                </c:pt>
                <c:pt idx="2">
                  <c:v>0.24640657084183051</c:v>
                </c:pt>
                <c:pt idx="3">
                  <c:v>0.99931553730311862</c:v>
                </c:pt>
                <c:pt idx="4">
                  <c:v>2.6009582477754978</c:v>
                </c:pt>
                <c:pt idx="5">
                  <c:v>4.9555099247090784</c:v>
                </c:pt>
                <c:pt idx="6">
                  <c:v>7.3100616016427011</c:v>
                </c:pt>
                <c:pt idx="7">
                  <c:v>9.6646132785763257</c:v>
                </c:pt>
                <c:pt idx="8">
                  <c:v>14.663928815879444</c:v>
                </c:pt>
                <c:pt idx="9">
                  <c:v>19.665982203969484</c:v>
                </c:pt>
                <c:pt idx="10">
                  <c:v>29.664613278575956</c:v>
                </c:pt>
              </c:numCache>
            </c:numRef>
          </c:xVal>
          <c:yVal>
            <c:numRef>
              <c:f>Sheet1!$B$27:$L$27</c:f>
              <c:numCache>
                <c:formatCode>General</c:formatCode>
                <c:ptCount val="11"/>
                <c:pt idx="0">
                  <c:v>60.499904375546294</c:v>
                </c:pt>
                <c:pt idx="1">
                  <c:v>61.663633638042256</c:v>
                </c:pt>
                <c:pt idx="2">
                  <c:v>64.720147697800272</c:v>
                </c:pt>
                <c:pt idx="3">
                  <c:v>71.821436230090058</c:v>
                </c:pt>
                <c:pt idx="4">
                  <c:v>81.131438460036748</c:v>
                </c:pt>
                <c:pt idx="5">
                  <c:v>91.97500521981901</c:v>
                </c:pt>
                <c:pt idx="6">
                  <c:v>101.62389260831557</c:v>
                </c:pt>
                <c:pt idx="7">
                  <c:v>110.26082359790132</c:v>
                </c:pt>
                <c:pt idx="8">
                  <c:v>125.69868034804298</c:v>
                </c:pt>
                <c:pt idx="9">
                  <c:v>137.90937940740667</c:v>
                </c:pt>
                <c:pt idx="10">
                  <c:v>154.99910202642718</c:v>
                </c:pt>
              </c:numCache>
            </c:numRef>
          </c:yVal>
          <c:smooth val="1"/>
        </c:ser>
        <c:axId val="192040320"/>
        <c:axId val="192050688"/>
      </c:scatterChart>
      <c:valAx>
        <c:axId val="192040320"/>
        <c:scaling>
          <c:orientation val="minMax"/>
          <c:max val="30"/>
          <c:min val="0"/>
        </c:scaling>
        <c:axPos val="b"/>
        <c:majorGridlines>
          <c:spPr>
            <a:ln>
              <a:solidFill>
                <a:sysClr val="windowText" lastClr="000000"/>
              </a:solidFill>
            </a:ln>
          </c:spPr>
        </c:majorGridlines>
        <c:minorGridlines/>
        <c:title>
          <c:tx>
            <c:rich>
              <a:bodyPr/>
              <a:lstStyle/>
              <a:p>
                <a:pPr>
                  <a:defRPr sz="1100"/>
                </a:pPr>
                <a:r>
                  <a:rPr lang="en-US" sz="1100"/>
                  <a:t>Years After PB3 Discharged</a:t>
                </a:r>
              </a:p>
            </c:rich>
          </c:tx>
          <c:layout>
            <c:manualLayout>
              <c:xMode val="edge"/>
              <c:yMode val="edge"/>
              <c:x val="0.38401877649909766"/>
              <c:y val="0.95611111111111113"/>
            </c:manualLayout>
          </c:layout>
        </c:title>
        <c:numFmt formatCode="General" sourceLinked="1"/>
        <c:tickLblPos val="nextTo"/>
        <c:spPr>
          <a:ln>
            <a:solidFill>
              <a:sysClr val="windowText" lastClr="000000"/>
            </a:solidFill>
          </a:ln>
        </c:spPr>
        <c:txPr>
          <a:bodyPr/>
          <a:lstStyle/>
          <a:p>
            <a:pPr>
              <a:defRPr sz="1100"/>
            </a:pPr>
            <a:endParaRPr lang="en-US"/>
          </a:p>
        </c:txPr>
        <c:crossAx val="192050688"/>
        <c:crosses val="autoZero"/>
        <c:crossBetween val="midCat"/>
        <c:majorUnit val="3"/>
        <c:minorUnit val="1.5"/>
      </c:valAx>
      <c:valAx>
        <c:axId val="192050688"/>
        <c:scaling>
          <c:orientation val="minMax"/>
          <c:max val="225"/>
          <c:min val="50"/>
        </c:scaling>
        <c:axPos val="l"/>
        <c:majorGridlines>
          <c:spPr>
            <a:ln>
              <a:solidFill>
                <a:sysClr val="windowText" lastClr="000000"/>
              </a:solidFill>
            </a:ln>
          </c:spPr>
        </c:majorGridlines>
        <c:minorGridlines/>
        <c:title>
          <c:tx>
            <c:rich>
              <a:bodyPr rot="-5400000" vert="horz"/>
              <a:lstStyle/>
              <a:p>
                <a:pPr>
                  <a:defRPr sz="1100"/>
                </a:pPr>
                <a:r>
                  <a:rPr lang="en-US" sz="1100"/>
                  <a:t>TRU Waste Radioactivity (nCi/g waste)</a:t>
                </a:r>
              </a:p>
            </c:rich>
          </c:tx>
          <c:layout>
            <c:manualLayout>
              <c:xMode val="edge"/>
              <c:yMode val="edge"/>
              <c:x val="4.2734762321376702E-3"/>
              <c:y val="5.6017957691186032E-2"/>
            </c:manualLayout>
          </c:layout>
        </c:title>
        <c:numFmt formatCode="General" sourceLinked="0"/>
        <c:tickLblPos val="nextTo"/>
        <c:spPr>
          <a:ln>
            <a:solidFill>
              <a:sysClr val="windowText" lastClr="000000"/>
            </a:solidFill>
          </a:ln>
        </c:spPr>
        <c:txPr>
          <a:bodyPr/>
          <a:lstStyle/>
          <a:p>
            <a:pPr>
              <a:defRPr sz="1100"/>
            </a:pPr>
            <a:endParaRPr lang="en-US"/>
          </a:p>
        </c:txPr>
        <c:crossAx val="192040320"/>
        <c:crosses val="autoZero"/>
        <c:crossBetween val="midCat"/>
        <c:majorUnit val="25"/>
        <c:minorUnit val="6.25"/>
      </c:valAx>
    </c:plotArea>
    <c:legend>
      <c:legendPos val="r"/>
      <c:layout>
        <c:manualLayout>
          <c:xMode val="edge"/>
          <c:yMode val="edge"/>
          <c:x val="0.55336698297328157"/>
          <c:y val="0.57351290463690985"/>
          <c:w val="0.37461101016219128"/>
          <c:h val="0.218418197725289"/>
        </c:manualLayout>
      </c:layout>
      <c:overlay val="1"/>
      <c:spPr>
        <a:solidFill>
          <a:sysClr val="window" lastClr="FFFFFF"/>
        </a:solidFill>
        <a:ln w="12700">
          <a:solidFill>
            <a:sysClr val="windowText" lastClr="000000"/>
          </a:solidFill>
        </a:ln>
      </c:spPr>
      <c:txPr>
        <a:bodyPr/>
        <a:lstStyle/>
        <a:p>
          <a:pPr>
            <a:defRPr sz="1100"/>
          </a:pPr>
          <a:endParaRPr lang="en-US"/>
        </a:p>
      </c:txPr>
    </c:legend>
    <c:plotVisOnly val="1"/>
  </c:chart>
  <c:spPr>
    <a:ln w="9525">
      <a:solidFill>
        <a:sysClr val="windowText" lastClr="000000"/>
      </a:solidFill>
    </a:ln>
  </c:spPr>
  <c:txPr>
    <a:bodyPr/>
    <a:lstStyle/>
    <a:p>
      <a:pPr>
        <a:defRPr>
          <a:latin typeface="Times New Roman" pitchFamily="18" charset="0"/>
          <a:cs typeface="Times New Roman" pitchFamily="18" charset="0"/>
        </a:defRPr>
      </a:pPr>
      <a:endParaRPr lang="en-US"/>
    </a:p>
  </c:txPr>
  <c:externalData r:id="rId1"/>
</c:chartSpace>
</file>

<file path=word/charts/chart39.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5194444444444899"/>
          <c:y val="3.3055555555555581E-2"/>
          <c:w val="0.82455128205128203"/>
          <c:h val="0.7740779798358538"/>
        </c:manualLayout>
      </c:layout>
      <c:barChart>
        <c:barDir val="col"/>
        <c:grouping val="clustered"/>
        <c:ser>
          <c:idx val="0"/>
          <c:order val="0"/>
          <c:tx>
            <c:v>TRITON</c:v>
          </c:tx>
          <c:spPr>
            <a:solidFill>
              <a:srgbClr val="FF0000"/>
            </a:solidFill>
            <a:ln w="15875">
              <a:solidFill>
                <a:sysClr val="windowText" lastClr="000000"/>
              </a:solidFill>
            </a:ln>
          </c:spPr>
          <c:cat>
            <c:strRef>
              <c:f>TRvsOS!$J$38:$J$51</c:f>
              <c:strCache>
                <c:ptCount val="14"/>
                <c:pt idx="0">
                  <c:v>total</c:v>
                </c:pt>
                <c:pt idx="1">
                  <c:v>h3</c:v>
                </c:pt>
                <c:pt idx="2">
                  <c:v>fe55</c:v>
                </c:pt>
                <c:pt idx="3">
                  <c:v>co60</c:v>
                </c:pt>
                <c:pt idx="4">
                  <c:v>c14</c:v>
                </c:pt>
                <c:pt idx="5">
                  <c:v>ni63</c:v>
                </c:pt>
                <c:pt idx="6">
                  <c:v>cs137</c:v>
                </c:pt>
                <c:pt idx="7">
                  <c:v>ba137m</c:v>
                </c:pt>
                <c:pt idx="8">
                  <c:v>be10</c:v>
                </c:pt>
                <c:pt idx="9">
                  <c:v>cm244</c:v>
                </c:pt>
                <c:pt idx="10">
                  <c:v>y90</c:v>
                </c:pt>
                <c:pt idx="11">
                  <c:v>sr90</c:v>
                </c:pt>
                <c:pt idx="12">
                  <c:v>pu241</c:v>
                </c:pt>
                <c:pt idx="13">
                  <c:v>cs134</c:v>
                </c:pt>
              </c:strCache>
            </c:strRef>
          </c:cat>
          <c:val>
            <c:numRef>
              <c:f>TRvsOS!$K$38:$K$51</c:f>
              <c:numCache>
                <c:formatCode>General</c:formatCode>
                <c:ptCount val="14"/>
                <c:pt idx="0">
                  <c:v>67602.822119999997</c:v>
                </c:pt>
                <c:pt idx="1">
                  <c:v>66783.455280000009</c:v>
                </c:pt>
                <c:pt idx="2">
                  <c:v>385.60819680000003</c:v>
                </c:pt>
                <c:pt idx="3">
                  <c:v>220.72326479999552</c:v>
                </c:pt>
                <c:pt idx="4">
                  <c:v>88.734394080000527</c:v>
                </c:pt>
                <c:pt idx="5">
                  <c:v>41.929327800000003</c:v>
                </c:pt>
                <c:pt idx="6">
                  <c:v>23.427822239999617</c:v>
                </c:pt>
                <c:pt idx="7">
                  <c:v>22.122904680000001</c:v>
                </c:pt>
                <c:pt idx="8">
                  <c:v>10.692231479999998</c:v>
                </c:pt>
                <c:pt idx="9">
                  <c:v>10.028645495999999</c:v>
                </c:pt>
                <c:pt idx="10">
                  <c:v>7.0121616479999656</c:v>
                </c:pt>
                <c:pt idx="11">
                  <c:v>7.010138519999896</c:v>
                </c:pt>
                <c:pt idx="12">
                  <c:v>1.0793387879999727</c:v>
                </c:pt>
                <c:pt idx="13">
                  <c:v>1.0028645496000002</c:v>
                </c:pt>
              </c:numCache>
            </c:numRef>
          </c:val>
        </c:ser>
        <c:ser>
          <c:idx val="1"/>
          <c:order val="1"/>
          <c:tx>
            <c:v>ORIGEN-S (best estimate)</c:v>
          </c:tx>
          <c:spPr>
            <a:solidFill>
              <a:srgbClr val="0000FF"/>
            </a:solidFill>
            <a:ln w="15875">
              <a:solidFill>
                <a:sysClr val="windowText" lastClr="000000"/>
              </a:solidFill>
            </a:ln>
          </c:spPr>
          <c:cat>
            <c:strRef>
              <c:f>TRvsOS!$J$38:$J$51</c:f>
              <c:strCache>
                <c:ptCount val="14"/>
                <c:pt idx="0">
                  <c:v>total</c:v>
                </c:pt>
                <c:pt idx="1">
                  <c:v>h3</c:v>
                </c:pt>
                <c:pt idx="2">
                  <c:v>fe55</c:v>
                </c:pt>
                <c:pt idx="3">
                  <c:v>co60</c:v>
                </c:pt>
                <c:pt idx="4">
                  <c:v>c14</c:v>
                </c:pt>
                <c:pt idx="5">
                  <c:v>ni63</c:v>
                </c:pt>
                <c:pt idx="6">
                  <c:v>cs137</c:v>
                </c:pt>
                <c:pt idx="7">
                  <c:v>ba137m</c:v>
                </c:pt>
                <c:pt idx="8">
                  <c:v>be10</c:v>
                </c:pt>
                <c:pt idx="9">
                  <c:v>cm244</c:v>
                </c:pt>
                <c:pt idx="10">
                  <c:v>y90</c:v>
                </c:pt>
                <c:pt idx="11">
                  <c:v>sr90</c:v>
                </c:pt>
                <c:pt idx="12">
                  <c:v>pu241</c:v>
                </c:pt>
                <c:pt idx="13">
                  <c:v>cs134</c:v>
                </c:pt>
              </c:strCache>
            </c:strRef>
          </c:cat>
          <c:val>
            <c:numRef>
              <c:f>TRvsOS!$L$38:$L$51</c:f>
              <c:numCache>
                <c:formatCode>General</c:formatCode>
                <c:ptCount val="14"/>
                <c:pt idx="0">
                  <c:v>100739.63100000002</c:v>
                </c:pt>
                <c:pt idx="1">
                  <c:v>99800.059309999997</c:v>
                </c:pt>
                <c:pt idx="2">
                  <c:v>350.3</c:v>
                </c:pt>
                <c:pt idx="3">
                  <c:v>377.9</c:v>
                </c:pt>
                <c:pt idx="4">
                  <c:v>76.390002569000004</c:v>
                </c:pt>
                <c:pt idx="5">
                  <c:v>43.190000000000012</c:v>
                </c:pt>
                <c:pt idx="6">
                  <c:v>11.446900000000001</c:v>
                </c:pt>
                <c:pt idx="7">
                  <c:v>10.810400000000024</c:v>
                </c:pt>
                <c:pt idx="8">
                  <c:v>9.0020000329000247</c:v>
                </c:pt>
                <c:pt idx="9">
                  <c:v>8.1409999999999982</c:v>
                </c:pt>
                <c:pt idx="10">
                  <c:v>3.5430471800000003</c:v>
                </c:pt>
                <c:pt idx="11">
                  <c:v>3.5430471700000004</c:v>
                </c:pt>
                <c:pt idx="12">
                  <c:v>0.70909999999999995</c:v>
                </c:pt>
                <c:pt idx="13">
                  <c:v>6.3413000000000004</c:v>
                </c:pt>
              </c:numCache>
            </c:numRef>
          </c:val>
        </c:ser>
        <c:ser>
          <c:idx val="2"/>
          <c:order val="2"/>
          <c:tx>
            <c:v>ORIGEN-S (conservative)</c:v>
          </c:tx>
          <c:spPr>
            <a:solidFill>
              <a:srgbClr val="FFFF00"/>
            </a:solidFill>
            <a:ln w="15875">
              <a:solidFill>
                <a:sysClr val="windowText" lastClr="000000"/>
              </a:solidFill>
            </a:ln>
          </c:spPr>
          <c:cat>
            <c:strRef>
              <c:f>TRvsOS!$J$38:$J$51</c:f>
              <c:strCache>
                <c:ptCount val="14"/>
                <c:pt idx="0">
                  <c:v>total</c:v>
                </c:pt>
                <c:pt idx="1">
                  <c:v>h3</c:v>
                </c:pt>
                <c:pt idx="2">
                  <c:v>fe55</c:v>
                </c:pt>
                <c:pt idx="3">
                  <c:v>co60</c:v>
                </c:pt>
                <c:pt idx="4">
                  <c:v>c14</c:v>
                </c:pt>
                <c:pt idx="5">
                  <c:v>ni63</c:v>
                </c:pt>
                <c:pt idx="6">
                  <c:v>cs137</c:v>
                </c:pt>
                <c:pt idx="7">
                  <c:v>ba137m</c:v>
                </c:pt>
                <c:pt idx="8">
                  <c:v>be10</c:v>
                </c:pt>
                <c:pt idx="9">
                  <c:v>cm244</c:v>
                </c:pt>
                <c:pt idx="10">
                  <c:v>y90</c:v>
                </c:pt>
                <c:pt idx="11">
                  <c:v>sr90</c:v>
                </c:pt>
                <c:pt idx="12">
                  <c:v>pu241</c:v>
                </c:pt>
                <c:pt idx="13">
                  <c:v>cs134</c:v>
                </c:pt>
              </c:strCache>
            </c:strRef>
          </c:cat>
          <c:val>
            <c:numRef>
              <c:f>TRvsOS!$M$38:$M$51</c:f>
              <c:numCache>
                <c:formatCode>General</c:formatCode>
                <c:ptCount val="14"/>
                <c:pt idx="0">
                  <c:v>161353.56</c:v>
                </c:pt>
                <c:pt idx="1">
                  <c:v>160100.07920000001</c:v>
                </c:pt>
                <c:pt idx="2">
                  <c:v>492.6</c:v>
                </c:pt>
                <c:pt idx="3">
                  <c:v>561.9</c:v>
                </c:pt>
                <c:pt idx="4">
                  <c:v>112.600003433</c:v>
                </c:pt>
                <c:pt idx="5">
                  <c:v>41.28</c:v>
                </c:pt>
                <c:pt idx="6">
                  <c:v>15.846</c:v>
                </c:pt>
                <c:pt idx="7">
                  <c:v>14.963400000000076</c:v>
                </c:pt>
                <c:pt idx="8">
                  <c:v>13.7700000438</c:v>
                </c:pt>
                <c:pt idx="9">
                  <c:v>11.34</c:v>
                </c:pt>
                <c:pt idx="10">
                  <c:v>4.7001064999999995</c:v>
                </c:pt>
                <c:pt idx="11">
                  <c:v>4.6991063999999945</c:v>
                </c:pt>
                <c:pt idx="12">
                  <c:v>0.59049999999999958</c:v>
                </c:pt>
                <c:pt idx="13">
                  <c:v>2.6700999999999997</c:v>
                </c:pt>
              </c:numCache>
            </c:numRef>
          </c:val>
        </c:ser>
        <c:gapWidth val="75"/>
        <c:axId val="192096896"/>
        <c:axId val="192107264"/>
      </c:barChart>
      <c:catAx>
        <c:axId val="192096896"/>
        <c:scaling>
          <c:orientation val="minMax"/>
        </c:scaling>
        <c:axPos val="b"/>
        <c:majorGridlines/>
        <c:title>
          <c:tx>
            <c:rich>
              <a:bodyPr/>
              <a:lstStyle/>
              <a:p>
                <a:pPr>
                  <a:defRPr/>
                </a:pPr>
                <a:r>
                  <a:rPr lang="en-US"/>
                  <a:t>Isotope</a:t>
                </a:r>
              </a:p>
            </c:rich>
          </c:tx>
          <c:layout>
            <c:manualLayout>
              <c:xMode val="edge"/>
              <c:yMode val="edge"/>
              <c:x val="0.52646897503195345"/>
              <c:y val="0.95611111111111113"/>
            </c:manualLayout>
          </c:layout>
        </c:title>
        <c:tickLblPos val="low"/>
        <c:spPr>
          <a:ln>
            <a:solidFill>
              <a:sysClr val="windowText" lastClr="000000"/>
            </a:solidFill>
          </a:ln>
        </c:spPr>
        <c:txPr>
          <a:bodyPr rot="-5400000" vert="horz"/>
          <a:lstStyle/>
          <a:p>
            <a:pPr>
              <a:defRPr/>
            </a:pPr>
            <a:endParaRPr lang="en-US"/>
          </a:p>
        </c:txPr>
        <c:crossAx val="192107264"/>
        <c:crosses val="autoZero"/>
        <c:auto val="1"/>
        <c:lblAlgn val="ctr"/>
        <c:lblOffset val="100"/>
      </c:catAx>
      <c:valAx>
        <c:axId val="192107264"/>
        <c:scaling>
          <c:logBase val="10"/>
          <c:orientation val="minMax"/>
        </c:scaling>
        <c:axPos val="l"/>
        <c:majorGridlines/>
        <c:title>
          <c:tx>
            <c:rich>
              <a:bodyPr rot="-5400000" vert="horz"/>
              <a:lstStyle/>
              <a:p>
                <a:pPr>
                  <a:defRPr/>
                </a:pPr>
                <a:r>
                  <a:rPr lang="en-US"/>
                  <a:t>Radioactivity (Curies)</a:t>
                </a:r>
              </a:p>
            </c:rich>
          </c:tx>
          <c:layout>
            <c:manualLayout>
              <c:xMode val="edge"/>
              <c:yMode val="edge"/>
              <c:x val="1.282051282051282E-2"/>
              <c:y val="0.25081255468066532"/>
            </c:manualLayout>
          </c:layout>
        </c:title>
        <c:numFmt formatCode="0.E+00" sourceLinked="0"/>
        <c:tickLblPos val="nextTo"/>
        <c:spPr>
          <a:ln>
            <a:solidFill>
              <a:schemeClr val="tx1"/>
            </a:solidFill>
          </a:ln>
        </c:spPr>
        <c:crossAx val="192096896"/>
        <c:crosses val="autoZero"/>
        <c:crossBetween val="between"/>
      </c:valAx>
    </c:plotArea>
    <c:legend>
      <c:legendPos val="r"/>
      <c:layout>
        <c:manualLayout>
          <c:xMode val="edge"/>
          <c:yMode val="edge"/>
          <c:x val="0.59627094690086757"/>
          <c:y val="4.6314960629921534E-2"/>
          <c:w val="0.36323473988828331"/>
          <c:h val="0.18305993525257341"/>
        </c:manualLayout>
      </c:layout>
      <c:overlay val="1"/>
      <c:spPr>
        <a:solidFill>
          <a:schemeClr val="bg1"/>
        </a:solidFill>
        <a:ln w="12700">
          <a:solidFill>
            <a:sysClr val="windowText" lastClr="000000"/>
          </a:solidFill>
        </a:ln>
      </c:spPr>
    </c:legend>
    <c:plotVisOnly val="1"/>
  </c:chart>
  <c:spPr>
    <a:ln>
      <a:solidFill>
        <a:schemeClr val="tx1"/>
      </a:solidFill>
    </a:ln>
  </c:spPr>
  <c:txPr>
    <a:bodyPr/>
    <a:lstStyle/>
    <a:p>
      <a:pPr>
        <a:defRPr sz="1100">
          <a:latin typeface="Times New Roman" pitchFamily="18" charset="0"/>
          <a:cs typeface="Times New Roman" pitchFamily="18" charset="0"/>
        </a:defRPr>
      </a:pPr>
      <a:endParaRPr lang="en-US"/>
    </a:p>
  </c:txPr>
  <c:externalData r:id="rId1"/>
</c:chartSpace>
</file>

<file path=word/charts/chart40.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3852917423783564"/>
          <c:y val="3.3350573446360443E-2"/>
          <c:w val="0.82621441550575414"/>
          <c:h val="0.84040901137358315"/>
        </c:manualLayout>
      </c:layout>
      <c:scatterChart>
        <c:scatterStyle val="smoothMarker"/>
        <c:ser>
          <c:idx val="0"/>
          <c:order val="0"/>
          <c:tx>
            <c:v>RB-Be(EOL~102GWd)</c:v>
          </c:tx>
          <c:spPr>
            <a:ln w="25400">
              <a:solidFill>
                <a:srgbClr val="0000FF"/>
              </a:solidFill>
            </a:ln>
          </c:spPr>
          <c:marker>
            <c:symbol val="none"/>
          </c:marker>
          <c:xVal>
            <c:numRef>
              <c:f>RB!$P$3:$Y$3</c:f>
              <c:numCache>
                <c:formatCode>0.00</c:formatCode>
                <c:ptCount val="10"/>
                <c:pt idx="0">
                  <c:v>2.7378507871321497E-2</c:v>
                </c:pt>
                <c:pt idx="1">
                  <c:v>0.24640657084188924</c:v>
                </c:pt>
                <c:pt idx="2">
                  <c:v>0.99986310746063956</c:v>
                </c:pt>
                <c:pt idx="3">
                  <c:v>4.9998631074607465</c:v>
                </c:pt>
                <c:pt idx="4">
                  <c:v>10</c:v>
                </c:pt>
                <c:pt idx="5">
                  <c:v>15.000136892539476</c:v>
                </c:pt>
                <c:pt idx="6">
                  <c:v>20</c:v>
                </c:pt>
                <c:pt idx="7">
                  <c:v>30</c:v>
                </c:pt>
                <c:pt idx="8">
                  <c:v>40</c:v>
                </c:pt>
                <c:pt idx="9">
                  <c:v>50</c:v>
                </c:pt>
              </c:numCache>
            </c:numRef>
          </c:xVal>
          <c:yVal>
            <c:numRef>
              <c:f>RB!$P$4:$Y$4</c:f>
              <c:numCache>
                <c:formatCode>0.000E+00</c:formatCode>
                <c:ptCount val="10"/>
                <c:pt idx="0">
                  <c:v>152132.10999999999</c:v>
                </c:pt>
                <c:pt idx="1">
                  <c:v>149081.98399999968</c:v>
                </c:pt>
                <c:pt idx="2">
                  <c:v>142532.85299999992</c:v>
                </c:pt>
                <c:pt idx="3">
                  <c:v>113606.65459999999</c:v>
                </c:pt>
                <c:pt idx="4">
                  <c:v>85714.443999999348</c:v>
                </c:pt>
                <c:pt idx="5">
                  <c:v>64693.793199999986</c:v>
                </c:pt>
                <c:pt idx="6">
                  <c:v>48833.310700000002</c:v>
                </c:pt>
                <c:pt idx="7">
                  <c:v>27832.552299999996</c:v>
                </c:pt>
                <c:pt idx="8">
                  <c:v>15861.9787</c:v>
                </c:pt>
                <c:pt idx="9">
                  <c:v>9046.5398000000005</c:v>
                </c:pt>
              </c:numCache>
            </c:numRef>
          </c:yVal>
          <c:smooth val="1"/>
        </c:ser>
        <c:ser>
          <c:idx val="1"/>
          <c:order val="1"/>
          <c:tx>
            <c:v>SPB-Be(EOL~204GWd)</c:v>
          </c:tx>
          <c:spPr>
            <a:ln w="25400">
              <a:solidFill>
                <a:schemeClr val="tx1"/>
              </a:solidFill>
              <a:prstDash val="dash"/>
            </a:ln>
          </c:spPr>
          <c:marker>
            <c:symbol val="none"/>
          </c:marker>
          <c:xVal>
            <c:numRef>
              <c:f>SPB!$P$3:$Y$3</c:f>
              <c:numCache>
                <c:formatCode>0.00</c:formatCode>
                <c:ptCount val="10"/>
                <c:pt idx="0">
                  <c:v>2.7378507871321497E-2</c:v>
                </c:pt>
                <c:pt idx="1">
                  <c:v>0.24640657084188924</c:v>
                </c:pt>
                <c:pt idx="2">
                  <c:v>0.99986310746063956</c:v>
                </c:pt>
                <c:pt idx="3">
                  <c:v>4.9998631074607465</c:v>
                </c:pt>
                <c:pt idx="4">
                  <c:v>10</c:v>
                </c:pt>
                <c:pt idx="5">
                  <c:v>15.000136892539476</c:v>
                </c:pt>
                <c:pt idx="6">
                  <c:v>20</c:v>
                </c:pt>
                <c:pt idx="7">
                  <c:v>30</c:v>
                </c:pt>
                <c:pt idx="8">
                  <c:v>40</c:v>
                </c:pt>
                <c:pt idx="9">
                  <c:v>50</c:v>
                </c:pt>
              </c:numCache>
            </c:numRef>
          </c:xVal>
          <c:yVal>
            <c:numRef>
              <c:f>SPB!$P$4:$Y$4</c:f>
              <c:numCache>
                <c:formatCode>0.000E+00</c:formatCode>
                <c:ptCount val="10"/>
                <c:pt idx="0">
                  <c:v>111352.64</c:v>
                </c:pt>
                <c:pt idx="1">
                  <c:v>108691.336</c:v>
                </c:pt>
                <c:pt idx="2">
                  <c:v>103740.126</c:v>
                </c:pt>
                <c:pt idx="3">
                  <c:v>82531.687999999995</c:v>
                </c:pt>
                <c:pt idx="4">
                  <c:v>62188.697999999997</c:v>
                </c:pt>
                <c:pt idx="5">
                  <c:v>46917.505000000005</c:v>
                </c:pt>
                <c:pt idx="6">
                  <c:v>35406.568600000006</c:v>
                </c:pt>
                <c:pt idx="7">
                  <c:v>20185.074700000001</c:v>
                </c:pt>
                <c:pt idx="8">
                  <c:v>11513.9393</c:v>
                </c:pt>
                <c:pt idx="9">
                  <c:v>6571.0672000000004</c:v>
                </c:pt>
              </c:numCache>
            </c:numRef>
          </c:yVal>
          <c:smooth val="1"/>
        </c:ser>
        <c:ser>
          <c:idx val="2"/>
          <c:order val="2"/>
          <c:tx>
            <c:v>RB-Al(EOL~102GWd)</c:v>
          </c:tx>
          <c:spPr>
            <a:ln>
              <a:solidFill>
                <a:srgbClr val="FF0000"/>
              </a:solidFill>
              <a:prstDash val="dashDot"/>
            </a:ln>
          </c:spPr>
          <c:marker>
            <c:symbol val="none"/>
          </c:marker>
          <c:xVal>
            <c:numRef>
              <c:f>'RB-Al'!$C$3:$L$3</c:f>
              <c:numCache>
                <c:formatCode>0.00</c:formatCode>
                <c:ptCount val="10"/>
                <c:pt idx="0">
                  <c:v>2.7378507871321497E-2</c:v>
                </c:pt>
                <c:pt idx="1">
                  <c:v>0.24640657084188924</c:v>
                </c:pt>
                <c:pt idx="2">
                  <c:v>0.99986310746063956</c:v>
                </c:pt>
                <c:pt idx="3">
                  <c:v>4.9998631074607465</c:v>
                </c:pt>
                <c:pt idx="4">
                  <c:v>10</c:v>
                </c:pt>
                <c:pt idx="5">
                  <c:v>15.000136892539476</c:v>
                </c:pt>
                <c:pt idx="6">
                  <c:v>20</c:v>
                </c:pt>
                <c:pt idx="7">
                  <c:v>30</c:v>
                </c:pt>
                <c:pt idx="8">
                  <c:v>40</c:v>
                </c:pt>
                <c:pt idx="9">
                  <c:v>50</c:v>
                </c:pt>
              </c:numCache>
            </c:numRef>
          </c:xVal>
          <c:yVal>
            <c:numRef>
              <c:f>'RB-Al'!$C$4:$L$4</c:f>
              <c:numCache>
                <c:formatCode>0.000E+00</c:formatCode>
                <c:ptCount val="10"/>
                <c:pt idx="0">
                  <c:v>18490</c:v>
                </c:pt>
                <c:pt idx="1">
                  <c:v>9951</c:v>
                </c:pt>
                <c:pt idx="2">
                  <c:v>5543</c:v>
                </c:pt>
                <c:pt idx="3">
                  <c:v>1383</c:v>
                </c:pt>
                <c:pt idx="4">
                  <c:v>421.1</c:v>
                </c:pt>
                <c:pt idx="5">
                  <c:v>145.6</c:v>
                </c:pt>
                <c:pt idx="6">
                  <c:v>60.04</c:v>
                </c:pt>
                <c:pt idx="7">
                  <c:v>21.18</c:v>
                </c:pt>
                <c:pt idx="8">
                  <c:v>14.7</c:v>
                </c:pt>
                <c:pt idx="9">
                  <c:v>12.7</c:v>
                </c:pt>
              </c:numCache>
            </c:numRef>
          </c:yVal>
          <c:smooth val="1"/>
        </c:ser>
        <c:ser>
          <c:idx val="3"/>
          <c:order val="3"/>
          <c:tx>
            <c:v>SPB-Al(EOL~204GWd)</c:v>
          </c:tx>
          <c:spPr>
            <a:ln>
              <a:solidFill>
                <a:srgbClr val="008000"/>
              </a:solidFill>
              <a:prstDash val="sysDash"/>
            </a:ln>
          </c:spPr>
          <c:marker>
            <c:symbol val="none"/>
          </c:marker>
          <c:xVal>
            <c:numRef>
              <c:f>'SPB-Al'!$C$3:$L$3</c:f>
              <c:numCache>
                <c:formatCode>0.00</c:formatCode>
                <c:ptCount val="10"/>
                <c:pt idx="0">
                  <c:v>2.7378507871321497E-2</c:v>
                </c:pt>
                <c:pt idx="1">
                  <c:v>0.24640657084188924</c:v>
                </c:pt>
                <c:pt idx="2">
                  <c:v>0.99986310746063956</c:v>
                </c:pt>
                <c:pt idx="3">
                  <c:v>4.9998631074607465</c:v>
                </c:pt>
                <c:pt idx="4">
                  <c:v>10</c:v>
                </c:pt>
                <c:pt idx="5">
                  <c:v>15.000136892539476</c:v>
                </c:pt>
                <c:pt idx="6">
                  <c:v>20</c:v>
                </c:pt>
                <c:pt idx="7">
                  <c:v>30</c:v>
                </c:pt>
                <c:pt idx="8">
                  <c:v>40</c:v>
                </c:pt>
                <c:pt idx="9">
                  <c:v>50</c:v>
                </c:pt>
              </c:numCache>
            </c:numRef>
          </c:xVal>
          <c:yVal>
            <c:numRef>
              <c:f>'SPB-Al'!$C$4:$L$4</c:f>
              <c:numCache>
                <c:formatCode>0.000E+00</c:formatCode>
                <c:ptCount val="10"/>
                <c:pt idx="0">
                  <c:v>3309</c:v>
                </c:pt>
                <c:pt idx="1">
                  <c:v>2072</c:v>
                </c:pt>
                <c:pt idx="2">
                  <c:v>1209</c:v>
                </c:pt>
                <c:pt idx="3">
                  <c:v>352.6</c:v>
                </c:pt>
                <c:pt idx="4">
                  <c:v>121.5</c:v>
                </c:pt>
                <c:pt idx="5">
                  <c:v>47.57</c:v>
                </c:pt>
                <c:pt idx="6">
                  <c:v>21.2</c:v>
                </c:pt>
                <c:pt idx="7">
                  <c:v>6.4180000000000001</c:v>
                </c:pt>
                <c:pt idx="8">
                  <c:v>3.3</c:v>
                </c:pt>
                <c:pt idx="9">
                  <c:v>2.4289999999999998</c:v>
                </c:pt>
              </c:numCache>
            </c:numRef>
          </c:yVal>
          <c:smooth val="1"/>
        </c:ser>
        <c:axId val="192285312"/>
        <c:axId val="192295680"/>
      </c:scatterChart>
      <c:valAx>
        <c:axId val="192285312"/>
        <c:scaling>
          <c:orientation val="minMax"/>
          <c:max val="50"/>
        </c:scaling>
        <c:axPos val="b"/>
        <c:majorGridlines>
          <c:spPr>
            <a:ln>
              <a:solidFill>
                <a:sysClr val="windowText" lastClr="000000"/>
              </a:solidFill>
            </a:ln>
          </c:spPr>
        </c:majorGridlines>
        <c:title>
          <c:tx>
            <c:rich>
              <a:bodyPr/>
              <a:lstStyle/>
              <a:p>
                <a:pPr>
                  <a:defRPr sz="1200"/>
                </a:pPr>
                <a:r>
                  <a:rPr lang="en-US" sz="1100"/>
                  <a:t>Years after Discharge</a:t>
                </a:r>
              </a:p>
            </c:rich>
          </c:tx>
          <c:layout>
            <c:manualLayout>
              <c:xMode val="edge"/>
              <c:yMode val="edge"/>
              <c:x val="0.44437142472575542"/>
              <c:y val="0.95556780402449693"/>
            </c:manualLayout>
          </c:layout>
        </c:title>
        <c:numFmt formatCode="General" sourceLinked="0"/>
        <c:tickLblPos val="nextTo"/>
        <c:spPr>
          <a:ln>
            <a:solidFill>
              <a:schemeClr val="tx1"/>
            </a:solidFill>
          </a:ln>
        </c:spPr>
        <c:crossAx val="192295680"/>
        <c:crosses val="autoZero"/>
        <c:crossBetween val="midCat"/>
        <c:majorUnit val="5"/>
      </c:valAx>
      <c:valAx>
        <c:axId val="192295680"/>
        <c:scaling>
          <c:logBase val="10"/>
          <c:orientation val="minMax"/>
        </c:scaling>
        <c:axPos val="l"/>
        <c:majorGridlines>
          <c:spPr>
            <a:ln>
              <a:solidFill>
                <a:sysClr val="windowText" lastClr="000000"/>
              </a:solidFill>
            </a:ln>
          </c:spPr>
        </c:majorGridlines>
        <c:minorGridlines/>
        <c:title>
          <c:tx>
            <c:rich>
              <a:bodyPr rot="-5400000" vert="horz"/>
              <a:lstStyle/>
              <a:p>
                <a:pPr>
                  <a:defRPr sz="1200"/>
                </a:pPr>
                <a:r>
                  <a:rPr lang="en-US" sz="1100"/>
                  <a:t>Radioactivity (Ci)</a:t>
                </a:r>
              </a:p>
            </c:rich>
          </c:tx>
          <c:layout>
            <c:manualLayout>
              <c:xMode val="edge"/>
              <c:yMode val="edge"/>
              <c:x val="4.2735042735042739E-3"/>
              <c:y val="0.29656977252843397"/>
            </c:manualLayout>
          </c:layout>
        </c:title>
        <c:numFmt formatCode="0.E+00" sourceLinked="0"/>
        <c:tickLblPos val="nextTo"/>
        <c:spPr>
          <a:ln>
            <a:solidFill>
              <a:schemeClr val="tx1"/>
            </a:solidFill>
          </a:ln>
        </c:spPr>
        <c:crossAx val="192285312"/>
        <c:crosses val="autoZero"/>
        <c:crossBetween val="midCat"/>
      </c:valAx>
    </c:plotArea>
    <c:legend>
      <c:legendPos val="r"/>
      <c:layout>
        <c:manualLayout>
          <c:xMode val="edge"/>
          <c:yMode val="edge"/>
          <c:x val="0.50154468672185148"/>
          <c:y val="0.34156167979002638"/>
          <c:w val="0.35336530049128478"/>
          <c:h val="0.24003548525506818"/>
        </c:manualLayout>
      </c:layout>
      <c:overlay val="1"/>
      <c:spPr>
        <a:solidFill>
          <a:schemeClr val="bg1"/>
        </a:solidFill>
        <a:ln>
          <a:solidFill>
            <a:sysClr val="windowText" lastClr="000000"/>
          </a:solidFill>
        </a:ln>
      </c:spPr>
      <c:txPr>
        <a:bodyPr/>
        <a:lstStyle/>
        <a:p>
          <a:pPr>
            <a:defRPr sz="1000"/>
          </a:pPr>
          <a:endParaRPr lang="en-US"/>
        </a:p>
      </c:txPr>
    </c:legend>
    <c:plotVisOnly val="1"/>
  </c:chart>
  <c:spPr>
    <a:ln w="9525">
      <a:solidFill>
        <a:schemeClr val="tx1"/>
      </a:solidFill>
    </a:ln>
  </c:spPr>
  <c:txPr>
    <a:bodyPr/>
    <a:lstStyle/>
    <a:p>
      <a:pPr>
        <a:defRPr sz="1100">
          <a:latin typeface="Times New Roman" pitchFamily="18" charset="0"/>
          <a:cs typeface="Times New Roman" pitchFamily="18" charset="0"/>
        </a:defRPr>
      </a:pPr>
      <a:endParaRPr lang="en-US"/>
    </a:p>
  </c:txPr>
  <c:externalData r:id="rId1"/>
</c:chartSpace>
</file>

<file path=word/charts/chart41.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5125092536509871"/>
          <c:y val="3.3106775082475691E-2"/>
          <c:w val="0.81331835924355611"/>
          <c:h val="0.84511929706697664"/>
        </c:manualLayout>
      </c:layout>
      <c:scatterChart>
        <c:scatterStyle val="smoothMarker"/>
        <c:ser>
          <c:idx val="0"/>
          <c:order val="0"/>
          <c:tx>
            <c:v>RB: Fe-55 in Al</c:v>
          </c:tx>
          <c:spPr>
            <a:ln w="25400">
              <a:solidFill>
                <a:srgbClr val="0000FF"/>
              </a:solidFill>
            </a:ln>
          </c:spPr>
          <c:marker>
            <c:symbol val="none"/>
          </c:marker>
          <c:xVal>
            <c:numRef>
              <c:f>'RB-Al'!$B$3:$L$3</c:f>
              <c:numCache>
                <c:formatCode>0.00</c:formatCode>
                <c:ptCount val="11"/>
                <c:pt idx="0">
                  <c:v>0</c:v>
                </c:pt>
                <c:pt idx="1">
                  <c:v>2.7378507871321487E-2</c:v>
                </c:pt>
                <c:pt idx="2">
                  <c:v>0.24640657084188924</c:v>
                </c:pt>
                <c:pt idx="3">
                  <c:v>0.99986310746063956</c:v>
                </c:pt>
                <c:pt idx="4">
                  <c:v>4.9998631074607438</c:v>
                </c:pt>
                <c:pt idx="5">
                  <c:v>10</c:v>
                </c:pt>
                <c:pt idx="6">
                  <c:v>15.000136892539476</c:v>
                </c:pt>
                <c:pt idx="7">
                  <c:v>20</c:v>
                </c:pt>
                <c:pt idx="8">
                  <c:v>30</c:v>
                </c:pt>
                <c:pt idx="9">
                  <c:v>40</c:v>
                </c:pt>
                <c:pt idx="10">
                  <c:v>50</c:v>
                </c:pt>
              </c:numCache>
            </c:numRef>
          </c:xVal>
          <c:yVal>
            <c:numRef>
              <c:f>'RB-Al'!$B$5:$L$5</c:f>
              <c:numCache>
                <c:formatCode>0.000E+00</c:formatCode>
                <c:ptCount val="11"/>
                <c:pt idx="0">
                  <c:v>4205</c:v>
                </c:pt>
                <c:pt idx="1">
                  <c:v>4176</c:v>
                </c:pt>
                <c:pt idx="2">
                  <c:v>3950</c:v>
                </c:pt>
                <c:pt idx="3">
                  <c:v>3262</c:v>
                </c:pt>
                <c:pt idx="4">
                  <c:v>1181</c:v>
                </c:pt>
                <c:pt idx="5">
                  <c:v>332</c:v>
                </c:pt>
                <c:pt idx="6">
                  <c:v>93.27</c:v>
                </c:pt>
                <c:pt idx="7">
                  <c:v>26.2</c:v>
                </c:pt>
                <c:pt idx="8">
                  <c:v>2.069</c:v>
                </c:pt>
                <c:pt idx="9">
                  <c:v>0.1633</c:v>
                </c:pt>
                <c:pt idx="10">
                  <c:v>1.289E-2</c:v>
                </c:pt>
              </c:numCache>
            </c:numRef>
          </c:yVal>
          <c:smooth val="1"/>
        </c:ser>
        <c:ser>
          <c:idx val="3"/>
          <c:order val="1"/>
          <c:tx>
            <c:v>SPB: Fe-55 in Al</c:v>
          </c:tx>
          <c:spPr>
            <a:ln>
              <a:solidFill>
                <a:srgbClr val="0000FF"/>
              </a:solidFill>
              <a:prstDash val="dash"/>
            </a:ln>
          </c:spPr>
          <c:marker>
            <c:symbol val="none"/>
          </c:marker>
          <c:xVal>
            <c:numRef>
              <c:f>'SPB-Al'!$B$3:$L$3</c:f>
              <c:numCache>
                <c:formatCode>0.00</c:formatCode>
                <c:ptCount val="11"/>
                <c:pt idx="0">
                  <c:v>0</c:v>
                </c:pt>
                <c:pt idx="1">
                  <c:v>2.7378507871321487E-2</c:v>
                </c:pt>
                <c:pt idx="2">
                  <c:v>0.24640657084188924</c:v>
                </c:pt>
                <c:pt idx="3">
                  <c:v>0.99986310746063956</c:v>
                </c:pt>
                <c:pt idx="4">
                  <c:v>4.9998631074607438</c:v>
                </c:pt>
                <c:pt idx="5">
                  <c:v>10</c:v>
                </c:pt>
                <c:pt idx="6">
                  <c:v>15.000136892539476</c:v>
                </c:pt>
                <c:pt idx="7">
                  <c:v>20</c:v>
                </c:pt>
                <c:pt idx="8">
                  <c:v>30</c:v>
                </c:pt>
                <c:pt idx="9">
                  <c:v>40</c:v>
                </c:pt>
                <c:pt idx="10">
                  <c:v>50</c:v>
                </c:pt>
              </c:numCache>
            </c:numRef>
          </c:xVal>
          <c:yVal>
            <c:numRef>
              <c:f>'SPB-Al'!$B$5:$L$5</c:f>
              <c:numCache>
                <c:formatCode>0.000E+00</c:formatCode>
                <c:ptCount val="11"/>
                <c:pt idx="0">
                  <c:v>882.4</c:v>
                </c:pt>
                <c:pt idx="1">
                  <c:v>876.3</c:v>
                </c:pt>
                <c:pt idx="2">
                  <c:v>828.9</c:v>
                </c:pt>
                <c:pt idx="3">
                  <c:v>684.5</c:v>
                </c:pt>
                <c:pt idx="4">
                  <c:v>247.9</c:v>
                </c:pt>
                <c:pt idx="5">
                  <c:v>69.66</c:v>
                </c:pt>
                <c:pt idx="6">
                  <c:v>19.57</c:v>
                </c:pt>
                <c:pt idx="7">
                  <c:v>5.4989999999999997</c:v>
                </c:pt>
                <c:pt idx="8">
                  <c:v>0.43410000000000032</c:v>
                </c:pt>
                <c:pt idx="9">
                  <c:v>3.4259999999999999E-2</c:v>
                </c:pt>
                <c:pt idx="10">
                  <c:v>2.7050000000000012E-3</c:v>
                </c:pt>
              </c:numCache>
            </c:numRef>
          </c:yVal>
          <c:smooth val="1"/>
        </c:ser>
        <c:ser>
          <c:idx val="1"/>
          <c:order val="2"/>
          <c:tx>
            <c:v>RB: Co-60 in Al</c:v>
          </c:tx>
          <c:spPr>
            <a:ln w="25400">
              <a:solidFill>
                <a:srgbClr val="FF0000"/>
              </a:solidFill>
            </a:ln>
          </c:spPr>
          <c:marker>
            <c:symbol val="none"/>
          </c:marker>
          <c:xVal>
            <c:numRef>
              <c:f>'RB-Al'!$B$3:$L$3</c:f>
              <c:numCache>
                <c:formatCode>0.00</c:formatCode>
                <c:ptCount val="11"/>
                <c:pt idx="0">
                  <c:v>0</c:v>
                </c:pt>
                <c:pt idx="1">
                  <c:v>2.7378507871321487E-2</c:v>
                </c:pt>
                <c:pt idx="2">
                  <c:v>0.24640657084188924</c:v>
                </c:pt>
                <c:pt idx="3">
                  <c:v>0.99986310746063956</c:v>
                </c:pt>
                <c:pt idx="4">
                  <c:v>4.9998631074607438</c:v>
                </c:pt>
                <c:pt idx="5">
                  <c:v>10</c:v>
                </c:pt>
                <c:pt idx="6">
                  <c:v>15.000136892539476</c:v>
                </c:pt>
                <c:pt idx="7">
                  <c:v>20</c:v>
                </c:pt>
                <c:pt idx="8">
                  <c:v>30</c:v>
                </c:pt>
                <c:pt idx="9">
                  <c:v>40</c:v>
                </c:pt>
                <c:pt idx="10">
                  <c:v>50</c:v>
                </c:pt>
              </c:numCache>
            </c:numRef>
          </c:xVal>
          <c:yVal>
            <c:numRef>
              <c:f>'RB-Al'!$B$6:$L$6</c:f>
              <c:numCache>
                <c:formatCode>0.000E+00</c:formatCode>
                <c:ptCount val="11"/>
                <c:pt idx="0">
                  <c:v>254.2</c:v>
                </c:pt>
                <c:pt idx="1">
                  <c:v>253.3</c:v>
                </c:pt>
                <c:pt idx="2">
                  <c:v>246.1</c:v>
                </c:pt>
                <c:pt idx="3">
                  <c:v>222.9</c:v>
                </c:pt>
                <c:pt idx="4">
                  <c:v>131.69999999999999</c:v>
                </c:pt>
                <c:pt idx="5">
                  <c:v>68.22</c:v>
                </c:pt>
                <c:pt idx="6">
                  <c:v>35.339999999999996</c:v>
                </c:pt>
                <c:pt idx="7">
                  <c:v>18.309999999999999</c:v>
                </c:pt>
                <c:pt idx="8">
                  <c:v>4.9139999999999997</c:v>
                </c:pt>
                <c:pt idx="9">
                  <c:v>1.319</c:v>
                </c:pt>
                <c:pt idx="10">
                  <c:v>0.35390000000000038</c:v>
                </c:pt>
              </c:numCache>
            </c:numRef>
          </c:yVal>
          <c:smooth val="1"/>
        </c:ser>
        <c:ser>
          <c:idx val="4"/>
          <c:order val="3"/>
          <c:tx>
            <c:v>SPB: Co-60 in Al</c:v>
          </c:tx>
          <c:spPr>
            <a:ln>
              <a:solidFill>
                <a:srgbClr val="FF0000"/>
              </a:solidFill>
              <a:prstDash val="dash"/>
            </a:ln>
          </c:spPr>
          <c:marker>
            <c:symbol val="none"/>
          </c:marker>
          <c:xVal>
            <c:numRef>
              <c:f>'SPB-Al'!$B$3:$L$3</c:f>
              <c:numCache>
                <c:formatCode>0.00</c:formatCode>
                <c:ptCount val="11"/>
                <c:pt idx="0">
                  <c:v>0</c:v>
                </c:pt>
                <c:pt idx="1">
                  <c:v>2.7378507871321487E-2</c:v>
                </c:pt>
                <c:pt idx="2">
                  <c:v>0.24640657084188924</c:v>
                </c:pt>
                <c:pt idx="3">
                  <c:v>0.99986310746063956</c:v>
                </c:pt>
                <c:pt idx="4">
                  <c:v>4.9998631074607438</c:v>
                </c:pt>
                <c:pt idx="5">
                  <c:v>10</c:v>
                </c:pt>
                <c:pt idx="6">
                  <c:v>15.000136892539476</c:v>
                </c:pt>
                <c:pt idx="7">
                  <c:v>20</c:v>
                </c:pt>
                <c:pt idx="8">
                  <c:v>30</c:v>
                </c:pt>
                <c:pt idx="9">
                  <c:v>40</c:v>
                </c:pt>
                <c:pt idx="10">
                  <c:v>50</c:v>
                </c:pt>
              </c:numCache>
            </c:numRef>
          </c:xVal>
          <c:yVal>
            <c:numRef>
              <c:f>'SPB-Al'!$B$6:$L$6</c:f>
              <c:numCache>
                <c:formatCode>0.000E+00</c:formatCode>
                <c:ptCount val="11"/>
                <c:pt idx="0">
                  <c:v>180.1</c:v>
                </c:pt>
                <c:pt idx="1">
                  <c:v>179.5</c:v>
                </c:pt>
                <c:pt idx="2">
                  <c:v>174.4</c:v>
                </c:pt>
                <c:pt idx="3">
                  <c:v>157.9</c:v>
                </c:pt>
                <c:pt idx="4">
                  <c:v>93.31</c:v>
                </c:pt>
                <c:pt idx="5">
                  <c:v>48.339999999999996</c:v>
                </c:pt>
                <c:pt idx="6">
                  <c:v>25.04</c:v>
                </c:pt>
                <c:pt idx="7">
                  <c:v>12.97</c:v>
                </c:pt>
                <c:pt idx="8">
                  <c:v>3.4819999999999998</c:v>
                </c:pt>
                <c:pt idx="9">
                  <c:v>0.9345</c:v>
                </c:pt>
                <c:pt idx="10">
                  <c:v>0.25080000000000002</c:v>
                </c:pt>
              </c:numCache>
            </c:numRef>
          </c:yVal>
          <c:smooth val="1"/>
        </c:ser>
        <c:ser>
          <c:idx val="2"/>
          <c:order val="4"/>
          <c:tx>
            <c:v>RB: Ni-63 in Al</c:v>
          </c:tx>
          <c:spPr>
            <a:ln w="25400">
              <a:solidFill>
                <a:srgbClr val="008000"/>
              </a:solidFill>
            </a:ln>
          </c:spPr>
          <c:marker>
            <c:symbol val="none"/>
          </c:marker>
          <c:xVal>
            <c:numRef>
              <c:f>'RB-Al'!$B$3:$L$3</c:f>
              <c:numCache>
                <c:formatCode>0.00</c:formatCode>
                <c:ptCount val="11"/>
                <c:pt idx="0">
                  <c:v>0</c:v>
                </c:pt>
                <c:pt idx="1">
                  <c:v>2.7378507871321487E-2</c:v>
                </c:pt>
                <c:pt idx="2">
                  <c:v>0.24640657084188924</c:v>
                </c:pt>
                <c:pt idx="3">
                  <c:v>0.99986310746063956</c:v>
                </c:pt>
                <c:pt idx="4">
                  <c:v>4.9998631074607438</c:v>
                </c:pt>
                <c:pt idx="5">
                  <c:v>10</c:v>
                </c:pt>
                <c:pt idx="6">
                  <c:v>15.000136892539476</c:v>
                </c:pt>
                <c:pt idx="7">
                  <c:v>20</c:v>
                </c:pt>
                <c:pt idx="8">
                  <c:v>30</c:v>
                </c:pt>
                <c:pt idx="9">
                  <c:v>40</c:v>
                </c:pt>
                <c:pt idx="10">
                  <c:v>50</c:v>
                </c:pt>
              </c:numCache>
            </c:numRef>
          </c:xVal>
          <c:yVal>
            <c:numRef>
              <c:f>'RB-Al'!$B$7:$L$7</c:f>
              <c:numCache>
                <c:formatCode>0.000E+00</c:formatCode>
                <c:ptCount val="11"/>
                <c:pt idx="0">
                  <c:v>17.34</c:v>
                </c:pt>
                <c:pt idx="1">
                  <c:v>17.329999999999988</c:v>
                </c:pt>
                <c:pt idx="2">
                  <c:v>17.309999999999999</c:v>
                </c:pt>
                <c:pt idx="3">
                  <c:v>17.22</c:v>
                </c:pt>
                <c:pt idx="4">
                  <c:v>16.75</c:v>
                </c:pt>
                <c:pt idx="5">
                  <c:v>16.18</c:v>
                </c:pt>
                <c:pt idx="6">
                  <c:v>15.629999999999999</c:v>
                </c:pt>
                <c:pt idx="7">
                  <c:v>15.09</c:v>
                </c:pt>
                <c:pt idx="8">
                  <c:v>14.08</c:v>
                </c:pt>
                <c:pt idx="9">
                  <c:v>13.139999999999999</c:v>
                </c:pt>
                <c:pt idx="10">
                  <c:v>12.26</c:v>
                </c:pt>
              </c:numCache>
            </c:numRef>
          </c:yVal>
          <c:smooth val="1"/>
        </c:ser>
        <c:ser>
          <c:idx val="5"/>
          <c:order val="5"/>
          <c:tx>
            <c:v>SPB: Ni-63 in Al</c:v>
          </c:tx>
          <c:spPr>
            <a:ln>
              <a:solidFill>
                <a:srgbClr val="008000"/>
              </a:solidFill>
              <a:prstDash val="dash"/>
            </a:ln>
          </c:spPr>
          <c:marker>
            <c:symbol val="none"/>
          </c:marker>
          <c:xVal>
            <c:numRef>
              <c:f>'SPB-Al'!$B$3:$L$3</c:f>
              <c:numCache>
                <c:formatCode>0.00</c:formatCode>
                <c:ptCount val="11"/>
                <c:pt idx="0">
                  <c:v>0</c:v>
                </c:pt>
                <c:pt idx="1">
                  <c:v>2.7378507871321487E-2</c:v>
                </c:pt>
                <c:pt idx="2">
                  <c:v>0.24640657084188924</c:v>
                </c:pt>
                <c:pt idx="3">
                  <c:v>0.99986310746063956</c:v>
                </c:pt>
                <c:pt idx="4">
                  <c:v>4.9998631074607438</c:v>
                </c:pt>
                <c:pt idx="5">
                  <c:v>10</c:v>
                </c:pt>
                <c:pt idx="6">
                  <c:v>15.000136892539476</c:v>
                </c:pt>
                <c:pt idx="7">
                  <c:v>20</c:v>
                </c:pt>
                <c:pt idx="8">
                  <c:v>30</c:v>
                </c:pt>
                <c:pt idx="9">
                  <c:v>40</c:v>
                </c:pt>
                <c:pt idx="10">
                  <c:v>50</c:v>
                </c:pt>
              </c:numCache>
            </c:numRef>
          </c:xVal>
          <c:yVal>
            <c:numRef>
              <c:f>'SPB-Al'!$B$7:$L$7</c:f>
              <c:numCache>
                <c:formatCode>0.000E+00</c:formatCode>
                <c:ptCount val="11"/>
                <c:pt idx="0">
                  <c:v>3.0579999999999998</c:v>
                </c:pt>
                <c:pt idx="1">
                  <c:v>3.0569999999999977</c:v>
                </c:pt>
                <c:pt idx="2">
                  <c:v>3.0519999999999987</c:v>
                </c:pt>
                <c:pt idx="3">
                  <c:v>3.0359999999999987</c:v>
                </c:pt>
                <c:pt idx="4">
                  <c:v>2.9539999999999997</c:v>
                </c:pt>
                <c:pt idx="5">
                  <c:v>2.8529999999999927</c:v>
                </c:pt>
                <c:pt idx="6">
                  <c:v>2.7559999999999998</c:v>
                </c:pt>
                <c:pt idx="7">
                  <c:v>2.6619999999999999</c:v>
                </c:pt>
                <c:pt idx="8">
                  <c:v>2.484</c:v>
                </c:pt>
                <c:pt idx="9">
                  <c:v>2.3179999999999987</c:v>
                </c:pt>
                <c:pt idx="10">
                  <c:v>2.1629999999999998</c:v>
                </c:pt>
              </c:numCache>
            </c:numRef>
          </c:yVal>
          <c:smooth val="1"/>
        </c:ser>
        <c:axId val="192549248"/>
        <c:axId val="192551168"/>
      </c:scatterChart>
      <c:valAx>
        <c:axId val="192549248"/>
        <c:scaling>
          <c:orientation val="minMax"/>
          <c:max val="50"/>
          <c:min val="0"/>
        </c:scaling>
        <c:axPos val="b"/>
        <c:majorGridlines>
          <c:spPr>
            <a:ln>
              <a:solidFill>
                <a:sysClr val="windowText" lastClr="000000"/>
              </a:solidFill>
            </a:ln>
          </c:spPr>
        </c:majorGridlines>
        <c:title>
          <c:tx>
            <c:rich>
              <a:bodyPr/>
              <a:lstStyle/>
              <a:p>
                <a:pPr>
                  <a:defRPr/>
                </a:pPr>
                <a:r>
                  <a:rPr lang="en-US" sz="1100" dirty="0"/>
                  <a:t>Years</a:t>
                </a:r>
                <a:r>
                  <a:rPr lang="en-US" sz="1100" baseline="0" dirty="0"/>
                  <a:t> after </a:t>
                </a:r>
                <a:r>
                  <a:rPr lang="en-US" sz="1100" dirty="0"/>
                  <a:t>Discharge</a:t>
                </a:r>
              </a:p>
            </c:rich>
          </c:tx>
          <c:layout>
            <c:manualLayout>
              <c:xMode val="edge"/>
              <c:yMode val="edge"/>
              <c:x val="0.42497388719268325"/>
              <c:y val="0.94548235357499788"/>
            </c:manualLayout>
          </c:layout>
        </c:title>
        <c:numFmt formatCode="General" sourceLinked="0"/>
        <c:tickLblPos val="low"/>
        <c:spPr>
          <a:ln>
            <a:solidFill>
              <a:schemeClr val="tx1"/>
            </a:solidFill>
          </a:ln>
        </c:spPr>
        <c:crossAx val="192551168"/>
        <c:crosses val="autoZero"/>
        <c:crossBetween val="midCat"/>
        <c:majorUnit val="5"/>
      </c:valAx>
      <c:valAx>
        <c:axId val="192551168"/>
        <c:scaling>
          <c:logBase val="10"/>
          <c:orientation val="minMax"/>
        </c:scaling>
        <c:axPos val="l"/>
        <c:majorGridlines>
          <c:spPr>
            <a:ln>
              <a:solidFill>
                <a:sysClr val="windowText" lastClr="000000"/>
              </a:solidFill>
            </a:ln>
          </c:spPr>
        </c:majorGridlines>
        <c:minorGridlines/>
        <c:title>
          <c:tx>
            <c:rich>
              <a:bodyPr rot="-5400000" vert="horz"/>
              <a:lstStyle/>
              <a:p>
                <a:pPr>
                  <a:defRPr sz="1200"/>
                </a:pPr>
                <a:r>
                  <a:rPr lang="en-US" sz="1100"/>
                  <a:t>Nuclide Activity (Ci)</a:t>
                </a:r>
              </a:p>
            </c:rich>
          </c:tx>
          <c:layout>
            <c:manualLayout>
              <c:xMode val="edge"/>
              <c:yMode val="edge"/>
              <c:x val="5.6689342403628065E-3"/>
              <c:y val="0.29170435794438532"/>
            </c:manualLayout>
          </c:layout>
        </c:title>
        <c:numFmt formatCode="0.E+00" sourceLinked="0"/>
        <c:tickLblPos val="nextTo"/>
        <c:spPr>
          <a:ln>
            <a:solidFill>
              <a:sysClr val="windowText" lastClr="000000"/>
            </a:solidFill>
          </a:ln>
        </c:spPr>
        <c:crossAx val="192549248"/>
        <c:crosses val="autoZero"/>
        <c:crossBetween val="midCat"/>
      </c:valAx>
    </c:plotArea>
    <c:legend>
      <c:legendPos val="r"/>
      <c:layout>
        <c:manualLayout>
          <c:xMode val="edge"/>
          <c:yMode val="edge"/>
          <c:x val="0.3145975056689343"/>
          <c:y val="3.0666032817326452E-2"/>
          <c:w val="0.64813014444622996"/>
          <c:h val="0.16180949256343283"/>
        </c:manualLayout>
      </c:layout>
      <c:overlay val="1"/>
      <c:spPr>
        <a:solidFill>
          <a:schemeClr val="bg1"/>
        </a:solidFill>
        <a:ln>
          <a:solidFill>
            <a:sysClr val="windowText" lastClr="000000"/>
          </a:solidFill>
        </a:ln>
      </c:spPr>
      <c:txPr>
        <a:bodyPr/>
        <a:lstStyle/>
        <a:p>
          <a:pPr>
            <a:defRPr sz="1000"/>
          </a:pPr>
          <a:endParaRPr lang="en-US"/>
        </a:p>
      </c:txPr>
    </c:legend>
    <c:plotVisOnly val="1"/>
  </c:chart>
  <c:spPr>
    <a:noFill/>
    <a:ln>
      <a:solidFill>
        <a:schemeClr val="tx1"/>
      </a:solidFill>
    </a:ln>
  </c:spPr>
  <c:txPr>
    <a:bodyPr/>
    <a:lstStyle/>
    <a:p>
      <a:pPr>
        <a:defRPr sz="1100">
          <a:latin typeface="Times New Roman" pitchFamily="18" charset="0"/>
          <a:cs typeface="Times New Roman" pitchFamily="18" charset="0"/>
        </a:defRPr>
      </a:pPr>
      <a:endParaRPr lang="en-US"/>
    </a:p>
  </c:txPr>
  <c:externalData r:id="rId1"/>
</c:chartSpace>
</file>

<file path=word/charts/chart42.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5.5722872111713534E-2"/>
          <c:y val="2.2199223170204851E-2"/>
          <c:w val="0.8626334918534676"/>
          <c:h val="0.89793076861592358"/>
        </c:manualLayout>
      </c:layout>
      <c:barChart>
        <c:barDir val="col"/>
        <c:grouping val="percentStacked"/>
        <c:ser>
          <c:idx val="0"/>
          <c:order val="0"/>
          <c:tx>
            <c:strRef>
              <c:f>'FTT(1-425)'!$AH$1</c:f>
              <c:strCache>
                <c:ptCount val="1"/>
                <c:pt idx="0">
                  <c:v>U235</c:v>
                </c:pt>
              </c:strCache>
            </c:strRef>
          </c:tx>
          <c:spPr>
            <a:solidFill>
              <a:schemeClr val="bg1">
                <a:lumMod val="85000"/>
              </a:schemeClr>
            </a:solidFill>
          </c:spPr>
          <c:cat>
            <c:strRef>
              <c:f>'FTT(1-425)'!$AG$2:$AG$434</c:f>
              <c:strCache>
                <c:ptCount val="43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11b</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43a</c:v>
                </c:pt>
                <c:pt idx="44">
                  <c:v>44</c:v>
                </c:pt>
                <c:pt idx="45">
                  <c:v>43b</c:v>
                </c:pt>
                <c:pt idx="46">
                  <c:v>45</c:v>
                </c:pt>
                <c:pt idx="47">
                  <c:v>46</c:v>
                </c:pt>
                <c:pt idx="48">
                  <c:v>47</c:v>
                </c:pt>
                <c:pt idx="49">
                  <c:v>48</c:v>
                </c:pt>
                <c:pt idx="50">
                  <c:v>49</c:v>
                </c:pt>
                <c:pt idx="51">
                  <c:v>50</c:v>
                </c:pt>
                <c:pt idx="52">
                  <c:v>51</c:v>
                </c:pt>
                <c:pt idx="53">
                  <c:v>52</c:v>
                </c:pt>
                <c:pt idx="54">
                  <c:v>53</c:v>
                </c:pt>
                <c:pt idx="55">
                  <c:v>54</c:v>
                </c:pt>
                <c:pt idx="56">
                  <c:v>55a</c:v>
                </c:pt>
                <c:pt idx="57">
                  <c:v>55b</c:v>
                </c:pt>
                <c:pt idx="58">
                  <c:v>56</c:v>
                </c:pt>
                <c:pt idx="59">
                  <c:v>57</c:v>
                </c:pt>
                <c:pt idx="60">
                  <c:v>58</c:v>
                </c:pt>
                <c:pt idx="61">
                  <c:v>59</c:v>
                </c:pt>
                <c:pt idx="62">
                  <c:v>60</c:v>
                </c:pt>
                <c:pt idx="63">
                  <c:v>61</c:v>
                </c:pt>
                <c:pt idx="64">
                  <c:v>62</c:v>
                </c:pt>
                <c:pt idx="65">
                  <c:v>63</c:v>
                </c:pt>
                <c:pt idx="66">
                  <c:v>64</c:v>
                </c:pt>
                <c:pt idx="67">
                  <c:v>65</c:v>
                </c:pt>
                <c:pt idx="68">
                  <c:v>66</c:v>
                </c:pt>
                <c:pt idx="69">
                  <c:v>67</c:v>
                </c:pt>
                <c:pt idx="70">
                  <c:v>68</c:v>
                </c:pt>
                <c:pt idx="71">
                  <c:v>69</c:v>
                </c:pt>
                <c:pt idx="72">
                  <c:v>70</c:v>
                </c:pt>
                <c:pt idx="73">
                  <c:v>71</c:v>
                </c:pt>
                <c:pt idx="74">
                  <c:v>72</c:v>
                </c:pt>
                <c:pt idx="75">
                  <c:v>73</c:v>
                </c:pt>
                <c:pt idx="76">
                  <c:v>74</c:v>
                </c:pt>
                <c:pt idx="77">
                  <c:v>75</c:v>
                </c:pt>
                <c:pt idx="78">
                  <c:v>76</c:v>
                </c:pt>
                <c:pt idx="79">
                  <c:v>77</c:v>
                </c:pt>
                <c:pt idx="80">
                  <c:v>78</c:v>
                </c:pt>
                <c:pt idx="81">
                  <c:v>79</c:v>
                </c:pt>
                <c:pt idx="82">
                  <c:v>80</c:v>
                </c:pt>
                <c:pt idx="83">
                  <c:v>81</c:v>
                </c:pt>
                <c:pt idx="84">
                  <c:v>82</c:v>
                </c:pt>
                <c:pt idx="85">
                  <c:v>83</c:v>
                </c:pt>
                <c:pt idx="86">
                  <c:v>84</c:v>
                </c:pt>
                <c:pt idx="87">
                  <c:v>85</c:v>
                </c:pt>
                <c:pt idx="88">
                  <c:v>86</c:v>
                </c:pt>
                <c:pt idx="89">
                  <c:v>87</c:v>
                </c:pt>
                <c:pt idx="90">
                  <c:v>88</c:v>
                </c:pt>
                <c:pt idx="91">
                  <c:v>89</c:v>
                </c:pt>
                <c:pt idx="92">
                  <c:v>90</c:v>
                </c:pt>
                <c:pt idx="93">
                  <c:v>91</c:v>
                </c:pt>
                <c:pt idx="94">
                  <c:v>92</c:v>
                </c:pt>
                <c:pt idx="95">
                  <c:v>93</c:v>
                </c:pt>
                <c:pt idx="96">
                  <c:v>94</c:v>
                </c:pt>
                <c:pt idx="97">
                  <c:v>95</c:v>
                </c:pt>
                <c:pt idx="98">
                  <c:v>96</c:v>
                </c:pt>
                <c:pt idx="99">
                  <c:v>97</c:v>
                </c:pt>
                <c:pt idx="100">
                  <c:v>98</c:v>
                </c:pt>
                <c:pt idx="101">
                  <c:v>99</c:v>
                </c:pt>
                <c:pt idx="102">
                  <c:v>100</c:v>
                </c:pt>
                <c:pt idx="103">
                  <c:v>101</c:v>
                </c:pt>
                <c:pt idx="104">
                  <c:v>102</c:v>
                </c:pt>
                <c:pt idx="105">
                  <c:v>103</c:v>
                </c:pt>
                <c:pt idx="106">
                  <c:v>104</c:v>
                </c:pt>
                <c:pt idx="107">
                  <c:v>105</c:v>
                </c:pt>
                <c:pt idx="108">
                  <c:v>106</c:v>
                </c:pt>
                <c:pt idx="109">
                  <c:v>107</c:v>
                </c:pt>
                <c:pt idx="110">
                  <c:v>108</c:v>
                </c:pt>
                <c:pt idx="111">
                  <c:v>109</c:v>
                </c:pt>
                <c:pt idx="112">
                  <c:v>110</c:v>
                </c:pt>
                <c:pt idx="113">
                  <c:v>111</c:v>
                </c:pt>
                <c:pt idx="114">
                  <c:v>112</c:v>
                </c:pt>
                <c:pt idx="115">
                  <c:v>113</c:v>
                </c:pt>
                <c:pt idx="116">
                  <c:v>114</c:v>
                </c:pt>
                <c:pt idx="117">
                  <c:v>115</c:v>
                </c:pt>
                <c:pt idx="118">
                  <c:v>116</c:v>
                </c:pt>
                <c:pt idx="119">
                  <c:v>117</c:v>
                </c:pt>
                <c:pt idx="120">
                  <c:v>118a</c:v>
                </c:pt>
                <c:pt idx="121">
                  <c:v>119</c:v>
                </c:pt>
                <c:pt idx="122">
                  <c:v>118b</c:v>
                </c:pt>
                <c:pt idx="123">
                  <c:v>120</c:v>
                </c:pt>
                <c:pt idx="124">
                  <c:v>121</c:v>
                </c:pt>
                <c:pt idx="125">
                  <c:v>122</c:v>
                </c:pt>
                <c:pt idx="126">
                  <c:v>123</c:v>
                </c:pt>
                <c:pt idx="127">
                  <c:v>124</c:v>
                </c:pt>
                <c:pt idx="128">
                  <c:v>125</c:v>
                </c:pt>
                <c:pt idx="129">
                  <c:v>126</c:v>
                </c:pt>
                <c:pt idx="130">
                  <c:v>127</c:v>
                </c:pt>
                <c:pt idx="131">
                  <c:v>128</c:v>
                </c:pt>
                <c:pt idx="132">
                  <c:v>129</c:v>
                </c:pt>
                <c:pt idx="133">
                  <c:v>130</c:v>
                </c:pt>
                <c:pt idx="134">
                  <c:v>131</c:v>
                </c:pt>
                <c:pt idx="135">
                  <c:v>132</c:v>
                </c:pt>
                <c:pt idx="136">
                  <c:v>133</c:v>
                </c:pt>
                <c:pt idx="137">
                  <c:v>134</c:v>
                </c:pt>
                <c:pt idx="138">
                  <c:v>135</c:v>
                </c:pt>
                <c:pt idx="139">
                  <c:v>136</c:v>
                </c:pt>
                <c:pt idx="140">
                  <c:v>137</c:v>
                </c:pt>
                <c:pt idx="141">
                  <c:v>138</c:v>
                </c:pt>
                <c:pt idx="142">
                  <c:v>139</c:v>
                </c:pt>
                <c:pt idx="143">
                  <c:v>140</c:v>
                </c:pt>
                <c:pt idx="144">
                  <c:v>141</c:v>
                </c:pt>
                <c:pt idx="145">
                  <c:v>142</c:v>
                </c:pt>
                <c:pt idx="146">
                  <c:v>143</c:v>
                </c:pt>
                <c:pt idx="147">
                  <c:v>144</c:v>
                </c:pt>
                <c:pt idx="148">
                  <c:v>145</c:v>
                </c:pt>
                <c:pt idx="149">
                  <c:v>146</c:v>
                </c:pt>
                <c:pt idx="150">
                  <c:v>147</c:v>
                </c:pt>
                <c:pt idx="151">
                  <c:v>148</c:v>
                </c:pt>
                <c:pt idx="152">
                  <c:v>149</c:v>
                </c:pt>
                <c:pt idx="153">
                  <c:v>150</c:v>
                </c:pt>
                <c:pt idx="154">
                  <c:v>151</c:v>
                </c:pt>
                <c:pt idx="155">
                  <c:v>152</c:v>
                </c:pt>
                <c:pt idx="156">
                  <c:v>153</c:v>
                </c:pt>
                <c:pt idx="157">
                  <c:v>154</c:v>
                </c:pt>
                <c:pt idx="158">
                  <c:v>155</c:v>
                </c:pt>
                <c:pt idx="159">
                  <c:v>156</c:v>
                </c:pt>
                <c:pt idx="160">
                  <c:v>157</c:v>
                </c:pt>
                <c:pt idx="161">
                  <c:v>158</c:v>
                </c:pt>
                <c:pt idx="162">
                  <c:v>159</c:v>
                </c:pt>
                <c:pt idx="163">
                  <c:v>160</c:v>
                </c:pt>
                <c:pt idx="164">
                  <c:v>161</c:v>
                </c:pt>
                <c:pt idx="165">
                  <c:v>162</c:v>
                </c:pt>
                <c:pt idx="166">
                  <c:v>163</c:v>
                </c:pt>
                <c:pt idx="167">
                  <c:v>164</c:v>
                </c:pt>
                <c:pt idx="168">
                  <c:v>165</c:v>
                </c:pt>
                <c:pt idx="169">
                  <c:v>166</c:v>
                </c:pt>
                <c:pt idx="170">
                  <c:v>167</c:v>
                </c:pt>
                <c:pt idx="171">
                  <c:v>168</c:v>
                </c:pt>
                <c:pt idx="172">
                  <c:v>169</c:v>
                </c:pt>
                <c:pt idx="173">
                  <c:v>170</c:v>
                </c:pt>
                <c:pt idx="174">
                  <c:v>171</c:v>
                </c:pt>
                <c:pt idx="175">
                  <c:v>172</c:v>
                </c:pt>
                <c:pt idx="176">
                  <c:v>173</c:v>
                </c:pt>
                <c:pt idx="177">
                  <c:v>174</c:v>
                </c:pt>
                <c:pt idx="178">
                  <c:v>175</c:v>
                </c:pt>
                <c:pt idx="179">
                  <c:v>176</c:v>
                </c:pt>
                <c:pt idx="180">
                  <c:v>177</c:v>
                </c:pt>
                <c:pt idx="181">
                  <c:v>178</c:v>
                </c:pt>
                <c:pt idx="182">
                  <c:v>179</c:v>
                </c:pt>
                <c:pt idx="183">
                  <c:v>180</c:v>
                </c:pt>
                <c:pt idx="184">
                  <c:v>181</c:v>
                </c:pt>
                <c:pt idx="185">
                  <c:v>182</c:v>
                </c:pt>
                <c:pt idx="186">
                  <c:v>183</c:v>
                </c:pt>
                <c:pt idx="187">
                  <c:v>184</c:v>
                </c:pt>
                <c:pt idx="188">
                  <c:v>185</c:v>
                </c:pt>
                <c:pt idx="189">
                  <c:v>186a</c:v>
                </c:pt>
                <c:pt idx="190">
                  <c:v>186b</c:v>
                </c:pt>
                <c:pt idx="191">
                  <c:v>187</c:v>
                </c:pt>
                <c:pt idx="192">
                  <c:v>188</c:v>
                </c:pt>
                <c:pt idx="193">
                  <c:v>189</c:v>
                </c:pt>
                <c:pt idx="194">
                  <c:v>190</c:v>
                </c:pt>
                <c:pt idx="195">
                  <c:v>191</c:v>
                </c:pt>
                <c:pt idx="196">
                  <c:v>192</c:v>
                </c:pt>
                <c:pt idx="197">
                  <c:v>193</c:v>
                </c:pt>
                <c:pt idx="198">
                  <c:v>194</c:v>
                </c:pt>
                <c:pt idx="199">
                  <c:v>195</c:v>
                </c:pt>
                <c:pt idx="200">
                  <c:v>196</c:v>
                </c:pt>
                <c:pt idx="201">
                  <c:v>197</c:v>
                </c:pt>
                <c:pt idx="202">
                  <c:v>198</c:v>
                </c:pt>
                <c:pt idx="203">
                  <c:v>199</c:v>
                </c:pt>
                <c:pt idx="204">
                  <c:v>200</c:v>
                </c:pt>
                <c:pt idx="205">
                  <c:v>201</c:v>
                </c:pt>
                <c:pt idx="206">
                  <c:v>202</c:v>
                </c:pt>
                <c:pt idx="207">
                  <c:v>203</c:v>
                </c:pt>
                <c:pt idx="208">
                  <c:v>204</c:v>
                </c:pt>
                <c:pt idx="209">
                  <c:v>205</c:v>
                </c:pt>
                <c:pt idx="210">
                  <c:v>206</c:v>
                </c:pt>
                <c:pt idx="211">
                  <c:v>207</c:v>
                </c:pt>
                <c:pt idx="212">
                  <c:v>208</c:v>
                </c:pt>
                <c:pt idx="213">
                  <c:v>209</c:v>
                </c:pt>
                <c:pt idx="214">
                  <c:v>210</c:v>
                </c:pt>
                <c:pt idx="215">
                  <c:v>211</c:v>
                </c:pt>
                <c:pt idx="216">
                  <c:v>212</c:v>
                </c:pt>
                <c:pt idx="217">
                  <c:v>213</c:v>
                </c:pt>
                <c:pt idx="218">
                  <c:v>214</c:v>
                </c:pt>
                <c:pt idx="219">
                  <c:v>215</c:v>
                </c:pt>
                <c:pt idx="220">
                  <c:v>216</c:v>
                </c:pt>
                <c:pt idx="221">
                  <c:v>217</c:v>
                </c:pt>
                <c:pt idx="222">
                  <c:v>218</c:v>
                </c:pt>
                <c:pt idx="223">
                  <c:v>219</c:v>
                </c:pt>
                <c:pt idx="224">
                  <c:v>220</c:v>
                </c:pt>
                <c:pt idx="225">
                  <c:v>221</c:v>
                </c:pt>
                <c:pt idx="226">
                  <c:v>222</c:v>
                </c:pt>
                <c:pt idx="227">
                  <c:v>223</c:v>
                </c:pt>
                <c:pt idx="228">
                  <c:v>224</c:v>
                </c:pt>
                <c:pt idx="229">
                  <c:v>225</c:v>
                </c:pt>
                <c:pt idx="230">
                  <c:v>226</c:v>
                </c:pt>
                <c:pt idx="231">
                  <c:v>227</c:v>
                </c:pt>
                <c:pt idx="232">
                  <c:v>228</c:v>
                </c:pt>
                <c:pt idx="233">
                  <c:v>229</c:v>
                </c:pt>
                <c:pt idx="234">
                  <c:v>230</c:v>
                </c:pt>
                <c:pt idx="235">
                  <c:v>231</c:v>
                </c:pt>
                <c:pt idx="236">
                  <c:v>232</c:v>
                </c:pt>
                <c:pt idx="237">
                  <c:v>233</c:v>
                </c:pt>
                <c:pt idx="238">
                  <c:v>234</c:v>
                </c:pt>
                <c:pt idx="239">
                  <c:v>235</c:v>
                </c:pt>
                <c:pt idx="240">
                  <c:v>236</c:v>
                </c:pt>
                <c:pt idx="241">
                  <c:v>237</c:v>
                </c:pt>
                <c:pt idx="242">
                  <c:v>238</c:v>
                </c:pt>
                <c:pt idx="243">
                  <c:v>239</c:v>
                </c:pt>
                <c:pt idx="244">
                  <c:v>240</c:v>
                </c:pt>
                <c:pt idx="245">
                  <c:v>241</c:v>
                </c:pt>
                <c:pt idx="246">
                  <c:v>242</c:v>
                </c:pt>
                <c:pt idx="247">
                  <c:v>243</c:v>
                </c:pt>
                <c:pt idx="248">
                  <c:v>244</c:v>
                </c:pt>
                <c:pt idx="249">
                  <c:v>245</c:v>
                </c:pt>
                <c:pt idx="250">
                  <c:v>246</c:v>
                </c:pt>
                <c:pt idx="251">
                  <c:v>247</c:v>
                </c:pt>
                <c:pt idx="252">
                  <c:v>248</c:v>
                </c:pt>
                <c:pt idx="253">
                  <c:v>249</c:v>
                </c:pt>
                <c:pt idx="254">
                  <c:v>250</c:v>
                </c:pt>
                <c:pt idx="255">
                  <c:v>251</c:v>
                </c:pt>
                <c:pt idx="256">
                  <c:v>252a</c:v>
                </c:pt>
                <c:pt idx="257">
                  <c:v>252b</c:v>
                </c:pt>
                <c:pt idx="258">
                  <c:v>253a</c:v>
                </c:pt>
                <c:pt idx="259">
                  <c:v>253b</c:v>
                </c:pt>
                <c:pt idx="260">
                  <c:v>254</c:v>
                </c:pt>
                <c:pt idx="261">
                  <c:v>255</c:v>
                </c:pt>
                <c:pt idx="262">
                  <c:v>256</c:v>
                </c:pt>
                <c:pt idx="263">
                  <c:v>257</c:v>
                </c:pt>
                <c:pt idx="264">
                  <c:v>258</c:v>
                </c:pt>
                <c:pt idx="265">
                  <c:v>259</c:v>
                </c:pt>
                <c:pt idx="266">
                  <c:v>260</c:v>
                </c:pt>
                <c:pt idx="267">
                  <c:v>261</c:v>
                </c:pt>
                <c:pt idx="268">
                  <c:v>262</c:v>
                </c:pt>
                <c:pt idx="269">
                  <c:v>263</c:v>
                </c:pt>
                <c:pt idx="270">
                  <c:v>264</c:v>
                </c:pt>
                <c:pt idx="271">
                  <c:v>265</c:v>
                </c:pt>
                <c:pt idx="272">
                  <c:v>266</c:v>
                </c:pt>
                <c:pt idx="273">
                  <c:v>267</c:v>
                </c:pt>
                <c:pt idx="274">
                  <c:v>268</c:v>
                </c:pt>
                <c:pt idx="275">
                  <c:v>269</c:v>
                </c:pt>
                <c:pt idx="276">
                  <c:v>270</c:v>
                </c:pt>
                <c:pt idx="277">
                  <c:v>271</c:v>
                </c:pt>
                <c:pt idx="278">
                  <c:v>272</c:v>
                </c:pt>
                <c:pt idx="279">
                  <c:v>273</c:v>
                </c:pt>
                <c:pt idx="280">
                  <c:v>274</c:v>
                </c:pt>
                <c:pt idx="281">
                  <c:v>275</c:v>
                </c:pt>
                <c:pt idx="282">
                  <c:v>276</c:v>
                </c:pt>
                <c:pt idx="283">
                  <c:v>277</c:v>
                </c:pt>
                <c:pt idx="284">
                  <c:v>278</c:v>
                </c:pt>
                <c:pt idx="285">
                  <c:v>279</c:v>
                </c:pt>
                <c:pt idx="286">
                  <c:v>280</c:v>
                </c:pt>
                <c:pt idx="287">
                  <c:v>281</c:v>
                </c:pt>
                <c:pt idx="288">
                  <c:v>282</c:v>
                </c:pt>
                <c:pt idx="289">
                  <c:v>283</c:v>
                </c:pt>
                <c:pt idx="290">
                  <c:v>284</c:v>
                </c:pt>
                <c:pt idx="291">
                  <c:v>285</c:v>
                </c:pt>
                <c:pt idx="292">
                  <c:v>286</c:v>
                </c:pt>
                <c:pt idx="293">
                  <c:v>287</c:v>
                </c:pt>
                <c:pt idx="294">
                  <c:v>288</c:v>
                </c:pt>
                <c:pt idx="295">
                  <c:v>289</c:v>
                </c:pt>
                <c:pt idx="296">
                  <c:v>290</c:v>
                </c:pt>
                <c:pt idx="297">
                  <c:v>291</c:v>
                </c:pt>
                <c:pt idx="298">
                  <c:v>292</c:v>
                </c:pt>
                <c:pt idx="299">
                  <c:v>293</c:v>
                </c:pt>
                <c:pt idx="300">
                  <c:v>294</c:v>
                </c:pt>
                <c:pt idx="301">
                  <c:v>295</c:v>
                </c:pt>
                <c:pt idx="302">
                  <c:v>296</c:v>
                </c:pt>
                <c:pt idx="303">
                  <c:v>297</c:v>
                </c:pt>
                <c:pt idx="304">
                  <c:v>298</c:v>
                </c:pt>
                <c:pt idx="305">
                  <c:v>299</c:v>
                </c:pt>
                <c:pt idx="306">
                  <c:v>300</c:v>
                </c:pt>
                <c:pt idx="307">
                  <c:v>301</c:v>
                </c:pt>
                <c:pt idx="308">
                  <c:v>302</c:v>
                </c:pt>
                <c:pt idx="309">
                  <c:v>303</c:v>
                </c:pt>
                <c:pt idx="310">
                  <c:v>304</c:v>
                </c:pt>
                <c:pt idx="311">
                  <c:v>305</c:v>
                </c:pt>
                <c:pt idx="312">
                  <c:v>306</c:v>
                </c:pt>
                <c:pt idx="313">
                  <c:v>307</c:v>
                </c:pt>
                <c:pt idx="314">
                  <c:v>308</c:v>
                </c:pt>
                <c:pt idx="315">
                  <c:v>309</c:v>
                </c:pt>
                <c:pt idx="316">
                  <c:v>310</c:v>
                </c:pt>
                <c:pt idx="317">
                  <c:v>311</c:v>
                </c:pt>
                <c:pt idx="318">
                  <c:v>312</c:v>
                </c:pt>
                <c:pt idx="319">
                  <c:v>313</c:v>
                </c:pt>
                <c:pt idx="320">
                  <c:v>314</c:v>
                </c:pt>
                <c:pt idx="321">
                  <c:v>315</c:v>
                </c:pt>
                <c:pt idx="322">
                  <c:v>316</c:v>
                </c:pt>
                <c:pt idx="323">
                  <c:v>317</c:v>
                </c:pt>
                <c:pt idx="324">
                  <c:v>318</c:v>
                </c:pt>
                <c:pt idx="325">
                  <c:v>319</c:v>
                </c:pt>
                <c:pt idx="326">
                  <c:v>320</c:v>
                </c:pt>
                <c:pt idx="327">
                  <c:v>321</c:v>
                </c:pt>
                <c:pt idx="328">
                  <c:v>322</c:v>
                </c:pt>
                <c:pt idx="329">
                  <c:v>323</c:v>
                </c:pt>
                <c:pt idx="330">
                  <c:v>324</c:v>
                </c:pt>
                <c:pt idx="331">
                  <c:v>325</c:v>
                </c:pt>
                <c:pt idx="332">
                  <c:v>326</c:v>
                </c:pt>
                <c:pt idx="333">
                  <c:v>327</c:v>
                </c:pt>
                <c:pt idx="334">
                  <c:v>328</c:v>
                </c:pt>
                <c:pt idx="335">
                  <c:v>329</c:v>
                </c:pt>
                <c:pt idx="336">
                  <c:v>330</c:v>
                </c:pt>
                <c:pt idx="337">
                  <c:v>331</c:v>
                </c:pt>
                <c:pt idx="338">
                  <c:v>332</c:v>
                </c:pt>
                <c:pt idx="339">
                  <c:v>333</c:v>
                </c:pt>
                <c:pt idx="340">
                  <c:v>334</c:v>
                </c:pt>
                <c:pt idx="341">
                  <c:v>335</c:v>
                </c:pt>
                <c:pt idx="342">
                  <c:v>336</c:v>
                </c:pt>
                <c:pt idx="343">
                  <c:v>337</c:v>
                </c:pt>
                <c:pt idx="344">
                  <c:v>338</c:v>
                </c:pt>
                <c:pt idx="345">
                  <c:v>339</c:v>
                </c:pt>
                <c:pt idx="346">
                  <c:v>340</c:v>
                </c:pt>
                <c:pt idx="347">
                  <c:v>341</c:v>
                </c:pt>
                <c:pt idx="348">
                  <c:v>342</c:v>
                </c:pt>
                <c:pt idx="349">
                  <c:v>343</c:v>
                </c:pt>
                <c:pt idx="350">
                  <c:v>344</c:v>
                </c:pt>
                <c:pt idx="351">
                  <c:v>345</c:v>
                </c:pt>
                <c:pt idx="352">
                  <c:v>346</c:v>
                </c:pt>
                <c:pt idx="353">
                  <c:v>347</c:v>
                </c:pt>
                <c:pt idx="354">
                  <c:v>348</c:v>
                </c:pt>
                <c:pt idx="355">
                  <c:v>349</c:v>
                </c:pt>
                <c:pt idx="356">
                  <c:v>350</c:v>
                </c:pt>
                <c:pt idx="357">
                  <c:v>351</c:v>
                </c:pt>
                <c:pt idx="358">
                  <c:v>352</c:v>
                </c:pt>
                <c:pt idx="359">
                  <c:v>353</c:v>
                </c:pt>
                <c:pt idx="360">
                  <c:v>354</c:v>
                </c:pt>
                <c:pt idx="361">
                  <c:v>355</c:v>
                </c:pt>
                <c:pt idx="362">
                  <c:v>356</c:v>
                </c:pt>
                <c:pt idx="363">
                  <c:v>357</c:v>
                </c:pt>
                <c:pt idx="364">
                  <c:v>358</c:v>
                </c:pt>
                <c:pt idx="365">
                  <c:v>359</c:v>
                </c:pt>
                <c:pt idx="366">
                  <c:v>360</c:v>
                </c:pt>
                <c:pt idx="367">
                  <c:v>361</c:v>
                </c:pt>
                <c:pt idx="368">
                  <c:v>362</c:v>
                </c:pt>
                <c:pt idx="369">
                  <c:v>363</c:v>
                </c:pt>
                <c:pt idx="370">
                  <c:v>364</c:v>
                </c:pt>
                <c:pt idx="371">
                  <c:v>365</c:v>
                </c:pt>
                <c:pt idx="372">
                  <c:v>366</c:v>
                </c:pt>
                <c:pt idx="373">
                  <c:v>367</c:v>
                </c:pt>
                <c:pt idx="374">
                  <c:v>368</c:v>
                </c:pt>
                <c:pt idx="375">
                  <c:v>369</c:v>
                </c:pt>
                <c:pt idx="376">
                  <c:v>370</c:v>
                </c:pt>
                <c:pt idx="377">
                  <c:v>371</c:v>
                </c:pt>
                <c:pt idx="378">
                  <c:v>372</c:v>
                </c:pt>
                <c:pt idx="379">
                  <c:v>373</c:v>
                </c:pt>
                <c:pt idx="380">
                  <c:v>374</c:v>
                </c:pt>
                <c:pt idx="381">
                  <c:v>375</c:v>
                </c:pt>
                <c:pt idx="382">
                  <c:v>376</c:v>
                </c:pt>
                <c:pt idx="383">
                  <c:v>377</c:v>
                </c:pt>
                <c:pt idx="384">
                  <c:v>378</c:v>
                </c:pt>
                <c:pt idx="385">
                  <c:v>379</c:v>
                </c:pt>
                <c:pt idx="386">
                  <c:v>380</c:v>
                </c:pt>
                <c:pt idx="387">
                  <c:v>381</c:v>
                </c:pt>
                <c:pt idx="388">
                  <c:v>382</c:v>
                </c:pt>
                <c:pt idx="389">
                  <c:v>383</c:v>
                </c:pt>
                <c:pt idx="390">
                  <c:v>384</c:v>
                </c:pt>
                <c:pt idx="391">
                  <c:v>385</c:v>
                </c:pt>
                <c:pt idx="392">
                  <c:v>386</c:v>
                </c:pt>
                <c:pt idx="393">
                  <c:v>387</c:v>
                </c:pt>
                <c:pt idx="394">
                  <c:v>388</c:v>
                </c:pt>
                <c:pt idx="395">
                  <c:v>389</c:v>
                </c:pt>
                <c:pt idx="396">
                  <c:v>390</c:v>
                </c:pt>
                <c:pt idx="397">
                  <c:v>391</c:v>
                </c:pt>
                <c:pt idx="398">
                  <c:v>392</c:v>
                </c:pt>
                <c:pt idx="399">
                  <c:v>393</c:v>
                </c:pt>
                <c:pt idx="400">
                  <c:v>394</c:v>
                </c:pt>
                <c:pt idx="401">
                  <c:v>395</c:v>
                </c:pt>
                <c:pt idx="402">
                  <c:v>396</c:v>
                </c:pt>
                <c:pt idx="403">
                  <c:v>397</c:v>
                </c:pt>
                <c:pt idx="404">
                  <c:v>398</c:v>
                </c:pt>
                <c:pt idx="405">
                  <c:v>399</c:v>
                </c:pt>
                <c:pt idx="406">
                  <c:v>400</c:v>
                </c:pt>
                <c:pt idx="407">
                  <c:v>401</c:v>
                </c:pt>
                <c:pt idx="408">
                  <c:v>402</c:v>
                </c:pt>
                <c:pt idx="409">
                  <c:v>403</c:v>
                </c:pt>
                <c:pt idx="410">
                  <c:v>404</c:v>
                </c:pt>
                <c:pt idx="411">
                  <c:v>405</c:v>
                </c:pt>
                <c:pt idx="412">
                  <c:v>406a</c:v>
                </c:pt>
                <c:pt idx="413">
                  <c:v>406b</c:v>
                </c:pt>
                <c:pt idx="414">
                  <c:v>407</c:v>
                </c:pt>
                <c:pt idx="415">
                  <c:v>408</c:v>
                </c:pt>
                <c:pt idx="416">
                  <c:v>409</c:v>
                </c:pt>
                <c:pt idx="417">
                  <c:v>410a</c:v>
                </c:pt>
                <c:pt idx="418">
                  <c:v>410b</c:v>
                </c:pt>
                <c:pt idx="419">
                  <c:v>410c</c:v>
                </c:pt>
                <c:pt idx="420">
                  <c:v>411</c:v>
                </c:pt>
                <c:pt idx="421">
                  <c:v>412</c:v>
                </c:pt>
                <c:pt idx="422">
                  <c:v>413</c:v>
                </c:pt>
                <c:pt idx="423">
                  <c:v>414</c:v>
                </c:pt>
                <c:pt idx="424">
                  <c:v>415</c:v>
                </c:pt>
                <c:pt idx="425">
                  <c:v>416</c:v>
                </c:pt>
                <c:pt idx="426">
                  <c:v>417</c:v>
                </c:pt>
                <c:pt idx="427">
                  <c:v>418</c:v>
                </c:pt>
                <c:pt idx="428">
                  <c:v>419</c:v>
                </c:pt>
                <c:pt idx="429">
                  <c:v>420</c:v>
                </c:pt>
                <c:pt idx="430">
                  <c:v>421</c:v>
                </c:pt>
                <c:pt idx="431">
                  <c:v>422</c:v>
                </c:pt>
                <c:pt idx="432">
                  <c:v>423</c:v>
                </c:pt>
              </c:strCache>
            </c:strRef>
          </c:cat>
          <c:val>
            <c:numRef>
              <c:f>'FTT(1-425)'!$AH$2:$AH$436</c:f>
              <c:numCache>
                <c:formatCode>General</c:formatCode>
                <c:ptCount val="435"/>
                <c:pt idx="0">
                  <c:v>0</c:v>
                </c:pt>
                <c:pt idx="1">
                  <c:v>0</c:v>
                </c:pt>
                <c:pt idx="2">
                  <c:v>0</c:v>
                </c:pt>
                <c:pt idx="3">
                  <c:v>30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numCache>
            </c:numRef>
          </c:val>
        </c:ser>
        <c:ser>
          <c:idx val="1"/>
          <c:order val="1"/>
          <c:tx>
            <c:strRef>
              <c:f>'FTT(1-425)'!$AI$1</c:f>
              <c:strCache>
                <c:ptCount val="1"/>
                <c:pt idx="0">
                  <c:v>Pu</c:v>
                </c:pt>
              </c:strCache>
            </c:strRef>
          </c:tx>
          <c:spPr>
            <a:solidFill>
              <a:srgbClr val="0033CC"/>
            </a:solidFill>
            <a:ln>
              <a:noFill/>
            </a:ln>
          </c:spPr>
          <c:cat>
            <c:strRef>
              <c:f>'FTT(1-425)'!$AG$2:$AG$434</c:f>
              <c:strCache>
                <c:ptCount val="43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11b</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43a</c:v>
                </c:pt>
                <c:pt idx="44">
                  <c:v>44</c:v>
                </c:pt>
                <c:pt idx="45">
                  <c:v>43b</c:v>
                </c:pt>
                <c:pt idx="46">
                  <c:v>45</c:v>
                </c:pt>
                <c:pt idx="47">
                  <c:v>46</c:v>
                </c:pt>
                <c:pt idx="48">
                  <c:v>47</c:v>
                </c:pt>
                <c:pt idx="49">
                  <c:v>48</c:v>
                </c:pt>
                <c:pt idx="50">
                  <c:v>49</c:v>
                </c:pt>
                <c:pt idx="51">
                  <c:v>50</c:v>
                </c:pt>
                <c:pt idx="52">
                  <c:v>51</c:v>
                </c:pt>
                <c:pt idx="53">
                  <c:v>52</c:v>
                </c:pt>
                <c:pt idx="54">
                  <c:v>53</c:v>
                </c:pt>
                <c:pt idx="55">
                  <c:v>54</c:v>
                </c:pt>
                <c:pt idx="56">
                  <c:v>55a</c:v>
                </c:pt>
                <c:pt idx="57">
                  <c:v>55b</c:v>
                </c:pt>
                <c:pt idx="58">
                  <c:v>56</c:v>
                </c:pt>
                <c:pt idx="59">
                  <c:v>57</c:v>
                </c:pt>
                <c:pt idx="60">
                  <c:v>58</c:v>
                </c:pt>
                <c:pt idx="61">
                  <c:v>59</c:v>
                </c:pt>
                <c:pt idx="62">
                  <c:v>60</c:v>
                </c:pt>
                <c:pt idx="63">
                  <c:v>61</c:v>
                </c:pt>
                <c:pt idx="64">
                  <c:v>62</c:v>
                </c:pt>
                <c:pt idx="65">
                  <c:v>63</c:v>
                </c:pt>
                <c:pt idx="66">
                  <c:v>64</c:v>
                </c:pt>
                <c:pt idx="67">
                  <c:v>65</c:v>
                </c:pt>
                <c:pt idx="68">
                  <c:v>66</c:v>
                </c:pt>
                <c:pt idx="69">
                  <c:v>67</c:v>
                </c:pt>
                <c:pt idx="70">
                  <c:v>68</c:v>
                </c:pt>
                <c:pt idx="71">
                  <c:v>69</c:v>
                </c:pt>
                <c:pt idx="72">
                  <c:v>70</c:v>
                </c:pt>
                <c:pt idx="73">
                  <c:v>71</c:v>
                </c:pt>
                <c:pt idx="74">
                  <c:v>72</c:v>
                </c:pt>
                <c:pt idx="75">
                  <c:v>73</c:v>
                </c:pt>
                <c:pt idx="76">
                  <c:v>74</c:v>
                </c:pt>
                <c:pt idx="77">
                  <c:v>75</c:v>
                </c:pt>
                <c:pt idx="78">
                  <c:v>76</c:v>
                </c:pt>
                <c:pt idx="79">
                  <c:v>77</c:v>
                </c:pt>
                <c:pt idx="80">
                  <c:v>78</c:v>
                </c:pt>
                <c:pt idx="81">
                  <c:v>79</c:v>
                </c:pt>
                <c:pt idx="82">
                  <c:v>80</c:v>
                </c:pt>
                <c:pt idx="83">
                  <c:v>81</c:v>
                </c:pt>
                <c:pt idx="84">
                  <c:v>82</c:v>
                </c:pt>
                <c:pt idx="85">
                  <c:v>83</c:v>
                </c:pt>
                <c:pt idx="86">
                  <c:v>84</c:v>
                </c:pt>
                <c:pt idx="87">
                  <c:v>85</c:v>
                </c:pt>
                <c:pt idx="88">
                  <c:v>86</c:v>
                </c:pt>
                <c:pt idx="89">
                  <c:v>87</c:v>
                </c:pt>
                <c:pt idx="90">
                  <c:v>88</c:v>
                </c:pt>
                <c:pt idx="91">
                  <c:v>89</c:v>
                </c:pt>
                <c:pt idx="92">
                  <c:v>90</c:v>
                </c:pt>
                <c:pt idx="93">
                  <c:v>91</c:v>
                </c:pt>
                <c:pt idx="94">
                  <c:v>92</c:v>
                </c:pt>
                <c:pt idx="95">
                  <c:v>93</c:v>
                </c:pt>
                <c:pt idx="96">
                  <c:v>94</c:v>
                </c:pt>
                <c:pt idx="97">
                  <c:v>95</c:v>
                </c:pt>
                <c:pt idx="98">
                  <c:v>96</c:v>
                </c:pt>
                <c:pt idx="99">
                  <c:v>97</c:v>
                </c:pt>
                <c:pt idx="100">
                  <c:v>98</c:v>
                </c:pt>
                <c:pt idx="101">
                  <c:v>99</c:v>
                </c:pt>
                <c:pt idx="102">
                  <c:v>100</c:v>
                </c:pt>
                <c:pt idx="103">
                  <c:v>101</c:v>
                </c:pt>
                <c:pt idx="104">
                  <c:v>102</c:v>
                </c:pt>
                <c:pt idx="105">
                  <c:v>103</c:v>
                </c:pt>
                <c:pt idx="106">
                  <c:v>104</c:v>
                </c:pt>
                <c:pt idx="107">
                  <c:v>105</c:v>
                </c:pt>
                <c:pt idx="108">
                  <c:v>106</c:v>
                </c:pt>
                <c:pt idx="109">
                  <c:v>107</c:v>
                </c:pt>
                <c:pt idx="110">
                  <c:v>108</c:v>
                </c:pt>
                <c:pt idx="111">
                  <c:v>109</c:v>
                </c:pt>
                <c:pt idx="112">
                  <c:v>110</c:v>
                </c:pt>
                <c:pt idx="113">
                  <c:v>111</c:v>
                </c:pt>
                <c:pt idx="114">
                  <c:v>112</c:v>
                </c:pt>
                <c:pt idx="115">
                  <c:v>113</c:v>
                </c:pt>
                <c:pt idx="116">
                  <c:v>114</c:v>
                </c:pt>
                <c:pt idx="117">
                  <c:v>115</c:v>
                </c:pt>
                <c:pt idx="118">
                  <c:v>116</c:v>
                </c:pt>
                <c:pt idx="119">
                  <c:v>117</c:v>
                </c:pt>
                <c:pt idx="120">
                  <c:v>118a</c:v>
                </c:pt>
                <c:pt idx="121">
                  <c:v>119</c:v>
                </c:pt>
                <c:pt idx="122">
                  <c:v>118b</c:v>
                </c:pt>
                <c:pt idx="123">
                  <c:v>120</c:v>
                </c:pt>
                <c:pt idx="124">
                  <c:v>121</c:v>
                </c:pt>
                <c:pt idx="125">
                  <c:v>122</c:v>
                </c:pt>
                <c:pt idx="126">
                  <c:v>123</c:v>
                </c:pt>
                <c:pt idx="127">
                  <c:v>124</c:v>
                </c:pt>
                <c:pt idx="128">
                  <c:v>125</c:v>
                </c:pt>
                <c:pt idx="129">
                  <c:v>126</c:v>
                </c:pt>
                <c:pt idx="130">
                  <c:v>127</c:v>
                </c:pt>
                <c:pt idx="131">
                  <c:v>128</c:v>
                </c:pt>
                <c:pt idx="132">
                  <c:v>129</c:v>
                </c:pt>
                <c:pt idx="133">
                  <c:v>130</c:v>
                </c:pt>
                <c:pt idx="134">
                  <c:v>131</c:v>
                </c:pt>
                <c:pt idx="135">
                  <c:v>132</c:v>
                </c:pt>
                <c:pt idx="136">
                  <c:v>133</c:v>
                </c:pt>
                <c:pt idx="137">
                  <c:v>134</c:v>
                </c:pt>
                <c:pt idx="138">
                  <c:v>135</c:v>
                </c:pt>
                <c:pt idx="139">
                  <c:v>136</c:v>
                </c:pt>
                <c:pt idx="140">
                  <c:v>137</c:v>
                </c:pt>
                <c:pt idx="141">
                  <c:v>138</c:v>
                </c:pt>
                <c:pt idx="142">
                  <c:v>139</c:v>
                </c:pt>
                <c:pt idx="143">
                  <c:v>140</c:v>
                </c:pt>
                <c:pt idx="144">
                  <c:v>141</c:v>
                </c:pt>
                <c:pt idx="145">
                  <c:v>142</c:v>
                </c:pt>
                <c:pt idx="146">
                  <c:v>143</c:v>
                </c:pt>
                <c:pt idx="147">
                  <c:v>144</c:v>
                </c:pt>
                <c:pt idx="148">
                  <c:v>145</c:v>
                </c:pt>
                <c:pt idx="149">
                  <c:v>146</c:v>
                </c:pt>
                <c:pt idx="150">
                  <c:v>147</c:v>
                </c:pt>
                <c:pt idx="151">
                  <c:v>148</c:v>
                </c:pt>
                <c:pt idx="152">
                  <c:v>149</c:v>
                </c:pt>
                <c:pt idx="153">
                  <c:v>150</c:v>
                </c:pt>
                <c:pt idx="154">
                  <c:v>151</c:v>
                </c:pt>
                <c:pt idx="155">
                  <c:v>152</c:v>
                </c:pt>
                <c:pt idx="156">
                  <c:v>153</c:v>
                </c:pt>
                <c:pt idx="157">
                  <c:v>154</c:v>
                </c:pt>
                <c:pt idx="158">
                  <c:v>155</c:v>
                </c:pt>
                <c:pt idx="159">
                  <c:v>156</c:v>
                </c:pt>
                <c:pt idx="160">
                  <c:v>157</c:v>
                </c:pt>
                <c:pt idx="161">
                  <c:v>158</c:v>
                </c:pt>
                <c:pt idx="162">
                  <c:v>159</c:v>
                </c:pt>
                <c:pt idx="163">
                  <c:v>160</c:v>
                </c:pt>
                <c:pt idx="164">
                  <c:v>161</c:v>
                </c:pt>
                <c:pt idx="165">
                  <c:v>162</c:v>
                </c:pt>
                <c:pt idx="166">
                  <c:v>163</c:v>
                </c:pt>
                <c:pt idx="167">
                  <c:v>164</c:v>
                </c:pt>
                <c:pt idx="168">
                  <c:v>165</c:v>
                </c:pt>
                <c:pt idx="169">
                  <c:v>166</c:v>
                </c:pt>
                <c:pt idx="170">
                  <c:v>167</c:v>
                </c:pt>
                <c:pt idx="171">
                  <c:v>168</c:v>
                </c:pt>
                <c:pt idx="172">
                  <c:v>169</c:v>
                </c:pt>
                <c:pt idx="173">
                  <c:v>170</c:v>
                </c:pt>
                <c:pt idx="174">
                  <c:v>171</c:v>
                </c:pt>
                <c:pt idx="175">
                  <c:v>172</c:v>
                </c:pt>
                <c:pt idx="176">
                  <c:v>173</c:v>
                </c:pt>
                <c:pt idx="177">
                  <c:v>174</c:v>
                </c:pt>
                <c:pt idx="178">
                  <c:v>175</c:v>
                </c:pt>
                <c:pt idx="179">
                  <c:v>176</c:v>
                </c:pt>
                <c:pt idx="180">
                  <c:v>177</c:v>
                </c:pt>
                <c:pt idx="181">
                  <c:v>178</c:v>
                </c:pt>
                <c:pt idx="182">
                  <c:v>179</c:v>
                </c:pt>
                <c:pt idx="183">
                  <c:v>180</c:v>
                </c:pt>
                <c:pt idx="184">
                  <c:v>181</c:v>
                </c:pt>
                <c:pt idx="185">
                  <c:v>182</c:v>
                </c:pt>
                <c:pt idx="186">
                  <c:v>183</c:v>
                </c:pt>
                <c:pt idx="187">
                  <c:v>184</c:v>
                </c:pt>
                <c:pt idx="188">
                  <c:v>185</c:v>
                </c:pt>
                <c:pt idx="189">
                  <c:v>186a</c:v>
                </c:pt>
                <c:pt idx="190">
                  <c:v>186b</c:v>
                </c:pt>
                <c:pt idx="191">
                  <c:v>187</c:v>
                </c:pt>
                <c:pt idx="192">
                  <c:v>188</c:v>
                </c:pt>
                <c:pt idx="193">
                  <c:v>189</c:v>
                </c:pt>
                <c:pt idx="194">
                  <c:v>190</c:v>
                </c:pt>
                <c:pt idx="195">
                  <c:v>191</c:v>
                </c:pt>
                <c:pt idx="196">
                  <c:v>192</c:v>
                </c:pt>
                <c:pt idx="197">
                  <c:v>193</c:v>
                </c:pt>
                <c:pt idx="198">
                  <c:v>194</c:v>
                </c:pt>
                <c:pt idx="199">
                  <c:v>195</c:v>
                </c:pt>
                <c:pt idx="200">
                  <c:v>196</c:v>
                </c:pt>
                <c:pt idx="201">
                  <c:v>197</c:v>
                </c:pt>
                <c:pt idx="202">
                  <c:v>198</c:v>
                </c:pt>
                <c:pt idx="203">
                  <c:v>199</c:v>
                </c:pt>
                <c:pt idx="204">
                  <c:v>200</c:v>
                </c:pt>
                <c:pt idx="205">
                  <c:v>201</c:v>
                </c:pt>
                <c:pt idx="206">
                  <c:v>202</c:v>
                </c:pt>
                <c:pt idx="207">
                  <c:v>203</c:v>
                </c:pt>
                <c:pt idx="208">
                  <c:v>204</c:v>
                </c:pt>
                <c:pt idx="209">
                  <c:v>205</c:v>
                </c:pt>
                <c:pt idx="210">
                  <c:v>206</c:v>
                </c:pt>
                <c:pt idx="211">
                  <c:v>207</c:v>
                </c:pt>
                <c:pt idx="212">
                  <c:v>208</c:v>
                </c:pt>
                <c:pt idx="213">
                  <c:v>209</c:v>
                </c:pt>
                <c:pt idx="214">
                  <c:v>210</c:v>
                </c:pt>
                <c:pt idx="215">
                  <c:v>211</c:v>
                </c:pt>
                <c:pt idx="216">
                  <c:v>212</c:v>
                </c:pt>
                <c:pt idx="217">
                  <c:v>213</c:v>
                </c:pt>
                <c:pt idx="218">
                  <c:v>214</c:v>
                </c:pt>
                <c:pt idx="219">
                  <c:v>215</c:v>
                </c:pt>
                <c:pt idx="220">
                  <c:v>216</c:v>
                </c:pt>
                <c:pt idx="221">
                  <c:v>217</c:v>
                </c:pt>
                <c:pt idx="222">
                  <c:v>218</c:v>
                </c:pt>
                <c:pt idx="223">
                  <c:v>219</c:v>
                </c:pt>
                <c:pt idx="224">
                  <c:v>220</c:v>
                </c:pt>
                <c:pt idx="225">
                  <c:v>221</c:v>
                </c:pt>
                <c:pt idx="226">
                  <c:v>222</c:v>
                </c:pt>
                <c:pt idx="227">
                  <c:v>223</c:v>
                </c:pt>
                <c:pt idx="228">
                  <c:v>224</c:v>
                </c:pt>
                <c:pt idx="229">
                  <c:v>225</c:v>
                </c:pt>
                <c:pt idx="230">
                  <c:v>226</c:v>
                </c:pt>
                <c:pt idx="231">
                  <c:v>227</c:v>
                </c:pt>
                <c:pt idx="232">
                  <c:v>228</c:v>
                </c:pt>
                <c:pt idx="233">
                  <c:v>229</c:v>
                </c:pt>
                <c:pt idx="234">
                  <c:v>230</c:v>
                </c:pt>
                <c:pt idx="235">
                  <c:v>231</c:v>
                </c:pt>
                <c:pt idx="236">
                  <c:v>232</c:v>
                </c:pt>
                <c:pt idx="237">
                  <c:v>233</c:v>
                </c:pt>
                <c:pt idx="238">
                  <c:v>234</c:v>
                </c:pt>
                <c:pt idx="239">
                  <c:v>235</c:v>
                </c:pt>
                <c:pt idx="240">
                  <c:v>236</c:v>
                </c:pt>
                <c:pt idx="241">
                  <c:v>237</c:v>
                </c:pt>
                <c:pt idx="242">
                  <c:v>238</c:v>
                </c:pt>
                <c:pt idx="243">
                  <c:v>239</c:v>
                </c:pt>
                <c:pt idx="244">
                  <c:v>240</c:v>
                </c:pt>
                <c:pt idx="245">
                  <c:v>241</c:v>
                </c:pt>
                <c:pt idx="246">
                  <c:v>242</c:v>
                </c:pt>
                <c:pt idx="247">
                  <c:v>243</c:v>
                </c:pt>
                <c:pt idx="248">
                  <c:v>244</c:v>
                </c:pt>
                <c:pt idx="249">
                  <c:v>245</c:v>
                </c:pt>
                <c:pt idx="250">
                  <c:v>246</c:v>
                </c:pt>
                <c:pt idx="251">
                  <c:v>247</c:v>
                </c:pt>
                <c:pt idx="252">
                  <c:v>248</c:v>
                </c:pt>
                <c:pt idx="253">
                  <c:v>249</c:v>
                </c:pt>
                <c:pt idx="254">
                  <c:v>250</c:v>
                </c:pt>
                <c:pt idx="255">
                  <c:v>251</c:v>
                </c:pt>
                <c:pt idx="256">
                  <c:v>252a</c:v>
                </c:pt>
                <c:pt idx="257">
                  <c:v>252b</c:v>
                </c:pt>
                <c:pt idx="258">
                  <c:v>253a</c:v>
                </c:pt>
                <c:pt idx="259">
                  <c:v>253b</c:v>
                </c:pt>
                <c:pt idx="260">
                  <c:v>254</c:v>
                </c:pt>
                <c:pt idx="261">
                  <c:v>255</c:v>
                </c:pt>
                <c:pt idx="262">
                  <c:v>256</c:v>
                </c:pt>
                <c:pt idx="263">
                  <c:v>257</c:v>
                </c:pt>
                <c:pt idx="264">
                  <c:v>258</c:v>
                </c:pt>
                <c:pt idx="265">
                  <c:v>259</c:v>
                </c:pt>
                <c:pt idx="266">
                  <c:v>260</c:v>
                </c:pt>
                <c:pt idx="267">
                  <c:v>261</c:v>
                </c:pt>
                <c:pt idx="268">
                  <c:v>262</c:v>
                </c:pt>
                <c:pt idx="269">
                  <c:v>263</c:v>
                </c:pt>
                <c:pt idx="270">
                  <c:v>264</c:v>
                </c:pt>
                <c:pt idx="271">
                  <c:v>265</c:v>
                </c:pt>
                <c:pt idx="272">
                  <c:v>266</c:v>
                </c:pt>
                <c:pt idx="273">
                  <c:v>267</c:v>
                </c:pt>
                <c:pt idx="274">
                  <c:v>268</c:v>
                </c:pt>
                <c:pt idx="275">
                  <c:v>269</c:v>
                </c:pt>
                <c:pt idx="276">
                  <c:v>270</c:v>
                </c:pt>
                <c:pt idx="277">
                  <c:v>271</c:v>
                </c:pt>
                <c:pt idx="278">
                  <c:v>272</c:v>
                </c:pt>
                <c:pt idx="279">
                  <c:v>273</c:v>
                </c:pt>
                <c:pt idx="280">
                  <c:v>274</c:v>
                </c:pt>
                <c:pt idx="281">
                  <c:v>275</c:v>
                </c:pt>
                <c:pt idx="282">
                  <c:v>276</c:v>
                </c:pt>
                <c:pt idx="283">
                  <c:v>277</c:v>
                </c:pt>
                <c:pt idx="284">
                  <c:v>278</c:v>
                </c:pt>
                <c:pt idx="285">
                  <c:v>279</c:v>
                </c:pt>
                <c:pt idx="286">
                  <c:v>280</c:v>
                </c:pt>
                <c:pt idx="287">
                  <c:v>281</c:v>
                </c:pt>
                <c:pt idx="288">
                  <c:v>282</c:v>
                </c:pt>
                <c:pt idx="289">
                  <c:v>283</c:v>
                </c:pt>
                <c:pt idx="290">
                  <c:v>284</c:v>
                </c:pt>
                <c:pt idx="291">
                  <c:v>285</c:v>
                </c:pt>
                <c:pt idx="292">
                  <c:v>286</c:v>
                </c:pt>
                <c:pt idx="293">
                  <c:v>287</c:v>
                </c:pt>
                <c:pt idx="294">
                  <c:v>288</c:v>
                </c:pt>
                <c:pt idx="295">
                  <c:v>289</c:v>
                </c:pt>
                <c:pt idx="296">
                  <c:v>290</c:v>
                </c:pt>
                <c:pt idx="297">
                  <c:v>291</c:v>
                </c:pt>
                <c:pt idx="298">
                  <c:v>292</c:v>
                </c:pt>
                <c:pt idx="299">
                  <c:v>293</c:v>
                </c:pt>
                <c:pt idx="300">
                  <c:v>294</c:v>
                </c:pt>
                <c:pt idx="301">
                  <c:v>295</c:v>
                </c:pt>
                <c:pt idx="302">
                  <c:v>296</c:v>
                </c:pt>
                <c:pt idx="303">
                  <c:v>297</c:v>
                </c:pt>
                <c:pt idx="304">
                  <c:v>298</c:v>
                </c:pt>
                <c:pt idx="305">
                  <c:v>299</c:v>
                </c:pt>
                <c:pt idx="306">
                  <c:v>300</c:v>
                </c:pt>
                <c:pt idx="307">
                  <c:v>301</c:v>
                </c:pt>
                <c:pt idx="308">
                  <c:v>302</c:v>
                </c:pt>
                <c:pt idx="309">
                  <c:v>303</c:v>
                </c:pt>
                <c:pt idx="310">
                  <c:v>304</c:v>
                </c:pt>
                <c:pt idx="311">
                  <c:v>305</c:v>
                </c:pt>
                <c:pt idx="312">
                  <c:v>306</c:v>
                </c:pt>
                <c:pt idx="313">
                  <c:v>307</c:v>
                </c:pt>
                <c:pt idx="314">
                  <c:v>308</c:v>
                </c:pt>
                <c:pt idx="315">
                  <c:v>309</c:v>
                </c:pt>
                <c:pt idx="316">
                  <c:v>310</c:v>
                </c:pt>
                <c:pt idx="317">
                  <c:v>311</c:v>
                </c:pt>
                <c:pt idx="318">
                  <c:v>312</c:v>
                </c:pt>
                <c:pt idx="319">
                  <c:v>313</c:v>
                </c:pt>
                <c:pt idx="320">
                  <c:v>314</c:v>
                </c:pt>
                <c:pt idx="321">
                  <c:v>315</c:v>
                </c:pt>
                <c:pt idx="322">
                  <c:v>316</c:v>
                </c:pt>
                <c:pt idx="323">
                  <c:v>317</c:v>
                </c:pt>
                <c:pt idx="324">
                  <c:v>318</c:v>
                </c:pt>
                <c:pt idx="325">
                  <c:v>319</c:v>
                </c:pt>
                <c:pt idx="326">
                  <c:v>320</c:v>
                </c:pt>
                <c:pt idx="327">
                  <c:v>321</c:v>
                </c:pt>
                <c:pt idx="328">
                  <c:v>322</c:v>
                </c:pt>
                <c:pt idx="329">
                  <c:v>323</c:v>
                </c:pt>
                <c:pt idx="330">
                  <c:v>324</c:v>
                </c:pt>
                <c:pt idx="331">
                  <c:v>325</c:v>
                </c:pt>
                <c:pt idx="332">
                  <c:v>326</c:v>
                </c:pt>
                <c:pt idx="333">
                  <c:v>327</c:v>
                </c:pt>
                <c:pt idx="334">
                  <c:v>328</c:v>
                </c:pt>
                <c:pt idx="335">
                  <c:v>329</c:v>
                </c:pt>
                <c:pt idx="336">
                  <c:v>330</c:v>
                </c:pt>
                <c:pt idx="337">
                  <c:v>331</c:v>
                </c:pt>
                <c:pt idx="338">
                  <c:v>332</c:v>
                </c:pt>
                <c:pt idx="339">
                  <c:v>333</c:v>
                </c:pt>
                <c:pt idx="340">
                  <c:v>334</c:v>
                </c:pt>
                <c:pt idx="341">
                  <c:v>335</c:v>
                </c:pt>
                <c:pt idx="342">
                  <c:v>336</c:v>
                </c:pt>
                <c:pt idx="343">
                  <c:v>337</c:v>
                </c:pt>
                <c:pt idx="344">
                  <c:v>338</c:v>
                </c:pt>
                <c:pt idx="345">
                  <c:v>339</c:v>
                </c:pt>
                <c:pt idx="346">
                  <c:v>340</c:v>
                </c:pt>
                <c:pt idx="347">
                  <c:v>341</c:v>
                </c:pt>
                <c:pt idx="348">
                  <c:v>342</c:v>
                </c:pt>
                <c:pt idx="349">
                  <c:v>343</c:v>
                </c:pt>
                <c:pt idx="350">
                  <c:v>344</c:v>
                </c:pt>
                <c:pt idx="351">
                  <c:v>345</c:v>
                </c:pt>
                <c:pt idx="352">
                  <c:v>346</c:v>
                </c:pt>
                <c:pt idx="353">
                  <c:v>347</c:v>
                </c:pt>
                <c:pt idx="354">
                  <c:v>348</c:v>
                </c:pt>
                <c:pt idx="355">
                  <c:v>349</c:v>
                </c:pt>
                <c:pt idx="356">
                  <c:v>350</c:v>
                </c:pt>
                <c:pt idx="357">
                  <c:v>351</c:v>
                </c:pt>
                <c:pt idx="358">
                  <c:v>352</c:v>
                </c:pt>
                <c:pt idx="359">
                  <c:v>353</c:v>
                </c:pt>
                <c:pt idx="360">
                  <c:v>354</c:v>
                </c:pt>
                <c:pt idx="361">
                  <c:v>355</c:v>
                </c:pt>
                <c:pt idx="362">
                  <c:v>356</c:v>
                </c:pt>
                <c:pt idx="363">
                  <c:v>357</c:v>
                </c:pt>
                <c:pt idx="364">
                  <c:v>358</c:v>
                </c:pt>
                <c:pt idx="365">
                  <c:v>359</c:v>
                </c:pt>
                <c:pt idx="366">
                  <c:v>360</c:v>
                </c:pt>
                <c:pt idx="367">
                  <c:v>361</c:v>
                </c:pt>
                <c:pt idx="368">
                  <c:v>362</c:v>
                </c:pt>
                <c:pt idx="369">
                  <c:v>363</c:v>
                </c:pt>
                <c:pt idx="370">
                  <c:v>364</c:v>
                </c:pt>
                <c:pt idx="371">
                  <c:v>365</c:v>
                </c:pt>
                <c:pt idx="372">
                  <c:v>366</c:v>
                </c:pt>
                <c:pt idx="373">
                  <c:v>367</c:v>
                </c:pt>
                <c:pt idx="374">
                  <c:v>368</c:v>
                </c:pt>
                <c:pt idx="375">
                  <c:v>369</c:v>
                </c:pt>
                <c:pt idx="376">
                  <c:v>370</c:v>
                </c:pt>
                <c:pt idx="377">
                  <c:v>371</c:v>
                </c:pt>
                <c:pt idx="378">
                  <c:v>372</c:v>
                </c:pt>
                <c:pt idx="379">
                  <c:v>373</c:v>
                </c:pt>
                <c:pt idx="380">
                  <c:v>374</c:v>
                </c:pt>
                <c:pt idx="381">
                  <c:v>375</c:v>
                </c:pt>
                <c:pt idx="382">
                  <c:v>376</c:v>
                </c:pt>
                <c:pt idx="383">
                  <c:v>377</c:v>
                </c:pt>
                <c:pt idx="384">
                  <c:v>378</c:v>
                </c:pt>
                <c:pt idx="385">
                  <c:v>379</c:v>
                </c:pt>
                <c:pt idx="386">
                  <c:v>380</c:v>
                </c:pt>
                <c:pt idx="387">
                  <c:v>381</c:v>
                </c:pt>
                <c:pt idx="388">
                  <c:v>382</c:v>
                </c:pt>
                <c:pt idx="389">
                  <c:v>383</c:v>
                </c:pt>
                <c:pt idx="390">
                  <c:v>384</c:v>
                </c:pt>
                <c:pt idx="391">
                  <c:v>385</c:v>
                </c:pt>
                <c:pt idx="392">
                  <c:v>386</c:v>
                </c:pt>
                <c:pt idx="393">
                  <c:v>387</c:v>
                </c:pt>
                <c:pt idx="394">
                  <c:v>388</c:v>
                </c:pt>
                <c:pt idx="395">
                  <c:v>389</c:v>
                </c:pt>
                <c:pt idx="396">
                  <c:v>390</c:v>
                </c:pt>
                <c:pt idx="397">
                  <c:v>391</c:v>
                </c:pt>
                <c:pt idx="398">
                  <c:v>392</c:v>
                </c:pt>
                <c:pt idx="399">
                  <c:v>393</c:v>
                </c:pt>
                <c:pt idx="400">
                  <c:v>394</c:v>
                </c:pt>
                <c:pt idx="401">
                  <c:v>395</c:v>
                </c:pt>
                <c:pt idx="402">
                  <c:v>396</c:v>
                </c:pt>
                <c:pt idx="403">
                  <c:v>397</c:v>
                </c:pt>
                <c:pt idx="404">
                  <c:v>398</c:v>
                </c:pt>
                <c:pt idx="405">
                  <c:v>399</c:v>
                </c:pt>
                <c:pt idx="406">
                  <c:v>400</c:v>
                </c:pt>
                <c:pt idx="407">
                  <c:v>401</c:v>
                </c:pt>
                <c:pt idx="408">
                  <c:v>402</c:v>
                </c:pt>
                <c:pt idx="409">
                  <c:v>403</c:v>
                </c:pt>
                <c:pt idx="410">
                  <c:v>404</c:v>
                </c:pt>
                <c:pt idx="411">
                  <c:v>405</c:v>
                </c:pt>
                <c:pt idx="412">
                  <c:v>406a</c:v>
                </c:pt>
                <c:pt idx="413">
                  <c:v>406b</c:v>
                </c:pt>
                <c:pt idx="414">
                  <c:v>407</c:v>
                </c:pt>
                <c:pt idx="415">
                  <c:v>408</c:v>
                </c:pt>
                <c:pt idx="416">
                  <c:v>409</c:v>
                </c:pt>
                <c:pt idx="417">
                  <c:v>410a</c:v>
                </c:pt>
                <c:pt idx="418">
                  <c:v>410b</c:v>
                </c:pt>
                <c:pt idx="419">
                  <c:v>410c</c:v>
                </c:pt>
                <c:pt idx="420">
                  <c:v>411</c:v>
                </c:pt>
                <c:pt idx="421">
                  <c:v>412</c:v>
                </c:pt>
                <c:pt idx="422">
                  <c:v>413</c:v>
                </c:pt>
                <c:pt idx="423">
                  <c:v>414</c:v>
                </c:pt>
                <c:pt idx="424">
                  <c:v>415</c:v>
                </c:pt>
                <c:pt idx="425">
                  <c:v>416</c:v>
                </c:pt>
                <c:pt idx="426">
                  <c:v>417</c:v>
                </c:pt>
                <c:pt idx="427">
                  <c:v>418</c:v>
                </c:pt>
                <c:pt idx="428">
                  <c:v>419</c:v>
                </c:pt>
                <c:pt idx="429">
                  <c:v>420</c:v>
                </c:pt>
                <c:pt idx="430">
                  <c:v>421</c:v>
                </c:pt>
                <c:pt idx="431">
                  <c:v>422</c:v>
                </c:pt>
                <c:pt idx="432">
                  <c:v>423</c:v>
                </c:pt>
              </c:strCache>
            </c:strRef>
          </c:cat>
          <c:val>
            <c:numRef>
              <c:f>'FTT(1-425)'!$AI$2:$AI$436</c:f>
              <c:numCache>
                <c:formatCode>General</c:formatCode>
                <c:ptCount val="435"/>
                <c:pt idx="0">
                  <c:v>0</c:v>
                </c:pt>
                <c:pt idx="1">
                  <c:v>0</c:v>
                </c:pt>
                <c:pt idx="2">
                  <c:v>0</c:v>
                </c:pt>
                <c:pt idx="3">
                  <c:v>1</c:v>
                </c:pt>
                <c:pt idx="4">
                  <c:v>14</c:v>
                </c:pt>
                <c:pt idx="5">
                  <c:v>14</c:v>
                </c:pt>
                <c:pt idx="6">
                  <c:v>14</c:v>
                </c:pt>
                <c:pt idx="7">
                  <c:v>13</c:v>
                </c:pt>
                <c:pt idx="8">
                  <c:v>14</c:v>
                </c:pt>
                <c:pt idx="9">
                  <c:v>14</c:v>
                </c:pt>
                <c:pt idx="10">
                  <c:v>14</c:v>
                </c:pt>
                <c:pt idx="11">
                  <c:v>14</c:v>
                </c:pt>
                <c:pt idx="12">
                  <c:v>15</c:v>
                </c:pt>
                <c:pt idx="13">
                  <c:v>22</c:v>
                </c:pt>
                <c:pt idx="14">
                  <c:v>27</c:v>
                </c:pt>
                <c:pt idx="15">
                  <c:v>28</c:v>
                </c:pt>
                <c:pt idx="16">
                  <c:v>26</c:v>
                </c:pt>
                <c:pt idx="17">
                  <c:v>24</c:v>
                </c:pt>
                <c:pt idx="18">
                  <c:v>25</c:v>
                </c:pt>
                <c:pt idx="19">
                  <c:v>27</c:v>
                </c:pt>
                <c:pt idx="20">
                  <c:v>28</c:v>
                </c:pt>
                <c:pt idx="21">
                  <c:v>29</c:v>
                </c:pt>
                <c:pt idx="22">
                  <c:v>24</c:v>
                </c:pt>
                <c:pt idx="23">
                  <c:v>23</c:v>
                </c:pt>
                <c:pt idx="24">
                  <c:v>22</c:v>
                </c:pt>
                <c:pt idx="25">
                  <c:v>21</c:v>
                </c:pt>
                <c:pt idx="26">
                  <c:v>21</c:v>
                </c:pt>
                <c:pt idx="27">
                  <c:v>21</c:v>
                </c:pt>
                <c:pt idx="28">
                  <c:v>23</c:v>
                </c:pt>
                <c:pt idx="29">
                  <c:v>24</c:v>
                </c:pt>
                <c:pt idx="30">
                  <c:v>23</c:v>
                </c:pt>
                <c:pt idx="31">
                  <c:v>25</c:v>
                </c:pt>
                <c:pt idx="32">
                  <c:v>25</c:v>
                </c:pt>
                <c:pt idx="33">
                  <c:v>25</c:v>
                </c:pt>
                <c:pt idx="34">
                  <c:v>25</c:v>
                </c:pt>
                <c:pt idx="35">
                  <c:v>25</c:v>
                </c:pt>
                <c:pt idx="36">
                  <c:v>27</c:v>
                </c:pt>
                <c:pt idx="37">
                  <c:v>26</c:v>
                </c:pt>
                <c:pt idx="38">
                  <c:v>25</c:v>
                </c:pt>
                <c:pt idx="39">
                  <c:v>19</c:v>
                </c:pt>
                <c:pt idx="40">
                  <c:v>24</c:v>
                </c:pt>
                <c:pt idx="41">
                  <c:v>19</c:v>
                </c:pt>
                <c:pt idx="42">
                  <c:v>19</c:v>
                </c:pt>
                <c:pt idx="43">
                  <c:v>17</c:v>
                </c:pt>
                <c:pt idx="44">
                  <c:v>17</c:v>
                </c:pt>
                <c:pt idx="45">
                  <c:v>14</c:v>
                </c:pt>
                <c:pt idx="46">
                  <c:v>14</c:v>
                </c:pt>
                <c:pt idx="47">
                  <c:v>14</c:v>
                </c:pt>
                <c:pt idx="48">
                  <c:v>13</c:v>
                </c:pt>
                <c:pt idx="49">
                  <c:v>13</c:v>
                </c:pt>
                <c:pt idx="50">
                  <c:v>13</c:v>
                </c:pt>
                <c:pt idx="51">
                  <c:v>13</c:v>
                </c:pt>
                <c:pt idx="52">
                  <c:v>12</c:v>
                </c:pt>
                <c:pt idx="53">
                  <c:v>12</c:v>
                </c:pt>
                <c:pt idx="54">
                  <c:v>11</c:v>
                </c:pt>
                <c:pt idx="55">
                  <c:v>11</c:v>
                </c:pt>
                <c:pt idx="56">
                  <c:v>11</c:v>
                </c:pt>
                <c:pt idx="57">
                  <c:v>9</c:v>
                </c:pt>
                <c:pt idx="58">
                  <c:v>10</c:v>
                </c:pt>
                <c:pt idx="59">
                  <c:v>9</c:v>
                </c:pt>
                <c:pt idx="60">
                  <c:v>9</c:v>
                </c:pt>
                <c:pt idx="61">
                  <c:v>8</c:v>
                </c:pt>
                <c:pt idx="62">
                  <c:v>8</c:v>
                </c:pt>
                <c:pt idx="63">
                  <c:v>1</c:v>
                </c:pt>
                <c:pt idx="64">
                  <c:v>10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30</c:v>
                </c:pt>
                <c:pt idx="133">
                  <c:v>29</c:v>
                </c:pt>
                <c:pt idx="134">
                  <c:v>29</c:v>
                </c:pt>
                <c:pt idx="135">
                  <c:v>29</c:v>
                </c:pt>
                <c:pt idx="136">
                  <c:v>29</c:v>
                </c:pt>
                <c:pt idx="137">
                  <c:v>29</c:v>
                </c:pt>
                <c:pt idx="138">
                  <c:v>29</c:v>
                </c:pt>
                <c:pt idx="139">
                  <c:v>29</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numCache>
            </c:numRef>
          </c:val>
        </c:ser>
        <c:ser>
          <c:idx val="2"/>
          <c:order val="2"/>
          <c:tx>
            <c:strRef>
              <c:f>'FTT(1-425)'!$AJ$1</c:f>
              <c:strCache>
                <c:ptCount val="1"/>
                <c:pt idx="0">
                  <c:v>Cm</c:v>
                </c:pt>
              </c:strCache>
            </c:strRef>
          </c:tx>
          <c:spPr>
            <a:solidFill>
              <a:srgbClr val="FF0000"/>
            </a:solidFill>
            <a:ln>
              <a:noFill/>
            </a:ln>
          </c:spPr>
          <c:cat>
            <c:strRef>
              <c:f>'FTT(1-425)'!$AG$2:$AG$434</c:f>
              <c:strCache>
                <c:ptCount val="43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11b</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43a</c:v>
                </c:pt>
                <c:pt idx="44">
                  <c:v>44</c:v>
                </c:pt>
                <c:pt idx="45">
                  <c:v>43b</c:v>
                </c:pt>
                <c:pt idx="46">
                  <c:v>45</c:v>
                </c:pt>
                <c:pt idx="47">
                  <c:v>46</c:v>
                </c:pt>
                <c:pt idx="48">
                  <c:v>47</c:v>
                </c:pt>
                <c:pt idx="49">
                  <c:v>48</c:v>
                </c:pt>
                <c:pt idx="50">
                  <c:v>49</c:v>
                </c:pt>
                <c:pt idx="51">
                  <c:v>50</c:v>
                </c:pt>
                <c:pt idx="52">
                  <c:v>51</c:v>
                </c:pt>
                <c:pt idx="53">
                  <c:v>52</c:v>
                </c:pt>
                <c:pt idx="54">
                  <c:v>53</c:v>
                </c:pt>
                <c:pt idx="55">
                  <c:v>54</c:v>
                </c:pt>
                <c:pt idx="56">
                  <c:v>55a</c:v>
                </c:pt>
                <c:pt idx="57">
                  <c:v>55b</c:v>
                </c:pt>
                <c:pt idx="58">
                  <c:v>56</c:v>
                </c:pt>
                <c:pt idx="59">
                  <c:v>57</c:v>
                </c:pt>
                <c:pt idx="60">
                  <c:v>58</c:v>
                </c:pt>
                <c:pt idx="61">
                  <c:v>59</c:v>
                </c:pt>
                <c:pt idx="62">
                  <c:v>60</c:v>
                </c:pt>
                <c:pt idx="63">
                  <c:v>61</c:v>
                </c:pt>
                <c:pt idx="64">
                  <c:v>62</c:v>
                </c:pt>
                <c:pt idx="65">
                  <c:v>63</c:v>
                </c:pt>
                <c:pt idx="66">
                  <c:v>64</c:v>
                </c:pt>
                <c:pt idx="67">
                  <c:v>65</c:v>
                </c:pt>
                <c:pt idx="68">
                  <c:v>66</c:v>
                </c:pt>
                <c:pt idx="69">
                  <c:v>67</c:v>
                </c:pt>
                <c:pt idx="70">
                  <c:v>68</c:v>
                </c:pt>
                <c:pt idx="71">
                  <c:v>69</c:v>
                </c:pt>
                <c:pt idx="72">
                  <c:v>70</c:v>
                </c:pt>
                <c:pt idx="73">
                  <c:v>71</c:v>
                </c:pt>
                <c:pt idx="74">
                  <c:v>72</c:v>
                </c:pt>
                <c:pt idx="75">
                  <c:v>73</c:v>
                </c:pt>
                <c:pt idx="76">
                  <c:v>74</c:v>
                </c:pt>
                <c:pt idx="77">
                  <c:v>75</c:v>
                </c:pt>
                <c:pt idx="78">
                  <c:v>76</c:v>
                </c:pt>
                <c:pt idx="79">
                  <c:v>77</c:v>
                </c:pt>
                <c:pt idx="80">
                  <c:v>78</c:v>
                </c:pt>
                <c:pt idx="81">
                  <c:v>79</c:v>
                </c:pt>
                <c:pt idx="82">
                  <c:v>80</c:v>
                </c:pt>
                <c:pt idx="83">
                  <c:v>81</c:v>
                </c:pt>
                <c:pt idx="84">
                  <c:v>82</c:v>
                </c:pt>
                <c:pt idx="85">
                  <c:v>83</c:v>
                </c:pt>
                <c:pt idx="86">
                  <c:v>84</c:v>
                </c:pt>
                <c:pt idx="87">
                  <c:v>85</c:v>
                </c:pt>
                <c:pt idx="88">
                  <c:v>86</c:v>
                </c:pt>
                <c:pt idx="89">
                  <c:v>87</c:v>
                </c:pt>
                <c:pt idx="90">
                  <c:v>88</c:v>
                </c:pt>
                <c:pt idx="91">
                  <c:v>89</c:v>
                </c:pt>
                <c:pt idx="92">
                  <c:v>90</c:v>
                </c:pt>
                <c:pt idx="93">
                  <c:v>91</c:v>
                </c:pt>
                <c:pt idx="94">
                  <c:v>92</c:v>
                </c:pt>
                <c:pt idx="95">
                  <c:v>93</c:v>
                </c:pt>
                <c:pt idx="96">
                  <c:v>94</c:v>
                </c:pt>
                <c:pt idx="97">
                  <c:v>95</c:v>
                </c:pt>
                <c:pt idx="98">
                  <c:v>96</c:v>
                </c:pt>
                <c:pt idx="99">
                  <c:v>97</c:v>
                </c:pt>
                <c:pt idx="100">
                  <c:v>98</c:v>
                </c:pt>
                <c:pt idx="101">
                  <c:v>99</c:v>
                </c:pt>
                <c:pt idx="102">
                  <c:v>100</c:v>
                </c:pt>
                <c:pt idx="103">
                  <c:v>101</c:v>
                </c:pt>
                <c:pt idx="104">
                  <c:v>102</c:v>
                </c:pt>
                <c:pt idx="105">
                  <c:v>103</c:v>
                </c:pt>
                <c:pt idx="106">
                  <c:v>104</c:v>
                </c:pt>
                <c:pt idx="107">
                  <c:v>105</c:v>
                </c:pt>
                <c:pt idx="108">
                  <c:v>106</c:v>
                </c:pt>
                <c:pt idx="109">
                  <c:v>107</c:v>
                </c:pt>
                <c:pt idx="110">
                  <c:v>108</c:v>
                </c:pt>
                <c:pt idx="111">
                  <c:v>109</c:v>
                </c:pt>
                <c:pt idx="112">
                  <c:v>110</c:v>
                </c:pt>
                <c:pt idx="113">
                  <c:v>111</c:v>
                </c:pt>
                <c:pt idx="114">
                  <c:v>112</c:v>
                </c:pt>
                <c:pt idx="115">
                  <c:v>113</c:v>
                </c:pt>
                <c:pt idx="116">
                  <c:v>114</c:v>
                </c:pt>
                <c:pt idx="117">
                  <c:v>115</c:v>
                </c:pt>
                <c:pt idx="118">
                  <c:v>116</c:v>
                </c:pt>
                <c:pt idx="119">
                  <c:v>117</c:v>
                </c:pt>
                <c:pt idx="120">
                  <c:v>118a</c:v>
                </c:pt>
                <c:pt idx="121">
                  <c:v>119</c:v>
                </c:pt>
                <c:pt idx="122">
                  <c:v>118b</c:v>
                </c:pt>
                <c:pt idx="123">
                  <c:v>120</c:v>
                </c:pt>
                <c:pt idx="124">
                  <c:v>121</c:v>
                </c:pt>
                <c:pt idx="125">
                  <c:v>122</c:v>
                </c:pt>
                <c:pt idx="126">
                  <c:v>123</c:v>
                </c:pt>
                <c:pt idx="127">
                  <c:v>124</c:v>
                </c:pt>
                <c:pt idx="128">
                  <c:v>125</c:v>
                </c:pt>
                <c:pt idx="129">
                  <c:v>126</c:v>
                </c:pt>
                <c:pt idx="130">
                  <c:v>127</c:v>
                </c:pt>
                <c:pt idx="131">
                  <c:v>128</c:v>
                </c:pt>
                <c:pt idx="132">
                  <c:v>129</c:v>
                </c:pt>
                <c:pt idx="133">
                  <c:v>130</c:v>
                </c:pt>
                <c:pt idx="134">
                  <c:v>131</c:v>
                </c:pt>
                <c:pt idx="135">
                  <c:v>132</c:v>
                </c:pt>
                <c:pt idx="136">
                  <c:v>133</c:v>
                </c:pt>
                <c:pt idx="137">
                  <c:v>134</c:v>
                </c:pt>
                <c:pt idx="138">
                  <c:v>135</c:v>
                </c:pt>
                <c:pt idx="139">
                  <c:v>136</c:v>
                </c:pt>
                <c:pt idx="140">
                  <c:v>137</c:v>
                </c:pt>
                <c:pt idx="141">
                  <c:v>138</c:v>
                </c:pt>
                <c:pt idx="142">
                  <c:v>139</c:v>
                </c:pt>
                <c:pt idx="143">
                  <c:v>140</c:v>
                </c:pt>
                <c:pt idx="144">
                  <c:v>141</c:v>
                </c:pt>
                <c:pt idx="145">
                  <c:v>142</c:v>
                </c:pt>
                <c:pt idx="146">
                  <c:v>143</c:v>
                </c:pt>
                <c:pt idx="147">
                  <c:v>144</c:v>
                </c:pt>
                <c:pt idx="148">
                  <c:v>145</c:v>
                </c:pt>
                <c:pt idx="149">
                  <c:v>146</c:v>
                </c:pt>
                <c:pt idx="150">
                  <c:v>147</c:v>
                </c:pt>
                <c:pt idx="151">
                  <c:v>148</c:v>
                </c:pt>
                <c:pt idx="152">
                  <c:v>149</c:v>
                </c:pt>
                <c:pt idx="153">
                  <c:v>150</c:v>
                </c:pt>
                <c:pt idx="154">
                  <c:v>151</c:v>
                </c:pt>
                <c:pt idx="155">
                  <c:v>152</c:v>
                </c:pt>
                <c:pt idx="156">
                  <c:v>153</c:v>
                </c:pt>
                <c:pt idx="157">
                  <c:v>154</c:v>
                </c:pt>
                <c:pt idx="158">
                  <c:v>155</c:v>
                </c:pt>
                <c:pt idx="159">
                  <c:v>156</c:v>
                </c:pt>
                <c:pt idx="160">
                  <c:v>157</c:v>
                </c:pt>
                <c:pt idx="161">
                  <c:v>158</c:v>
                </c:pt>
                <c:pt idx="162">
                  <c:v>159</c:v>
                </c:pt>
                <c:pt idx="163">
                  <c:v>160</c:v>
                </c:pt>
                <c:pt idx="164">
                  <c:v>161</c:v>
                </c:pt>
                <c:pt idx="165">
                  <c:v>162</c:v>
                </c:pt>
                <c:pt idx="166">
                  <c:v>163</c:v>
                </c:pt>
                <c:pt idx="167">
                  <c:v>164</c:v>
                </c:pt>
                <c:pt idx="168">
                  <c:v>165</c:v>
                </c:pt>
                <c:pt idx="169">
                  <c:v>166</c:v>
                </c:pt>
                <c:pt idx="170">
                  <c:v>167</c:v>
                </c:pt>
                <c:pt idx="171">
                  <c:v>168</c:v>
                </c:pt>
                <c:pt idx="172">
                  <c:v>169</c:v>
                </c:pt>
                <c:pt idx="173">
                  <c:v>170</c:v>
                </c:pt>
                <c:pt idx="174">
                  <c:v>171</c:v>
                </c:pt>
                <c:pt idx="175">
                  <c:v>172</c:v>
                </c:pt>
                <c:pt idx="176">
                  <c:v>173</c:v>
                </c:pt>
                <c:pt idx="177">
                  <c:v>174</c:v>
                </c:pt>
                <c:pt idx="178">
                  <c:v>175</c:v>
                </c:pt>
                <c:pt idx="179">
                  <c:v>176</c:v>
                </c:pt>
                <c:pt idx="180">
                  <c:v>177</c:v>
                </c:pt>
                <c:pt idx="181">
                  <c:v>178</c:v>
                </c:pt>
                <c:pt idx="182">
                  <c:v>179</c:v>
                </c:pt>
                <c:pt idx="183">
                  <c:v>180</c:v>
                </c:pt>
                <c:pt idx="184">
                  <c:v>181</c:v>
                </c:pt>
                <c:pt idx="185">
                  <c:v>182</c:v>
                </c:pt>
                <c:pt idx="186">
                  <c:v>183</c:v>
                </c:pt>
                <c:pt idx="187">
                  <c:v>184</c:v>
                </c:pt>
                <c:pt idx="188">
                  <c:v>185</c:v>
                </c:pt>
                <c:pt idx="189">
                  <c:v>186a</c:v>
                </c:pt>
                <c:pt idx="190">
                  <c:v>186b</c:v>
                </c:pt>
                <c:pt idx="191">
                  <c:v>187</c:v>
                </c:pt>
                <c:pt idx="192">
                  <c:v>188</c:v>
                </c:pt>
                <c:pt idx="193">
                  <c:v>189</c:v>
                </c:pt>
                <c:pt idx="194">
                  <c:v>190</c:v>
                </c:pt>
                <c:pt idx="195">
                  <c:v>191</c:v>
                </c:pt>
                <c:pt idx="196">
                  <c:v>192</c:v>
                </c:pt>
                <c:pt idx="197">
                  <c:v>193</c:v>
                </c:pt>
                <c:pt idx="198">
                  <c:v>194</c:v>
                </c:pt>
                <c:pt idx="199">
                  <c:v>195</c:v>
                </c:pt>
                <c:pt idx="200">
                  <c:v>196</c:v>
                </c:pt>
                <c:pt idx="201">
                  <c:v>197</c:v>
                </c:pt>
                <c:pt idx="202">
                  <c:v>198</c:v>
                </c:pt>
                <c:pt idx="203">
                  <c:v>199</c:v>
                </c:pt>
                <c:pt idx="204">
                  <c:v>200</c:v>
                </c:pt>
                <c:pt idx="205">
                  <c:v>201</c:v>
                </c:pt>
                <c:pt idx="206">
                  <c:v>202</c:v>
                </c:pt>
                <c:pt idx="207">
                  <c:v>203</c:v>
                </c:pt>
                <c:pt idx="208">
                  <c:v>204</c:v>
                </c:pt>
                <c:pt idx="209">
                  <c:v>205</c:v>
                </c:pt>
                <c:pt idx="210">
                  <c:v>206</c:v>
                </c:pt>
                <c:pt idx="211">
                  <c:v>207</c:v>
                </c:pt>
                <c:pt idx="212">
                  <c:v>208</c:v>
                </c:pt>
                <c:pt idx="213">
                  <c:v>209</c:v>
                </c:pt>
                <c:pt idx="214">
                  <c:v>210</c:v>
                </c:pt>
                <c:pt idx="215">
                  <c:v>211</c:v>
                </c:pt>
                <c:pt idx="216">
                  <c:v>212</c:v>
                </c:pt>
                <c:pt idx="217">
                  <c:v>213</c:v>
                </c:pt>
                <c:pt idx="218">
                  <c:v>214</c:v>
                </c:pt>
                <c:pt idx="219">
                  <c:v>215</c:v>
                </c:pt>
                <c:pt idx="220">
                  <c:v>216</c:v>
                </c:pt>
                <c:pt idx="221">
                  <c:v>217</c:v>
                </c:pt>
                <c:pt idx="222">
                  <c:v>218</c:v>
                </c:pt>
                <c:pt idx="223">
                  <c:v>219</c:v>
                </c:pt>
                <c:pt idx="224">
                  <c:v>220</c:v>
                </c:pt>
                <c:pt idx="225">
                  <c:v>221</c:v>
                </c:pt>
                <c:pt idx="226">
                  <c:v>222</c:v>
                </c:pt>
                <c:pt idx="227">
                  <c:v>223</c:v>
                </c:pt>
                <c:pt idx="228">
                  <c:v>224</c:v>
                </c:pt>
                <c:pt idx="229">
                  <c:v>225</c:v>
                </c:pt>
                <c:pt idx="230">
                  <c:v>226</c:v>
                </c:pt>
                <c:pt idx="231">
                  <c:v>227</c:v>
                </c:pt>
                <c:pt idx="232">
                  <c:v>228</c:v>
                </c:pt>
                <c:pt idx="233">
                  <c:v>229</c:v>
                </c:pt>
                <c:pt idx="234">
                  <c:v>230</c:v>
                </c:pt>
                <c:pt idx="235">
                  <c:v>231</c:v>
                </c:pt>
                <c:pt idx="236">
                  <c:v>232</c:v>
                </c:pt>
                <c:pt idx="237">
                  <c:v>233</c:v>
                </c:pt>
                <c:pt idx="238">
                  <c:v>234</c:v>
                </c:pt>
                <c:pt idx="239">
                  <c:v>235</c:v>
                </c:pt>
                <c:pt idx="240">
                  <c:v>236</c:v>
                </c:pt>
                <c:pt idx="241">
                  <c:v>237</c:v>
                </c:pt>
                <c:pt idx="242">
                  <c:v>238</c:v>
                </c:pt>
                <c:pt idx="243">
                  <c:v>239</c:v>
                </c:pt>
                <c:pt idx="244">
                  <c:v>240</c:v>
                </c:pt>
                <c:pt idx="245">
                  <c:v>241</c:v>
                </c:pt>
                <c:pt idx="246">
                  <c:v>242</c:v>
                </c:pt>
                <c:pt idx="247">
                  <c:v>243</c:v>
                </c:pt>
                <c:pt idx="248">
                  <c:v>244</c:v>
                </c:pt>
                <c:pt idx="249">
                  <c:v>245</c:v>
                </c:pt>
                <c:pt idx="250">
                  <c:v>246</c:v>
                </c:pt>
                <c:pt idx="251">
                  <c:v>247</c:v>
                </c:pt>
                <c:pt idx="252">
                  <c:v>248</c:v>
                </c:pt>
                <c:pt idx="253">
                  <c:v>249</c:v>
                </c:pt>
                <c:pt idx="254">
                  <c:v>250</c:v>
                </c:pt>
                <c:pt idx="255">
                  <c:v>251</c:v>
                </c:pt>
                <c:pt idx="256">
                  <c:v>252a</c:v>
                </c:pt>
                <c:pt idx="257">
                  <c:v>252b</c:v>
                </c:pt>
                <c:pt idx="258">
                  <c:v>253a</c:v>
                </c:pt>
                <c:pt idx="259">
                  <c:v>253b</c:v>
                </c:pt>
                <c:pt idx="260">
                  <c:v>254</c:v>
                </c:pt>
                <c:pt idx="261">
                  <c:v>255</c:v>
                </c:pt>
                <c:pt idx="262">
                  <c:v>256</c:v>
                </c:pt>
                <c:pt idx="263">
                  <c:v>257</c:v>
                </c:pt>
                <c:pt idx="264">
                  <c:v>258</c:v>
                </c:pt>
                <c:pt idx="265">
                  <c:v>259</c:v>
                </c:pt>
                <c:pt idx="266">
                  <c:v>260</c:v>
                </c:pt>
                <c:pt idx="267">
                  <c:v>261</c:v>
                </c:pt>
                <c:pt idx="268">
                  <c:v>262</c:v>
                </c:pt>
                <c:pt idx="269">
                  <c:v>263</c:v>
                </c:pt>
                <c:pt idx="270">
                  <c:v>264</c:v>
                </c:pt>
                <c:pt idx="271">
                  <c:v>265</c:v>
                </c:pt>
                <c:pt idx="272">
                  <c:v>266</c:v>
                </c:pt>
                <c:pt idx="273">
                  <c:v>267</c:v>
                </c:pt>
                <c:pt idx="274">
                  <c:v>268</c:v>
                </c:pt>
                <c:pt idx="275">
                  <c:v>269</c:v>
                </c:pt>
                <c:pt idx="276">
                  <c:v>270</c:v>
                </c:pt>
                <c:pt idx="277">
                  <c:v>271</c:v>
                </c:pt>
                <c:pt idx="278">
                  <c:v>272</c:v>
                </c:pt>
                <c:pt idx="279">
                  <c:v>273</c:v>
                </c:pt>
                <c:pt idx="280">
                  <c:v>274</c:v>
                </c:pt>
                <c:pt idx="281">
                  <c:v>275</c:v>
                </c:pt>
                <c:pt idx="282">
                  <c:v>276</c:v>
                </c:pt>
                <c:pt idx="283">
                  <c:v>277</c:v>
                </c:pt>
                <c:pt idx="284">
                  <c:v>278</c:v>
                </c:pt>
                <c:pt idx="285">
                  <c:v>279</c:v>
                </c:pt>
                <c:pt idx="286">
                  <c:v>280</c:v>
                </c:pt>
                <c:pt idx="287">
                  <c:v>281</c:v>
                </c:pt>
                <c:pt idx="288">
                  <c:v>282</c:v>
                </c:pt>
                <c:pt idx="289">
                  <c:v>283</c:v>
                </c:pt>
                <c:pt idx="290">
                  <c:v>284</c:v>
                </c:pt>
                <c:pt idx="291">
                  <c:v>285</c:v>
                </c:pt>
                <c:pt idx="292">
                  <c:v>286</c:v>
                </c:pt>
                <c:pt idx="293">
                  <c:v>287</c:v>
                </c:pt>
                <c:pt idx="294">
                  <c:v>288</c:v>
                </c:pt>
                <c:pt idx="295">
                  <c:v>289</c:v>
                </c:pt>
                <c:pt idx="296">
                  <c:v>290</c:v>
                </c:pt>
                <c:pt idx="297">
                  <c:v>291</c:v>
                </c:pt>
                <c:pt idx="298">
                  <c:v>292</c:v>
                </c:pt>
                <c:pt idx="299">
                  <c:v>293</c:v>
                </c:pt>
                <c:pt idx="300">
                  <c:v>294</c:v>
                </c:pt>
                <c:pt idx="301">
                  <c:v>295</c:v>
                </c:pt>
                <c:pt idx="302">
                  <c:v>296</c:v>
                </c:pt>
                <c:pt idx="303">
                  <c:v>297</c:v>
                </c:pt>
                <c:pt idx="304">
                  <c:v>298</c:v>
                </c:pt>
                <c:pt idx="305">
                  <c:v>299</c:v>
                </c:pt>
                <c:pt idx="306">
                  <c:v>300</c:v>
                </c:pt>
                <c:pt idx="307">
                  <c:v>301</c:v>
                </c:pt>
                <c:pt idx="308">
                  <c:v>302</c:v>
                </c:pt>
                <c:pt idx="309">
                  <c:v>303</c:v>
                </c:pt>
                <c:pt idx="310">
                  <c:v>304</c:v>
                </c:pt>
                <c:pt idx="311">
                  <c:v>305</c:v>
                </c:pt>
                <c:pt idx="312">
                  <c:v>306</c:v>
                </c:pt>
                <c:pt idx="313">
                  <c:v>307</c:v>
                </c:pt>
                <c:pt idx="314">
                  <c:v>308</c:v>
                </c:pt>
                <c:pt idx="315">
                  <c:v>309</c:v>
                </c:pt>
                <c:pt idx="316">
                  <c:v>310</c:v>
                </c:pt>
                <c:pt idx="317">
                  <c:v>311</c:v>
                </c:pt>
                <c:pt idx="318">
                  <c:v>312</c:v>
                </c:pt>
                <c:pt idx="319">
                  <c:v>313</c:v>
                </c:pt>
                <c:pt idx="320">
                  <c:v>314</c:v>
                </c:pt>
                <c:pt idx="321">
                  <c:v>315</c:v>
                </c:pt>
                <c:pt idx="322">
                  <c:v>316</c:v>
                </c:pt>
                <c:pt idx="323">
                  <c:v>317</c:v>
                </c:pt>
                <c:pt idx="324">
                  <c:v>318</c:v>
                </c:pt>
                <c:pt idx="325">
                  <c:v>319</c:v>
                </c:pt>
                <c:pt idx="326">
                  <c:v>320</c:v>
                </c:pt>
                <c:pt idx="327">
                  <c:v>321</c:v>
                </c:pt>
                <c:pt idx="328">
                  <c:v>322</c:v>
                </c:pt>
                <c:pt idx="329">
                  <c:v>323</c:v>
                </c:pt>
                <c:pt idx="330">
                  <c:v>324</c:v>
                </c:pt>
                <c:pt idx="331">
                  <c:v>325</c:v>
                </c:pt>
                <c:pt idx="332">
                  <c:v>326</c:v>
                </c:pt>
                <c:pt idx="333">
                  <c:v>327</c:v>
                </c:pt>
                <c:pt idx="334">
                  <c:v>328</c:v>
                </c:pt>
                <c:pt idx="335">
                  <c:v>329</c:v>
                </c:pt>
                <c:pt idx="336">
                  <c:v>330</c:v>
                </c:pt>
                <c:pt idx="337">
                  <c:v>331</c:v>
                </c:pt>
                <c:pt idx="338">
                  <c:v>332</c:v>
                </c:pt>
                <c:pt idx="339">
                  <c:v>333</c:v>
                </c:pt>
                <c:pt idx="340">
                  <c:v>334</c:v>
                </c:pt>
                <c:pt idx="341">
                  <c:v>335</c:v>
                </c:pt>
                <c:pt idx="342">
                  <c:v>336</c:v>
                </c:pt>
                <c:pt idx="343">
                  <c:v>337</c:v>
                </c:pt>
                <c:pt idx="344">
                  <c:v>338</c:v>
                </c:pt>
                <c:pt idx="345">
                  <c:v>339</c:v>
                </c:pt>
                <c:pt idx="346">
                  <c:v>340</c:v>
                </c:pt>
                <c:pt idx="347">
                  <c:v>341</c:v>
                </c:pt>
                <c:pt idx="348">
                  <c:v>342</c:v>
                </c:pt>
                <c:pt idx="349">
                  <c:v>343</c:v>
                </c:pt>
                <c:pt idx="350">
                  <c:v>344</c:v>
                </c:pt>
                <c:pt idx="351">
                  <c:v>345</c:v>
                </c:pt>
                <c:pt idx="352">
                  <c:v>346</c:v>
                </c:pt>
                <c:pt idx="353">
                  <c:v>347</c:v>
                </c:pt>
                <c:pt idx="354">
                  <c:v>348</c:v>
                </c:pt>
                <c:pt idx="355">
                  <c:v>349</c:v>
                </c:pt>
                <c:pt idx="356">
                  <c:v>350</c:v>
                </c:pt>
                <c:pt idx="357">
                  <c:v>351</c:v>
                </c:pt>
                <c:pt idx="358">
                  <c:v>352</c:v>
                </c:pt>
                <c:pt idx="359">
                  <c:v>353</c:v>
                </c:pt>
                <c:pt idx="360">
                  <c:v>354</c:v>
                </c:pt>
                <c:pt idx="361">
                  <c:v>355</c:v>
                </c:pt>
                <c:pt idx="362">
                  <c:v>356</c:v>
                </c:pt>
                <c:pt idx="363">
                  <c:v>357</c:v>
                </c:pt>
                <c:pt idx="364">
                  <c:v>358</c:v>
                </c:pt>
                <c:pt idx="365">
                  <c:v>359</c:v>
                </c:pt>
                <c:pt idx="366">
                  <c:v>360</c:v>
                </c:pt>
                <c:pt idx="367">
                  <c:v>361</c:v>
                </c:pt>
                <c:pt idx="368">
                  <c:v>362</c:v>
                </c:pt>
                <c:pt idx="369">
                  <c:v>363</c:v>
                </c:pt>
                <c:pt idx="370">
                  <c:v>364</c:v>
                </c:pt>
                <c:pt idx="371">
                  <c:v>365</c:v>
                </c:pt>
                <c:pt idx="372">
                  <c:v>366</c:v>
                </c:pt>
                <c:pt idx="373">
                  <c:v>367</c:v>
                </c:pt>
                <c:pt idx="374">
                  <c:v>368</c:v>
                </c:pt>
                <c:pt idx="375">
                  <c:v>369</c:v>
                </c:pt>
                <c:pt idx="376">
                  <c:v>370</c:v>
                </c:pt>
                <c:pt idx="377">
                  <c:v>371</c:v>
                </c:pt>
                <c:pt idx="378">
                  <c:v>372</c:v>
                </c:pt>
                <c:pt idx="379">
                  <c:v>373</c:v>
                </c:pt>
                <c:pt idx="380">
                  <c:v>374</c:v>
                </c:pt>
                <c:pt idx="381">
                  <c:v>375</c:v>
                </c:pt>
                <c:pt idx="382">
                  <c:v>376</c:v>
                </c:pt>
                <c:pt idx="383">
                  <c:v>377</c:v>
                </c:pt>
                <c:pt idx="384">
                  <c:v>378</c:v>
                </c:pt>
                <c:pt idx="385">
                  <c:v>379</c:v>
                </c:pt>
                <c:pt idx="386">
                  <c:v>380</c:v>
                </c:pt>
                <c:pt idx="387">
                  <c:v>381</c:v>
                </c:pt>
                <c:pt idx="388">
                  <c:v>382</c:v>
                </c:pt>
                <c:pt idx="389">
                  <c:v>383</c:v>
                </c:pt>
                <c:pt idx="390">
                  <c:v>384</c:v>
                </c:pt>
                <c:pt idx="391">
                  <c:v>385</c:v>
                </c:pt>
                <c:pt idx="392">
                  <c:v>386</c:v>
                </c:pt>
                <c:pt idx="393">
                  <c:v>387</c:v>
                </c:pt>
                <c:pt idx="394">
                  <c:v>388</c:v>
                </c:pt>
                <c:pt idx="395">
                  <c:v>389</c:v>
                </c:pt>
                <c:pt idx="396">
                  <c:v>390</c:v>
                </c:pt>
                <c:pt idx="397">
                  <c:v>391</c:v>
                </c:pt>
                <c:pt idx="398">
                  <c:v>392</c:v>
                </c:pt>
                <c:pt idx="399">
                  <c:v>393</c:v>
                </c:pt>
                <c:pt idx="400">
                  <c:v>394</c:v>
                </c:pt>
                <c:pt idx="401">
                  <c:v>395</c:v>
                </c:pt>
                <c:pt idx="402">
                  <c:v>396</c:v>
                </c:pt>
                <c:pt idx="403">
                  <c:v>397</c:v>
                </c:pt>
                <c:pt idx="404">
                  <c:v>398</c:v>
                </c:pt>
                <c:pt idx="405">
                  <c:v>399</c:v>
                </c:pt>
                <c:pt idx="406">
                  <c:v>400</c:v>
                </c:pt>
                <c:pt idx="407">
                  <c:v>401</c:v>
                </c:pt>
                <c:pt idx="408">
                  <c:v>402</c:v>
                </c:pt>
                <c:pt idx="409">
                  <c:v>403</c:v>
                </c:pt>
                <c:pt idx="410">
                  <c:v>404</c:v>
                </c:pt>
                <c:pt idx="411">
                  <c:v>405</c:v>
                </c:pt>
                <c:pt idx="412">
                  <c:v>406a</c:v>
                </c:pt>
                <c:pt idx="413">
                  <c:v>406b</c:v>
                </c:pt>
                <c:pt idx="414">
                  <c:v>407</c:v>
                </c:pt>
                <c:pt idx="415">
                  <c:v>408</c:v>
                </c:pt>
                <c:pt idx="416">
                  <c:v>409</c:v>
                </c:pt>
                <c:pt idx="417">
                  <c:v>410a</c:v>
                </c:pt>
                <c:pt idx="418">
                  <c:v>410b</c:v>
                </c:pt>
                <c:pt idx="419">
                  <c:v>410c</c:v>
                </c:pt>
                <c:pt idx="420">
                  <c:v>411</c:v>
                </c:pt>
                <c:pt idx="421">
                  <c:v>412</c:v>
                </c:pt>
                <c:pt idx="422">
                  <c:v>413</c:v>
                </c:pt>
                <c:pt idx="423">
                  <c:v>414</c:v>
                </c:pt>
                <c:pt idx="424">
                  <c:v>415</c:v>
                </c:pt>
                <c:pt idx="425">
                  <c:v>416</c:v>
                </c:pt>
                <c:pt idx="426">
                  <c:v>417</c:v>
                </c:pt>
                <c:pt idx="427">
                  <c:v>418</c:v>
                </c:pt>
                <c:pt idx="428">
                  <c:v>419</c:v>
                </c:pt>
                <c:pt idx="429">
                  <c:v>420</c:v>
                </c:pt>
                <c:pt idx="430">
                  <c:v>421</c:v>
                </c:pt>
                <c:pt idx="431">
                  <c:v>422</c:v>
                </c:pt>
                <c:pt idx="432">
                  <c:v>423</c:v>
                </c:pt>
              </c:strCache>
            </c:strRef>
          </c:cat>
          <c:val>
            <c:numRef>
              <c:f>'FTT(1-425)'!$AJ$2:$AJ$436</c:f>
              <c:numCache>
                <c:formatCode>General</c:formatCode>
                <c:ptCount val="435"/>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6</c:v>
                </c:pt>
                <c:pt idx="23">
                  <c:v>6</c:v>
                </c:pt>
                <c:pt idx="24">
                  <c:v>6</c:v>
                </c:pt>
                <c:pt idx="25">
                  <c:v>6</c:v>
                </c:pt>
                <c:pt idx="26">
                  <c:v>6</c:v>
                </c:pt>
                <c:pt idx="27">
                  <c:v>6</c:v>
                </c:pt>
                <c:pt idx="28">
                  <c:v>6</c:v>
                </c:pt>
                <c:pt idx="29">
                  <c:v>6</c:v>
                </c:pt>
                <c:pt idx="30">
                  <c:v>6</c:v>
                </c:pt>
                <c:pt idx="31">
                  <c:v>3</c:v>
                </c:pt>
                <c:pt idx="32">
                  <c:v>3</c:v>
                </c:pt>
                <c:pt idx="33">
                  <c:v>3</c:v>
                </c:pt>
                <c:pt idx="34">
                  <c:v>3</c:v>
                </c:pt>
                <c:pt idx="35">
                  <c:v>3</c:v>
                </c:pt>
                <c:pt idx="36">
                  <c:v>2</c:v>
                </c:pt>
                <c:pt idx="37">
                  <c:v>2</c:v>
                </c:pt>
                <c:pt idx="38">
                  <c:v>2</c:v>
                </c:pt>
                <c:pt idx="39">
                  <c:v>6</c:v>
                </c:pt>
                <c:pt idx="40">
                  <c:v>1</c:v>
                </c:pt>
                <c:pt idx="41">
                  <c:v>7</c:v>
                </c:pt>
                <c:pt idx="42">
                  <c:v>7</c:v>
                </c:pt>
                <c:pt idx="43">
                  <c:v>7</c:v>
                </c:pt>
                <c:pt idx="44">
                  <c:v>7</c:v>
                </c:pt>
                <c:pt idx="45">
                  <c:v>12</c:v>
                </c:pt>
                <c:pt idx="46">
                  <c:v>12</c:v>
                </c:pt>
                <c:pt idx="47">
                  <c:v>12</c:v>
                </c:pt>
                <c:pt idx="48">
                  <c:v>12</c:v>
                </c:pt>
                <c:pt idx="49">
                  <c:v>12</c:v>
                </c:pt>
                <c:pt idx="50">
                  <c:v>13</c:v>
                </c:pt>
                <c:pt idx="51">
                  <c:v>13</c:v>
                </c:pt>
                <c:pt idx="52">
                  <c:v>14</c:v>
                </c:pt>
                <c:pt idx="53">
                  <c:v>14</c:v>
                </c:pt>
                <c:pt idx="54">
                  <c:v>14</c:v>
                </c:pt>
                <c:pt idx="55">
                  <c:v>14</c:v>
                </c:pt>
                <c:pt idx="56">
                  <c:v>15</c:v>
                </c:pt>
                <c:pt idx="57">
                  <c:v>18</c:v>
                </c:pt>
                <c:pt idx="58">
                  <c:v>18</c:v>
                </c:pt>
                <c:pt idx="59">
                  <c:v>18</c:v>
                </c:pt>
                <c:pt idx="60">
                  <c:v>18</c:v>
                </c:pt>
                <c:pt idx="61">
                  <c:v>20</c:v>
                </c:pt>
                <c:pt idx="62">
                  <c:v>20</c:v>
                </c:pt>
                <c:pt idx="63">
                  <c:v>27</c:v>
                </c:pt>
                <c:pt idx="64">
                  <c:v>17</c:v>
                </c:pt>
                <c:pt idx="65">
                  <c:v>26</c:v>
                </c:pt>
                <c:pt idx="66">
                  <c:v>26</c:v>
                </c:pt>
                <c:pt idx="67">
                  <c:v>25</c:v>
                </c:pt>
                <c:pt idx="68">
                  <c:v>25</c:v>
                </c:pt>
                <c:pt idx="69">
                  <c:v>25</c:v>
                </c:pt>
                <c:pt idx="70">
                  <c:v>26</c:v>
                </c:pt>
                <c:pt idx="71">
                  <c:v>28</c:v>
                </c:pt>
                <c:pt idx="72">
                  <c:v>28</c:v>
                </c:pt>
                <c:pt idx="73">
                  <c:v>30</c:v>
                </c:pt>
                <c:pt idx="74">
                  <c:v>23</c:v>
                </c:pt>
                <c:pt idx="75">
                  <c:v>25</c:v>
                </c:pt>
                <c:pt idx="76">
                  <c:v>27</c:v>
                </c:pt>
                <c:pt idx="77">
                  <c:v>29</c:v>
                </c:pt>
                <c:pt idx="78">
                  <c:v>29</c:v>
                </c:pt>
                <c:pt idx="79">
                  <c:v>21</c:v>
                </c:pt>
                <c:pt idx="80">
                  <c:v>24</c:v>
                </c:pt>
                <c:pt idx="81">
                  <c:v>25</c:v>
                </c:pt>
                <c:pt idx="82">
                  <c:v>26</c:v>
                </c:pt>
                <c:pt idx="83">
                  <c:v>26</c:v>
                </c:pt>
                <c:pt idx="84">
                  <c:v>26</c:v>
                </c:pt>
                <c:pt idx="85">
                  <c:v>26</c:v>
                </c:pt>
                <c:pt idx="86">
                  <c:v>27</c:v>
                </c:pt>
                <c:pt idx="87">
                  <c:v>26</c:v>
                </c:pt>
                <c:pt idx="88">
                  <c:v>26</c:v>
                </c:pt>
                <c:pt idx="89">
                  <c:v>26</c:v>
                </c:pt>
                <c:pt idx="90">
                  <c:v>16</c:v>
                </c:pt>
                <c:pt idx="91">
                  <c:v>21</c:v>
                </c:pt>
                <c:pt idx="92">
                  <c:v>26</c:v>
                </c:pt>
                <c:pt idx="93">
                  <c:v>28</c:v>
                </c:pt>
                <c:pt idx="94">
                  <c:v>29</c:v>
                </c:pt>
                <c:pt idx="95">
                  <c:v>29</c:v>
                </c:pt>
                <c:pt idx="96">
                  <c:v>29</c:v>
                </c:pt>
                <c:pt idx="97">
                  <c:v>27</c:v>
                </c:pt>
                <c:pt idx="98">
                  <c:v>27</c:v>
                </c:pt>
                <c:pt idx="99">
                  <c:v>28</c:v>
                </c:pt>
                <c:pt idx="100">
                  <c:v>28</c:v>
                </c:pt>
                <c:pt idx="101">
                  <c:v>29</c:v>
                </c:pt>
                <c:pt idx="102">
                  <c:v>29</c:v>
                </c:pt>
                <c:pt idx="103">
                  <c:v>30</c:v>
                </c:pt>
                <c:pt idx="104">
                  <c:v>30</c:v>
                </c:pt>
                <c:pt idx="105">
                  <c:v>30</c:v>
                </c:pt>
                <c:pt idx="106">
                  <c:v>30</c:v>
                </c:pt>
                <c:pt idx="107">
                  <c:v>30</c:v>
                </c:pt>
                <c:pt idx="108">
                  <c:v>30</c:v>
                </c:pt>
                <c:pt idx="109">
                  <c:v>28</c:v>
                </c:pt>
                <c:pt idx="110">
                  <c:v>27</c:v>
                </c:pt>
                <c:pt idx="111">
                  <c:v>27</c:v>
                </c:pt>
                <c:pt idx="112">
                  <c:v>27</c:v>
                </c:pt>
                <c:pt idx="113">
                  <c:v>27</c:v>
                </c:pt>
                <c:pt idx="114">
                  <c:v>27</c:v>
                </c:pt>
                <c:pt idx="115">
                  <c:v>27</c:v>
                </c:pt>
                <c:pt idx="116">
                  <c:v>27</c:v>
                </c:pt>
                <c:pt idx="117">
                  <c:v>29</c:v>
                </c:pt>
                <c:pt idx="118">
                  <c:v>29</c:v>
                </c:pt>
                <c:pt idx="119">
                  <c:v>27</c:v>
                </c:pt>
                <c:pt idx="120">
                  <c:v>27</c:v>
                </c:pt>
                <c:pt idx="121">
                  <c:v>27</c:v>
                </c:pt>
                <c:pt idx="122">
                  <c:v>27</c:v>
                </c:pt>
                <c:pt idx="123">
                  <c:v>27</c:v>
                </c:pt>
                <c:pt idx="124">
                  <c:v>29</c:v>
                </c:pt>
                <c:pt idx="125">
                  <c:v>30</c:v>
                </c:pt>
                <c:pt idx="126">
                  <c:v>30</c:v>
                </c:pt>
                <c:pt idx="127">
                  <c:v>30</c:v>
                </c:pt>
                <c:pt idx="128">
                  <c:v>30</c:v>
                </c:pt>
                <c:pt idx="129">
                  <c:v>30</c:v>
                </c:pt>
                <c:pt idx="130">
                  <c:v>30</c:v>
                </c:pt>
                <c:pt idx="131">
                  <c:v>30</c:v>
                </c:pt>
                <c:pt idx="132">
                  <c:v>0</c:v>
                </c:pt>
                <c:pt idx="133">
                  <c:v>0</c:v>
                </c:pt>
                <c:pt idx="134">
                  <c:v>0</c:v>
                </c:pt>
                <c:pt idx="135">
                  <c:v>0</c:v>
                </c:pt>
                <c:pt idx="136">
                  <c:v>0</c:v>
                </c:pt>
                <c:pt idx="137">
                  <c:v>0</c:v>
                </c:pt>
                <c:pt idx="138">
                  <c:v>0</c:v>
                </c:pt>
                <c:pt idx="139">
                  <c:v>0</c:v>
                </c:pt>
                <c:pt idx="140">
                  <c:v>29</c:v>
                </c:pt>
                <c:pt idx="141">
                  <c:v>27</c:v>
                </c:pt>
                <c:pt idx="142">
                  <c:v>27</c:v>
                </c:pt>
                <c:pt idx="143">
                  <c:v>27</c:v>
                </c:pt>
                <c:pt idx="144">
                  <c:v>28</c:v>
                </c:pt>
                <c:pt idx="145">
                  <c:v>27</c:v>
                </c:pt>
                <c:pt idx="146">
                  <c:v>27</c:v>
                </c:pt>
                <c:pt idx="147">
                  <c:v>27</c:v>
                </c:pt>
                <c:pt idx="148">
                  <c:v>27</c:v>
                </c:pt>
                <c:pt idx="149">
                  <c:v>28</c:v>
                </c:pt>
                <c:pt idx="150">
                  <c:v>28</c:v>
                </c:pt>
                <c:pt idx="151">
                  <c:v>27</c:v>
                </c:pt>
                <c:pt idx="152">
                  <c:v>27</c:v>
                </c:pt>
                <c:pt idx="153">
                  <c:v>27</c:v>
                </c:pt>
                <c:pt idx="154">
                  <c:v>27</c:v>
                </c:pt>
                <c:pt idx="155">
                  <c:v>28</c:v>
                </c:pt>
                <c:pt idx="156">
                  <c:v>28</c:v>
                </c:pt>
                <c:pt idx="157">
                  <c:v>28</c:v>
                </c:pt>
                <c:pt idx="158">
                  <c:v>27</c:v>
                </c:pt>
                <c:pt idx="159">
                  <c:v>28</c:v>
                </c:pt>
                <c:pt idx="160">
                  <c:v>28</c:v>
                </c:pt>
                <c:pt idx="161">
                  <c:v>28</c:v>
                </c:pt>
                <c:pt idx="162">
                  <c:v>28</c:v>
                </c:pt>
                <c:pt idx="163">
                  <c:v>28</c:v>
                </c:pt>
                <c:pt idx="164">
                  <c:v>28</c:v>
                </c:pt>
                <c:pt idx="165">
                  <c:v>28</c:v>
                </c:pt>
                <c:pt idx="166">
                  <c:v>29</c:v>
                </c:pt>
                <c:pt idx="167">
                  <c:v>29</c:v>
                </c:pt>
                <c:pt idx="168">
                  <c:v>30</c:v>
                </c:pt>
                <c:pt idx="169">
                  <c:v>30</c:v>
                </c:pt>
                <c:pt idx="170">
                  <c:v>29</c:v>
                </c:pt>
                <c:pt idx="171">
                  <c:v>29</c:v>
                </c:pt>
                <c:pt idx="172">
                  <c:v>29</c:v>
                </c:pt>
                <c:pt idx="173">
                  <c:v>29</c:v>
                </c:pt>
                <c:pt idx="174">
                  <c:v>29</c:v>
                </c:pt>
                <c:pt idx="175">
                  <c:v>29</c:v>
                </c:pt>
                <c:pt idx="176">
                  <c:v>29</c:v>
                </c:pt>
                <c:pt idx="177">
                  <c:v>14</c:v>
                </c:pt>
                <c:pt idx="178">
                  <c:v>14</c:v>
                </c:pt>
                <c:pt idx="179">
                  <c:v>14</c:v>
                </c:pt>
                <c:pt idx="180">
                  <c:v>14</c:v>
                </c:pt>
                <c:pt idx="181">
                  <c:v>20</c:v>
                </c:pt>
                <c:pt idx="182">
                  <c:v>20</c:v>
                </c:pt>
                <c:pt idx="183">
                  <c:v>20</c:v>
                </c:pt>
                <c:pt idx="184">
                  <c:v>27</c:v>
                </c:pt>
                <c:pt idx="185">
                  <c:v>27</c:v>
                </c:pt>
                <c:pt idx="186">
                  <c:v>29</c:v>
                </c:pt>
                <c:pt idx="187">
                  <c:v>29</c:v>
                </c:pt>
                <c:pt idx="188">
                  <c:v>29</c:v>
                </c:pt>
                <c:pt idx="189">
                  <c:v>29</c:v>
                </c:pt>
                <c:pt idx="190">
                  <c:v>29</c:v>
                </c:pt>
                <c:pt idx="191">
                  <c:v>28</c:v>
                </c:pt>
                <c:pt idx="192">
                  <c:v>27</c:v>
                </c:pt>
                <c:pt idx="193">
                  <c:v>27</c:v>
                </c:pt>
                <c:pt idx="194">
                  <c:v>27</c:v>
                </c:pt>
                <c:pt idx="195">
                  <c:v>27</c:v>
                </c:pt>
                <c:pt idx="196">
                  <c:v>27</c:v>
                </c:pt>
                <c:pt idx="197">
                  <c:v>27</c:v>
                </c:pt>
                <c:pt idx="198">
                  <c:v>21</c:v>
                </c:pt>
                <c:pt idx="199">
                  <c:v>27</c:v>
                </c:pt>
                <c:pt idx="200">
                  <c:v>26</c:v>
                </c:pt>
                <c:pt idx="201">
                  <c:v>26</c:v>
                </c:pt>
                <c:pt idx="202">
                  <c:v>26</c:v>
                </c:pt>
                <c:pt idx="203">
                  <c:v>26</c:v>
                </c:pt>
                <c:pt idx="204">
                  <c:v>26</c:v>
                </c:pt>
                <c:pt idx="205">
                  <c:v>26</c:v>
                </c:pt>
                <c:pt idx="206">
                  <c:v>27</c:v>
                </c:pt>
                <c:pt idx="207">
                  <c:v>27</c:v>
                </c:pt>
                <c:pt idx="208">
                  <c:v>27</c:v>
                </c:pt>
                <c:pt idx="209">
                  <c:v>26</c:v>
                </c:pt>
                <c:pt idx="210">
                  <c:v>26</c:v>
                </c:pt>
                <c:pt idx="211">
                  <c:v>26</c:v>
                </c:pt>
                <c:pt idx="212">
                  <c:v>27</c:v>
                </c:pt>
                <c:pt idx="213">
                  <c:v>27</c:v>
                </c:pt>
                <c:pt idx="214">
                  <c:v>29</c:v>
                </c:pt>
                <c:pt idx="215">
                  <c:v>29</c:v>
                </c:pt>
                <c:pt idx="216">
                  <c:v>29</c:v>
                </c:pt>
                <c:pt idx="217">
                  <c:v>27</c:v>
                </c:pt>
                <c:pt idx="218">
                  <c:v>27</c:v>
                </c:pt>
                <c:pt idx="219">
                  <c:v>27</c:v>
                </c:pt>
                <c:pt idx="220">
                  <c:v>27</c:v>
                </c:pt>
                <c:pt idx="221">
                  <c:v>26</c:v>
                </c:pt>
                <c:pt idx="222">
                  <c:v>23</c:v>
                </c:pt>
                <c:pt idx="223">
                  <c:v>20</c:v>
                </c:pt>
                <c:pt idx="224">
                  <c:v>20</c:v>
                </c:pt>
                <c:pt idx="225">
                  <c:v>20</c:v>
                </c:pt>
                <c:pt idx="226">
                  <c:v>20</c:v>
                </c:pt>
                <c:pt idx="227">
                  <c:v>20</c:v>
                </c:pt>
                <c:pt idx="228">
                  <c:v>20</c:v>
                </c:pt>
                <c:pt idx="229">
                  <c:v>20</c:v>
                </c:pt>
                <c:pt idx="230">
                  <c:v>20</c:v>
                </c:pt>
                <c:pt idx="231">
                  <c:v>25</c:v>
                </c:pt>
                <c:pt idx="232">
                  <c:v>25</c:v>
                </c:pt>
                <c:pt idx="233">
                  <c:v>26</c:v>
                </c:pt>
                <c:pt idx="234">
                  <c:v>26</c:v>
                </c:pt>
                <c:pt idx="235">
                  <c:v>26</c:v>
                </c:pt>
                <c:pt idx="236">
                  <c:v>26</c:v>
                </c:pt>
                <c:pt idx="237">
                  <c:v>26</c:v>
                </c:pt>
                <c:pt idx="238">
                  <c:v>26</c:v>
                </c:pt>
                <c:pt idx="239">
                  <c:v>26</c:v>
                </c:pt>
                <c:pt idx="240">
                  <c:v>26</c:v>
                </c:pt>
                <c:pt idx="241">
                  <c:v>26</c:v>
                </c:pt>
                <c:pt idx="242">
                  <c:v>26</c:v>
                </c:pt>
                <c:pt idx="243">
                  <c:v>26</c:v>
                </c:pt>
                <c:pt idx="244">
                  <c:v>21</c:v>
                </c:pt>
                <c:pt idx="245">
                  <c:v>21</c:v>
                </c:pt>
                <c:pt idx="246">
                  <c:v>22</c:v>
                </c:pt>
                <c:pt idx="247">
                  <c:v>22</c:v>
                </c:pt>
                <c:pt idx="248">
                  <c:v>18</c:v>
                </c:pt>
                <c:pt idx="249">
                  <c:v>24</c:v>
                </c:pt>
                <c:pt idx="250">
                  <c:v>24</c:v>
                </c:pt>
                <c:pt idx="251">
                  <c:v>21</c:v>
                </c:pt>
                <c:pt idx="252">
                  <c:v>21</c:v>
                </c:pt>
                <c:pt idx="253">
                  <c:v>17</c:v>
                </c:pt>
                <c:pt idx="254">
                  <c:v>17</c:v>
                </c:pt>
                <c:pt idx="255">
                  <c:v>17</c:v>
                </c:pt>
                <c:pt idx="256">
                  <c:v>17</c:v>
                </c:pt>
                <c:pt idx="257">
                  <c:v>17</c:v>
                </c:pt>
                <c:pt idx="258">
                  <c:v>16</c:v>
                </c:pt>
                <c:pt idx="259">
                  <c:v>16</c:v>
                </c:pt>
                <c:pt idx="260">
                  <c:v>16</c:v>
                </c:pt>
                <c:pt idx="261">
                  <c:v>19</c:v>
                </c:pt>
                <c:pt idx="262">
                  <c:v>17</c:v>
                </c:pt>
                <c:pt idx="263">
                  <c:v>12</c:v>
                </c:pt>
                <c:pt idx="264">
                  <c:v>12</c:v>
                </c:pt>
                <c:pt idx="265">
                  <c:v>12</c:v>
                </c:pt>
                <c:pt idx="266">
                  <c:v>12</c:v>
                </c:pt>
                <c:pt idx="267">
                  <c:v>12</c:v>
                </c:pt>
                <c:pt idx="268">
                  <c:v>12</c:v>
                </c:pt>
                <c:pt idx="269">
                  <c:v>12</c:v>
                </c:pt>
                <c:pt idx="270">
                  <c:v>12</c:v>
                </c:pt>
                <c:pt idx="271">
                  <c:v>12</c:v>
                </c:pt>
                <c:pt idx="272">
                  <c:v>12</c:v>
                </c:pt>
                <c:pt idx="273">
                  <c:v>12</c:v>
                </c:pt>
                <c:pt idx="274">
                  <c:v>16</c:v>
                </c:pt>
                <c:pt idx="275">
                  <c:v>23</c:v>
                </c:pt>
                <c:pt idx="276">
                  <c:v>11</c:v>
                </c:pt>
                <c:pt idx="277">
                  <c:v>11</c:v>
                </c:pt>
                <c:pt idx="278">
                  <c:v>11</c:v>
                </c:pt>
                <c:pt idx="279">
                  <c:v>16</c:v>
                </c:pt>
                <c:pt idx="280">
                  <c:v>17</c:v>
                </c:pt>
                <c:pt idx="281">
                  <c:v>18</c:v>
                </c:pt>
                <c:pt idx="282">
                  <c:v>18</c:v>
                </c:pt>
                <c:pt idx="283">
                  <c:v>18</c:v>
                </c:pt>
                <c:pt idx="284">
                  <c:v>18</c:v>
                </c:pt>
                <c:pt idx="285">
                  <c:v>18</c:v>
                </c:pt>
                <c:pt idx="286">
                  <c:v>18</c:v>
                </c:pt>
                <c:pt idx="287">
                  <c:v>18</c:v>
                </c:pt>
                <c:pt idx="288">
                  <c:v>18</c:v>
                </c:pt>
                <c:pt idx="289">
                  <c:v>18</c:v>
                </c:pt>
                <c:pt idx="290">
                  <c:v>18</c:v>
                </c:pt>
                <c:pt idx="291">
                  <c:v>16</c:v>
                </c:pt>
                <c:pt idx="292">
                  <c:v>16</c:v>
                </c:pt>
                <c:pt idx="293">
                  <c:v>16</c:v>
                </c:pt>
                <c:pt idx="294">
                  <c:v>15</c:v>
                </c:pt>
                <c:pt idx="295">
                  <c:v>13</c:v>
                </c:pt>
                <c:pt idx="296">
                  <c:v>13</c:v>
                </c:pt>
                <c:pt idx="297">
                  <c:v>13</c:v>
                </c:pt>
                <c:pt idx="298">
                  <c:v>13</c:v>
                </c:pt>
                <c:pt idx="299">
                  <c:v>13</c:v>
                </c:pt>
                <c:pt idx="300">
                  <c:v>12</c:v>
                </c:pt>
                <c:pt idx="301">
                  <c:v>13</c:v>
                </c:pt>
                <c:pt idx="302">
                  <c:v>13</c:v>
                </c:pt>
                <c:pt idx="303">
                  <c:v>1</c:v>
                </c:pt>
                <c:pt idx="304">
                  <c:v>1</c:v>
                </c:pt>
                <c:pt idx="305">
                  <c:v>1</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9</c:v>
                </c:pt>
                <c:pt idx="327">
                  <c:v>14</c:v>
                </c:pt>
                <c:pt idx="328">
                  <c:v>14</c:v>
                </c:pt>
                <c:pt idx="329">
                  <c:v>14</c:v>
                </c:pt>
                <c:pt idx="330">
                  <c:v>14</c:v>
                </c:pt>
                <c:pt idx="331">
                  <c:v>14</c:v>
                </c:pt>
                <c:pt idx="332">
                  <c:v>14</c:v>
                </c:pt>
                <c:pt idx="333">
                  <c:v>14</c:v>
                </c:pt>
                <c:pt idx="334">
                  <c:v>14</c:v>
                </c:pt>
                <c:pt idx="335">
                  <c:v>0</c:v>
                </c:pt>
                <c:pt idx="336">
                  <c:v>3</c:v>
                </c:pt>
                <c:pt idx="337">
                  <c:v>0</c:v>
                </c:pt>
                <c:pt idx="338">
                  <c:v>0</c:v>
                </c:pt>
                <c:pt idx="339">
                  <c:v>11</c:v>
                </c:pt>
                <c:pt idx="340">
                  <c:v>11</c:v>
                </c:pt>
                <c:pt idx="341">
                  <c:v>11</c:v>
                </c:pt>
                <c:pt idx="342">
                  <c:v>11</c:v>
                </c:pt>
                <c:pt idx="343">
                  <c:v>11</c:v>
                </c:pt>
                <c:pt idx="344">
                  <c:v>11</c:v>
                </c:pt>
                <c:pt idx="345">
                  <c:v>11</c:v>
                </c:pt>
                <c:pt idx="346">
                  <c:v>15</c:v>
                </c:pt>
                <c:pt idx="347">
                  <c:v>15</c:v>
                </c:pt>
                <c:pt idx="348">
                  <c:v>15</c:v>
                </c:pt>
                <c:pt idx="349">
                  <c:v>15</c:v>
                </c:pt>
                <c:pt idx="350">
                  <c:v>0</c:v>
                </c:pt>
                <c:pt idx="351">
                  <c:v>0</c:v>
                </c:pt>
                <c:pt idx="352">
                  <c:v>0</c:v>
                </c:pt>
                <c:pt idx="353">
                  <c:v>0</c:v>
                </c:pt>
                <c:pt idx="354">
                  <c:v>0</c:v>
                </c:pt>
                <c:pt idx="355">
                  <c:v>0</c:v>
                </c:pt>
                <c:pt idx="356">
                  <c:v>0</c:v>
                </c:pt>
                <c:pt idx="357">
                  <c:v>0</c:v>
                </c:pt>
                <c:pt idx="358">
                  <c:v>10</c:v>
                </c:pt>
                <c:pt idx="359">
                  <c:v>10</c:v>
                </c:pt>
                <c:pt idx="360">
                  <c:v>10</c:v>
                </c:pt>
                <c:pt idx="361">
                  <c:v>10</c:v>
                </c:pt>
                <c:pt idx="362">
                  <c:v>10</c:v>
                </c:pt>
                <c:pt idx="363">
                  <c:v>10</c:v>
                </c:pt>
                <c:pt idx="364">
                  <c:v>10</c:v>
                </c:pt>
                <c:pt idx="365">
                  <c:v>10</c:v>
                </c:pt>
                <c:pt idx="366">
                  <c:v>0</c:v>
                </c:pt>
                <c:pt idx="367">
                  <c:v>0</c:v>
                </c:pt>
                <c:pt idx="368">
                  <c:v>10</c:v>
                </c:pt>
                <c:pt idx="369">
                  <c:v>10</c:v>
                </c:pt>
                <c:pt idx="370">
                  <c:v>0</c:v>
                </c:pt>
                <c:pt idx="371">
                  <c:v>0</c:v>
                </c:pt>
                <c:pt idx="372">
                  <c:v>0</c:v>
                </c:pt>
                <c:pt idx="373">
                  <c:v>0</c:v>
                </c:pt>
                <c:pt idx="374">
                  <c:v>0</c:v>
                </c:pt>
                <c:pt idx="375">
                  <c:v>0</c:v>
                </c:pt>
                <c:pt idx="376">
                  <c:v>10</c:v>
                </c:pt>
                <c:pt idx="377">
                  <c:v>10</c:v>
                </c:pt>
                <c:pt idx="378">
                  <c:v>11</c:v>
                </c:pt>
                <c:pt idx="379">
                  <c:v>9</c:v>
                </c:pt>
                <c:pt idx="380">
                  <c:v>10</c:v>
                </c:pt>
                <c:pt idx="381">
                  <c:v>10</c:v>
                </c:pt>
                <c:pt idx="382">
                  <c:v>10</c:v>
                </c:pt>
                <c:pt idx="383">
                  <c:v>0</c:v>
                </c:pt>
                <c:pt idx="384">
                  <c:v>0</c:v>
                </c:pt>
                <c:pt idx="385">
                  <c:v>10</c:v>
                </c:pt>
                <c:pt idx="386">
                  <c:v>10</c:v>
                </c:pt>
                <c:pt idx="387">
                  <c:v>19</c:v>
                </c:pt>
                <c:pt idx="388">
                  <c:v>9</c:v>
                </c:pt>
                <c:pt idx="389">
                  <c:v>9</c:v>
                </c:pt>
                <c:pt idx="390">
                  <c:v>9</c:v>
                </c:pt>
                <c:pt idx="391">
                  <c:v>9</c:v>
                </c:pt>
                <c:pt idx="392">
                  <c:v>9</c:v>
                </c:pt>
                <c:pt idx="393">
                  <c:v>9</c:v>
                </c:pt>
                <c:pt idx="394">
                  <c:v>9</c:v>
                </c:pt>
                <c:pt idx="395">
                  <c:v>9</c:v>
                </c:pt>
                <c:pt idx="396">
                  <c:v>9</c:v>
                </c:pt>
                <c:pt idx="397">
                  <c:v>9</c:v>
                </c:pt>
                <c:pt idx="398">
                  <c:v>9</c:v>
                </c:pt>
                <c:pt idx="399">
                  <c:v>9</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1</c:v>
                </c:pt>
                <c:pt idx="415">
                  <c:v>7</c:v>
                </c:pt>
                <c:pt idx="416">
                  <c:v>7</c:v>
                </c:pt>
                <c:pt idx="417">
                  <c:v>7</c:v>
                </c:pt>
                <c:pt idx="418">
                  <c:v>7</c:v>
                </c:pt>
                <c:pt idx="419">
                  <c:v>7</c:v>
                </c:pt>
                <c:pt idx="420">
                  <c:v>7</c:v>
                </c:pt>
                <c:pt idx="421">
                  <c:v>7</c:v>
                </c:pt>
                <c:pt idx="422">
                  <c:v>7</c:v>
                </c:pt>
                <c:pt idx="423">
                  <c:v>7</c:v>
                </c:pt>
                <c:pt idx="424">
                  <c:v>7</c:v>
                </c:pt>
                <c:pt idx="425">
                  <c:v>7</c:v>
                </c:pt>
                <c:pt idx="426">
                  <c:v>7</c:v>
                </c:pt>
                <c:pt idx="427">
                  <c:v>7</c:v>
                </c:pt>
                <c:pt idx="428">
                  <c:v>0</c:v>
                </c:pt>
                <c:pt idx="429">
                  <c:v>0</c:v>
                </c:pt>
                <c:pt idx="430">
                  <c:v>0</c:v>
                </c:pt>
                <c:pt idx="431">
                  <c:v>0</c:v>
                </c:pt>
                <c:pt idx="432">
                  <c:v>0</c:v>
                </c:pt>
                <c:pt idx="433">
                  <c:v>0</c:v>
                </c:pt>
                <c:pt idx="434">
                  <c:v>0</c:v>
                </c:pt>
              </c:numCache>
            </c:numRef>
          </c:val>
        </c:ser>
        <c:ser>
          <c:idx val="3"/>
          <c:order val="3"/>
          <c:tx>
            <c:strRef>
              <c:f>'FTT(1-425)'!$AK$1</c:f>
              <c:strCache>
                <c:ptCount val="1"/>
                <c:pt idx="0">
                  <c:v>Cf</c:v>
                </c:pt>
              </c:strCache>
            </c:strRef>
          </c:tx>
          <c:spPr>
            <a:solidFill>
              <a:srgbClr val="FFFF00"/>
            </a:solidFill>
            <a:ln>
              <a:noFill/>
            </a:ln>
          </c:spPr>
          <c:cat>
            <c:strRef>
              <c:f>'FTT(1-425)'!$AG$2:$AG$434</c:f>
              <c:strCache>
                <c:ptCount val="43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11b</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43a</c:v>
                </c:pt>
                <c:pt idx="44">
                  <c:v>44</c:v>
                </c:pt>
                <c:pt idx="45">
                  <c:v>43b</c:v>
                </c:pt>
                <c:pt idx="46">
                  <c:v>45</c:v>
                </c:pt>
                <c:pt idx="47">
                  <c:v>46</c:v>
                </c:pt>
                <c:pt idx="48">
                  <c:v>47</c:v>
                </c:pt>
                <c:pt idx="49">
                  <c:v>48</c:v>
                </c:pt>
                <c:pt idx="50">
                  <c:v>49</c:v>
                </c:pt>
                <c:pt idx="51">
                  <c:v>50</c:v>
                </c:pt>
                <c:pt idx="52">
                  <c:v>51</c:v>
                </c:pt>
                <c:pt idx="53">
                  <c:v>52</c:v>
                </c:pt>
                <c:pt idx="54">
                  <c:v>53</c:v>
                </c:pt>
                <c:pt idx="55">
                  <c:v>54</c:v>
                </c:pt>
                <c:pt idx="56">
                  <c:v>55a</c:v>
                </c:pt>
                <c:pt idx="57">
                  <c:v>55b</c:v>
                </c:pt>
                <c:pt idx="58">
                  <c:v>56</c:v>
                </c:pt>
                <c:pt idx="59">
                  <c:v>57</c:v>
                </c:pt>
                <c:pt idx="60">
                  <c:v>58</c:v>
                </c:pt>
                <c:pt idx="61">
                  <c:v>59</c:v>
                </c:pt>
                <c:pt idx="62">
                  <c:v>60</c:v>
                </c:pt>
                <c:pt idx="63">
                  <c:v>61</c:v>
                </c:pt>
                <c:pt idx="64">
                  <c:v>62</c:v>
                </c:pt>
                <c:pt idx="65">
                  <c:v>63</c:v>
                </c:pt>
                <c:pt idx="66">
                  <c:v>64</c:v>
                </c:pt>
                <c:pt idx="67">
                  <c:v>65</c:v>
                </c:pt>
                <c:pt idx="68">
                  <c:v>66</c:v>
                </c:pt>
                <c:pt idx="69">
                  <c:v>67</c:v>
                </c:pt>
                <c:pt idx="70">
                  <c:v>68</c:v>
                </c:pt>
                <c:pt idx="71">
                  <c:v>69</c:v>
                </c:pt>
                <c:pt idx="72">
                  <c:v>70</c:v>
                </c:pt>
                <c:pt idx="73">
                  <c:v>71</c:v>
                </c:pt>
                <c:pt idx="74">
                  <c:v>72</c:v>
                </c:pt>
                <c:pt idx="75">
                  <c:v>73</c:v>
                </c:pt>
                <c:pt idx="76">
                  <c:v>74</c:v>
                </c:pt>
                <c:pt idx="77">
                  <c:v>75</c:v>
                </c:pt>
                <c:pt idx="78">
                  <c:v>76</c:v>
                </c:pt>
                <c:pt idx="79">
                  <c:v>77</c:v>
                </c:pt>
                <c:pt idx="80">
                  <c:v>78</c:v>
                </c:pt>
                <c:pt idx="81">
                  <c:v>79</c:v>
                </c:pt>
                <c:pt idx="82">
                  <c:v>80</c:v>
                </c:pt>
                <c:pt idx="83">
                  <c:v>81</c:v>
                </c:pt>
                <c:pt idx="84">
                  <c:v>82</c:v>
                </c:pt>
                <c:pt idx="85">
                  <c:v>83</c:v>
                </c:pt>
                <c:pt idx="86">
                  <c:v>84</c:v>
                </c:pt>
                <c:pt idx="87">
                  <c:v>85</c:v>
                </c:pt>
                <c:pt idx="88">
                  <c:v>86</c:v>
                </c:pt>
                <c:pt idx="89">
                  <c:v>87</c:v>
                </c:pt>
                <c:pt idx="90">
                  <c:v>88</c:v>
                </c:pt>
                <c:pt idx="91">
                  <c:v>89</c:v>
                </c:pt>
                <c:pt idx="92">
                  <c:v>90</c:v>
                </c:pt>
                <c:pt idx="93">
                  <c:v>91</c:v>
                </c:pt>
                <c:pt idx="94">
                  <c:v>92</c:v>
                </c:pt>
                <c:pt idx="95">
                  <c:v>93</c:v>
                </c:pt>
                <c:pt idx="96">
                  <c:v>94</c:v>
                </c:pt>
                <c:pt idx="97">
                  <c:v>95</c:v>
                </c:pt>
                <c:pt idx="98">
                  <c:v>96</c:v>
                </c:pt>
                <c:pt idx="99">
                  <c:v>97</c:v>
                </c:pt>
                <c:pt idx="100">
                  <c:v>98</c:v>
                </c:pt>
                <c:pt idx="101">
                  <c:v>99</c:v>
                </c:pt>
                <c:pt idx="102">
                  <c:v>100</c:v>
                </c:pt>
                <c:pt idx="103">
                  <c:v>101</c:v>
                </c:pt>
                <c:pt idx="104">
                  <c:v>102</c:v>
                </c:pt>
                <c:pt idx="105">
                  <c:v>103</c:v>
                </c:pt>
                <c:pt idx="106">
                  <c:v>104</c:v>
                </c:pt>
                <c:pt idx="107">
                  <c:v>105</c:v>
                </c:pt>
                <c:pt idx="108">
                  <c:v>106</c:v>
                </c:pt>
                <c:pt idx="109">
                  <c:v>107</c:v>
                </c:pt>
                <c:pt idx="110">
                  <c:v>108</c:v>
                </c:pt>
                <c:pt idx="111">
                  <c:v>109</c:v>
                </c:pt>
                <c:pt idx="112">
                  <c:v>110</c:v>
                </c:pt>
                <c:pt idx="113">
                  <c:v>111</c:v>
                </c:pt>
                <c:pt idx="114">
                  <c:v>112</c:v>
                </c:pt>
                <c:pt idx="115">
                  <c:v>113</c:v>
                </c:pt>
                <c:pt idx="116">
                  <c:v>114</c:v>
                </c:pt>
                <c:pt idx="117">
                  <c:v>115</c:v>
                </c:pt>
                <c:pt idx="118">
                  <c:v>116</c:v>
                </c:pt>
                <c:pt idx="119">
                  <c:v>117</c:v>
                </c:pt>
                <c:pt idx="120">
                  <c:v>118a</c:v>
                </c:pt>
                <c:pt idx="121">
                  <c:v>119</c:v>
                </c:pt>
                <c:pt idx="122">
                  <c:v>118b</c:v>
                </c:pt>
                <c:pt idx="123">
                  <c:v>120</c:v>
                </c:pt>
                <c:pt idx="124">
                  <c:v>121</c:v>
                </c:pt>
                <c:pt idx="125">
                  <c:v>122</c:v>
                </c:pt>
                <c:pt idx="126">
                  <c:v>123</c:v>
                </c:pt>
                <c:pt idx="127">
                  <c:v>124</c:v>
                </c:pt>
                <c:pt idx="128">
                  <c:v>125</c:v>
                </c:pt>
                <c:pt idx="129">
                  <c:v>126</c:v>
                </c:pt>
                <c:pt idx="130">
                  <c:v>127</c:v>
                </c:pt>
                <c:pt idx="131">
                  <c:v>128</c:v>
                </c:pt>
                <c:pt idx="132">
                  <c:v>129</c:v>
                </c:pt>
                <c:pt idx="133">
                  <c:v>130</c:v>
                </c:pt>
                <c:pt idx="134">
                  <c:v>131</c:v>
                </c:pt>
                <c:pt idx="135">
                  <c:v>132</c:v>
                </c:pt>
                <c:pt idx="136">
                  <c:v>133</c:v>
                </c:pt>
                <c:pt idx="137">
                  <c:v>134</c:v>
                </c:pt>
                <c:pt idx="138">
                  <c:v>135</c:v>
                </c:pt>
                <c:pt idx="139">
                  <c:v>136</c:v>
                </c:pt>
                <c:pt idx="140">
                  <c:v>137</c:v>
                </c:pt>
                <c:pt idx="141">
                  <c:v>138</c:v>
                </c:pt>
                <c:pt idx="142">
                  <c:v>139</c:v>
                </c:pt>
                <c:pt idx="143">
                  <c:v>140</c:v>
                </c:pt>
                <c:pt idx="144">
                  <c:v>141</c:v>
                </c:pt>
                <c:pt idx="145">
                  <c:v>142</c:v>
                </c:pt>
                <c:pt idx="146">
                  <c:v>143</c:v>
                </c:pt>
                <c:pt idx="147">
                  <c:v>144</c:v>
                </c:pt>
                <c:pt idx="148">
                  <c:v>145</c:v>
                </c:pt>
                <c:pt idx="149">
                  <c:v>146</c:v>
                </c:pt>
                <c:pt idx="150">
                  <c:v>147</c:v>
                </c:pt>
                <c:pt idx="151">
                  <c:v>148</c:v>
                </c:pt>
                <c:pt idx="152">
                  <c:v>149</c:v>
                </c:pt>
                <c:pt idx="153">
                  <c:v>150</c:v>
                </c:pt>
                <c:pt idx="154">
                  <c:v>151</c:v>
                </c:pt>
                <c:pt idx="155">
                  <c:v>152</c:v>
                </c:pt>
                <c:pt idx="156">
                  <c:v>153</c:v>
                </c:pt>
                <c:pt idx="157">
                  <c:v>154</c:v>
                </c:pt>
                <c:pt idx="158">
                  <c:v>155</c:v>
                </c:pt>
                <c:pt idx="159">
                  <c:v>156</c:v>
                </c:pt>
                <c:pt idx="160">
                  <c:v>157</c:v>
                </c:pt>
                <c:pt idx="161">
                  <c:v>158</c:v>
                </c:pt>
                <c:pt idx="162">
                  <c:v>159</c:v>
                </c:pt>
                <c:pt idx="163">
                  <c:v>160</c:v>
                </c:pt>
                <c:pt idx="164">
                  <c:v>161</c:v>
                </c:pt>
                <c:pt idx="165">
                  <c:v>162</c:v>
                </c:pt>
                <c:pt idx="166">
                  <c:v>163</c:v>
                </c:pt>
                <c:pt idx="167">
                  <c:v>164</c:v>
                </c:pt>
                <c:pt idx="168">
                  <c:v>165</c:v>
                </c:pt>
                <c:pt idx="169">
                  <c:v>166</c:v>
                </c:pt>
                <c:pt idx="170">
                  <c:v>167</c:v>
                </c:pt>
                <c:pt idx="171">
                  <c:v>168</c:v>
                </c:pt>
                <c:pt idx="172">
                  <c:v>169</c:v>
                </c:pt>
                <c:pt idx="173">
                  <c:v>170</c:v>
                </c:pt>
                <c:pt idx="174">
                  <c:v>171</c:v>
                </c:pt>
                <c:pt idx="175">
                  <c:v>172</c:v>
                </c:pt>
                <c:pt idx="176">
                  <c:v>173</c:v>
                </c:pt>
                <c:pt idx="177">
                  <c:v>174</c:v>
                </c:pt>
                <c:pt idx="178">
                  <c:v>175</c:v>
                </c:pt>
                <c:pt idx="179">
                  <c:v>176</c:v>
                </c:pt>
                <c:pt idx="180">
                  <c:v>177</c:v>
                </c:pt>
                <c:pt idx="181">
                  <c:v>178</c:v>
                </c:pt>
                <c:pt idx="182">
                  <c:v>179</c:v>
                </c:pt>
                <c:pt idx="183">
                  <c:v>180</c:v>
                </c:pt>
                <c:pt idx="184">
                  <c:v>181</c:v>
                </c:pt>
                <c:pt idx="185">
                  <c:v>182</c:v>
                </c:pt>
                <c:pt idx="186">
                  <c:v>183</c:v>
                </c:pt>
                <c:pt idx="187">
                  <c:v>184</c:v>
                </c:pt>
                <c:pt idx="188">
                  <c:v>185</c:v>
                </c:pt>
                <c:pt idx="189">
                  <c:v>186a</c:v>
                </c:pt>
                <c:pt idx="190">
                  <c:v>186b</c:v>
                </c:pt>
                <c:pt idx="191">
                  <c:v>187</c:v>
                </c:pt>
                <c:pt idx="192">
                  <c:v>188</c:v>
                </c:pt>
                <c:pt idx="193">
                  <c:v>189</c:v>
                </c:pt>
                <c:pt idx="194">
                  <c:v>190</c:v>
                </c:pt>
                <c:pt idx="195">
                  <c:v>191</c:v>
                </c:pt>
                <c:pt idx="196">
                  <c:v>192</c:v>
                </c:pt>
                <c:pt idx="197">
                  <c:v>193</c:v>
                </c:pt>
                <c:pt idx="198">
                  <c:v>194</c:v>
                </c:pt>
                <c:pt idx="199">
                  <c:v>195</c:v>
                </c:pt>
                <c:pt idx="200">
                  <c:v>196</c:v>
                </c:pt>
                <c:pt idx="201">
                  <c:v>197</c:v>
                </c:pt>
                <c:pt idx="202">
                  <c:v>198</c:v>
                </c:pt>
                <c:pt idx="203">
                  <c:v>199</c:v>
                </c:pt>
                <c:pt idx="204">
                  <c:v>200</c:v>
                </c:pt>
                <c:pt idx="205">
                  <c:v>201</c:v>
                </c:pt>
                <c:pt idx="206">
                  <c:v>202</c:v>
                </c:pt>
                <c:pt idx="207">
                  <c:v>203</c:v>
                </c:pt>
                <c:pt idx="208">
                  <c:v>204</c:v>
                </c:pt>
                <c:pt idx="209">
                  <c:v>205</c:v>
                </c:pt>
                <c:pt idx="210">
                  <c:v>206</c:v>
                </c:pt>
                <c:pt idx="211">
                  <c:v>207</c:v>
                </c:pt>
                <c:pt idx="212">
                  <c:v>208</c:v>
                </c:pt>
                <c:pt idx="213">
                  <c:v>209</c:v>
                </c:pt>
                <c:pt idx="214">
                  <c:v>210</c:v>
                </c:pt>
                <c:pt idx="215">
                  <c:v>211</c:v>
                </c:pt>
                <c:pt idx="216">
                  <c:v>212</c:v>
                </c:pt>
                <c:pt idx="217">
                  <c:v>213</c:v>
                </c:pt>
                <c:pt idx="218">
                  <c:v>214</c:v>
                </c:pt>
                <c:pt idx="219">
                  <c:v>215</c:v>
                </c:pt>
                <c:pt idx="220">
                  <c:v>216</c:v>
                </c:pt>
                <c:pt idx="221">
                  <c:v>217</c:v>
                </c:pt>
                <c:pt idx="222">
                  <c:v>218</c:v>
                </c:pt>
                <c:pt idx="223">
                  <c:v>219</c:v>
                </c:pt>
                <c:pt idx="224">
                  <c:v>220</c:v>
                </c:pt>
                <c:pt idx="225">
                  <c:v>221</c:v>
                </c:pt>
                <c:pt idx="226">
                  <c:v>222</c:v>
                </c:pt>
                <c:pt idx="227">
                  <c:v>223</c:v>
                </c:pt>
                <c:pt idx="228">
                  <c:v>224</c:v>
                </c:pt>
                <c:pt idx="229">
                  <c:v>225</c:v>
                </c:pt>
                <c:pt idx="230">
                  <c:v>226</c:v>
                </c:pt>
                <c:pt idx="231">
                  <c:v>227</c:v>
                </c:pt>
                <c:pt idx="232">
                  <c:v>228</c:v>
                </c:pt>
                <c:pt idx="233">
                  <c:v>229</c:v>
                </c:pt>
                <c:pt idx="234">
                  <c:v>230</c:v>
                </c:pt>
                <c:pt idx="235">
                  <c:v>231</c:v>
                </c:pt>
                <c:pt idx="236">
                  <c:v>232</c:v>
                </c:pt>
                <c:pt idx="237">
                  <c:v>233</c:v>
                </c:pt>
                <c:pt idx="238">
                  <c:v>234</c:v>
                </c:pt>
                <c:pt idx="239">
                  <c:v>235</c:v>
                </c:pt>
                <c:pt idx="240">
                  <c:v>236</c:v>
                </c:pt>
                <c:pt idx="241">
                  <c:v>237</c:v>
                </c:pt>
                <c:pt idx="242">
                  <c:v>238</c:v>
                </c:pt>
                <c:pt idx="243">
                  <c:v>239</c:v>
                </c:pt>
                <c:pt idx="244">
                  <c:v>240</c:v>
                </c:pt>
                <c:pt idx="245">
                  <c:v>241</c:v>
                </c:pt>
                <c:pt idx="246">
                  <c:v>242</c:v>
                </c:pt>
                <c:pt idx="247">
                  <c:v>243</c:v>
                </c:pt>
                <c:pt idx="248">
                  <c:v>244</c:v>
                </c:pt>
                <c:pt idx="249">
                  <c:v>245</c:v>
                </c:pt>
                <c:pt idx="250">
                  <c:v>246</c:v>
                </c:pt>
                <c:pt idx="251">
                  <c:v>247</c:v>
                </c:pt>
                <c:pt idx="252">
                  <c:v>248</c:v>
                </c:pt>
                <c:pt idx="253">
                  <c:v>249</c:v>
                </c:pt>
                <c:pt idx="254">
                  <c:v>250</c:v>
                </c:pt>
                <c:pt idx="255">
                  <c:v>251</c:v>
                </c:pt>
                <c:pt idx="256">
                  <c:v>252a</c:v>
                </c:pt>
                <c:pt idx="257">
                  <c:v>252b</c:v>
                </c:pt>
                <c:pt idx="258">
                  <c:v>253a</c:v>
                </c:pt>
                <c:pt idx="259">
                  <c:v>253b</c:v>
                </c:pt>
                <c:pt idx="260">
                  <c:v>254</c:v>
                </c:pt>
                <c:pt idx="261">
                  <c:v>255</c:v>
                </c:pt>
                <c:pt idx="262">
                  <c:v>256</c:v>
                </c:pt>
                <c:pt idx="263">
                  <c:v>257</c:v>
                </c:pt>
                <c:pt idx="264">
                  <c:v>258</c:v>
                </c:pt>
                <c:pt idx="265">
                  <c:v>259</c:v>
                </c:pt>
                <c:pt idx="266">
                  <c:v>260</c:v>
                </c:pt>
                <c:pt idx="267">
                  <c:v>261</c:v>
                </c:pt>
                <c:pt idx="268">
                  <c:v>262</c:v>
                </c:pt>
                <c:pt idx="269">
                  <c:v>263</c:v>
                </c:pt>
                <c:pt idx="270">
                  <c:v>264</c:v>
                </c:pt>
                <c:pt idx="271">
                  <c:v>265</c:v>
                </c:pt>
                <c:pt idx="272">
                  <c:v>266</c:v>
                </c:pt>
                <c:pt idx="273">
                  <c:v>267</c:v>
                </c:pt>
                <c:pt idx="274">
                  <c:v>268</c:v>
                </c:pt>
                <c:pt idx="275">
                  <c:v>269</c:v>
                </c:pt>
                <c:pt idx="276">
                  <c:v>270</c:v>
                </c:pt>
                <c:pt idx="277">
                  <c:v>271</c:v>
                </c:pt>
                <c:pt idx="278">
                  <c:v>272</c:v>
                </c:pt>
                <c:pt idx="279">
                  <c:v>273</c:v>
                </c:pt>
                <c:pt idx="280">
                  <c:v>274</c:v>
                </c:pt>
                <c:pt idx="281">
                  <c:v>275</c:v>
                </c:pt>
                <c:pt idx="282">
                  <c:v>276</c:v>
                </c:pt>
                <c:pt idx="283">
                  <c:v>277</c:v>
                </c:pt>
                <c:pt idx="284">
                  <c:v>278</c:v>
                </c:pt>
                <c:pt idx="285">
                  <c:v>279</c:v>
                </c:pt>
                <c:pt idx="286">
                  <c:v>280</c:v>
                </c:pt>
                <c:pt idx="287">
                  <c:v>281</c:v>
                </c:pt>
                <c:pt idx="288">
                  <c:v>282</c:v>
                </c:pt>
                <c:pt idx="289">
                  <c:v>283</c:v>
                </c:pt>
                <c:pt idx="290">
                  <c:v>284</c:v>
                </c:pt>
                <c:pt idx="291">
                  <c:v>285</c:v>
                </c:pt>
                <c:pt idx="292">
                  <c:v>286</c:v>
                </c:pt>
                <c:pt idx="293">
                  <c:v>287</c:v>
                </c:pt>
                <c:pt idx="294">
                  <c:v>288</c:v>
                </c:pt>
                <c:pt idx="295">
                  <c:v>289</c:v>
                </c:pt>
                <c:pt idx="296">
                  <c:v>290</c:v>
                </c:pt>
                <c:pt idx="297">
                  <c:v>291</c:v>
                </c:pt>
                <c:pt idx="298">
                  <c:v>292</c:v>
                </c:pt>
                <c:pt idx="299">
                  <c:v>293</c:v>
                </c:pt>
                <c:pt idx="300">
                  <c:v>294</c:v>
                </c:pt>
                <c:pt idx="301">
                  <c:v>295</c:v>
                </c:pt>
                <c:pt idx="302">
                  <c:v>296</c:v>
                </c:pt>
                <c:pt idx="303">
                  <c:v>297</c:v>
                </c:pt>
                <c:pt idx="304">
                  <c:v>298</c:v>
                </c:pt>
                <c:pt idx="305">
                  <c:v>299</c:v>
                </c:pt>
                <c:pt idx="306">
                  <c:v>300</c:v>
                </c:pt>
                <c:pt idx="307">
                  <c:v>301</c:v>
                </c:pt>
                <c:pt idx="308">
                  <c:v>302</c:v>
                </c:pt>
                <c:pt idx="309">
                  <c:v>303</c:v>
                </c:pt>
                <c:pt idx="310">
                  <c:v>304</c:v>
                </c:pt>
                <c:pt idx="311">
                  <c:v>305</c:v>
                </c:pt>
                <c:pt idx="312">
                  <c:v>306</c:v>
                </c:pt>
                <c:pt idx="313">
                  <c:v>307</c:v>
                </c:pt>
                <c:pt idx="314">
                  <c:v>308</c:v>
                </c:pt>
                <c:pt idx="315">
                  <c:v>309</c:v>
                </c:pt>
                <c:pt idx="316">
                  <c:v>310</c:v>
                </c:pt>
                <c:pt idx="317">
                  <c:v>311</c:v>
                </c:pt>
                <c:pt idx="318">
                  <c:v>312</c:v>
                </c:pt>
                <c:pt idx="319">
                  <c:v>313</c:v>
                </c:pt>
                <c:pt idx="320">
                  <c:v>314</c:v>
                </c:pt>
                <c:pt idx="321">
                  <c:v>315</c:v>
                </c:pt>
                <c:pt idx="322">
                  <c:v>316</c:v>
                </c:pt>
                <c:pt idx="323">
                  <c:v>317</c:v>
                </c:pt>
                <c:pt idx="324">
                  <c:v>318</c:v>
                </c:pt>
                <c:pt idx="325">
                  <c:v>319</c:v>
                </c:pt>
                <c:pt idx="326">
                  <c:v>320</c:v>
                </c:pt>
                <c:pt idx="327">
                  <c:v>321</c:v>
                </c:pt>
                <c:pt idx="328">
                  <c:v>322</c:v>
                </c:pt>
                <c:pt idx="329">
                  <c:v>323</c:v>
                </c:pt>
                <c:pt idx="330">
                  <c:v>324</c:v>
                </c:pt>
                <c:pt idx="331">
                  <c:v>325</c:v>
                </c:pt>
                <c:pt idx="332">
                  <c:v>326</c:v>
                </c:pt>
                <c:pt idx="333">
                  <c:v>327</c:v>
                </c:pt>
                <c:pt idx="334">
                  <c:v>328</c:v>
                </c:pt>
                <c:pt idx="335">
                  <c:v>329</c:v>
                </c:pt>
                <c:pt idx="336">
                  <c:v>330</c:v>
                </c:pt>
                <c:pt idx="337">
                  <c:v>331</c:v>
                </c:pt>
                <c:pt idx="338">
                  <c:v>332</c:v>
                </c:pt>
                <c:pt idx="339">
                  <c:v>333</c:v>
                </c:pt>
                <c:pt idx="340">
                  <c:v>334</c:v>
                </c:pt>
                <c:pt idx="341">
                  <c:v>335</c:v>
                </c:pt>
                <c:pt idx="342">
                  <c:v>336</c:v>
                </c:pt>
                <c:pt idx="343">
                  <c:v>337</c:v>
                </c:pt>
                <c:pt idx="344">
                  <c:v>338</c:v>
                </c:pt>
                <c:pt idx="345">
                  <c:v>339</c:v>
                </c:pt>
                <c:pt idx="346">
                  <c:v>340</c:v>
                </c:pt>
                <c:pt idx="347">
                  <c:v>341</c:v>
                </c:pt>
                <c:pt idx="348">
                  <c:v>342</c:v>
                </c:pt>
                <c:pt idx="349">
                  <c:v>343</c:v>
                </c:pt>
                <c:pt idx="350">
                  <c:v>344</c:v>
                </c:pt>
                <c:pt idx="351">
                  <c:v>345</c:v>
                </c:pt>
                <c:pt idx="352">
                  <c:v>346</c:v>
                </c:pt>
                <c:pt idx="353">
                  <c:v>347</c:v>
                </c:pt>
                <c:pt idx="354">
                  <c:v>348</c:v>
                </c:pt>
                <c:pt idx="355">
                  <c:v>349</c:v>
                </c:pt>
                <c:pt idx="356">
                  <c:v>350</c:v>
                </c:pt>
                <c:pt idx="357">
                  <c:v>351</c:v>
                </c:pt>
                <c:pt idx="358">
                  <c:v>352</c:v>
                </c:pt>
                <c:pt idx="359">
                  <c:v>353</c:v>
                </c:pt>
                <c:pt idx="360">
                  <c:v>354</c:v>
                </c:pt>
                <c:pt idx="361">
                  <c:v>355</c:v>
                </c:pt>
                <c:pt idx="362">
                  <c:v>356</c:v>
                </c:pt>
                <c:pt idx="363">
                  <c:v>357</c:v>
                </c:pt>
                <c:pt idx="364">
                  <c:v>358</c:v>
                </c:pt>
                <c:pt idx="365">
                  <c:v>359</c:v>
                </c:pt>
                <c:pt idx="366">
                  <c:v>360</c:v>
                </c:pt>
                <c:pt idx="367">
                  <c:v>361</c:v>
                </c:pt>
                <c:pt idx="368">
                  <c:v>362</c:v>
                </c:pt>
                <c:pt idx="369">
                  <c:v>363</c:v>
                </c:pt>
                <c:pt idx="370">
                  <c:v>364</c:v>
                </c:pt>
                <c:pt idx="371">
                  <c:v>365</c:v>
                </c:pt>
                <c:pt idx="372">
                  <c:v>366</c:v>
                </c:pt>
                <c:pt idx="373">
                  <c:v>367</c:v>
                </c:pt>
                <c:pt idx="374">
                  <c:v>368</c:v>
                </c:pt>
                <c:pt idx="375">
                  <c:v>369</c:v>
                </c:pt>
                <c:pt idx="376">
                  <c:v>370</c:v>
                </c:pt>
                <c:pt idx="377">
                  <c:v>371</c:v>
                </c:pt>
                <c:pt idx="378">
                  <c:v>372</c:v>
                </c:pt>
                <c:pt idx="379">
                  <c:v>373</c:v>
                </c:pt>
                <c:pt idx="380">
                  <c:v>374</c:v>
                </c:pt>
                <c:pt idx="381">
                  <c:v>375</c:v>
                </c:pt>
                <c:pt idx="382">
                  <c:v>376</c:v>
                </c:pt>
                <c:pt idx="383">
                  <c:v>377</c:v>
                </c:pt>
                <c:pt idx="384">
                  <c:v>378</c:v>
                </c:pt>
                <c:pt idx="385">
                  <c:v>379</c:v>
                </c:pt>
                <c:pt idx="386">
                  <c:v>380</c:v>
                </c:pt>
                <c:pt idx="387">
                  <c:v>381</c:v>
                </c:pt>
                <c:pt idx="388">
                  <c:v>382</c:v>
                </c:pt>
                <c:pt idx="389">
                  <c:v>383</c:v>
                </c:pt>
                <c:pt idx="390">
                  <c:v>384</c:v>
                </c:pt>
                <c:pt idx="391">
                  <c:v>385</c:v>
                </c:pt>
                <c:pt idx="392">
                  <c:v>386</c:v>
                </c:pt>
                <c:pt idx="393">
                  <c:v>387</c:v>
                </c:pt>
                <c:pt idx="394">
                  <c:v>388</c:v>
                </c:pt>
                <c:pt idx="395">
                  <c:v>389</c:v>
                </c:pt>
                <c:pt idx="396">
                  <c:v>390</c:v>
                </c:pt>
                <c:pt idx="397">
                  <c:v>391</c:v>
                </c:pt>
                <c:pt idx="398">
                  <c:v>392</c:v>
                </c:pt>
                <c:pt idx="399">
                  <c:v>393</c:v>
                </c:pt>
                <c:pt idx="400">
                  <c:v>394</c:v>
                </c:pt>
                <c:pt idx="401">
                  <c:v>395</c:v>
                </c:pt>
                <c:pt idx="402">
                  <c:v>396</c:v>
                </c:pt>
                <c:pt idx="403">
                  <c:v>397</c:v>
                </c:pt>
                <c:pt idx="404">
                  <c:v>398</c:v>
                </c:pt>
                <c:pt idx="405">
                  <c:v>399</c:v>
                </c:pt>
                <c:pt idx="406">
                  <c:v>400</c:v>
                </c:pt>
                <c:pt idx="407">
                  <c:v>401</c:v>
                </c:pt>
                <c:pt idx="408">
                  <c:v>402</c:v>
                </c:pt>
                <c:pt idx="409">
                  <c:v>403</c:v>
                </c:pt>
                <c:pt idx="410">
                  <c:v>404</c:v>
                </c:pt>
                <c:pt idx="411">
                  <c:v>405</c:v>
                </c:pt>
                <c:pt idx="412">
                  <c:v>406a</c:v>
                </c:pt>
                <c:pt idx="413">
                  <c:v>406b</c:v>
                </c:pt>
                <c:pt idx="414">
                  <c:v>407</c:v>
                </c:pt>
                <c:pt idx="415">
                  <c:v>408</c:v>
                </c:pt>
                <c:pt idx="416">
                  <c:v>409</c:v>
                </c:pt>
                <c:pt idx="417">
                  <c:v>410a</c:v>
                </c:pt>
                <c:pt idx="418">
                  <c:v>410b</c:v>
                </c:pt>
                <c:pt idx="419">
                  <c:v>410c</c:v>
                </c:pt>
                <c:pt idx="420">
                  <c:v>411</c:v>
                </c:pt>
                <c:pt idx="421">
                  <c:v>412</c:v>
                </c:pt>
                <c:pt idx="422">
                  <c:v>413</c:v>
                </c:pt>
                <c:pt idx="423">
                  <c:v>414</c:v>
                </c:pt>
                <c:pt idx="424">
                  <c:v>415</c:v>
                </c:pt>
                <c:pt idx="425">
                  <c:v>416</c:v>
                </c:pt>
                <c:pt idx="426">
                  <c:v>417</c:v>
                </c:pt>
                <c:pt idx="427">
                  <c:v>418</c:v>
                </c:pt>
                <c:pt idx="428">
                  <c:v>419</c:v>
                </c:pt>
                <c:pt idx="429">
                  <c:v>420</c:v>
                </c:pt>
                <c:pt idx="430">
                  <c:v>421</c:v>
                </c:pt>
                <c:pt idx="431">
                  <c:v>422</c:v>
                </c:pt>
                <c:pt idx="432">
                  <c:v>423</c:v>
                </c:pt>
              </c:strCache>
            </c:strRef>
          </c:cat>
          <c:val>
            <c:numRef>
              <c:f>'FTT(1-425)'!$AK$2:$AK$436</c:f>
              <c:numCache>
                <c:formatCode>General</c:formatCode>
                <c:ptCount val="435"/>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1</c:v>
                </c:pt>
                <c:pt idx="15">
                  <c:v>2</c:v>
                </c:pt>
                <c:pt idx="16">
                  <c:v>3</c:v>
                </c:pt>
                <c:pt idx="17">
                  <c:v>3</c:v>
                </c:pt>
                <c:pt idx="18">
                  <c:v>2</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numCache>
            </c:numRef>
          </c:val>
        </c:ser>
        <c:ser>
          <c:idx val="5"/>
          <c:order val="4"/>
          <c:tx>
            <c:v>Al</c:v>
          </c:tx>
          <c:spPr>
            <a:solidFill>
              <a:srgbClr val="00CC00"/>
            </a:solidFill>
          </c:spPr>
          <c:val>
            <c:numRef>
              <c:f>'FTT(1-425)'!$AL$2:$AL$436</c:f>
              <c:numCache>
                <c:formatCode>General</c:formatCode>
                <c:ptCount val="435"/>
                <c:pt idx="0">
                  <c:v>30</c:v>
                </c:pt>
                <c:pt idx="1">
                  <c:v>30</c:v>
                </c:pt>
                <c:pt idx="2">
                  <c:v>30</c:v>
                </c:pt>
                <c:pt idx="3">
                  <c:v>0</c:v>
                </c:pt>
                <c:pt idx="4">
                  <c:v>0</c:v>
                </c:pt>
                <c:pt idx="5">
                  <c:v>0</c:v>
                </c:pt>
                <c:pt idx="6">
                  <c:v>0</c:v>
                </c:pt>
                <c:pt idx="7">
                  <c:v>0</c:v>
                </c:pt>
                <c:pt idx="8">
                  <c:v>0</c:v>
                </c:pt>
                <c:pt idx="9">
                  <c:v>0</c:v>
                </c:pt>
                <c:pt idx="10">
                  <c:v>15</c:v>
                </c:pt>
                <c:pt idx="11">
                  <c:v>15</c:v>
                </c:pt>
                <c:pt idx="12">
                  <c:v>5</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2</c:v>
                </c:pt>
                <c:pt idx="40">
                  <c:v>2</c:v>
                </c:pt>
                <c:pt idx="41">
                  <c:v>2</c:v>
                </c:pt>
                <c:pt idx="42">
                  <c:v>3</c:v>
                </c:pt>
                <c:pt idx="43">
                  <c:v>2</c:v>
                </c:pt>
                <c:pt idx="44">
                  <c:v>2</c:v>
                </c:pt>
                <c:pt idx="45">
                  <c:v>1</c:v>
                </c:pt>
                <c:pt idx="46">
                  <c:v>1</c:v>
                </c:pt>
                <c:pt idx="47">
                  <c:v>1</c:v>
                </c:pt>
                <c:pt idx="48">
                  <c:v>2</c:v>
                </c:pt>
                <c:pt idx="49">
                  <c:v>3</c:v>
                </c:pt>
                <c:pt idx="50">
                  <c:v>2</c:v>
                </c:pt>
                <c:pt idx="51">
                  <c:v>1</c:v>
                </c:pt>
                <c:pt idx="52">
                  <c:v>1</c:v>
                </c:pt>
                <c:pt idx="53">
                  <c:v>2</c:v>
                </c:pt>
                <c:pt idx="54">
                  <c:v>2</c:v>
                </c:pt>
                <c:pt idx="55">
                  <c:v>1</c:v>
                </c:pt>
                <c:pt idx="56">
                  <c:v>2</c:v>
                </c:pt>
                <c:pt idx="57">
                  <c:v>0</c:v>
                </c:pt>
                <c:pt idx="58">
                  <c:v>0</c:v>
                </c:pt>
                <c:pt idx="59">
                  <c:v>0</c:v>
                </c:pt>
                <c:pt idx="60">
                  <c:v>0</c:v>
                </c:pt>
                <c:pt idx="61">
                  <c:v>0</c:v>
                </c:pt>
                <c:pt idx="62">
                  <c:v>0</c:v>
                </c:pt>
                <c:pt idx="63">
                  <c:v>0</c:v>
                </c:pt>
                <c:pt idx="64">
                  <c:v>0</c:v>
                </c:pt>
                <c:pt idx="65">
                  <c:v>1</c:v>
                </c:pt>
                <c:pt idx="66">
                  <c:v>2</c:v>
                </c:pt>
                <c:pt idx="67">
                  <c:v>3</c:v>
                </c:pt>
                <c:pt idx="68">
                  <c:v>3</c:v>
                </c:pt>
                <c:pt idx="69">
                  <c:v>3</c:v>
                </c:pt>
                <c:pt idx="70">
                  <c:v>2</c:v>
                </c:pt>
                <c:pt idx="71">
                  <c:v>0</c:v>
                </c:pt>
                <c:pt idx="72">
                  <c:v>0</c:v>
                </c:pt>
                <c:pt idx="73">
                  <c:v>0</c:v>
                </c:pt>
                <c:pt idx="74">
                  <c:v>7</c:v>
                </c:pt>
                <c:pt idx="75">
                  <c:v>4</c:v>
                </c:pt>
                <c:pt idx="76">
                  <c:v>2</c:v>
                </c:pt>
                <c:pt idx="77">
                  <c:v>0</c:v>
                </c:pt>
                <c:pt idx="78">
                  <c:v>0</c:v>
                </c:pt>
                <c:pt idx="79">
                  <c:v>8</c:v>
                </c:pt>
                <c:pt idx="80">
                  <c:v>4</c:v>
                </c:pt>
                <c:pt idx="81">
                  <c:v>3</c:v>
                </c:pt>
                <c:pt idx="82">
                  <c:v>0</c:v>
                </c:pt>
                <c:pt idx="83">
                  <c:v>0</c:v>
                </c:pt>
                <c:pt idx="84">
                  <c:v>0</c:v>
                </c:pt>
                <c:pt idx="85">
                  <c:v>0</c:v>
                </c:pt>
                <c:pt idx="86">
                  <c:v>0</c:v>
                </c:pt>
                <c:pt idx="87">
                  <c:v>0</c:v>
                </c:pt>
                <c:pt idx="88">
                  <c:v>0</c:v>
                </c:pt>
                <c:pt idx="89">
                  <c:v>1</c:v>
                </c:pt>
                <c:pt idx="90">
                  <c:v>12</c:v>
                </c:pt>
                <c:pt idx="91">
                  <c:v>6</c:v>
                </c:pt>
                <c:pt idx="92">
                  <c:v>1</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15</c:v>
                </c:pt>
                <c:pt idx="181">
                  <c:v>8</c:v>
                </c:pt>
                <c:pt idx="182">
                  <c:v>8</c:v>
                </c:pt>
                <c:pt idx="183">
                  <c:v>8</c:v>
                </c:pt>
                <c:pt idx="184">
                  <c:v>0</c:v>
                </c:pt>
                <c:pt idx="185">
                  <c:v>0</c:v>
                </c:pt>
                <c:pt idx="186">
                  <c:v>0</c:v>
                </c:pt>
                <c:pt idx="187">
                  <c:v>0</c:v>
                </c:pt>
                <c:pt idx="188">
                  <c:v>0</c:v>
                </c:pt>
                <c:pt idx="189">
                  <c:v>0</c:v>
                </c:pt>
                <c:pt idx="190">
                  <c:v>0</c:v>
                </c:pt>
                <c:pt idx="191">
                  <c:v>1</c:v>
                </c:pt>
                <c:pt idx="192">
                  <c:v>1</c:v>
                </c:pt>
                <c:pt idx="193">
                  <c:v>1</c:v>
                </c:pt>
                <c:pt idx="194">
                  <c:v>2</c:v>
                </c:pt>
                <c:pt idx="195">
                  <c:v>2</c:v>
                </c:pt>
                <c:pt idx="196">
                  <c:v>2</c:v>
                </c:pt>
                <c:pt idx="197">
                  <c:v>2</c:v>
                </c:pt>
                <c:pt idx="198">
                  <c:v>8</c:v>
                </c:pt>
                <c:pt idx="199">
                  <c:v>2</c:v>
                </c:pt>
                <c:pt idx="200">
                  <c:v>3</c:v>
                </c:pt>
                <c:pt idx="201">
                  <c:v>1</c:v>
                </c:pt>
                <c:pt idx="202">
                  <c:v>1</c:v>
                </c:pt>
                <c:pt idx="203">
                  <c:v>1</c:v>
                </c:pt>
                <c:pt idx="204">
                  <c:v>1</c:v>
                </c:pt>
                <c:pt idx="205">
                  <c:v>2</c:v>
                </c:pt>
                <c:pt idx="206">
                  <c:v>1</c:v>
                </c:pt>
                <c:pt idx="207">
                  <c:v>1</c:v>
                </c:pt>
                <c:pt idx="208">
                  <c:v>2</c:v>
                </c:pt>
                <c:pt idx="209">
                  <c:v>1</c:v>
                </c:pt>
                <c:pt idx="210">
                  <c:v>1</c:v>
                </c:pt>
                <c:pt idx="211">
                  <c:v>2</c:v>
                </c:pt>
                <c:pt idx="212">
                  <c:v>2</c:v>
                </c:pt>
                <c:pt idx="213">
                  <c:v>2</c:v>
                </c:pt>
                <c:pt idx="214">
                  <c:v>1</c:v>
                </c:pt>
                <c:pt idx="215">
                  <c:v>1</c:v>
                </c:pt>
                <c:pt idx="216">
                  <c:v>1</c:v>
                </c:pt>
                <c:pt idx="217">
                  <c:v>1</c:v>
                </c:pt>
                <c:pt idx="218">
                  <c:v>1</c:v>
                </c:pt>
                <c:pt idx="219">
                  <c:v>1</c:v>
                </c:pt>
                <c:pt idx="220">
                  <c:v>1</c:v>
                </c:pt>
                <c:pt idx="221">
                  <c:v>2</c:v>
                </c:pt>
                <c:pt idx="222">
                  <c:v>4</c:v>
                </c:pt>
                <c:pt idx="223">
                  <c:v>7</c:v>
                </c:pt>
                <c:pt idx="224">
                  <c:v>7</c:v>
                </c:pt>
                <c:pt idx="225">
                  <c:v>7</c:v>
                </c:pt>
                <c:pt idx="226">
                  <c:v>7</c:v>
                </c:pt>
                <c:pt idx="227">
                  <c:v>7</c:v>
                </c:pt>
                <c:pt idx="228">
                  <c:v>7</c:v>
                </c:pt>
                <c:pt idx="229">
                  <c:v>7</c:v>
                </c:pt>
                <c:pt idx="230">
                  <c:v>7</c:v>
                </c:pt>
                <c:pt idx="231">
                  <c:v>1</c:v>
                </c:pt>
                <c:pt idx="232">
                  <c:v>2</c:v>
                </c:pt>
                <c:pt idx="233">
                  <c:v>2</c:v>
                </c:pt>
                <c:pt idx="234">
                  <c:v>2</c:v>
                </c:pt>
                <c:pt idx="235">
                  <c:v>2</c:v>
                </c:pt>
                <c:pt idx="236">
                  <c:v>2</c:v>
                </c:pt>
                <c:pt idx="237">
                  <c:v>3</c:v>
                </c:pt>
                <c:pt idx="238">
                  <c:v>3</c:v>
                </c:pt>
                <c:pt idx="239">
                  <c:v>4</c:v>
                </c:pt>
                <c:pt idx="240">
                  <c:v>4</c:v>
                </c:pt>
                <c:pt idx="241">
                  <c:v>4</c:v>
                </c:pt>
                <c:pt idx="242">
                  <c:v>3</c:v>
                </c:pt>
                <c:pt idx="243">
                  <c:v>1</c:v>
                </c:pt>
                <c:pt idx="244">
                  <c:v>5</c:v>
                </c:pt>
                <c:pt idx="245">
                  <c:v>3</c:v>
                </c:pt>
                <c:pt idx="246">
                  <c:v>0</c:v>
                </c:pt>
                <c:pt idx="247">
                  <c:v>4</c:v>
                </c:pt>
                <c:pt idx="248">
                  <c:v>4</c:v>
                </c:pt>
                <c:pt idx="249">
                  <c:v>1</c:v>
                </c:pt>
                <c:pt idx="250">
                  <c:v>1</c:v>
                </c:pt>
                <c:pt idx="251">
                  <c:v>3</c:v>
                </c:pt>
                <c:pt idx="252">
                  <c:v>3</c:v>
                </c:pt>
                <c:pt idx="253">
                  <c:v>7</c:v>
                </c:pt>
                <c:pt idx="254">
                  <c:v>5</c:v>
                </c:pt>
                <c:pt idx="255">
                  <c:v>7</c:v>
                </c:pt>
                <c:pt idx="256">
                  <c:v>7</c:v>
                </c:pt>
                <c:pt idx="257">
                  <c:v>7</c:v>
                </c:pt>
                <c:pt idx="258">
                  <c:v>8</c:v>
                </c:pt>
                <c:pt idx="259">
                  <c:v>8</c:v>
                </c:pt>
                <c:pt idx="260">
                  <c:v>8</c:v>
                </c:pt>
                <c:pt idx="261">
                  <c:v>9</c:v>
                </c:pt>
                <c:pt idx="262">
                  <c:v>6</c:v>
                </c:pt>
                <c:pt idx="263">
                  <c:v>9</c:v>
                </c:pt>
                <c:pt idx="264">
                  <c:v>9</c:v>
                </c:pt>
                <c:pt idx="265">
                  <c:v>9</c:v>
                </c:pt>
                <c:pt idx="266">
                  <c:v>9</c:v>
                </c:pt>
                <c:pt idx="267">
                  <c:v>10</c:v>
                </c:pt>
                <c:pt idx="268">
                  <c:v>11</c:v>
                </c:pt>
                <c:pt idx="269">
                  <c:v>11</c:v>
                </c:pt>
                <c:pt idx="270">
                  <c:v>11</c:v>
                </c:pt>
                <c:pt idx="271">
                  <c:v>11</c:v>
                </c:pt>
                <c:pt idx="272">
                  <c:v>11</c:v>
                </c:pt>
                <c:pt idx="273">
                  <c:v>12</c:v>
                </c:pt>
                <c:pt idx="274">
                  <c:v>7</c:v>
                </c:pt>
                <c:pt idx="275">
                  <c:v>6</c:v>
                </c:pt>
                <c:pt idx="276">
                  <c:v>12</c:v>
                </c:pt>
                <c:pt idx="277">
                  <c:v>12</c:v>
                </c:pt>
                <c:pt idx="278">
                  <c:v>12</c:v>
                </c:pt>
                <c:pt idx="279">
                  <c:v>8</c:v>
                </c:pt>
                <c:pt idx="280">
                  <c:v>9</c:v>
                </c:pt>
                <c:pt idx="281">
                  <c:v>8</c:v>
                </c:pt>
                <c:pt idx="282">
                  <c:v>8</c:v>
                </c:pt>
                <c:pt idx="283">
                  <c:v>7</c:v>
                </c:pt>
                <c:pt idx="284">
                  <c:v>6</c:v>
                </c:pt>
                <c:pt idx="285">
                  <c:v>7</c:v>
                </c:pt>
                <c:pt idx="286">
                  <c:v>7</c:v>
                </c:pt>
                <c:pt idx="287">
                  <c:v>7</c:v>
                </c:pt>
                <c:pt idx="288">
                  <c:v>8</c:v>
                </c:pt>
                <c:pt idx="289">
                  <c:v>8</c:v>
                </c:pt>
                <c:pt idx="290">
                  <c:v>8</c:v>
                </c:pt>
                <c:pt idx="291">
                  <c:v>10</c:v>
                </c:pt>
                <c:pt idx="292">
                  <c:v>10</c:v>
                </c:pt>
                <c:pt idx="293">
                  <c:v>9</c:v>
                </c:pt>
                <c:pt idx="294">
                  <c:v>15</c:v>
                </c:pt>
                <c:pt idx="295">
                  <c:v>6</c:v>
                </c:pt>
                <c:pt idx="296">
                  <c:v>8</c:v>
                </c:pt>
                <c:pt idx="297">
                  <c:v>7</c:v>
                </c:pt>
                <c:pt idx="298">
                  <c:v>8</c:v>
                </c:pt>
                <c:pt idx="299">
                  <c:v>16</c:v>
                </c:pt>
                <c:pt idx="300">
                  <c:v>7</c:v>
                </c:pt>
                <c:pt idx="301">
                  <c:v>5</c:v>
                </c:pt>
                <c:pt idx="302">
                  <c:v>5</c:v>
                </c:pt>
                <c:pt idx="303">
                  <c:v>16</c:v>
                </c:pt>
                <c:pt idx="304">
                  <c:v>17</c:v>
                </c:pt>
                <c:pt idx="305">
                  <c:v>17</c:v>
                </c:pt>
                <c:pt idx="306">
                  <c:v>16</c:v>
                </c:pt>
                <c:pt idx="307">
                  <c:v>19</c:v>
                </c:pt>
                <c:pt idx="308">
                  <c:v>21</c:v>
                </c:pt>
                <c:pt idx="309">
                  <c:v>21</c:v>
                </c:pt>
                <c:pt idx="310">
                  <c:v>20</c:v>
                </c:pt>
                <c:pt idx="311">
                  <c:v>23</c:v>
                </c:pt>
                <c:pt idx="312">
                  <c:v>23</c:v>
                </c:pt>
                <c:pt idx="313">
                  <c:v>23</c:v>
                </c:pt>
                <c:pt idx="314">
                  <c:v>23</c:v>
                </c:pt>
                <c:pt idx="315">
                  <c:v>24</c:v>
                </c:pt>
                <c:pt idx="316">
                  <c:v>24</c:v>
                </c:pt>
                <c:pt idx="317">
                  <c:v>24</c:v>
                </c:pt>
                <c:pt idx="318">
                  <c:v>25</c:v>
                </c:pt>
                <c:pt idx="319">
                  <c:v>26</c:v>
                </c:pt>
                <c:pt idx="320">
                  <c:v>26</c:v>
                </c:pt>
                <c:pt idx="321">
                  <c:v>26</c:v>
                </c:pt>
                <c:pt idx="322">
                  <c:v>26</c:v>
                </c:pt>
                <c:pt idx="323">
                  <c:v>26</c:v>
                </c:pt>
                <c:pt idx="324">
                  <c:v>26</c:v>
                </c:pt>
                <c:pt idx="325">
                  <c:v>26</c:v>
                </c:pt>
                <c:pt idx="326">
                  <c:v>17</c:v>
                </c:pt>
                <c:pt idx="327">
                  <c:v>12</c:v>
                </c:pt>
                <c:pt idx="328">
                  <c:v>8</c:v>
                </c:pt>
                <c:pt idx="329">
                  <c:v>8</c:v>
                </c:pt>
                <c:pt idx="330">
                  <c:v>9</c:v>
                </c:pt>
                <c:pt idx="331">
                  <c:v>12</c:v>
                </c:pt>
                <c:pt idx="332">
                  <c:v>12</c:v>
                </c:pt>
                <c:pt idx="333">
                  <c:v>16</c:v>
                </c:pt>
                <c:pt idx="334">
                  <c:v>16</c:v>
                </c:pt>
                <c:pt idx="335">
                  <c:v>28</c:v>
                </c:pt>
                <c:pt idx="336">
                  <c:v>25</c:v>
                </c:pt>
                <c:pt idx="337">
                  <c:v>28</c:v>
                </c:pt>
                <c:pt idx="338">
                  <c:v>26</c:v>
                </c:pt>
                <c:pt idx="339">
                  <c:v>15</c:v>
                </c:pt>
                <c:pt idx="340">
                  <c:v>15</c:v>
                </c:pt>
                <c:pt idx="341">
                  <c:v>14</c:v>
                </c:pt>
                <c:pt idx="342">
                  <c:v>14</c:v>
                </c:pt>
                <c:pt idx="343">
                  <c:v>14</c:v>
                </c:pt>
                <c:pt idx="344">
                  <c:v>14</c:v>
                </c:pt>
                <c:pt idx="345">
                  <c:v>15</c:v>
                </c:pt>
                <c:pt idx="346">
                  <c:v>11</c:v>
                </c:pt>
                <c:pt idx="347">
                  <c:v>11</c:v>
                </c:pt>
                <c:pt idx="348">
                  <c:v>13</c:v>
                </c:pt>
                <c:pt idx="349">
                  <c:v>15</c:v>
                </c:pt>
                <c:pt idx="350">
                  <c:v>29</c:v>
                </c:pt>
                <c:pt idx="351">
                  <c:v>29</c:v>
                </c:pt>
                <c:pt idx="352">
                  <c:v>29</c:v>
                </c:pt>
                <c:pt idx="353">
                  <c:v>29</c:v>
                </c:pt>
                <c:pt idx="354">
                  <c:v>29</c:v>
                </c:pt>
                <c:pt idx="355">
                  <c:v>29</c:v>
                </c:pt>
                <c:pt idx="356">
                  <c:v>0</c:v>
                </c:pt>
                <c:pt idx="357">
                  <c:v>29</c:v>
                </c:pt>
                <c:pt idx="358">
                  <c:v>19</c:v>
                </c:pt>
                <c:pt idx="359">
                  <c:v>19</c:v>
                </c:pt>
                <c:pt idx="360">
                  <c:v>19</c:v>
                </c:pt>
                <c:pt idx="361">
                  <c:v>19</c:v>
                </c:pt>
                <c:pt idx="362">
                  <c:v>19</c:v>
                </c:pt>
                <c:pt idx="363">
                  <c:v>19</c:v>
                </c:pt>
                <c:pt idx="364">
                  <c:v>19</c:v>
                </c:pt>
                <c:pt idx="365">
                  <c:v>19</c:v>
                </c:pt>
                <c:pt idx="366">
                  <c:v>29</c:v>
                </c:pt>
                <c:pt idx="367">
                  <c:v>29</c:v>
                </c:pt>
                <c:pt idx="368">
                  <c:v>19</c:v>
                </c:pt>
                <c:pt idx="369">
                  <c:v>19</c:v>
                </c:pt>
                <c:pt idx="370">
                  <c:v>29</c:v>
                </c:pt>
                <c:pt idx="371">
                  <c:v>29</c:v>
                </c:pt>
                <c:pt idx="372">
                  <c:v>29</c:v>
                </c:pt>
                <c:pt idx="373">
                  <c:v>29</c:v>
                </c:pt>
                <c:pt idx="374">
                  <c:v>29</c:v>
                </c:pt>
                <c:pt idx="375">
                  <c:v>29</c:v>
                </c:pt>
                <c:pt idx="376">
                  <c:v>19</c:v>
                </c:pt>
                <c:pt idx="377">
                  <c:v>19</c:v>
                </c:pt>
                <c:pt idx="378">
                  <c:v>19</c:v>
                </c:pt>
                <c:pt idx="379">
                  <c:v>21</c:v>
                </c:pt>
                <c:pt idx="380">
                  <c:v>20</c:v>
                </c:pt>
                <c:pt idx="381">
                  <c:v>20</c:v>
                </c:pt>
                <c:pt idx="382">
                  <c:v>19</c:v>
                </c:pt>
                <c:pt idx="383">
                  <c:v>29</c:v>
                </c:pt>
                <c:pt idx="384">
                  <c:v>29</c:v>
                </c:pt>
                <c:pt idx="385">
                  <c:v>19</c:v>
                </c:pt>
                <c:pt idx="386">
                  <c:v>19</c:v>
                </c:pt>
                <c:pt idx="387">
                  <c:v>10</c:v>
                </c:pt>
                <c:pt idx="388">
                  <c:v>19</c:v>
                </c:pt>
                <c:pt idx="389">
                  <c:v>20</c:v>
                </c:pt>
                <c:pt idx="390">
                  <c:v>19</c:v>
                </c:pt>
                <c:pt idx="391">
                  <c:v>19</c:v>
                </c:pt>
                <c:pt idx="392">
                  <c:v>19</c:v>
                </c:pt>
                <c:pt idx="393">
                  <c:v>19</c:v>
                </c:pt>
                <c:pt idx="394">
                  <c:v>19</c:v>
                </c:pt>
                <c:pt idx="395">
                  <c:v>19</c:v>
                </c:pt>
                <c:pt idx="396">
                  <c:v>19</c:v>
                </c:pt>
                <c:pt idx="397">
                  <c:v>19</c:v>
                </c:pt>
                <c:pt idx="398">
                  <c:v>19</c:v>
                </c:pt>
                <c:pt idx="399">
                  <c:v>19</c:v>
                </c:pt>
                <c:pt idx="400">
                  <c:v>24</c:v>
                </c:pt>
                <c:pt idx="401">
                  <c:v>24</c:v>
                </c:pt>
                <c:pt idx="402">
                  <c:v>24</c:v>
                </c:pt>
                <c:pt idx="403">
                  <c:v>24</c:v>
                </c:pt>
                <c:pt idx="404">
                  <c:v>23</c:v>
                </c:pt>
                <c:pt idx="405">
                  <c:v>24</c:v>
                </c:pt>
                <c:pt idx="406">
                  <c:v>21</c:v>
                </c:pt>
                <c:pt idx="407">
                  <c:v>21</c:v>
                </c:pt>
                <c:pt idx="408">
                  <c:v>17</c:v>
                </c:pt>
                <c:pt idx="409">
                  <c:v>10</c:v>
                </c:pt>
                <c:pt idx="410">
                  <c:v>10</c:v>
                </c:pt>
                <c:pt idx="411">
                  <c:v>9</c:v>
                </c:pt>
                <c:pt idx="412">
                  <c:v>11</c:v>
                </c:pt>
                <c:pt idx="413">
                  <c:v>11</c:v>
                </c:pt>
                <c:pt idx="414">
                  <c:v>13</c:v>
                </c:pt>
                <c:pt idx="415">
                  <c:v>18</c:v>
                </c:pt>
                <c:pt idx="416">
                  <c:v>6</c:v>
                </c:pt>
                <c:pt idx="417">
                  <c:v>6</c:v>
                </c:pt>
                <c:pt idx="418">
                  <c:v>9</c:v>
                </c:pt>
                <c:pt idx="419">
                  <c:v>9</c:v>
                </c:pt>
                <c:pt idx="420">
                  <c:v>6</c:v>
                </c:pt>
                <c:pt idx="421">
                  <c:v>7</c:v>
                </c:pt>
                <c:pt idx="422">
                  <c:v>8</c:v>
                </c:pt>
                <c:pt idx="423">
                  <c:v>8</c:v>
                </c:pt>
                <c:pt idx="424">
                  <c:v>8</c:v>
                </c:pt>
                <c:pt idx="425">
                  <c:v>7</c:v>
                </c:pt>
                <c:pt idx="426">
                  <c:v>7</c:v>
                </c:pt>
                <c:pt idx="427">
                  <c:v>7</c:v>
                </c:pt>
                <c:pt idx="428">
                  <c:v>14</c:v>
                </c:pt>
                <c:pt idx="429">
                  <c:v>16</c:v>
                </c:pt>
                <c:pt idx="430">
                  <c:v>16</c:v>
                </c:pt>
                <c:pt idx="431">
                  <c:v>16</c:v>
                </c:pt>
                <c:pt idx="432">
                  <c:v>18</c:v>
                </c:pt>
                <c:pt idx="433">
                  <c:v>18</c:v>
                </c:pt>
                <c:pt idx="434">
                  <c:v>19</c:v>
                </c:pt>
              </c:numCache>
            </c:numRef>
          </c:val>
        </c:ser>
        <c:ser>
          <c:idx val="4"/>
          <c:order val="5"/>
          <c:tx>
            <c:strRef>
              <c:f>'FTT(1-425)'!$AM$1</c:f>
              <c:strCache>
                <c:ptCount val="1"/>
                <c:pt idx="0">
                  <c:v>Other</c:v>
                </c:pt>
              </c:strCache>
            </c:strRef>
          </c:tx>
          <c:spPr>
            <a:solidFill>
              <a:schemeClr val="tx1"/>
            </a:solidFill>
            <a:ln>
              <a:noFill/>
            </a:ln>
          </c:spPr>
          <c:cat>
            <c:strRef>
              <c:f>'FTT(1-425)'!$AG$2:$AG$434</c:f>
              <c:strCache>
                <c:ptCount val="43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11b</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43a</c:v>
                </c:pt>
                <c:pt idx="44">
                  <c:v>44</c:v>
                </c:pt>
                <c:pt idx="45">
                  <c:v>43b</c:v>
                </c:pt>
                <c:pt idx="46">
                  <c:v>45</c:v>
                </c:pt>
                <c:pt idx="47">
                  <c:v>46</c:v>
                </c:pt>
                <c:pt idx="48">
                  <c:v>47</c:v>
                </c:pt>
                <c:pt idx="49">
                  <c:v>48</c:v>
                </c:pt>
                <c:pt idx="50">
                  <c:v>49</c:v>
                </c:pt>
                <c:pt idx="51">
                  <c:v>50</c:v>
                </c:pt>
                <c:pt idx="52">
                  <c:v>51</c:v>
                </c:pt>
                <c:pt idx="53">
                  <c:v>52</c:v>
                </c:pt>
                <c:pt idx="54">
                  <c:v>53</c:v>
                </c:pt>
                <c:pt idx="55">
                  <c:v>54</c:v>
                </c:pt>
                <c:pt idx="56">
                  <c:v>55a</c:v>
                </c:pt>
                <c:pt idx="57">
                  <c:v>55b</c:v>
                </c:pt>
                <c:pt idx="58">
                  <c:v>56</c:v>
                </c:pt>
                <c:pt idx="59">
                  <c:v>57</c:v>
                </c:pt>
                <c:pt idx="60">
                  <c:v>58</c:v>
                </c:pt>
                <c:pt idx="61">
                  <c:v>59</c:v>
                </c:pt>
                <c:pt idx="62">
                  <c:v>60</c:v>
                </c:pt>
                <c:pt idx="63">
                  <c:v>61</c:v>
                </c:pt>
                <c:pt idx="64">
                  <c:v>62</c:v>
                </c:pt>
                <c:pt idx="65">
                  <c:v>63</c:v>
                </c:pt>
                <c:pt idx="66">
                  <c:v>64</c:v>
                </c:pt>
                <c:pt idx="67">
                  <c:v>65</c:v>
                </c:pt>
                <c:pt idx="68">
                  <c:v>66</c:v>
                </c:pt>
                <c:pt idx="69">
                  <c:v>67</c:v>
                </c:pt>
                <c:pt idx="70">
                  <c:v>68</c:v>
                </c:pt>
                <c:pt idx="71">
                  <c:v>69</c:v>
                </c:pt>
                <c:pt idx="72">
                  <c:v>70</c:v>
                </c:pt>
                <c:pt idx="73">
                  <c:v>71</c:v>
                </c:pt>
                <c:pt idx="74">
                  <c:v>72</c:v>
                </c:pt>
                <c:pt idx="75">
                  <c:v>73</c:v>
                </c:pt>
                <c:pt idx="76">
                  <c:v>74</c:v>
                </c:pt>
                <c:pt idx="77">
                  <c:v>75</c:v>
                </c:pt>
                <c:pt idx="78">
                  <c:v>76</c:v>
                </c:pt>
                <c:pt idx="79">
                  <c:v>77</c:v>
                </c:pt>
                <c:pt idx="80">
                  <c:v>78</c:v>
                </c:pt>
                <c:pt idx="81">
                  <c:v>79</c:v>
                </c:pt>
                <c:pt idx="82">
                  <c:v>80</c:v>
                </c:pt>
                <c:pt idx="83">
                  <c:v>81</c:v>
                </c:pt>
                <c:pt idx="84">
                  <c:v>82</c:v>
                </c:pt>
                <c:pt idx="85">
                  <c:v>83</c:v>
                </c:pt>
                <c:pt idx="86">
                  <c:v>84</c:v>
                </c:pt>
                <c:pt idx="87">
                  <c:v>85</c:v>
                </c:pt>
                <c:pt idx="88">
                  <c:v>86</c:v>
                </c:pt>
                <c:pt idx="89">
                  <c:v>87</c:v>
                </c:pt>
                <c:pt idx="90">
                  <c:v>88</c:v>
                </c:pt>
                <c:pt idx="91">
                  <c:v>89</c:v>
                </c:pt>
                <c:pt idx="92">
                  <c:v>90</c:v>
                </c:pt>
                <c:pt idx="93">
                  <c:v>91</c:v>
                </c:pt>
                <c:pt idx="94">
                  <c:v>92</c:v>
                </c:pt>
                <c:pt idx="95">
                  <c:v>93</c:v>
                </c:pt>
                <c:pt idx="96">
                  <c:v>94</c:v>
                </c:pt>
                <c:pt idx="97">
                  <c:v>95</c:v>
                </c:pt>
                <c:pt idx="98">
                  <c:v>96</c:v>
                </c:pt>
                <c:pt idx="99">
                  <c:v>97</c:v>
                </c:pt>
                <c:pt idx="100">
                  <c:v>98</c:v>
                </c:pt>
                <c:pt idx="101">
                  <c:v>99</c:v>
                </c:pt>
                <c:pt idx="102">
                  <c:v>100</c:v>
                </c:pt>
                <c:pt idx="103">
                  <c:v>101</c:v>
                </c:pt>
                <c:pt idx="104">
                  <c:v>102</c:v>
                </c:pt>
                <c:pt idx="105">
                  <c:v>103</c:v>
                </c:pt>
                <c:pt idx="106">
                  <c:v>104</c:v>
                </c:pt>
                <c:pt idx="107">
                  <c:v>105</c:v>
                </c:pt>
                <c:pt idx="108">
                  <c:v>106</c:v>
                </c:pt>
                <c:pt idx="109">
                  <c:v>107</c:v>
                </c:pt>
                <c:pt idx="110">
                  <c:v>108</c:v>
                </c:pt>
                <c:pt idx="111">
                  <c:v>109</c:v>
                </c:pt>
                <c:pt idx="112">
                  <c:v>110</c:v>
                </c:pt>
                <c:pt idx="113">
                  <c:v>111</c:v>
                </c:pt>
                <c:pt idx="114">
                  <c:v>112</c:v>
                </c:pt>
                <c:pt idx="115">
                  <c:v>113</c:v>
                </c:pt>
                <c:pt idx="116">
                  <c:v>114</c:v>
                </c:pt>
                <c:pt idx="117">
                  <c:v>115</c:v>
                </c:pt>
                <c:pt idx="118">
                  <c:v>116</c:v>
                </c:pt>
                <c:pt idx="119">
                  <c:v>117</c:v>
                </c:pt>
                <c:pt idx="120">
                  <c:v>118a</c:v>
                </c:pt>
                <c:pt idx="121">
                  <c:v>119</c:v>
                </c:pt>
                <c:pt idx="122">
                  <c:v>118b</c:v>
                </c:pt>
                <c:pt idx="123">
                  <c:v>120</c:v>
                </c:pt>
                <c:pt idx="124">
                  <c:v>121</c:v>
                </c:pt>
                <c:pt idx="125">
                  <c:v>122</c:v>
                </c:pt>
                <c:pt idx="126">
                  <c:v>123</c:v>
                </c:pt>
                <c:pt idx="127">
                  <c:v>124</c:v>
                </c:pt>
                <c:pt idx="128">
                  <c:v>125</c:v>
                </c:pt>
                <c:pt idx="129">
                  <c:v>126</c:v>
                </c:pt>
                <c:pt idx="130">
                  <c:v>127</c:v>
                </c:pt>
                <c:pt idx="131">
                  <c:v>128</c:v>
                </c:pt>
                <c:pt idx="132">
                  <c:v>129</c:v>
                </c:pt>
                <c:pt idx="133">
                  <c:v>130</c:v>
                </c:pt>
                <c:pt idx="134">
                  <c:v>131</c:v>
                </c:pt>
                <c:pt idx="135">
                  <c:v>132</c:v>
                </c:pt>
                <c:pt idx="136">
                  <c:v>133</c:v>
                </c:pt>
                <c:pt idx="137">
                  <c:v>134</c:v>
                </c:pt>
                <c:pt idx="138">
                  <c:v>135</c:v>
                </c:pt>
                <c:pt idx="139">
                  <c:v>136</c:v>
                </c:pt>
                <c:pt idx="140">
                  <c:v>137</c:v>
                </c:pt>
                <c:pt idx="141">
                  <c:v>138</c:v>
                </c:pt>
                <c:pt idx="142">
                  <c:v>139</c:v>
                </c:pt>
                <c:pt idx="143">
                  <c:v>140</c:v>
                </c:pt>
                <c:pt idx="144">
                  <c:v>141</c:v>
                </c:pt>
                <c:pt idx="145">
                  <c:v>142</c:v>
                </c:pt>
                <c:pt idx="146">
                  <c:v>143</c:v>
                </c:pt>
                <c:pt idx="147">
                  <c:v>144</c:v>
                </c:pt>
                <c:pt idx="148">
                  <c:v>145</c:v>
                </c:pt>
                <c:pt idx="149">
                  <c:v>146</c:v>
                </c:pt>
                <c:pt idx="150">
                  <c:v>147</c:v>
                </c:pt>
                <c:pt idx="151">
                  <c:v>148</c:v>
                </c:pt>
                <c:pt idx="152">
                  <c:v>149</c:v>
                </c:pt>
                <c:pt idx="153">
                  <c:v>150</c:v>
                </c:pt>
                <c:pt idx="154">
                  <c:v>151</c:v>
                </c:pt>
                <c:pt idx="155">
                  <c:v>152</c:v>
                </c:pt>
                <c:pt idx="156">
                  <c:v>153</c:v>
                </c:pt>
                <c:pt idx="157">
                  <c:v>154</c:v>
                </c:pt>
                <c:pt idx="158">
                  <c:v>155</c:v>
                </c:pt>
                <c:pt idx="159">
                  <c:v>156</c:v>
                </c:pt>
                <c:pt idx="160">
                  <c:v>157</c:v>
                </c:pt>
                <c:pt idx="161">
                  <c:v>158</c:v>
                </c:pt>
                <c:pt idx="162">
                  <c:v>159</c:v>
                </c:pt>
                <c:pt idx="163">
                  <c:v>160</c:v>
                </c:pt>
                <c:pt idx="164">
                  <c:v>161</c:v>
                </c:pt>
                <c:pt idx="165">
                  <c:v>162</c:v>
                </c:pt>
                <c:pt idx="166">
                  <c:v>163</c:v>
                </c:pt>
                <c:pt idx="167">
                  <c:v>164</c:v>
                </c:pt>
                <c:pt idx="168">
                  <c:v>165</c:v>
                </c:pt>
                <c:pt idx="169">
                  <c:v>166</c:v>
                </c:pt>
                <c:pt idx="170">
                  <c:v>167</c:v>
                </c:pt>
                <c:pt idx="171">
                  <c:v>168</c:v>
                </c:pt>
                <c:pt idx="172">
                  <c:v>169</c:v>
                </c:pt>
                <c:pt idx="173">
                  <c:v>170</c:v>
                </c:pt>
                <c:pt idx="174">
                  <c:v>171</c:v>
                </c:pt>
                <c:pt idx="175">
                  <c:v>172</c:v>
                </c:pt>
                <c:pt idx="176">
                  <c:v>173</c:v>
                </c:pt>
                <c:pt idx="177">
                  <c:v>174</c:v>
                </c:pt>
                <c:pt idx="178">
                  <c:v>175</c:v>
                </c:pt>
                <c:pt idx="179">
                  <c:v>176</c:v>
                </c:pt>
                <c:pt idx="180">
                  <c:v>177</c:v>
                </c:pt>
                <c:pt idx="181">
                  <c:v>178</c:v>
                </c:pt>
                <c:pt idx="182">
                  <c:v>179</c:v>
                </c:pt>
                <c:pt idx="183">
                  <c:v>180</c:v>
                </c:pt>
                <c:pt idx="184">
                  <c:v>181</c:v>
                </c:pt>
                <c:pt idx="185">
                  <c:v>182</c:v>
                </c:pt>
                <c:pt idx="186">
                  <c:v>183</c:v>
                </c:pt>
                <c:pt idx="187">
                  <c:v>184</c:v>
                </c:pt>
                <c:pt idx="188">
                  <c:v>185</c:v>
                </c:pt>
                <c:pt idx="189">
                  <c:v>186a</c:v>
                </c:pt>
                <c:pt idx="190">
                  <c:v>186b</c:v>
                </c:pt>
                <c:pt idx="191">
                  <c:v>187</c:v>
                </c:pt>
                <c:pt idx="192">
                  <c:v>188</c:v>
                </c:pt>
                <c:pt idx="193">
                  <c:v>189</c:v>
                </c:pt>
                <c:pt idx="194">
                  <c:v>190</c:v>
                </c:pt>
                <c:pt idx="195">
                  <c:v>191</c:v>
                </c:pt>
                <c:pt idx="196">
                  <c:v>192</c:v>
                </c:pt>
                <c:pt idx="197">
                  <c:v>193</c:v>
                </c:pt>
                <c:pt idx="198">
                  <c:v>194</c:v>
                </c:pt>
                <c:pt idx="199">
                  <c:v>195</c:v>
                </c:pt>
                <c:pt idx="200">
                  <c:v>196</c:v>
                </c:pt>
                <c:pt idx="201">
                  <c:v>197</c:v>
                </c:pt>
                <c:pt idx="202">
                  <c:v>198</c:v>
                </c:pt>
                <c:pt idx="203">
                  <c:v>199</c:v>
                </c:pt>
                <c:pt idx="204">
                  <c:v>200</c:v>
                </c:pt>
                <c:pt idx="205">
                  <c:v>201</c:v>
                </c:pt>
                <c:pt idx="206">
                  <c:v>202</c:v>
                </c:pt>
                <c:pt idx="207">
                  <c:v>203</c:v>
                </c:pt>
                <c:pt idx="208">
                  <c:v>204</c:v>
                </c:pt>
                <c:pt idx="209">
                  <c:v>205</c:v>
                </c:pt>
                <c:pt idx="210">
                  <c:v>206</c:v>
                </c:pt>
                <c:pt idx="211">
                  <c:v>207</c:v>
                </c:pt>
                <c:pt idx="212">
                  <c:v>208</c:v>
                </c:pt>
                <c:pt idx="213">
                  <c:v>209</c:v>
                </c:pt>
                <c:pt idx="214">
                  <c:v>210</c:v>
                </c:pt>
                <c:pt idx="215">
                  <c:v>211</c:v>
                </c:pt>
                <c:pt idx="216">
                  <c:v>212</c:v>
                </c:pt>
                <c:pt idx="217">
                  <c:v>213</c:v>
                </c:pt>
                <c:pt idx="218">
                  <c:v>214</c:v>
                </c:pt>
                <c:pt idx="219">
                  <c:v>215</c:v>
                </c:pt>
                <c:pt idx="220">
                  <c:v>216</c:v>
                </c:pt>
                <c:pt idx="221">
                  <c:v>217</c:v>
                </c:pt>
                <c:pt idx="222">
                  <c:v>218</c:v>
                </c:pt>
                <c:pt idx="223">
                  <c:v>219</c:v>
                </c:pt>
                <c:pt idx="224">
                  <c:v>220</c:v>
                </c:pt>
                <c:pt idx="225">
                  <c:v>221</c:v>
                </c:pt>
                <c:pt idx="226">
                  <c:v>222</c:v>
                </c:pt>
                <c:pt idx="227">
                  <c:v>223</c:v>
                </c:pt>
                <c:pt idx="228">
                  <c:v>224</c:v>
                </c:pt>
                <c:pt idx="229">
                  <c:v>225</c:v>
                </c:pt>
                <c:pt idx="230">
                  <c:v>226</c:v>
                </c:pt>
                <c:pt idx="231">
                  <c:v>227</c:v>
                </c:pt>
                <c:pt idx="232">
                  <c:v>228</c:v>
                </c:pt>
                <c:pt idx="233">
                  <c:v>229</c:v>
                </c:pt>
                <c:pt idx="234">
                  <c:v>230</c:v>
                </c:pt>
                <c:pt idx="235">
                  <c:v>231</c:v>
                </c:pt>
                <c:pt idx="236">
                  <c:v>232</c:v>
                </c:pt>
                <c:pt idx="237">
                  <c:v>233</c:v>
                </c:pt>
                <c:pt idx="238">
                  <c:v>234</c:v>
                </c:pt>
                <c:pt idx="239">
                  <c:v>235</c:v>
                </c:pt>
                <c:pt idx="240">
                  <c:v>236</c:v>
                </c:pt>
                <c:pt idx="241">
                  <c:v>237</c:v>
                </c:pt>
                <c:pt idx="242">
                  <c:v>238</c:v>
                </c:pt>
                <c:pt idx="243">
                  <c:v>239</c:v>
                </c:pt>
                <c:pt idx="244">
                  <c:v>240</c:v>
                </c:pt>
                <c:pt idx="245">
                  <c:v>241</c:v>
                </c:pt>
                <c:pt idx="246">
                  <c:v>242</c:v>
                </c:pt>
                <c:pt idx="247">
                  <c:v>243</c:v>
                </c:pt>
                <c:pt idx="248">
                  <c:v>244</c:v>
                </c:pt>
                <c:pt idx="249">
                  <c:v>245</c:v>
                </c:pt>
                <c:pt idx="250">
                  <c:v>246</c:v>
                </c:pt>
                <c:pt idx="251">
                  <c:v>247</c:v>
                </c:pt>
                <c:pt idx="252">
                  <c:v>248</c:v>
                </c:pt>
                <c:pt idx="253">
                  <c:v>249</c:v>
                </c:pt>
                <c:pt idx="254">
                  <c:v>250</c:v>
                </c:pt>
                <c:pt idx="255">
                  <c:v>251</c:v>
                </c:pt>
                <c:pt idx="256">
                  <c:v>252a</c:v>
                </c:pt>
                <c:pt idx="257">
                  <c:v>252b</c:v>
                </c:pt>
                <c:pt idx="258">
                  <c:v>253a</c:v>
                </c:pt>
                <c:pt idx="259">
                  <c:v>253b</c:v>
                </c:pt>
                <c:pt idx="260">
                  <c:v>254</c:v>
                </c:pt>
                <c:pt idx="261">
                  <c:v>255</c:v>
                </c:pt>
                <c:pt idx="262">
                  <c:v>256</c:v>
                </c:pt>
                <c:pt idx="263">
                  <c:v>257</c:v>
                </c:pt>
                <c:pt idx="264">
                  <c:v>258</c:v>
                </c:pt>
                <c:pt idx="265">
                  <c:v>259</c:v>
                </c:pt>
                <c:pt idx="266">
                  <c:v>260</c:v>
                </c:pt>
                <c:pt idx="267">
                  <c:v>261</c:v>
                </c:pt>
                <c:pt idx="268">
                  <c:v>262</c:v>
                </c:pt>
                <c:pt idx="269">
                  <c:v>263</c:v>
                </c:pt>
                <c:pt idx="270">
                  <c:v>264</c:v>
                </c:pt>
                <c:pt idx="271">
                  <c:v>265</c:v>
                </c:pt>
                <c:pt idx="272">
                  <c:v>266</c:v>
                </c:pt>
                <c:pt idx="273">
                  <c:v>267</c:v>
                </c:pt>
                <c:pt idx="274">
                  <c:v>268</c:v>
                </c:pt>
                <c:pt idx="275">
                  <c:v>269</c:v>
                </c:pt>
                <c:pt idx="276">
                  <c:v>270</c:v>
                </c:pt>
                <c:pt idx="277">
                  <c:v>271</c:v>
                </c:pt>
                <c:pt idx="278">
                  <c:v>272</c:v>
                </c:pt>
                <c:pt idx="279">
                  <c:v>273</c:v>
                </c:pt>
                <c:pt idx="280">
                  <c:v>274</c:v>
                </c:pt>
                <c:pt idx="281">
                  <c:v>275</c:v>
                </c:pt>
                <c:pt idx="282">
                  <c:v>276</c:v>
                </c:pt>
                <c:pt idx="283">
                  <c:v>277</c:v>
                </c:pt>
                <c:pt idx="284">
                  <c:v>278</c:v>
                </c:pt>
                <c:pt idx="285">
                  <c:v>279</c:v>
                </c:pt>
                <c:pt idx="286">
                  <c:v>280</c:v>
                </c:pt>
                <c:pt idx="287">
                  <c:v>281</c:v>
                </c:pt>
                <c:pt idx="288">
                  <c:v>282</c:v>
                </c:pt>
                <c:pt idx="289">
                  <c:v>283</c:v>
                </c:pt>
                <c:pt idx="290">
                  <c:v>284</c:v>
                </c:pt>
                <c:pt idx="291">
                  <c:v>285</c:v>
                </c:pt>
                <c:pt idx="292">
                  <c:v>286</c:v>
                </c:pt>
                <c:pt idx="293">
                  <c:v>287</c:v>
                </c:pt>
                <c:pt idx="294">
                  <c:v>288</c:v>
                </c:pt>
                <c:pt idx="295">
                  <c:v>289</c:v>
                </c:pt>
                <c:pt idx="296">
                  <c:v>290</c:v>
                </c:pt>
                <c:pt idx="297">
                  <c:v>291</c:v>
                </c:pt>
                <c:pt idx="298">
                  <c:v>292</c:v>
                </c:pt>
                <c:pt idx="299">
                  <c:v>293</c:v>
                </c:pt>
                <c:pt idx="300">
                  <c:v>294</c:v>
                </c:pt>
                <c:pt idx="301">
                  <c:v>295</c:v>
                </c:pt>
                <c:pt idx="302">
                  <c:v>296</c:v>
                </c:pt>
                <c:pt idx="303">
                  <c:v>297</c:v>
                </c:pt>
                <c:pt idx="304">
                  <c:v>298</c:v>
                </c:pt>
                <c:pt idx="305">
                  <c:v>299</c:v>
                </c:pt>
                <c:pt idx="306">
                  <c:v>300</c:v>
                </c:pt>
                <c:pt idx="307">
                  <c:v>301</c:v>
                </c:pt>
                <c:pt idx="308">
                  <c:v>302</c:v>
                </c:pt>
                <c:pt idx="309">
                  <c:v>303</c:v>
                </c:pt>
                <c:pt idx="310">
                  <c:v>304</c:v>
                </c:pt>
                <c:pt idx="311">
                  <c:v>305</c:v>
                </c:pt>
                <c:pt idx="312">
                  <c:v>306</c:v>
                </c:pt>
                <c:pt idx="313">
                  <c:v>307</c:v>
                </c:pt>
                <c:pt idx="314">
                  <c:v>308</c:v>
                </c:pt>
                <c:pt idx="315">
                  <c:v>309</c:v>
                </c:pt>
                <c:pt idx="316">
                  <c:v>310</c:v>
                </c:pt>
                <c:pt idx="317">
                  <c:v>311</c:v>
                </c:pt>
                <c:pt idx="318">
                  <c:v>312</c:v>
                </c:pt>
                <c:pt idx="319">
                  <c:v>313</c:v>
                </c:pt>
                <c:pt idx="320">
                  <c:v>314</c:v>
                </c:pt>
                <c:pt idx="321">
                  <c:v>315</c:v>
                </c:pt>
                <c:pt idx="322">
                  <c:v>316</c:v>
                </c:pt>
                <c:pt idx="323">
                  <c:v>317</c:v>
                </c:pt>
                <c:pt idx="324">
                  <c:v>318</c:v>
                </c:pt>
                <c:pt idx="325">
                  <c:v>319</c:v>
                </c:pt>
                <c:pt idx="326">
                  <c:v>320</c:v>
                </c:pt>
                <c:pt idx="327">
                  <c:v>321</c:v>
                </c:pt>
                <c:pt idx="328">
                  <c:v>322</c:v>
                </c:pt>
                <c:pt idx="329">
                  <c:v>323</c:v>
                </c:pt>
                <c:pt idx="330">
                  <c:v>324</c:v>
                </c:pt>
                <c:pt idx="331">
                  <c:v>325</c:v>
                </c:pt>
                <c:pt idx="332">
                  <c:v>326</c:v>
                </c:pt>
                <c:pt idx="333">
                  <c:v>327</c:v>
                </c:pt>
                <c:pt idx="334">
                  <c:v>328</c:v>
                </c:pt>
                <c:pt idx="335">
                  <c:v>329</c:v>
                </c:pt>
                <c:pt idx="336">
                  <c:v>330</c:v>
                </c:pt>
                <c:pt idx="337">
                  <c:v>331</c:v>
                </c:pt>
                <c:pt idx="338">
                  <c:v>332</c:v>
                </c:pt>
                <c:pt idx="339">
                  <c:v>333</c:v>
                </c:pt>
                <c:pt idx="340">
                  <c:v>334</c:v>
                </c:pt>
                <c:pt idx="341">
                  <c:v>335</c:v>
                </c:pt>
                <c:pt idx="342">
                  <c:v>336</c:v>
                </c:pt>
                <c:pt idx="343">
                  <c:v>337</c:v>
                </c:pt>
                <c:pt idx="344">
                  <c:v>338</c:v>
                </c:pt>
                <c:pt idx="345">
                  <c:v>339</c:v>
                </c:pt>
                <c:pt idx="346">
                  <c:v>340</c:v>
                </c:pt>
                <c:pt idx="347">
                  <c:v>341</c:v>
                </c:pt>
                <c:pt idx="348">
                  <c:v>342</c:v>
                </c:pt>
                <c:pt idx="349">
                  <c:v>343</c:v>
                </c:pt>
                <c:pt idx="350">
                  <c:v>344</c:v>
                </c:pt>
                <c:pt idx="351">
                  <c:v>345</c:v>
                </c:pt>
                <c:pt idx="352">
                  <c:v>346</c:v>
                </c:pt>
                <c:pt idx="353">
                  <c:v>347</c:v>
                </c:pt>
                <c:pt idx="354">
                  <c:v>348</c:v>
                </c:pt>
                <c:pt idx="355">
                  <c:v>349</c:v>
                </c:pt>
                <c:pt idx="356">
                  <c:v>350</c:v>
                </c:pt>
                <c:pt idx="357">
                  <c:v>351</c:v>
                </c:pt>
                <c:pt idx="358">
                  <c:v>352</c:v>
                </c:pt>
                <c:pt idx="359">
                  <c:v>353</c:v>
                </c:pt>
                <c:pt idx="360">
                  <c:v>354</c:v>
                </c:pt>
                <c:pt idx="361">
                  <c:v>355</c:v>
                </c:pt>
                <c:pt idx="362">
                  <c:v>356</c:v>
                </c:pt>
                <c:pt idx="363">
                  <c:v>357</c:v>
                </c:pt>
                <c:pt idx="364">
                  <c:v>358</c:v>
                </c:pt>
                <c:pt idx="365">
                  <c:v>359</c:v>
                </c:pt>
                <c:pt idx="366">
                  <c:v>360</c:v>
                </c:pt>
                <c:pt idx="367">
                  <c:v>361</c:v>
                </c:pt>
                <c:pt idx="368">
                  <c:v>362</c:v>
                </c:pt>
                <c:pt idx="369">
                  <c:v>363</c:v>
                </c:pt>
                <c:pt idx="370">
                  <c:v>364</c:v>
                </c:pt>
                <c:pt idx="371">
                  <c:v>365</c:v>
                </c:pt>
                <c:pt idx="372">
                  <c:v>366</c:v>
                </c:pt>
                <c:pt idx="373">
                  <c:v>367</c:v>
                </c:pt>
                <c:pt idx="374">
                  <c:v>368</c:v>
                </c:pt>
                <c:pt idx="375">
                  <c:v>369</c:v>
                </c:pt>
                <c:pt idx="376">
                  <c:v>370</c:v>
                </c:pt>
                <c:pt idx="377">
                  <c:v>371</c:v>
                </c:pt>
                <c:pt idx="378">
                  <c:v>372</c:v>
                </c:pt>
                <c:pt idx="379">
                  <c:v>373</c:v>
                </c:pt>
                <c:pt idx="380">
                  <c:v>374</c:v>
                </c:pt>
                <c:pt idx="381">
                  <c:v>375</c:v>
                </c:pt>
                <c:pt idx="382">
                  <c:v>376</c:v>
                </c:pt>
                <c:pt idx="383">
                  <c:v>377</c:v>
                </c:pt>
                <c:pt idx="384">
                  <c:v>378</c:v>
                </c:pt>
                <c:pt idx="385">
                  <c:v>379</c:v>
                </c:pt>
                <c:pt idx="386">
                  <c:v>380</c:v>
                </c:pt>
                <c:pt idx="387">
                  <c:v>381</c:v>
                </c:pt>
                <c:pt idx="388">
                  <c:v>382</c:v>
                </c:pt>
                <c:pt idx="389">
                  <c:v>383</c:v>
                </c:pt>
                <c:pt idx="390">
                  <c:v>384</c:v>
                </c:pt>
                <c:pt idx="391">
                  <c:v>385</c:v>
                </c:pt>
                <c:pt idx="392">
                  <c:v>386</c:v>
                </c:pt>
                <c:pt idx="393">
                  <c:v>387</c:v>
                </c:pt>
                <c:pt idx="394">
                  <c:v>388</c:v>
                </c:pt>
                <c:pt idx="395">
                  <c:v>389</c:v>
                </c:pt>
                <c:pt idx="396">
                  <c:v>390</c:v>
                </c:pt>
                <c:pt idx="397">
                  <c:v>391</c:v>
                </c:pt>
                <c:pt idx="398">
                  <c:v>392</c:v>
                </c:pt>
                <c:pt idx="399">
                  <c:v>393</c:v>
                </c:pt>
                <c:pt idx="400">
                  <c:v>394</c:v>
                </c:pt>
                <c:pt idx="401">
                  <c:v>395</c:v>
                </c:pt>
                <c:pt idx="402">
                  <c:v>396</c:v>
                </c:pt>
                <c:pt idx="403">
                  <c:v>397</c:v>
                </c:pt>
                <c:pt idx="404">
                  <c:v>398</c:v>
                </c:pt>
                <c:pt idx="405">
                  <c:v>399</c:v>
                </c:pt>
                <c:pt idx="406">
                  <c:v>400</c:v>
                </c:pt>
                <c:pt idx="407">
                  <c:v>401</c:v>
                </c:pt>
                <c:pt idx="408">
                  <c:v>402</c:v>
                </c:pt>
                <c:pt idx="409">
                  <c:v>403</c:v>
                </c:pt>
                <c:pt idx="410">
                  <c:v>404</c:v>
                </c:pt>
                <c:pt idx="411">
                  <c:v>405</c:v>
                </c:pt>
                <c:pt idx="412">
                  <c:v>406a</c:v>
                </c:pt>
                <c:pt idx="413">
                  <c:v>406b</c:v>
                </c:pt>
                <c:pt idx="414">
                  <c:v>407</c:v>
                </c:pt>
                <c:pt idx="415">
                  <c:v>408</c:v>
                </c:pt>
                <c:pt idx="416">
                  <c:v>409</c:v>
                </c:pt>
                <c:pt idx="417">
                  <c:v>410a</c:v>
                </c:pt>
                <c:pt idx="418">
                  <c:v>410b</c:v>
                </c:pt>
                <c:pt idx="419">
                  <c:v>410c</c:v>
                </c:pt>
                <c:pt idx="420">
                  <c:v>411</c:v>
                </c:pt>
                <c:pt idx="421">
                  <c:v>412</c:v>
                </c:pt>
                <c:pt idx="422">
                  <c:v>413</c:v>
                </c:pt>
                <c:pt idx="423">
                  <c:v>414</c:v>
                </c:pt>
                <c:pt idx="424">
                  <c:v>415</c:v>
                </c:pt>
                <c:pt idx="425">
                  <c:v>416</c:v>
                </c:pt>
                <c:pt idx="426">
                  <c:v>417</c:v>
                </c:pt>
                <c:pt idx="427">
                  <c:v>418</c:v>
                </c:pt>
                <c:pt idx="428">
                  <c:v>419</c:v>
                </c:pt>
                <c:pt idx="429">
                  <c:v>420</c:v>
                </c:pt>
                <c:pt idx="430">
                  <c:v>421</c:v>
                </c:pt>
                <c:pt idx="431">
                  <c:v>422</c:v>
                </c:pt>
                <c:pt idx="432">
                  <c:v>423</c:v>
                </c:pt>
              </c:strCache>
            </c:strRef>
          </c:cat>
          <c:val>
            <c:numRef>
              <c:f>'FTT(1-425)'!$AM$2:$AM$436</c:f>
              <c:numCache>
                <c:formatCode>General</c:formatCode>
                <c:ptCount val="435"/>
                <c:pt idx="0">
                  <c:v>0</c:v>
                </c:pt>
                <c:pt idx="1">
                  <c:v>0</c:v>
                </c:pt>
                <c:pt idx="2">
                  <c:v>0</c:v>
                </c:pt>
                <c:pt idx="3">
                  <c:v>0</c:v>
                </c:pt>
                <c:pt idx="4">
                  <c:v>17</c:v>
                </c:pt>
                <c:pt idx="5">
                  <c:v>17</c:v>
                </c:pt>
                <c:pt idx="6">
                  <c:v>17</c:v>
                </c:pt>
                <c:pt idx="7">
                  <c:v>18</c:v>
                </c:pt>
                <c:pt idx="8">
                  <c:v>17</c:v>
                </c:pt>
                <c:pt idx="9">
                  <c:v>17</c:v>
                </c:pt>
                <c:pt idx="10">
                  <c:v>1</c:v>
                </c:pt>
                <c:pt idx="11">
                  <c:v>1</c:v>
                </c:pt>
                <c:pt idx="12">
                  <c:v>10</c:v>
                </c:pt>
                <c:pt idx="13">
                  <c:v>8</c:v>
                </c:pt>
                <c:pt idx="14">
                  <c:v>2</c:v>
                </c:pt>
                <c:pt idx="15">
                  <c:v>0</c:v>
                </c:pt>
                <c:pt idx="16">
                  <c:v>1</c:v>
                </c:pt>
                <c:pt idx="17">
                  <c:v>3</c:v>
                </c:pt>
                <c:pt idx="18">
                  <c:v>3</c:v>
                </c:pt>
                <c:pt idx="19">
                  <c:v>3</c:v>
                </c:pt>
                <c:pt idx="20">
                  <c:v>2</c:v>
                </c:pt>
                <c:pt idx="21">
                  <c:v>1</c:v>
                </c:pt>
                <c:pt idx="22">
                  <c:v>0</c:v>
                </c:pt>
                <c:pt idx="23">
                  <c:v>1</c:v>
                </c:pt>
                <c:pt idx="24">
                  <c:v>2</c:v>
                </c:pt>
                <c:pt idx="25">
                  <c:v>3</c:v>
                </c:pt>
                <c:pt idx="26">
                  <c:v>3</c:v>
                </c:pt>
                <c:pt idx="27">
                  <c:v>3</c:v>
                </c:pt>
                <c:pt idx="28">
                  <c:v>1</c:v>
                </c:pt>
                <c:pt idx="29">
                  <c:v>0</c:v>
                </c:pt>
                <c:pt idx="30">
                  <c:v>1</c:v>
                </c:pt>
                <c:pt idx="31">
                  <c:v>2</c:v>
                </c:pt>
                <c:pt idx="32">
                  <c:v>2</c:v>
                </c:pt>
                <c:pt idx="33">
                  <c:v>2</c:v>
                </c:pt>
                <c:pt idx="34">
                  <c:v>2</c:v>
                </c:pt>
                <c:pt idx="35">
                  <c:v>2</c:v>
                </c:pt>
                <c:pt idx="36">
                  <c:v>1</c:v>
                </c:pt>
                <c:pt idx="37">
                  <c:v>2</c:v>
                </c:pt>
                <c:pt idx="38">
                  <c:v>3</c:v>
                </c:pt>
                <c:pt idx="39">
                  <c:v>3</c:v>
                </c:pt>
                <c:pt idx="40">
                  <c:v>3</c:v>
                </c:pt>
                <c:pt idx="41">
                  <c:v>2</c:v>
                </c:pt>
                <c:pt idx="42">
                  <c:v>1</c:v>
                </c:pt>
                <c:pt idx="43">
                  <c:v>4</c:v>
                </c:pt>
                <c:pt idx="44">
                  <c:v>4</c:v>
                </c:pt>
                <c:pt idx="45">
                  <c:v>3</c:v>
                </c:pt>
                <c:pt idx="46">
                  <c:v>3</c:v>
                </c:pt>
                <c:pt idx="47">
                  <c:v>3</c:v>
                </c:pt>
                <c:pt idx="48">
                  <c:v>3</c:v>
                </c:pt>
                <c:pt idx="49">
                  <c:v>2</c:v>
                </c:pt>
                <c:pt idx="50">
                  <c:v>2</c:v>
                </c:pt>
                <c:pt idx="51">
                  <c:v>3</c:v>
                </c:pt>
                <c:pt idx="52">
                  <c:v>3</c:v>
                </c:pt>
                <c:pt idx="53">
                  <c:v>2</c:v>
                </c:pt>
                <c:pt idx="54">
                  <c:v>3</c:v>
                </c:pt>
                <c:pt idx="55">
                  <c:v>4</c:v>
                </c:pt>
                <c:pt idx="56">
                  <c:v>2</c:v>
                </c:pt>
                <c:pt idx="57">
                  <c:v>3</c:v>
                </c:pt>
                <c:pt idx="58">
                  <c:v>2</c:v>
                </c:pt>
                <c:pt idx="59">
                  <c:v>3</c:v>
                </c:pt>
                <c:pt idx="60">
                  <c:v>3</c:v>
                </c:pt>
                <c:pt idx="61">
                  <c:v>2</c:v>
                </c:pt>
                <c:pt idx="62">
                  <c:v>2</c:v>
                </c:pt>
                <c:pt idx="63">
                  <c:v>2</c:v>
                </c:pt>
                <c:pt idx="64">
                  <c:v>3</c:v>
                </c:pt>
                <c:pt idx="65">
                  <c:v>3</c:v>
                </c:pt>
                <c:pt idx="66">
                  <c:v>2</c:v>
                </c:pt>
                <c:pt idx="67">
                  <c:v>2</c:v>
                </c:pt>
                <c:pt idx="68">
                  <c:v>2</c:v>
                </c:pt>
                <c:pt idx="69">
                  <c:v>2</c:v>
                </c:pt>
                <c:pt idx="70">
                  <c:v>2</c:v>
                </c:pt>
                <c:pt idx="71">
                  <c:v>2</c:v>
                </c:pt>
                <c:pt idx="72">
                  <c:v>2</c:v>
                </c:pt>
                <c:pt idx="73">
                  <c:v>0</c:v>
                </c:pt>
                <c:pt idx="74">
                  <c:v>0</c:v>
                </c:pt>
                <c:pt idx="75">
                  <c:v>1</c:v>
                </c:pt>
                <c:pt idx="76">
                  <c:v>1</c:v>
                </c:pt>
                <c:pt idx="77">
                  <c:v>1</c:v>
                </c:pt>
                <c:pt idx="78">
                  <c:v>1</c:v>
                </c:pt>
                <c:pt idx="79">
                  <c:v>1</c:v>
                </c:pt>
                <c:pt idx="80">
                  <c:v>2</c:v>
                </c:pt>
                <c:pt idx="81">
                  <c:v>2</c:v>
                </c:pt>
                <c:pt idx="82">
                  <c:v>4</c:v>
                </c:pt>
                <c:pt idx="83">
                  <c:v>4</c:v>
                </c:pt>
                <c:pt idx="84">
                  <c:v>4</c:v>
                </c:pt>
                <c:pt idx="85">
                  <c:v>4</c:v>
                </c:pt>
                <c:pt idx="86">
                  <c:v>3</c:v>
                </c:pt>
                <c:pt idx="87">
                  <c:v>4</c:v>
                </c:pt>
                <c:pt idx="88">
                  <c:v>4</c:v>
                </c:pt>
                <c:pt idx="89">
                  <c:v>3</c:v>
                </c:pt>
                <c:pt idx="90">
                  <c:v>2</c:v>
                </c:pt>
                <c:pt idx="91">
                  <c:v>3</c:v>
                </c:pt>
                <c:pt idx="92">
                  <c:v>3</c:v>
                </c:pt>
                <c:pt idx="93">
                  <c:v>2</c:v>
                </c:pt>
                <c:pt idx="94">
                  <c:v>1</c:v>
                </c:pt>
                <c:pt idx="95">
                  <c:v>1</c:v>
                </c:pt>
                <c:pt idx="96">
                  <c:v>1</c:v>
                </c:pt>
                <c:pt idx="97">
                  <c:v>3</c:v>
                </c:pt>
                <c:pt idx="98">
                  <c:v>3</c:v>
                </c:pt>
                <c:pt idx="99">
                  <c:v>2</c:v>
                </c:pt>
                <c:pt idx="100">
                  <c:v>2</c:v>
                </c:pt>
                <c:pt idx="101">
                  <c:v>1</c:v>
                </c:pt>
                <c:pt idx="102">
                  <c:v>1</c:v>
                </c:pt>
                <c:pt idx="103">
                  <c:v>0</c:v>
                </c:pt>
                <c:pt idx="104">
                  <c:v>0</c:v>
                </c:pt>
                <c:pt idx="105">
                  <c:v>0</c:v>
                </c:pt>
                <c:pt idx="106">
                  <c:v>0</c:v>
                </c:pt>
                <c:pt idx="107">
                  <c:v>0</c:v>
                </c:pt>
                <c:pt idx="108">
                  <c:v>0</c:v>
                </c:pt>
                <c:pt idx="109">
                  <c:v>2</c:v>
                </c:pt>
                <c:pt idx="110">
                  <c:v>3</c:v>
                </c:pt>
                <c:pt idx="111">
                  <c:v>3</c:v>
                </c:pt>
                <c:pt idx="112">
                  <c:v>3</c:v>
                </c:pt>
                <c:pt idx="113">
                  <c:v>3</c:v>
                </c:pt>
                <c:pt idx="114">
                  <c:v>3</c:v>
                </c:pt>
                <c:pt idx="115">
                  <c:v>3</c:v>
                </c:pt>
                <c:pt idx="116">
                  <c:v>3</c:v>
                </c:pt>
                <c:pt idx="117">
                  <c:v>1</c:v>
                </c:pt>
                <c:pt idx="118">
                  <c:v>1</c:v>
                </c:pt>
                <c:pt idx="119">
                  <c:v>3</c:v>
                </c:pt>
                <c:pt idx="120">
                  <c:v>3</c:v>
                </c:pt>
                <c:pt idx="121">
                  <c:v>3</c:v>
                </c:pt>
                <c:pt idx="122">
                  <c:v>3</c:v>
                </c:pt>
                <c:pt idx="123">
                  <c:v>3</c:v>
                </c:pt>
                <c:pt idx="124">
                  <c:v>1</c:v>
                </c:pt>
                <c:pt idx="125">
                  <c:v>0</c:v>
                </c:pt>
                <c:pt idx="126">
                  <c:v>0</c:v>
                </c:pt>
                <c:pt idx="127">
                  <c:v>0</c:v>
                </c:pt>
                <c:pt idx="128">
                  <c:v>0</c:v>
                </c:pt>
                <c:pt idx="129">
                  <c:v>0</c:v>
                </c:pt>
                <c:pt idx="130">
                  <c:v>0</c:v>
                </c:pt>
                <c:pt idx="131">
                  <c:v>0</c:v>
                </c:pt>
                <c:pt idx="132">
                  <c:v>0</c:v>
                </c:pt>
                <c:pt idx="133">
                  <c:v>1</c:v>
                </c:pt>
                <c:pt idx="134">
                  <c:v>1</c:v>
                </c:pt>
                <c:pt idx="135">
                  <c:v>1</c:v>
                </c:pt>
                <c:pt idx="136">
                  <c:v>1</c:v>
                </c:pt>
                <c:pt idx="137">
                  <c:v>1</c:v>
                </c:pt>
                <c:pt idx="138">
                  <c:v>1</c:v>
                </c:pt>
                <c:pt idx="139">
                  <c:v>1</c:v>
                </c:pt>
                <c:pt idx="140">
                  <c:v>1</c:v>
                </c:pt>
                <c:pt idx="141">
                  <c:v>3</c:v>
                </c:pt>
                <c:pt idx="142">
                  <c:v>3</c:v>
                </c:pt>
                <c:pt idx="143">
                  <c:v>3</c:v>
                </c:pt>
                <c:pt idx="144">
                  <c:v>2</c:v>
                </c:pt>
                <c:pt idx="145">
                  <c:v>3</c:v>
                </c:pt>
                <c:pt idx="146">
                  <c:v>3</c:v>
                </c:pt>
                <c:pt idx="147">
                  <c:v>3</c:v>
                </c:pt>
                <c:pt idx="148">
                  <c:v>3</c:v>
                </c:pt>
                <c:pt idx="149">
                  <c:v>2</c:v>
                </c:pt>
                <c:pt idx="150">
                  <c:v>2</c:v>
                </c:pt>
                <c:pt idx="151">
                  <c:v>3</c:v>
                </c:pt>
                <c:pt idx="152">
                  <c:v>3</c:v>
                </c:pt>
                <c:pt idx="153">
                  <c:v>3</c:v>
                </c:pt>
                <c:pt idx="154">
                  <c:v>3</c:v>
                </c:pt>
                <c:pt idx="155">
                  <c:v>2</c:v>
                </c:pt>
                <c:pt idx="156">
                  <c:v>2</c:v>
                </c:pt>
                <c:pt idx="157">
                  <c:v>2</c:v>
                </c:pt>
                <c:pt idx="158">
                  <c:v>3</c:v>
                </c:pt>
                <c:pt idx="159">
                  <c:v>2</c:v>
                </c:pt>
                <c:pt idx="160">
                  <c:v>2</c:v>
                </c:pt>
                <c:pt idx="161">
                  <c:v>2</c:v>
                </c:pt>
                <c:pt idx="162">
                  <c:v>2</c:v>
                </c:pt>
                <c:pt idx="163">
                  <c:v>2</c:v>
                </c:pt>
                <c:pt idx="164">
                  <c:v>2</c:v>
                </c:pt>
                <c:pt idx="165">
                  <c:v>2</c:v>
                </c:pt>
                <c:pt idx="166">
                  <c:v>1</c:v>
                </c:pt>
                <c:pt idx="167">
                  <c:v>1</c:v>
                </c:pt>
                <c:pt idx="168">
                  <c:v>0</c:v>
                </c:pt>
                <c:pt idx="169">
                  <c:v>0</c:v>
                </c:pt>
                <c:pt idx="170">
                  <c:v>1</c:v>
                </c:pt>
                <c:pt idx="171">
                  <c:v>1</c:v>
                </c:pt>
                <c:pt idx="172">
                  <c:v>1</c:v>
                </c:pt>
                <c:pt idx="173">
                  <c:v>1</c:v>
                </c:pt>
                <c:pt idx="174">
                  <c:v>1</c:v>
                </c:pt>
                <c:pt idx="175">
                  <c:v>1</c:v>
                </c:pt>
                <c:pt idx="176">
                  <c:v>1</c:v>
                </c:pt>
                <c:pt idx="177">
                  <c:v>16</c:v>
                </c:pt>
                <c:pt idx="178">
                  <c:v>16</c:v>
                </c:pt>
                <c:pt idx="179">
                  <c:v>16</c:v>
                </c:pt>
                <c:pt idx="180">
                  <c:v>1</c:v>
                </c:pt>
                <c:pt idx="181">
                  <c:v>2</c:v>
                </c:pt>
                <c:pt idx="182">
                  <c:v>2</c:v>
                </c:pt>
                <c:pt idx="183">
                  <c:v>2</c:v>
                </c:pt>
                <c:pt idx="184">
                  <c:v>3</c:v>
                </c:pt>
                <c:pt idx="185">
                  <c:v>3</c:v>
                </c:pt>
                <c:pt idx="186">
                  <c:v>1</c:v>
                </c:pt>
                <c:pt idx="187">
                  <c:v>1</c:v>
                </c:pt>
                <c:pt idx="188">
                  <c:v>1</c:v>
                </c:pt>
                <c:pt idx="189">
                  <c:v>1</c:v>
                </c:pt>
                <c:pt idx="190">
                  <c:v>1</c:v>
                </c:pt>
                <c:pt idx="191">
                  <c:v>1</c:v>
                </c:pt>
                <c:pt idx="192">
                  <c:v>1</c:v>
                </c:pt>
                <c:pt idx="193">
                  <c:v>1</c:v>
                </c:pt>
                <c:pt idx="194">
                  <c:v>0</c:v>
                </c:pt>
                <c:pt idx="195">
                  <c:v>0</c:v>
                </c:pt>
                <c:pt idx="196">
                  <c:v>0</c:v>
                </c:pt>
                <c:pt idx="197">
                  <c:v>0</c:v>
                </c:pt>
                <c:pt idx="198">
                  <c:v>0</c:v>
                </c:pt>
                <c:pt idx="199">
                  <c:v>0</c:v>
                </c:pt>
                <c:pt idx="200">
                  <c:v>0</c:v>
                </c:pt>
                <c:pt idx="201">
                  <c:v>2</c:v>
                </c:pt>
                <c:pt idx="202">
                  <c:v>2</c:v>
                </c:pt>
                <c:pt idx="203">
                  <c:v>2</c:v>
                </c:pt>
                <c:pt idx="204">
                  <c:v>2</c:v>
                </c:pt>
                <c:pt idx="205">
                  <c:v>1</c:v>
                </c:pt>
                <c:pt idx="206">
                  <c:v>1</c:v>
                </c:pt>
                <c:pt idx="207">
                  <c:v>1</c:v>
                </c:pt>
                <c:pt idx="208">
                  <c:v>1</c:v>
                </c:pt>
                <c:pt idx="209">
                  <c:v>3</c:v>
                </c:pt>
                <c:pt idx="210">
                  <c:v>3</c:v>
                </c:pt>
                <c:pt idx="211">
                  <c:v>2</c:v>
                </c:pt>
                <c:pt idx="212">
                  <c:v>1</c:v>
                </c:pt>
                <c:pt idx="213">
                  <c:v>1</c:v>
                </c:pt>
                <c:pt idx="214">
                  <c:v>0</c:v>
                </c:pt>
                <c:pt idx="215">
                  <c:v>0</c:v>
                </c:pt>
                <c:pt idx="216">
                  <c:v>0</c:v>
                </c:pt>
                <c:pt idx="217">
                  <c:v>2</c:v>
                </c:pt>
                <c:pt idx="218">
                  <c:v>2</c:v>
                </c:pt>
                <c:pt idx="219">
                  <c:v>2</c:v>
                </c:pt>
                <c:pt idx="220">
                  <c:v>2</c:v>
                </c:pt>
                <c:pt idx="221">
                  <c:v>2</c:v>
                </c:pt>
                <c:pt idx="222">
                  <c:v>3</c:v>
                </c:pt>
                <c:pt idx="223">
                  <c:v>3</c:v>
                </c:pt>
                <c:pt idx="224">
                  <c:v>3</c:v>
                </c:pt>
                <c:pt idx="225">
                  <c:v>3</c:v>
                </c:pt>
                <c:pt idx="226">
                  <c:v>3</c:v>
                </c:pt>
                <c:pt idx="227">
                  <c:v>3</c:v>
                </c:pt>
                <c:pt idx="228">
                  <c:v>3</c:v>
                </c:pt>
                <c:pt idx="229">
                  <c:v>3</c:v>
                </c:pt>
                <c:pt idx="230">
                  <c:v>3</c:v>
                </c:pt>
                <c:pt idx="231">
                  <c:v>3</c:v>
                </c:pt>
                <c:pt idx="232">
                  <c:v>3</c:v>
                </c:pt>
                <c:pt idx="233">
                  <c:v>2</c:v>
                </c:pt>
                <c:pt idx="234">
                  <c:v>2</c:v>
                </c:pt>
                <c:pt idx="235">
                  <c:v>2</c:v>
                </c:pt>
                <c:pt idx="236">
                  <c:v>2</c:v>
                </c:pt>
                <c:pt idx="237">
                  <c:v>1</c:v>
                </c:pt>
                <c:pt idx="238">
                  <c:v>0</c:v>
                </c:pt>
                <c:pt idx="239">
                  <c:v>0</c:v>
                </c:pt>
                <c:pt idx="240">
                  <c:v>0</c:v>
                </c:pt>
                <c:pt idx="241">
                  <c:v>0</c:v>
                </c:pt>
                <c:pt idx="242">
                  <c:v>1</c:v>
                </c:pt>
                <c:pt idx="243">
                  <c:v>3</c:v>
                </c:pt>
                <c:pt idx="244">
                  <c:v>4</c:v>
                </c:pt>
                <c:pt idx="245">
                  <c:v>6</c:v>
                </c:pt>
                <c:pt idx="246">
                  <c:v>8</c:v>
                </c:pt>
                <c:pt idx="247">
                  <c:v>4</c:v>
                </c:pt>
                <c:pt idx="248">
                  <c:v>8</c:v>
                </c:pt>
                <c:pt idx="249">
                  <c:v>5</c:v>
                </c:pt>
                <c:pt idx="250">
                  <c:v>5</c:v>
                </c:pt>
                <c:pt idx="251">
                  <c:v>6</c:v>
                </c:pt>
                <c:pt idx="252">
                  <c:v>6</c:v>
                </c:pt>
                <c:pt idx="253">
                  <c:v>6</c:v>
                </c:pt>
                <c:pt idx="254">
                  <c:v>8</c:v>
                </c:pt>
                <c:pt idx="255">
                  <c:v>6</c:v>
                </c:pt>
                <c:pt idx="256">
                  <c:v>6</c:v>
                </c:pt>
                <c:pt idx="257">
                  <c:v>6</c:v>
                </c:pt>
                <c:pt idx="258">
                  <c:v>6</c:v>
                </c:pt>
                <c:pt idx="259">
                  <c:v>6</c:v>
                </c:pt>
                <c:pt idx="260">
                  <c:v>6</c:v>
                </c:pt>
                <c:pt idx="261">
                  <c:v>2</c:v>
                </c:pt>
                <c:pt idx="262">
                  <c:v>7</c:v>
                </c:pt>
                <c:pt idx="263">
                  <c:v>9</c:v>
                </c:pt>
                <c:pt idx="264">
                  <c:v>9</c:v>
                </c:pt>
                <c:pt idx="265">
                  <c:v>9</c:v>
                </c:pt>
                <c:pt idx="266">
                  <c:v>9</c:v>
                </c:pt>
                <c:pt idx="267">
                  <c:v>8</c:v>
                </c:pt>
                <c:pt idx="268">
                  <c:v>7</c:v>
                </c:pt>
                <c:pt idx="269">
                  <c:v>7</c:v>
                </c:pt>
                <c:pt idx="270">
                  <c:v>7</c:v>
                </c:pt>
                <c:pt idx="271">
                  <c:v>7</c:v>
                </c:pt>
                <c:pt idx="272">
                  <c:v>7</c:v>
                </c:pt>
                <c:pt idx="273">
                  <c:v>6</c:v>
                </c:pt>
                <c:pt idx="274">
                  <c:v>7</c:v>
                </c:pt>
                <c:pt idx="275">
                  <c:v>1</c:v>
                </c:pt>
                <c:pt idx="276">
                  <c:v>7</c:v>
                </c:pt>
                <c:pt idx="277">
                  <c:v>7</c:v>
                </c:pt>
                <c:pt idx="278">
                  <c:v>7</c:v>
                </c:pt>
                <c:pt idx="279">
                  <c:v>6</c:v>
                </c:pt>
                <c:pt idx="280">
                  <c:v>4</c:v>
                </c:pt>
                <c:pt idx="281">
                  <c:v>4</c:v>
                </c:pt>
                <c:pt idx="282">
                  <c:v>4</c:v>
                </c:pt>
                <c:pt idx="283">
                  <c:v>5</c:v>
                </c:pt>
                <c:pt idx="284">
                  <c:v>6</c:v>
                </c:pt>
                <c:pt idx="285">
                  <c:v>5</c:v>
                </c:pt>
                <c:pt idx="286">
                  <c:v>5</c:v>
                </c:pt>
                <c:pt idx="287">
                  <c:v>5</c:v>
                </c:pt>
                <c:pt idx="288">
                  <c:v>4</c:v>
                </c:pt>
                <c:pt idx="289">
                  <c:v>4</c:v>
                </c:pt>
                <c:pt idx="290">
                  <c:v>4</c:v>
                </c:pt>
                <c:pt idx="291">
                  <c:v>4</c:v>
                </c:pt>
                <c:pt idx="292">
                  <c:v>4</c:v>
                </c:pt>
                <c:pt idx="293">
                  <c:v>5</c:v>
                </c:pt>
                <c:pt idx="294">
                  <c:v>0</c:v>
                </c:pt>
                <c:pt idx="295">
                  <c:v>11</c:v>
                </c:pt>
                <c:pt idx="296">
                  <c:v>9</c:v>
                </c:pt>
                <c:pt idx="297">
                  <c:v>10</c:v>
                </c:pt>
                <c:pt idx="298">
                  <c:v>9</c:v>
                </c:pt>
                <c:pt idx="299">
                  <c:v>1</c:v>
                </c:pt>
                <c:pt idx="300">
                  <c:v>11</c:v>
                </c:pt>
                <c:pt idx="301">
                  <c:v>12</c:v>
                </c:pt>
                <c:pt idx="302">
                  <c:v>12</c:v>
                </c:pt>
                <c:pt idx="303">
                  <c:v>13</c:v>
                </c:pt>
                <c:pt idx="304">
                  <c:v>12</c:v>
                </c:pt>
                <c:pt idx="305">
                  <c:v>12</c:v>
                </c:pt>
                <c:pt idx="306">
                  <c:v>14</c:v>
                </c:pt>
                <c:pt idx="307">
                  <c:v>11</c:v>
                </c:pt>
                <c:pt idx="308">
                  <c:v>9</c:v>
                </c:pt>
                <c:pt idx="309">
                  <c:v>9</c:v>
                </c:pt>
                <c:pt idx="310">
                  <c:v>10</c:v>
                </c:pt>
                <c:pt idx="311">
                  <c:v>7</c:v>
                </c:pt>
                <c:pt idx="312">
                  <c:v>7</c:v>
                </c:pt>
                <c:pt idx="313">
                  <c:v>7</c:v>
                </c:pt>
                <c:pt idx="314">
                  <c:v>7</c:v>
                </c:pt>
                <c:pt idx="315">
                  <c:v>6</c:v>
                </c:pt>
                <c:pt idx="316">
                  <c:v>6</c:v>
                </c:pt>
                <c:pt idx="317">
                  <c:v>6</c:v>
                </c:pt>
                <c:pt idx="318">
                  <c:v>5</c:v>
                </c:pt>
                <c:pt idx="319">
                  <c:v>4</c:v>
                </c:pt>
                <c:pt idx="320">
                  <c:v>4</c:v>
                </c:pt>
                <c:pt idx="321">
                  <c:v>4</c:v>
                </c:pt>
                <c:pt idx="322">
                  <c:v>4</c:v>
                </c:pt>
                <c:pt idx="323">
                  <c:v>4</c:v>
                </c:pt>
                <c:pt idx="324">
                  <c:v>4</c:v>
                </c:pt>
                <c:pt idx="325">
                  <c:v>4</c:v>
                </c:pt>
                <c:pt idx="326">
                  <c:v>4</c:v>
                </c:pt>
                <c:pt idx="327">
                  <c:v>4</c:v>
                </c:pt>
                <c:pt idx="328">
                  <c:v>8</c:v>
                </c:pt>
                <c:pt idx="329">
                  <c:v>8</c:v>
                </c:pt>
                <c:pt idx="330">
                  <c:v>7</c:v>
                </c:pt>
                <c:pt idx="331">
                  <c:v>4</c:v>
                </c:pt>
                <c:pt idx="332">
                  <c:v>4</c:v>
                </c:pt>
                <c:pt idx="333">
                  <c:v>0</c:v>
                </c:pt>
                <c:pt idx="334">
                  <c:v>0</c:v>
                </c:pt>
                <c:pt idx="335">
                  <c:v>2</c:v>
                </c:pt>
                <c:pt idx="336">
                  <c:v>2</c:v>
                </c:pt>
                <c:pt idx="337">
                  <c:v>2</c:v>
                </c:pt>
                <c:pt idx="338">
                  <c:v>4</c:v>
                </c:pt>
                <c:pt idx="339">
                  <c:v>4</c:v>
                </c:pt>
                <c:pt idx="340">
                  <c:v>4</c:v>
                </c:pt>
                <c:pt idx="341">
                  <c:v>5</c:v>
                </c:pt>
                <c:pt idx="342">
                  <c:v>5</c:v>
                </c:pt>
                <c:pt idx="343">
                  <c:v>5</c:v>
                </c:pt>
                <c:pt idx="344">
                  <c:v>5</c:v>
                </c:pt>
                <c:pt idx="345">
                  <c:v>4</c:v>
                </c:pt>
                <c:pt idx="346">
                  <c:v>4</c:v>
                </c:pt>
                <c:pt idx="347">
                  <c:v>4</c:v>
                </c:pt>
                <c:pt idx="348">
                  <c:v>2</c:v>
                </c:pt>
                <c:pt idx="349">
                  <c:v>0</c:v>
                </c:pt>
                <c:pt idx="350">
                  <c:v>1</c:v>
                </c:pt>
                <c:pt idx="351">
                  <c:v>1</c:v>
                </c:pt>
                <c:pt idx="352">
                  <c:v>1</c:v>
                </c:pt>
                <c:pt idx="353">
                  <c:v>1</c:v>
                </c:pt>
                <c:pt idx="354">
                  <c:v>1</c:v>
                </c:pt>
                <c:pt idx="355">
                  <c:v>1</c:v>
                </c:pt>
                <c:pt idx="356">
                  <c:v>30</c:v>
                </c:pt>
                <c:pt idx="357">
                  <c:v>1</c:v>
                </c:pt>
                <c:pt idx="358">
                  <c:v>1</c:v>
                </c:pt>
                <c:pt idx="359">
                  <c:v>1</c:v>
                </c:pt>
                <c:pt idx="360">
                  <c:v>1</c:v>
                </c:pt>
                <c:pt idx="361">
                  <c:v>1</c:v>
                </c:pt>
                <c:pt idx="362">
                  <c:v>1</c:v>
                </c:pt>
                <c:pt idx="363">
                  <c:v>1</c:v>
                </c:pt>
                <c:pt idx="364">
                  <c:v>1</c:v>
                </c:pt>
                <c:pt idx="365">
                  <c:v>1</c:v>
                </c:pt>
                <c:pt idx="366">
                  <c:v>1</c:v>
                </c:pt>
                <c:pt idx="367">
                  <c:v>1</c:v>
                </c:pt>
                <c:pt idx="368">
                  <c:v>1</c:v>
                </c:pt>
                <c:pt idx="369">
                  <c:v>1</c:v>
                </c:pt>
                <c:pt idx="370">
                  <c:v>1</c:v>
                </c:pt>
                <c:pt idx="371">
                  <c:v>1</c:v>
                </c:pt>
                <c:pt idx="372">
                  <c:v>1</c:v>
                </c:pt>
                <c:pt idx="373">
                  <c:v>1</c:v>
                </c:pt>
                <c:pt idx="374">
                  <c:v>1</c:v>
                </c:pt>
                <c:pt idx="375">
                  <c:v>1</c:v>
                </c:pt>
                <c:pt idx="376">
                  <c:v>1</c:v>
                </c:pt>
                <c:pt idx="377">
                  <c:v>1</c:v>
                </c:pt>
                <c:pt idx="378">
                  <c:v>1</c:v>
                </c:pt>
                <c:pt idx="379">
                  <c:v>0</c:v>
                </c:pt>
                <c:pt idx="380">
                  <c:v>0</c:v>
                </c:pt>
                <c:pt idx="381">
                  <c:v>0</c:v>
                </c:pt>
                <c:pt idx="382">
                  <c:v>1</c:v>
                </c:pt>
                <c:pt idx="383">
                  <c:v>1</c:v>
                </c:pt>
                <c:pt idx="384">
                  <c:v>1</c:v>
                </c:pt>
                <c:pt idx="385">
                  <c:v>1</c:v>
                </c:pt>
                <c:pt idx="386">
                  <c:v>1</c:v>
                </c:pt>
                <c:pt idx="387">
                  <c:v>1</c:v>
                </c:pt>
                <c:pt idx="388">
                  <c:v>2</c:v>
                </c:pt>
                <c:pt idx="389">
                  <c:v>1</c:v>
                </c:pt>
                <c:pt idx="390">
                  <c:v>2</c:v>
                </c:pt>
                <c:pt idx="391">
                  <c:v>2</c:v>
                </c:pt>
                <c:pt idx="392">
                  <c:v>2</c:v>
                </c:pt>
                <c:pt idx="393">
                  <c:v>2</c:v>
                </c:pt>
                <c:pt idx="394">
                  <c:v>2</c:v>
                </c:pt>
                <c:pt idx="395">
                  <c:v>2</c:v>
                </c:pt>
                <c:pt idx="396">
                  <c:v>2</c:v>
                </c:pt>
                <c:pt idx="397">
                  <c:v>2</c:v>
                </c:pt>
                <c:pt idx="398">
                  <c:v>2</c:v>
                </c:pt>
                <c:pt idx="399">
                  <c:v>2</c:v>
                </c:pt>
                <c:pt idx="400">
                  <c:v>6</c:v>
                </c:pt>
                <c:pt idx="401">
                  <c:v>6</c:v>
                </c:pt>
                <c:pt idx="402">
                  <c:v>6</c:v>
                </c:pt>
                <c:pt idx="403">
                  <c:v>6</c:v>
                </c:pt>
                <c:pt idx="404">
                  <c:v>7</c:v>
                </c:pt>
                <c:pt idx="405">
                  <c:v>6</c:v>
                </c:pt>
                <c:pt idx="406">
                  <c:v>9</c:v>
                </c:pt>
                <c:pt idx="407">
                  <c:v>9</c:v>
                </c:pt>
                <c:pt idx="408">
                  <c:v>13</c:v>
                </c:pt>
                <c:pt idx="409">
                  <c:v>20</c:v>
                </c:pt>
                <c:pt idx="410">
                  <c:v>20</c:v>
                </c:pt>
                <c:pt idx="411">
                  <c:v>21</c:v>
                </c:pt>
                <c:pt idx="412">
                  <c:v>19</c:v>
                </c:pt>
                <c:pt idx="413">
                  <c:v>19</c:v>
                </c:pt>
                <c:pt idx="414">
                  <c:v>16</c:v>
                </c:pt>
                <c:pt idx="415">
                  <c:v>5</c:v>
                </c:pt>
                <c:pt idx="416">
                  <c:v>17</c:v>
                </c:pt>
                <c:pt idx="417">
                  <c:v>17</c:v>
                </c:pt>
                <c:pt idx="418">
                  <c:v>14</c:v>
                </c:pt>
                <c:pt idx="419">
                  <c:v>14</c:v>
                </c:pt>
                <c:pt idx="420">
                  <c:v>17</c:v>
                </c:pt>
                <c:pt idx="421">
                  <c:v>16</c:v>
                </c:pt>
                <c:pt idx="422">
                  <c:v>15</c:v>
                </c:pt>
                <c:pt idx="423">
                  <c:v>15</c:v>
                </c:pt>
                <c:pt idx="424">
                  <c:v>15</c:v>
                </c:pt>
                <c:pt idx="425">
                  <c:v>16</c:v>
                </c:pt>
                <c:pt idx="426">
                  <c:v>16</c:v>
                </c:pt>
                <c:pt idx="427">
                  <c:v>16</c:v>
                </c:pt>
                <c:pt idx="428">
                  <c:v>16</c:v>
                </c:pt>
                <c:pt idx="429">
                  <c:v>14</c:v>
                </c:pt>
                <c:pt idx="430">
                  <c:v>14</c:v>
                </c:pt>
                <c:pt idx="431">
                  <c:v>14</c:v>
                </c:pt>
                <c:pt idx="432">
                  <c:v>12</c:v>
                </c:pt>
                <c:pt idx="433">
                  <c:v>12</c:v>
                </c:pt>
                <c:pt idx="434">
                  <c:v>11</c:v>
                </c:pt>
              </c:numCache>
            </c:numRef>
          </c:val>
        </c:ser>
        <c:gapWidth val="0"/>
        <c:overlap val="100"/>
        <c:axId val="193206144"/>
        <c:axId val="193224704"/>
      </c:barChart>
      <c:catAx>
        <c:axId val="193206144"/>
        <c:scaling>
          <c:orientation val="minMax"/>
        </c:scaling>
        <c:axPos val="b"/>
        <c:title>
          <c:tx>
            <c:rich>
              <a:bodyPr/>
              <a:lstStyle/>
              <a:p>
                <a:pPr>
                  <a:defRPr sz="1200"/>
                </a:pPr>
                <a:r>
                  <a:rPr lang="en-US" sz="1200" dirty="0"/>
                  <a:t>HFIR Fuel</a:t>
                </a:r>
                <a:r>
                  <a:rPr lang="en-US" sz="1200" baseline="0" dirty="0"/>
                  <a:t> Cycle Number</a:t>
                </a:r>
                <a:endParaRPr lang="en-US" sz="1200" dirty="0"/>
              </a:p>
            </c:rich>
          </c:tx>
          <c:layout>
            <c:manualLayout>
              <c:xMode val="edge"/>
              <c:yMode val="edge"/>
              <c:x val="0.36689083425126301"/>
              <c:y val="0.82920185164801896"/>
            </c:manualLayout>
          </c:layout>
        </c:title>
        <c:numFmt formatCode="General" sourceLinked="0"/>
        <c:majorTickMark val="cross"/>
        <c:tickLblPos val="nextTo"/>
        <c:spPr>
          <a:ln w="6350">
            <a:solidFill>
              <a:sysClr val="windowText" lastClr="000000"/>
            </a:solidFill>
          </a:ln>
        </c:spPr>
        <c:txPr>
          <a:bodyPr/>
          <a:lstStyle/>
          <a:p>
            <a:pPr>
              <a:defRPr sz="1000"/>
            </a:pPr>
            <a:endParaRPr lang="en-US"/>
          </a:p>
        </c:txPr>
        <c:crossAx val="193224704"/>
        <c:crosses val="autoZero"/>
        <c:lblAlgn val="ctr"/>
        <c:lblOffset val="100"/>
        <c:tickLblSkip val="30"/>
        <c:tickMarkSkip val="5"/>
      </c:catAx>
      <c:valAx>
        <c:axId val="193224704"/>
        <c:scaling>
          <c:orientation val="minMax"/>
        </c:scaling>
        <c:axPos val="l"/>
        <c:majorGridlines/>
        <c:title>
          <c:tx>
            <c:rich>
              <a:bodyPr rot="-5400000" vert="horz"/>
              <a:lstStyle/>
              <a:p>
                <a:pPr>
                  <a:defRPr sz="1100"/>
                </a:pPr>
                <a:r>
                  <a:rPr lang="en-US" sz="1100" dirty="0"/>
                  <a:t>Percentage</a:t>
                </a:r>
                <a:r>
                  <a:rPr lang="en-US" sz="1100" baseline="0" dirty="0"/>
                  <a:t> of</a:t>
                </a:r>
                <a:r>
                  <a:rPr lang="en-US" sz="1100" dirty="0"/>
                  <a:t> Interior Targets</a:t>
                </a:r>
              </a:p>
            </c:rich>
          </c:tx>
          <c:layout>
            <c:manualLayout>
              <c:xMode val="edge"/>
              <c:yMode val="edge"/>
              <c:x val="1.4646956277883341E-3"/>
              <c:y val="0.24734135448347053"/>
            </c:manualLayout>
          </c:layout>
        </c:title>
        <c:numFmt formatCode="0%" sourceLinked="1"/>
        <c:majorTickMark val="cross"/>
        <c:tickLblPos val="nextTo"/>
        <c:spPr>
          <a:ln w="12700">
            <a:solidFill>
              <a:schemeClr val="tx1"/>
            </a:solidFill>
          </a:ln>
        </c:spPr>
        <c:txPr>
          <a:bodyPr rot="-5400000" vert="horz"/>
          <a:lstStyle/>
          <a:p>
            <a:pPr>
              <a:defRPr sz="1000"/>
            </a:pPr>
            <a:endParaRPr lang="en-US"/>
          </a:p>
        </c:txPr>
        <c:crossAx val="193206144"/>
        <c:crossesAt val="1"/>
        <c:crossBetween val="between"/>
        <c:majorUnit val="0.2"/>
      </c:valAx>
      <c:spPr>
        <a:ln w="25400">
          <a:noFill/>
        </a:ln>
      </c:spPr>
    </c:plotArea>
    <c:legend>
      <c:legendPos val="r"/>
      <c:layout>
        <c:manualLayout>
          <c:xMode val="edge"/>
          <c:yMode val="edge"/>
          <c:x val="0.91509085402786194"/>
          <c:y val="3.493290337088558E-2"/>
          <c:w val="8.2772393835385955E-2"/>
          <c:h val="0.29967625311373108"/>
        </c:manualLayout>
      </c:layout>
      <c:spPr>
        <a:solidFill>
          <a:schemeClr val="bg1"/>
        </a:solidFill>
        <a:ln w="12700">
          <a:solidFill>
            <a:sysClr val="windowText" lastClr="000000"/>
          </a:solidFill>
        </a:ln>
      </c:spPr>
    </c:legend>
    <c:plotVisOnly val="1"/>
  </c:chart>
  <c:spPr>
    <a:ln w="12700">
      <a:solidFill>
        <a:sysClr val="windowText" lastClr="000000"/>
      </a:solidFill>
    </a:ln>
  </c:spPr>
  <c:txPr>
    <a:bodyPr/>
    <a:lstStyle/>
    <a:p>
      <a:pPr>
        <a:defRPr>
          <a:latin typeface="Times New Roman" pitchFamily="18" charset="0"/>
          <a:cs typeface="Times New Roman" pitchFamily="18" charset="0"/>
        </a:defRPr>
      </a:pPr>
      <a:endParaRPr lang="en-US"/>
    </a:p>
  </c:txPr>
  <c:externalData r:id="rId1"/>
  <c:userShapes r:id="rId2"/>
</c:chartSpace>
</file>

<file path=word/charts/chart43.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4716167598504987"/>
          <c:y val="2.904853843547749E-2"/>
          <c:w val="0.82877245453003878"/>
          <c:h val="0.84907892792402762"/>
        </c:manualLayout>
      </c:layout>
      <c:scatterChart>
        <c:scatterStyle val="smoothMarker"/>
        <c:ser>
          <c:idx val="1"/>
          <c:order val="0"/>
          <c:tx>
            <c:v>KENO VI (0-20MeV)</c:v>
          </c:tx>
          <c:spPr>
            <a:ln w="28575">
              <a:solidFill>
                <a:schemeClr val="tx1"/>
              </a:solidFill>
            </a:ln>
          </c:spPr>
          <c:marker>
            <c:symbol val="none"/>
          </c:marker>
          <c:xVal>
            <c:numRef>
              <c:f>Flux!$C$11:$C$12</c:f>
              <c:numCache>
                <c:formatCode>0.0000</c:formatCode>
                <c:ptCount val="2"/>
                <c:pt idx="0">
                  <c:v>1.689096960656798</c:v>
                </c:pt>
                <c:pt idx="1">
                  <c:v>2.9256052643000197</c:v>
                </c:pt>
              </c:numCache>
            </c:numRef>
          </c:xVal>
          <c:yVal>
            <c:numRef>
              <c:f>Flux!$E$11:$E$12</c:f>
              <c:numCache>
                <c:formatCode>0.0000E+00</c:formatCode>
                <c:ptCount val="2"/>
                <c:pt idx="0">
                  <c:v>3384750000000000</c:v>
                </c:pt>
                <c:pt idx="1">
                  <c:v>3337633333333333.5</c:v>
                </c:pt>
              </c:numCache>
            </c:numRef>
          </c:yVal>
          <c:smooth val="1"/>
        </c:ser>
        <c:ser>
          <c:idx val="0"/>
          <c:order val="1"/>
          <c:tx>
            <c:v>SCALE thermal FT</c:v>
          </c:tx>
          <c:spPr>
            <a:ln w="38100">
              <a:solidFill>
                <a:schemeClr val="tx1"/>
              </a:solidFill>
              <a:prstDash val="sysDot"/>
            </a:ln>
          </c:spPr>
          <c:marker>
            <c:symbol val="none"/>
          </c:marker>
          <c:xVal>
            <c:numRef>
              <c:f>Flux!$C$11:$C$12</c:f>
              <c:numCache>
                <c:formatCode>0.0000</c:formatCode>
                <c:ptCount val="2"/>
                <c:pt idx="0">
                  <c:v>1.689096960656798</c:v>
                </c:pt>
                <c:pt idx="1">
                  <c:v>2.9256052643000197</c:v>
                </c:pt>
              </c:numCache>
            </c:numRef>
          </c:xVal>
          <c:yVal>
            <c:numRef>
              <c:f>Flux!$D$11:$D$12</c:f>
              <c:numCache>
                <c:formatCode>0.0000E+00</c:formatCode>
                <c:ptCount val="2"/>
                <c:pt idx="0">
                  <c:v>1864875000000000</c:v>
                </c:pt>
                <c:pt idx="1">
                  <c:v>1763933333333333.2</c:v>
                </c:pt>
              </c:numCache>
            </c:numRef>
          </c:yVal>
          <c:smooth val="1"/>
        </c:ser>
        <c:ser>
          <c:idx val="2"/>
          <c:order val="2"/>
          <c:tx>
            <c:v>SCALE total IFE</c:v>
          </c:tx>
          <c:spPr>
            <a:ln w="28575">
              <a:solidFill>
                <a:prstClr val="black"/>
              </a:solidFill>
            </a:ln>
          </c:spPr>
          <c:marker>
            <c:symbol val="none"/>
          </c:marker>
          <c:xVal>
            <c:numRef>
              <c:f>Flux!$C$13:$C$20</c:f>
              <c:numCache>
                <c:formatCode>0.0000</c:formatCode>
                <c:ptCount val="8"/>
                <c:pt idx="0">
                  <c:v>7.3199999999999985</c:v>
                </c:pt>
                <c:pt idx="1">
                  <c:v>7.75</c:v>
                </c:pt>
                <c:pt idx="2">
                  <c:v>8.25</c:v>
                </c:pt>
                <c:pt idx="3">
                  <c:v>9</c:v>
                </c:pt>
                <c:pt idx="4">
                  <c:v>10</c:v>
                </c:pt>
                <c:pt idx="5">
                  <c:v>11</c:v>
                </c:pt>
                <c:pt idx="6">
                  <c:v>11.75</c:v>
                </c:pt>
                <c:pt idx="7">
                  <c:v>12.3</c:v>
                </c:pt>
              </c:numCache>
            </c:numRef>
          </c:xVal>
          <c:yVal>
            <c:numRef>
              <c:f>Flux!$E$13:$E$20</c:f>
              <c:numCache>
                <c:formatCode>0.0000E+00</c:formatCode>
                <c:ptCount val="8"/>
                <c:pt idx="0">
                  <c:v>2817000000000000</c:v>
                </c:pt>
                <c:pt idx="1">
                  <c:v>2755700000000000</c:v>
                </c:pt>
                <c:pt idx="2">
                  <c:v>2708400000000000</c:v>
                </c:pt>
                <c:pt idx="3">
                  <c:v>2665600000000000</c:v>
                </c:pt>
                <c:pt idx="4">
                  <c:v>2629900000000000</c:v>
                </c:pt>
                <c:pt idx="5">
                  <c:v>2604300000000000</c:v>
                </c:pt>
                <c:pt idx="6">
                  <c:v>2587200000000000</c:v>
                </c:pt>
                <c:pt idx="7">
                  <c:v>2574900000000000</c:v>
                </c:pt>
              </c:numCache>
            </c:numRef>
          </c:yVal>
          <c:smooth val="1"/>
        </c:ser>
        <c:ser>
          <c:idx val="3"/>
          <c:order val="3"/>
          <c:tx>
            <c:v>KENO VI (0-3eV)</c:v>
          </c:tx>
          <c:spPr>
            <a:ln w="28575">
              <a:solidFill>
                <a:schemeClr val="tx1"/>
              </a:solidFill>
              <a:prstDash val="sysDash"/>
            </a:ln>
          </c:spPr>
          <c:marker>
            <c:symbol val="none"/>
          </c:marker>
          <c:xVal>
            <c:numRef>
              <c:f>Flux!$C$13:$C$20</c:f>
              <c:numCache>
                <c:formatCode>0.0000</c:formatCode>
                <c:ptCount val="8"/>
                <c:pt idx="0">
                  <c:v>7.3199999999999985</c:v>
                </c:pt>
                <c:pt idx="1">
                  <c:v>7.75</c:v>
                </c:pt>
                <c:pt idx="2">
                  <c:v>8.25</c:v>
                </c:pt>
                <c:pt idx="3">
                  <c:v>9</c:v>
                </c:pt>
                <c:pt idx="4">
                  <c:v>10</c:v>
                </c:pt>
                <c:pt idx="5">
                  <c:v>11</c:v>
                </c:pt>
                <c:pt idx="6">
                  <c:v>11.75</c:v>
                </c:pt>
                <c:pt idx="7">
                  <c:v>12.3</c:v>
                </c:pt>
              </c:numCache>
            </c:numRef>
          </c:xVal>
          <c:yVal>
            <c:numRef>
              <c:f>Flux!$D$13:$D$20</c:f>
              <c:numCache>
                <c:formatCode>0.0000E+00</c:formatCode>
                <c:ptCount val="8"/>
                <c:pt idx="0">
                  <c:v>661410000000000</c:v>
                </c:pt>
                <c:pt idx="1">
                  <c:v>528550000000000</c:v>
                </c:pt>
                <c:pt idx="2">
                  <c:v>429260000000000</c:v>
                </c:pt>
                <c:pt idx="3">
                  <c:v>344000000000000</c:v>
                </c:pt>
                <c:pt idx="4">
                  <c:v>292910000000000</c:v>
                </c:pt>
                <c:pt idx="5">
                  <c:v>289380000000000</c:v>
                </c:pt>
                <c:pt idx="6">
                  <c:v>315510000000000</c:v>
                </c:pt>
                <c:pt idx="7">
                  <c:v>363450000000000</c:v>
                </c:pt>
              </c:numCache>
            </c:numRef>
          </c:yVal>
          <c:smooth val="1"/>
        </c:ser>
        <c:ser>
          <c:idx val="4"/>
          <c:order val="4"/>
          <c:tx>
            <c:v>SCALE total OFE</c:v>
          </c:tx>
          <c:spPr>
            <a:ln w="28575">
              <a:solidFill>
                <a:prstClr val="black"/>
              </a:solidFill>
            </a:ln>
          </c:spPr>
          <c:marker>
            <c:symbol val="none"/>
          </c:marker>
          <c:xVal>
            <c:numRef>
              <c:f>Flux!$C$21:$C$29</c:f>
              <c:numCache>
                <c:formatCode>0.0000</c:formatCode>
                <c:ptCount val="9"/>
                <c:pt idx="0">
                  <c:v>15.314755</c:v>
                </c:pt>
                <c:pt idx="1">
                  <c:v>15.75</c:v>
                </c:pt>
                <c:pt idx="2">
                  <c:v>16.25</c:v>
                </c:pt>
                <c:pt idx="3">
                  <c:v>17</c:v>
                </c:pt>
                <c:pt idx="4">
                  <c:v>18</c:v>
                </c:pt>
                <c:pt idx="5">
                  <c:v>19</c:v>
                </c:pt>
                <c:pt idx="6">
                  <c:v>19.75</c:v>
                </c:pt>
                <c:pt idx="7">
                  <c:v>20.25</c:v>
                </c:pt>
                <c:pt idx="8">
                  <c:v>20.739000000000001</c:v>
                </c:pt>
              </c:numCache>
            </c:numRef>
          </c:xVal>
          <c:yVal>
            <c:numRef>
              <c:f>Flux!$E$21:$E$29</c:f>
              <c:numCache>
                <c:formatCode>0.0000E+00</c:formatCode>
                <c:ptCount val="9"/>
                <c:pt idx="0">
                  <c:v>2412600000000000</c:v>
                </c:pt>
                <c:pt idx="1">
                  <c:v>2364000000000000</c:v>
                </c:pt>
                <c:pt idx="2">
                  <c:v>2301600000000000</c:v>
                </c:pt>
                <c:pt idx="3">
                  <c:v>2207400000000000</c:v>
                </c:pt>
                <c:pt idx="4">
                  <c:v>2086900000000000</c:v>
                </c:pt>
                <c:pt idx="5">
                  <c:v>1970700000000000</c:v>
                </c:pt>
                <c:pt idx="6">
                  <c:v>1885400000000000</c:v>
                </c:pt>
                <c:pt idx="7">
                  <c:v>1827100000000000</c:v>
                </c:pt>
                <c:pt idx="8">
                  <c:v>1764400000000000</c:v>
                </c:pt>
              </c:numCache>
            </c:numRef>
          </c:yVal>
          <c:smooth val="1"/>
        </c:ser>
        <c:ser>
          <c:idx val="5"/>
          <c:order val="5"/>
          <c:tx>
            <c:v>SCALE thermal OFE</c:v>
          </c:tx>
          <c:spPr>
            <a:ln w="28575">
              <a:solidFill>
                <a:schemeClr val="tx1"/>
              </a:solidFill>
              <a:prstDash val="sysDash"/>
            </a:ln>
          </c:spPr>
          <c:marker>
            <c:symbol val="none"/>
          </c:marker>
          <c:xVal>
            <c:numRef>
              <c:f>Flux!$C$21:$C$29</c:f>
              <c:numCache>
                <c:formatCode>0.0000</c:formatCode>
                <c:ptCount val="9"/>
                <c:pt idx="0">
                  <c:v>15.314755</c:v>
                </c:pt>
                <c:pt idx="1">
                  <c:v>15.75</c:v>
                </c:pt>
                <c:pt idx="2">
                  <c:v>16.25</c:v>
                </c:pt>
                <c:pt idx="3">
                  <c:v>17</c:v>
                </c:pt>
                <c:pt idx="4">
                  <c:v>18</c:v>
                </c:pt>
                <c:pt idx="5">
                  <c:v>19</c:v>
                </c:pt>
                <c:pt idx="6">
                  <c:v>19.75</c:v>
                </c:pt>
                <c:pt idx="7">
                  <c:v>20.25</c:v>
                </c:pt>
                <c:pt idx="8">
                  <c:v>20.739000000000001</c:v>
                </c:pt>
              </c:numCache>
            </c:numRef>
          </c:xVal>
          <c:yVal>
            <c:numRef>
              <c:f>Flux!$D$21:$D$29</c:f>
              <c:numCache>
                <c:formatCode>0.0000E+00</c:formatCode>
                <c:ptCount val="9"/>
                <c:pt idx="0">
                  <c:v>332590000000000</c:v>
                </c:pt>
                <c:pt idx="1">
                  <c:v>274410000000000</c:v>
                </c:pt>
                <c:pt idx="2">
                  <c:v>230220000000000</c:v>
                </c:pt>
                <c:pt idx="3">
                  <c:v>195390000000000</c:v>
                </c:pt>
                <c:pt idx="4">
                  <c:v>185320000000000</c:v>
                </c:pt>
                <c:pt idx="5">
                  <c:v>207120000000000</c:v>
                </c:pt>
                <c:pt idx="6">
                  <c:v>243740000000000</c:v>
                </c:pt>
                <c:pt idx="7">
                  <c:v>280600000000000</c:v>
                </c:pt>
                <c:pt idx="8">
                  <c:v>326750000000000</c:v>
                </c:pt>
              </c:numCache>
            </c:numRef>
          </c:yVal>
          <c:smooth val="1"/>
        </c:ser>
        <c:ser>
          <c:idx val="6"/>
          <c:order val="6"/>
          <c:tx>
            <c:v>SCALE total Be</c:v>
          </c:tx>
          <c:spPr>
            <a:ln w="28575">
              <a:solidFill>
                <a:prstClr val="black"/>
              </a:solidFill>
            </a:ln>
          </c:spPr>
          <c:marker>
            <c:symbol val="none"/>
          </c:marker>
          <c:xVal>
            <c:numRef>
              <c:f>Flux!$C$30:$C$40</c:f>
              <c:numCache>
                <c:formatCode>0.0000</c:formatCode>
                <c:ptCount val="11"/>
                <c:pt idx="0">
                  <c:v>24.764999999999986</c:v>
                </c:pt>
                <c:pt idx="1">
                  <c:v>26.307414999999999</c:v>
                </c:pt>
                <c:pt idx="2">
                  <c:v>28.89249999999986</c:v>
                </c:pt>
                <c:pt idx="3">
                  <c:v>31.670625000000001</c:v>
                </c:pt>
                <c:pt idx="4">
                  <c:v>34.837499999999999</c:v>
                </c:pt>
                <c:pt idx="5">
                  <c:v>37.837499999999999</c:v>
                </c:pt>
                <c:pt idx="6">
                  <c:v>40.837499999999999</c:v>
                </c:pt>
                <c:pt idx="7">
                  <c:v>43.837499999999999</c:v>
                </c:pt>
                <c:pt idx="8">
                  <c:v>46.837499999999999</c:v>
                </c:pt>
                <c:pt idx="9">
                  <c:v>49.837499999999999</c:v>
                </c:pt>
                <c:pt idx="10">
                  <c:v>52.973750000000003</c:v>
                </c:pt>
              </c:numCache>
            </c:numRef>
          </c:xVal>
          <c:yVal>
            <c:numRef>
              <c:f>Flux!$E$30:$E$40</c:f>
              <c:numCache>
                <c:formatCode>0.0000E+00</c:formatCode>
                <c:ptCount val="11"/>
                <c:pt idx="0">
                  <c:v>1409500000000000</c:v>
                </c:pt>
                <c:pt idx="1">
                  <c:v>1365200000000000</c:v>
                </c:pt>
                <c:pt idx="2">
                  <c:v>1232900000000000</c:v>
                </c:pt>
                <c:pt idx="3">
                  <c:v>1066100000000000</c:v>
                </c:pt>
                <c:pt idx="4">
                  <c:v>877090000000000</c:v>
                </c:pt>
                <c:pt idx="5">
                  <c:v>725040000000000</c:v>
                </c:pt>
                <c:pt idx="6">
                  <c:v>587560000000000</c:v>
                </c:pt>
                <c:pt idx="7">
                  <c:v>466980000000000</c:v>
                </c:pt>
                <c:pt idx="8">
                  <c:v>362430000000000</c:v>
                </c:pt>
                <c:pt idx="9">
                  <c:v>271720000000000</c:v>
                </c:pt>
                <c:pt idx="10">
                  <c:v>189320000000000</c:v>
                </c:pt>
              </c:numCache>
            </c:numRef>
          </c:yVal>
          <c:smooth val="1"/>
        </c:ser>
        <c:ser>
          <c:idx val="7"/>
          <c:order val="7"/>
          <c:tx>
            <c:v>SCALE thermal Be</c:v>
          </c:tx>
          <c:spPr>
            <a:ln w="28575">
              <a:solidFill>
                <a:schemeClr val="tx1"/>
              </a:solidFill>
              <a:prstDash val="sysDash"/>
            </a:ln>
          </c:spPr>
          <c:marker>
            <c:symbol val="none"/>
          </c:marker>
          <c:xVal>
            <c:numRef>
              <c:f>Flux!$C$30:$C$40</c:f>
              <c:numCache>
                <c:formatCode>0.0000</c:formatCode>
                <c:ptCount val="11"/>
                <c:pt idx="0">
                  <c:v>24.764999999999986</c:v>
                </c:pt>
                <c:pt idx="1">
                  <c:v>26.307414999999999</c:v>
                </c:pt>
                <c:pt idx="2">
                  <c:v>28.89249999999986</c:v>
                </c:pt>
                <c:pt idx="3">
                  <c:v>31.670625000000001</c:v>
                </c:pt>
                <c:pt idx="4">
                  <c:v>34.837499999999999</c:v>
                </c:pt>
                <c:pt idx="5">
                  <c:v>37.837499999999999</c:v>
                </c:pt>
                <c:pt idx="6">
                  <c:v>40.837499999999999</c:v>
                </c:pt>
                <c:pt idx="7">
                  <c:v>43.837499999999999</c:v>
                </c:pt>
                <c:pt idx="8">
                  <c:v>46.837499999999999</c:v>
                </c:pt>
                <c:pt idx="9">
                  <c:v>49.837499999999999</c:v>
                </c:pt>
                <c:pt idx="10">
                  <c:v>52.973750000000003</c:v>
                </c:pt>
              </c:numCache>
            </c:numRef>
          </c:xVal>
          <c:yVal>
            <c:numRef>
              <c:f>Flux!$D$30:$D$40</c:f>
              <c:numCache>
                <c:formatCode>0.0000E+00</c:formatCode>
                <c:ptCount val="11"/>
                <c:pt idx="0">
                  <c:v>620920000000000</c:v>
                </c:pt>
                <c:pt idx="1">
                  <c:v>696440000000000</c:v>
                </c:pt>
                <c:pt idx="2">
                  <c:v>747240000000000</c:v>
                </c:pt>
                <c:pt idx="3">
                  <c:v>739550000000000</c:v>
                </c:pt>
                <c:pt idx="4">
                  <c:v>669740000000000</c:v>
                </c:pt>
                <c:pt idx="5">
                  <c:v>588230000000000</c:v>
                </c:pt>
                <c:pt idx="6">
                  <c:v>499920000000000</c:v>
                </c:pt>
                <c:pt idx="7">
                  <c:v>412340000000000</c:v>
                </c:pt>
                <c:pt idx="8">
                  <c:v>329340000000000</c:v>
                </c:pt>
                <c:pt idx="9">
                  <c:v>252780000000000</c:v>
                </c:pt>
                <c:pt idx="10">
                  <c:v>180300000000000</c:v>
                </c:pt>
              </c:numCache>
            </c:numRef>
          </c:yVal>
          <c:smooth val="1"/>
        </c:ser>
        <c:ser>
          <c:idx val="8"/>
          <c:order val="8"/>
          <c:tx>
            <c:v>MCNP BOC (0-20MeV)</c:v>
          </c:tx>
          <c:spPr>
            <a:ln>
              <a:solidFill>
                <a:srgbClr val="FF0000"/>
              </a:solidFill>
            </a:ln>
          </c:spPr>
          <c:marker>
            <c:symbol val="none"/>
          </c:marker>
          <c:xVal>
            <c:numRef>
              <c:f>Flux!$H$4:$H$6</c:f>
              <c:numCache>
                <c:formatCode>General</c:formatCode>
                <c:ptCount val="3"/>
                <c:pt idx="0">
                  <c:v>1.689096960656798</c:v>
                </c:pt>
                <c:pt idx="1">
                  <c:v>3.3781999999999988</c:v>
                </c:pt>
                <c:pt idx="2">
                  <c:v>4.4689282006427442</c:v>
                </c:pt>
              </c:numCache>
            </c:numRef>
          </c:xVal>
          <c:yVal>
            <c:numRef>
              <c:f>Flux!$N$4:$N$6</c:f>
              <c:numCache>
                <c:formatCode>0.00E+00</c:formatCode>
                <c:ptCount val="3"/>
                <c:pt idx="0">
                  <c:v>3536362200000000</c:v>
                </c:pt>
                <c:pt idx="1">
                  <c:v>3523900200000000</c:v>
                </c:pt>
                <c:pt idx="2">
                  <c:v>3493383799999999.5</c:v>
                </c:pt>
              </c:numCache>
            </c:numRef>
          </c:yVal>
          <c:smooth val="1"/>
        </c:ser>
        <c:ser>
          <c:idx val="9"/>
          <c:order val="9"/>
          <c:tx>
            <c:v>MCNP BOC (0-3eV)</c:v>
          </c:tx>
          <c:spPr>
            <a:ln>
              <a:solidFill>
                <a:srgbClr val="FF0000"/>
              </a:solidFill>
              <a:prstDash val="sysDash"/>
            </a:ln>
          </c:spPr>
          <c:marker>
            <c:symbol val="none"/>
          </c:marker>
          <c:xVal>
            <c:numRef>
              <c:f>Flux!$H$4:$H$6</c:f>
              <c:numCache>
                <c:formatCode>General</c:formatCode>
                <c:ptCount val="3"/>
                <c:pt idx="0">
                  <c:v>1.689096960656798</c:v>
                </c:pt>
                <c:pt idx="1">
                  <c:v>3.3781999999999988</c:v>
                </c:pt>
                <c:pt idx="2">
                  <c:v>4.4689282006427442</c:v>
                </c:pt>
              </c:numCache>
            </c:numRef>
          </c:xVal>
          <c:yVal>
            <c:numRef>
              <c:f>Flux!$J$4:$J$6</c:f>
              <c:numCache>
                <c:formatCode>0.00E+00</c:formatCode>
                <c:ptCount val="3"/>
                <c:pt idx="0">
                  <c:v>1886988600000000</c:v>
                </c:pt>
                <c:pt idx="1">
                  <c:v>1818757600000000.2</c:v>
                </c:pt>
                <c:pt idx="2">
                  <c:v>1720611600000000</c:v>
                </c:pt>
              </c:numCache>
            </c:numRef>
          </c:yVal>
          <c:smooth val="1"/>
        </c:ser>
        <c:ser>
          <c:idx val="10"/>
          <c:order val="10"/>
          <c:tx>
            <c:v>BOC total IFE</c:v>
          </c:tx>
          <c:spPr>
            <a:ln>
              <a:solidFill>
                <a:srgbClr val="FF0000"/>
              </a:solidFill>
            </a:ln>
          </c:spPr>
          <c:marker>
            <c:symbol val="none"/>
          </c:marker>
          <c:xVal>
            <c:numRef>
              <c:f>Flux!$H$7:$H$14</c:f>
              <c:numCache>
                <c:formatCode>0.0000</c:formatCode>
                <c:ptCount val="8"/>
                <c:pt idx="0">
                  <c:v>7.3199999999999985</c:v>
                </c:pt>
                <c:pt idx="1">
                  <c:v>7.75</c:v>
                </c:pt>
                <c:pt idx="2">
                  <c:v>8.25</c:v>
                </c:pt>
                <c:pt idx="3">
                  <c:v>9</c:v>
                </c:pt>
                <c:pt idx="4">
                  <c:v>10</c:v>
                </c:pt>
                <c:pt idx="5">
                  <c:v>11</c:v>
                </c:pt>
                <c:pt idx="6">
                  <c:v>11.75</c:v>
                </c:pt>
                <c:pt idx="7">
                  <c:v>12.3</c:v>
                </c:pt>
              </c:numCache>
            </c:numRef>
          </c:xVal>
          <c:yVal>
            <c:numRef>
              <c:f>Flux!$N$7:$N$14</c:f>
              <c:numCache>
                <c:formatCode>0.00E+00</c:formatCode>
                <c:ptCount val="8"/>
                <c:pt idx="0">
                  <c:v>3084983600000000</c:v>
                </c:pt>
                <c:pt idx="1">
                  <c:v>3026089800000000</c:v>
                </c:pt>
                <c:pt idx="2">
                  <c:v>2980499340000000</c:v>
                </c:pt>
                <c:pt idx="3">
                  <c:v>2940167100000000</c:v>
                </c:pt>
                <c:pt idx="4">
                  <c:v>2909048679999999.5</c:v>
                </c:pt>
                <c:pt idx="5">
                  <c:v>2885863160000000</c:v>
                </c:pt>
                <c:pt idx="6">
                  <c:v>2871139400000000</c:v>
                </c:pt>
                <c:pt idx="7">
                  <c:v>2860562820000000</c:v>
                </c:pt>
              </c:numCache>
            </c:numRef>
          </c:yVal>
          <c:smooth val="1"/>
        </c:ser>
        <c:ser>
          <c:idx val="11"/>
          <c:order val="11"/>
          <c:tx>
            <c:v>BOC thermal IFE</c:v>
          </c:tx>
          <c:spPr>
            <a:ln>
              <a:solidFill>
                <a:srgbClr val="FF0000"/>
              </a:solidFill>
              <a:prstDash val="sysDash"/>
            </a:ln>
          </c:spPr>
          <c:marker>
            <c:symbol val="none"/>
          </c:marker>
          <c:xVal>
            <c:numRef>
              <c:f>Flux!$H$7:$H$14</c:f>
              <c:numCache>
                <c:formatCode>0.0000</c:formatCode>
                <c:ptCount val="8"/>
                <c:pt idx="0">
                  <c:v>7.3199999999999985</c:v>
                </c:pt>
                <c:pt idx="1">
                  <c:v>7.75</c:v>
                </c:pt>
                <c:pt idx="2">
                  <c:v>8.25</c:v>
                </c:pt>
                <c:pt idx="3">
                  <c:v>9</c:v>
                </c:pt>
                <c:pt idx="4">
                  <c:v>10</c:v>
                </c:pt>
                <c:pt idx="5">
                  <c:v>11</c:v>
                </c:pt>
                <c:pt idx="6">
                  <c:v>11.75</c:v>
                </c:pt>
                <c:pt idx="7">
                  <c:v>12.3</c:v>
                </c:pt>
              </c:numCache>
            </c:numRef>
          </c:xVal>
          <c:yVal>
            <c:numRef>
              <c:f>Flux!$J$7:$J$14</c:f>
              <c:numCache>
                <c:formatCode>0.00E+00</c:formatCode>
                <c:ptCount val="8"/>
                <c:pt idx="0">
                  <c:v>828605199999999.87</c:v>
                </c:pt>
                <c:pt idx="1">
                  <c:v>691783600000000</c:v>
                </c:pt>
                <c:pt idx="2">
                  <c:v>588632340000000</c:v>
                </c:pt>
                <c:pt idx="3">
                  <c:v>499797500000000</c:v>
                </c:pt>
                <c:pt idx="4">
                  <c:v>447059680000000</c:v>
                </c:pt>
                <c:pt idx="5">
                  <c:v>444749560000000</c:v>
                </c:pt>
                <c:pt idx="6">
                  <c:v>474523200000000</c:v>
                </c:pt>
                <c:pt idx="7">
                  <c:v>529703819999999.94</c:v>
                </c:pt>
              </c:numCache>
            </c:numRef>
          </c:yVal>
          <c:smooth val="1"/>
        </c:ser>
        <c:ser>
          <c:idx val="12"/>
          <c:order val="12"/>
          <c:tx>
            <c:v>BOC total OFE</c:v>
          </c:tx>
          <c:spPr>
            <a:ln>
              <a:solidFill>
                <a:srgbClr val="FF0000"/>
              </a:solidFill>
            </a:ln>
          </c:spPr>
          <c:marker>
            <c:symbol val="none"/>
          </c:marker>
          <c:xVal>
            <c:numRef>
              <c:f>Flux!$H$15:$H$23</c:f>
              <c:numCache>
                <c:formatCode>0.0000</c:formatCode>
                <c:ptCount val="9"/>
                <c:pt idx="0">
                  <c:v>15.314755</c:v>
                </c:pt>
                <c:pt idx="1">
                  <c:v>15.75</c:v>
                </c:pt>
                <c:pt idx="2">
                  <c:v>16.25</c:v>
                </c:pt>
                <c:pt idx="3">
                  <c:v>17</c:v>
                </c:pt>
                <c:pt idx="4">
                  <c:v>18</c:v>
                </c:pt>
                <c:pt idx="5">
                  <c:v>19</c:v>
                </c:pt>
                <c:pt idx="6">
                  <c:v>19.75</c:v>
                </c:pt>
                <c:pt idx="7">
                  <c:v>20.25</c:v>
                </c:pt>
                <c:pt idx="8">
                  <c:v>20.739000000000001</c:v>
                </c:pt>
              </c:numCache>
            </c:numRef>
          </c:xVal>
          <c:yVal>
            <c:numRef>
              <c:f>Flux!$N$15:$N$23</c:f>
              <c:numCache>
                <c:formatCode>0.00E+00</c:formatCode>
                <c:ptCount val="9"/>
                <c:pt idx="0">
                  <c:v>2682019560000000</c:v>
                </c:pt>
                <c:pt idx="1">
                  <c:v>2625442080000000</c:v>
                </c:pt>
                <c:pt idx="2">
                  <c:v>2554266700000000</c:v>
                </c:pt>
                <c:pt idx="3">
                  <c:v>2445270700000000</c:v>
                </c:pt>
                <c:pt idx="4">
                  <c:v>2303048900000000.5</c:v>
                </c:pt>
                <c:pt idx="5">
                  <c:v>2160232520000000</c:v>
                </c:pt>
                <c:pt idx="6">
                  <c:v>2052041900000000</c:v>
                </c:pt>
                <c:pt idx="7">
                  <c:v>1976356020000000</c:v>
                </c:pt>
                <c:pt idx="8">
                  <c:v>1920789139999999.7</c:v>
                </c:pt>
              </c:numCache>
            </c:numRef>
          </c:yVal>
          <c:smooth val="1"/>
        </c:ser>
        <c:ser>
          <c:idx val="13"/>
          <c:order val="13"/>
          <c:tx>
            <c:v>BOC thermal OFE</c:v>
          </c:tx>
          <c:spPr>
            <a:ln>
              <a:solidFill>
                <a:srgbClr val="FF0000"/>
              </a:solidFill>
            </a:ln>
          </c:spPr>
          <c:marker>
            <c:symbol val="none"/>
          </c:marker>
          <c:xVal>
            <c:numRef>
              <c:f>Flux!$H$15:$H$23</c:f>
              <c:numCache>
                <c:formatCode>0.0000</c:formatCode>
                <c:ptCount val="9"/>
                <c:pt idx="0">
                  <c:v>15.314755</c:v>
                </c:pt>
                <c:pt idx="1">
                  <c:v>15.75</c:v>
                </c:pt>
                <c:pt idx="2">
                  <c:v>16.25</c:v>
                </c:pt>
                <c:pt idx="3">
                  <c:v>17</c:v>
                </c:pt>
                <c:pt idx="4">
                  <c:v>18</c:v>
                </c:pt>
                <c:pt idx="5">
                  <c:v>19</c:v>
                </c:pt>
                <c:pt idx="6">
                  <c:v>19.75</c:v>
                </c:pt>
                <c:pt idx="7">
                  <c:v>20.25</c:v>
                </c:pt>
                <c:pt idx="8">
                  <c:v>20.739000000000001</c:v>
                </c:pt>
              </c:numCache>
            </c:numRef>
          </c:xVal>
          <c:yVal>
            <c:numRef>
              <c:f>Flux!$J$15:$J$23</c:f>
              <c:numCache>
                <c:formatCode>0.00E+00</c:formatCode>
                <c:ptCount val="9"/>
                <c:pt idx="0">
                  <c:v>484689960000000</c:v>
                </c:pt>
                <c:pt idx="1">
                  <c:v>414522080000000</c:v>
                </c:pt>
                <c:pt idx="2">
                  <c:v>359510100000000</c:v>
                </c:pt>
                <c:pt idx="3">
                  <c:v>312328100000000</c:v>
                </c:pt>
                <c:pt idx="4">
                  <c:v>289295100000000</c:v>
                </c:pt>
                <c:pt idx="5">
                  <c:v>295756120000000</c:v>
                </c:pt>
                <c:pt idx="6">
                  <c:v>315521100000000</c:v>
                </c:pt>
                <c:pt idx="7">
                  <c:v>336536620000000</c:v>
                </c:pt>
                <c:pt idx="8">
                  <c:v>351972140000000</c:v>
                </c:pt>
              </c:numCache>
            </c:numRef>
          </c:yVal>
          <c:smooth val="1"/>
        </c:ser>
        <c:ser>
          <c:idx val="14"/>
          <c:order val="14"/>
          <c:tx>
            <c:v>BOC total Be</c:v>
          </c:tx>
          <c:spPr>
            <a:ln>
              <a:solidFill>
                <a:srgbClr val="FF0000"/>
              </a:solidFill>
            </a:ln>
          </c:spPr>
          <c:marker>
            <c:symbol val="none"/>
          </c:marker>
          <c:xVal>
            <c:numRef>
              <c:f>Flux!$H$24:$H$34</c:f>
              <c:numCache>
                <c:formatCode>0.0000</c:formatCode>
                <c:ptCount val="11"/>
                <c:pt idx="0">
                  <c:v>24.764999999999986</c:v>
                </c:pt>
                <c:pt idx="1">
                  <c:v>26.307414999999999</c:v>
                </c:pt>
                <c:pt idx="2">
                  <c:v>28.89249999999986</c:v>
                </c:pt>
                <c:pt idx="3">
                  <c:v>31.670625000000001</c:v>
                </c:pt>
                <c:pt idx="4">
                  <c:v>34.837499999999999</c:v>
                </c:pt>
                <c:pt idx="5">
                  <c:v>37.837499999999999</c:v>
                </c:pt>
                <c:pt idx="6">
                  <c:v>40.837499999999999</c:v>
                </c:pt>
                <c:pt idx="7">
                  <c:v>43.837499999999999</c:v>
                </c:pt>
                <c:pt idx="8">
                  <c:v>46.837499999999999</c:v>
                </c:pt>
                <c:pt idx="9">
                  <c:v>49.837499999999999</c:v>
                </c:pt>
                <c:pt idx="10">
                  <c:v>52.973750000000003</c:v>
                </c:pt>
              </c:numCache>
            </c:numRef>
          </c:xVal>
          <c:yVal>
            <c:numRef>
              <c:f>Flux!$N$24:$N$34</c:f>
              <c:numCache>
                <c:formatCode>0.00E+00</c:formatCode>
                <c:ptCount val="11"/>
                <c:pt idx="0">
                  <c:v>1379228440000000</c:v>
                </c:pt>
                <c:pt idx="1">
                  <c:v>1334326180000000</c:v>
                </c:pt>
                <c:pt idx="2">
                  <c:v>1161813660000000</c:v>
                </c:pt>
                <c:pt idx="3">
                  <c:v>961825219999999.87</c:v>
                </c:pt>
                <c:pt idx="4">
                  <c:v>736158240000000</c:v>
                </c:pt>
                <c:pt idx="5">
                  <c:v>564940280000000</c:v>
                </c:pt>
                <c:pt idx="6">
                  <c:v>424117820000000</c:v>
                </c:pt>
                <c:pt idx="7">
                  <c:v>331432346000000</c:v>
                </c:pt>
                <c:pt idx="8">
                  <c:v>257638519999999.97</c:v>
                </c:pt>
                <c:pt idx="9">
                  <c:v>193968301999999.97</c:v>
                </c:pt>
                <c:pt idx="10">
                  <c:v>136707333999999.98</c:v>
                </c:pt>
              </c:numCache>
            </c:numRef>
          </c:yVal>
          <c:smooth val="1"/>
        </c:ser>
        <c:ser>
          <c:idx val="15"/>
          <c:order val="15"/>
          <c:tx>
            <c:v>BOC thermal Be</c:v>
          </c:tx>
          <c:spPr>
            <a:ln>
              <a:solidFill>
                <a:srgbClr val="FF0000"/>
              </a:solidFill>
            </a:ln>
          </c:spPr>
          <c:marker>
            <c:symbol val="none"/>
          </c:marker>
          <c:xVal>
            <c:numRef>
              <c:f>Flux!$H$24:$H$34</c:f>
              <c:numCache>
                <c:formatCode>0.0000</c:formatCode>
                <c:ptCount val="11"/>
                <c:pt idx="0">
                  <c:v>24.764999999999986</c:v>
                </c:pt>
                <c:pt idx="1">
                  <c:v>26.307414999999999</c:v>
                </c:pt>
                <c:pt idx="2">
                  <c:v>28.89249999999986</c:v>
                </c:pt>
                <c:pt idx="3">
                  <c:v>31.670625000000001</c:v>
                </c:pt>
                <c:pt idx="4">
                  <c:v>34.837499999999999</c:v>
                </c:pt>
                <c:pt idx="5">
                  <c:v>37.837499999999999</c:v>
                </c:pt>
                <c:pt idx="6">
                  <c:v>40.837499999999999</c:v>
                </c:pt>
                <c:pt idx="7">
                  <c:v>43.837499999999999</c:v>
                </c:pt>
                <c:pt idx="8">
                  <c:v>46.837499999999999</c:v>
                </c:pt>
                <c:pt idx="9">
                  <c:v>49.837499999999999</c:v>
                </c:pt>
                <c:pt idx="10">
                  <c:v>52.973750000000003</c:v>
                </c:pt>
              </c:numCache>
            </c:numRef>
          </c:xVal>
          <c:yVal>
            <c:numRef>
              <c:f>Flux!$J$24:$J$34</c:f>
              <c:numCache>
                <c:formatCode>0.00E+00</c:formatCode>
                <c:ptCount val="11"/>
                <c:pt idx="0">
                  <c:v>463649640000000</c:v>
                </c:pt>
                <c:pt idx="1">
                  <c:v>553380380000000</c:v>
                </c:pt>
                <c:pt idx="2">
                  <c:v>602036120000000</c:v>
                </c:pt>
                <c:pt idx="3">
                  <c:v>591276020000000</c:v>
                </c:pt>
                <c:pt idx="4">
                  <c:v>524082280000000</c:v>
                </c:pt>
                <c:pt idx="5">
                  <c:v>439108800000000</c:v>
                </c:pt>
                <c:pt idx="6">
                  <c:v>351058260000000</c:v>
                </c:pt>
                <c:pt idx="7">
                  <c:v>285753660000000</c:v>
                </c:pt>
                <c:pt idx="8">
                  <c:v>229400000000000</c:v>
                </c:pt>
                <c:pt idx="9">
                  <c:v>177066420000000</c:v>
                </c:pt>
                <c:pt idx="10">
                  <c:v>127968000000000</c:v>
                </c:pt>
              </c:numCache>
            </c:numRef>
          </c:yVal>
          <c:smooth val="1"/>
        </c:ser>
        <c:ser>
          <c:idx val="16"/>
          <c:order val="16"/>
          <c:tx>
            <c:v>MCNP EOC (0-20MeV)</c:v>
          </c:tx>
          <c:spPr>
            <a:ln>
              <a:solidFill>
                <a:srgbClr val="0000FF"/>
              </a:solidFill>
            </a:ln>
          </c:spPr>
          <c:marker>
            <c:symbol val="none"/>
          </c:marker>
          <c:xVal>
            <c:numRef>
              <c:f>Flux!$H$39:$H$41</c:f>
              <c:numCache>
                <c:formatCode>General</c:formatCode>
                <c:ptCount val="3"/>
                <c:pt idx="0">
                  <c:v>1.689096960656798</c:v>
                </c:pt>
                <c:pt idx="1">
                  <c:v>3.3781999999999988</c:v>
                </c:pt>
                <c:pt idx="2">
                  <c:v>4.4689282006427442</c:v>
                </c:pt>
              </c:numCache>
            </c:numRef>
          </c:xVal>
          <c:yVal>
            <c:numRef>
              <c:f>Flux!$N$39:$N$41</c:f>
              <c:numCache>
                <c:formatCode>0.00E+00</c:formatCode>
                <c:ptCount val="3"/>
                <c:pt idx="0">
                  <c:v>3432878000000000</c:v>
                </c:pt>
                <c:pt idx="1">
                  <c:v>3434006399999999.5</c:v>
                </c:pt>
                <c:pt idx="2">
                  <c:v>3423962400000000</c:v>
                </c:pt>
              </c:numCache>
            </c:numRef>
          </c:yVal>
          <c:smooth val="1"/>
        </c:ser>
        <c:ser>
          <c:idx val="17"/>
          <c:order val="17"/>
          <c:tx>
            <c:v>MCNP EOC (0-3eV)</c:v>
          </c:tx>
          <c:spPr>
            <a:ln>
              <a:solidFill>
                <a:srgbClr val="0000FF"/>
              </a:solidFill>
              <a:prstDash val="sysDash"/>
            </a:ln>
          </c:spPr>
          <c:marker>
            <c:symbol val="none"/>
          </c:marker>
          <c:xVal>
            <c:numRef>
              <c:f>Flux!$H$39:$H$41</c:f>
              <c:numCache>
                <c:formatCode>General</c:formatCode>
                <c:ptCount val="3"/>
                <c:pt idx="0">
                  <c:v>1.689096960656798</c:v>
                </c:pt>
                <c:pt idx="1">
                  <c:v>3.3781999999999988</c:v>
                </c:pt>
                <c:pt idx="2">
                  <c:v>4.4689282006427442</c:v>
                </c:pt>
              </c:numCache>
            </c:numRef>
          </c:xVal>
          <c:yVal>
            <c:numRef>
              <c:f>Flux!$J$39:$J$41</c:f>
              <c:numCache>
                <c:formatCode>0.00E+00</c:formatCode>
                <c:ptCount val="3"/>
                <c:pt idx="0">
                  <c:v>1925484400000000</c:v>
                </c:pt>
                <c:pt idx="1">
                  <c:v>1877459200000000.3</c:v>
                </c:pt>
                <c:pt idx="2">
                  <c:v>1809538199999999.7</c:v>
                </c:pt>
              </c:numCache>
            </c:numRef>
          </c:yVal>
          <c:smooth val="1"/>
        </c:ser>
        <c:ser>
          <c:idx val="18"/>
          <c:order val="18"/>
          <c:tx>
            <c:v>EOC total IFE</c:v>
          </c:tx>
          <c:spPr>
            <a:ln>
              <a:solidFill>
                <a:srgbClr val="0000FF"/>
              </a:solidFill>
            </a:ln>
          </c:spPr>
          <c:marker>
            <c:symbol val="none"/>
          </c:marker>
          <c:xVal>
            <c:numRef>
              <c:f>Flux!$H$42:$H$49</c:f>
              <c:numCache>
                <c:formatCode>0.0000</c:formatCode>
                <c:ptCount val="8"/>
                <c:pt idx="0">
                  <c:v>7.3199999999999985</c:v>
                </c:pt>
                <c:pt idx="1">
                  <c:v>7.75</c:v>
                </c:pt>
                <c:pt idx="2">
                  <c:v>8.25</c:v>
                </c:pt>
                <c:pt idx="3">
                  <c:v>9</c:v>
                </c:pt>
                <c:pt idx="4">
                  <c:v>10</c:v>
                </c:pt>
                <c:pt idx="5">
                  <c:v>11</c:v>
                </c:pt>
                <c:pt idx="6">
                  <c:v>11.75</c:v>
                </c:pt>
                <c:pt idx="7">
                  <c:v>12.3</c:v>
                </c:pt>
              </c:numCache>
            </c:numRef>
          </c:xVal>
          <c:yVal>
            <c:numRef>
              <c:f>Flux!$N$42:$N$49</c:f>
              <c:numCache>
                <c:formatCode>0.00E+00</c:formatCode>
                <c:ptCount val="8"/>
                <c:pt idx="0">
                  <c:v>3136958200000000</c:v>
                </c:pt>
                <c:pt idx="1">
                  <c:v>3085901200000000</c:v>
                </c:pt>
                <c:pt idx="2">
                  <c:v>3032779599999999.5</c:v>
                </c:pt>
                <c:pt idx="3">
                  <c:v>2964604400000000</c:v>
                </c:pt>
                <c:pt idx="4">
                  <c:v>2903074360000000</c:v>
                </c:pt>
                <c:pt idx="5">
                  <c:v>2871388640000000</c:v>
                </c:pt>
                <c:pt idx="6">
                  <c:v>2861019760000000</c:v>
                </c:pt>
                <c:pt idx="7">
                  <c:v>2854728000000000</c:v>
                </c:pt>
              </c:numCache>
            </c:numRef>
          </c:yVal>
          <c:smooth val="1"/>
        </c:ser>
        <c:ser>
          <c:idx val="20"/>
          <c:order val="19"/>
          <c:tx>
            <c:v>EOC thermal IFE</c:v>
          </c:tx>
          <c:spPr>
            <a:ln>
              <a:solidFill>
                <a:srgbClr val="0000FF"/>
              </a:solidFill>
              <a:prstDash val="sysDash"/>
            </a:ln>
          </c:spPr>
          <c:marker>
            <c:symbol val="none"/>
          </c:marker>
          <c:xVal>
            <c:numRef>
              <c:f>Flux!$H$42:$H$49</c:f>
              <c:numCache>
                <c:formatCode>0.0000</c:formatCode>
                <c:ptCount val="8"/>
                <c:pt idx="0">
                  <c:v>7.3199999999999985</c:v>
                </c:pt>
                <c:pt idx="1">
                  <c:v>7.75</c:v>
                </c:pt>
                <c:pt idx="2">
                  <c:v>8.25</c:v>
                </c:pt>
                <c:pt idx="3">
                  <c:v>9</c:v>
                </c:pt>
                <c:pt idx="4">
                  <c:v>10</c:v>
                </c:pt>
                <c:pt idx="5">
                  <c:v>11</c:v>
                </c:pt>
                <c:pt idx="6">
                  <c:v>11.75</c:v>
                </c:pt>
                <c:pt idx="7">
                  <c:v>12.3</c:v>
                </c:pt>
              </c:numCache>
            </c:numRef>
          </c:xVal>
          <c:yVal>
            <c:numRef>
              <c:f>Flux!$J$42:$J$49</c:f>
              <c:numCache>
                <c:formatCode>0.00E+00</c:formatCode>
                <c:ptCount val="8"/>
                <c:pt idx="0">
                  <c:v>1099470800000000</c:v>
                </c:pt>
                <c:pt idx="1">
                  <c:v>962636800000000</c:v>
                </c:pt>
                <c:pt idx="2">
                  <c:v>828202200000000</c:v>
                </c:pt>
                <c:pt idx="3">
                  <c:v>683178000000000</c:v>
                </c:pt>
                <c:pt idx="4">
                  <c:v>578774960000000</c:v>
                </c:pt>
                <c:pt idx="5">
                  <c:v>559848840000000</c:v>
                </c:pt>
                <c:pt idx="6">
                  <c:v>593406960000000</c:v>
                </c:pt>
                <c:pt idx="7">
                  <c:v>649698000000000</c:v>
                </c:pt>
              </c:numCache>
            </c:numRef>
          </c:yVal>
          <c:smooth val="1"/>
        </c:ser>
        <c:ser>
          <c:idx val="19"/>
          <c:order val="20"/>
          <c:tx>
            <c:v>EOC total OFE</c:v>
          </c:tx>
          <c:spPr>
            <a:ln>
              <a:solidFill>
                <a:srgbClr val="0000FF"/>
              </a:solidFill>
            </a:ln>
          </c:spPr>
          <c:marker>
            <c:symbol val="none"/>
          </c:marker>
          <c:xVal>
            <c:numRef>
              <c:f>Flux!$H$50:$H$58</c:f>
              <c:numCache>
                <c:formatCode>0.0000</c:formatCode>
                <c:ptCount val="9"/>
                <c:pt idx="0">
                  <c:v>15.314755</c:v>
                </c:pt>
                <c:pt idx="1">
                  <c:v>15.75</c:v>
                </c:pt>
                <c:pt idx="2">
                  <c:v>16.25</c:v>
                </c:pt>
                <c:pt idx="3">
                  <c:v>17</c:v>
                </c:pt>
                <c:pt idx="4">
                  <c:v>18</c:v>
                </c:pt>
                <c:pt idx="5">
                  <c:v>19</c:v>
                </c:pt>
                <c:pt idx="6">
                  <c:v>19.75</c:v>
                </c:pt>
                <c:pt idx="7">
                  <c:v>20.25</c:v>
                </c:pt>
                <c:pt idx="8">
                  <c:v>20.739000000000001</c:v>
                </c:pt>
              </c:numCache>
            </c:numRef>
          </c:xVal>
          <c:yVal>
            <c:numRef>
              <c:f>Flux!$N$50:$N$58</c:f>
              <c:numCache>
                <c:formatCode>0.00E+00</c:formatCode>
                <c:ptCount val="9"/>
                <c:pt idx="0">
                  <c:v>2694963920000000</c:v>
                </c:pt>
                <c:pt idx="1">
                  <c:v>2646129000000000</c:v>
                </c:pt>
                <c:pt idx="2">
                  <c:v>2586976660000000</c:v>
                </c:pt>
                <c:pt idx="3">
                  <c:v>2508301760000000</c:v>
                </c:pt>
                <c:pt idx="4">
                  <c:v>2422199260000000</c:v>
                </c:pt>
                <c:pt idx="5">
                  <c:v>2359609020000000</c:v>
                </c:pt>
                <c:pt idx="6">
                  <c:v>2328563140000000</c:v>
                </c:pt>
                <c:pt idx="7">
                  <c:v>2312472280000000</c:v>
                </c:pt>
                <c:pt idx="8">
                  <c:v>2304267200000000</c:v>
                </c:pt>
              </c:numCache>
            </c:numRef>
          </c:yVal>
          <c:smooth val="1"/>
        </c:ser>
        <c:ser>
          <c:idx val="21"/>
          <c:order val="21"/>
          <c:tx>
            <c:v>EOC thermal OFE</c:v>
          </c:tx>
          <c:spPr>
            <a:ln>
              <a:solidFill>
                <a:srgbClr val="0000FF"/>
              </a:solidFill>
              <a:prstDash val="sysDash"/>
            </a:ln>
          </c:spPr>
          <c:marker>
            <c:symbol val="none"/>
          </c:marker>
          <c:xVal>
            <c:numRef>
              <c:f>Flux!$H$50:$H$58</c:f>
              <c:numCache>
                <c:formatCode>0.0000</c:formatCode>
                <c:ptCount val="9"/>
                <c:pt idx="0">
                  <c:v>15.314755</c:v>
                </c:pt>
                <c:pt idx="1">
                  <c:v>15.75</c:v>
                </c:pt>
                <c:pt idx="2">
                  <c:v>16.25</c:v>
                </c:pt>
                <c:pt idx="3">
                  <c:v>17</c:v>
                </c:pt>
                <c:pt idx="4">
                  <c:v>18</c:v>
                </c:pt>
                <c:pt idx="5">
                  <c:v>19</c:v>
                </c:pt>
                <c:pt idx="6">
                  <c:v>19.75</c:v>
                </c:pt>
                <c:pt idx="7">
                  <c:v>20.25</c:v>
                </c:pt>
                <c:pt idx="8">
                  <c:v>20.739000000000001</c:v>
                </c:pt>
              </c:numCache>
            </c:numRef>
          </c:xVal>
          <c:yVal>
            <c:numRef>
              <c:f>Flux!$J$50:$J$58</c:f>
              <c:numCache>
                <c:formatCode>0.00E+00</c:formatCode>
                <c:ptCount val="9"/>
                <c:pt idx="0">
                  <c:v>564588120000000</c:v>
                </c:pt>
                <c:pt idx="1">
                  <c:v>486538799999999.94</c:v>
                </c:pt>
                <c:pt idx="2">
                  <c:v>422017260000000</c:v>
                </c:pt>
                <c:pt idx="3">
                  <c:v>369673760000000</c:v>
                </c:pt>
                <c:pt idx="4">
                  <c:v>358752460000000</c:v>
                </c:pt>
                <c:pt idx="5">
                  <c:v>406113020000000</c:v>
                </c:pt>
                <c:pt idx="6">
                  <c:v>481694740000000</c:v>
                </c:pt>
                <c:pt idx="7">
                  <c:v>556663279999999.94</c:v>
                </c:pt>
                <c:pt idx="8">
                  <c:v>623360400000000</c:v>
                </c:pt>
              </c:numCache>
            </c:numRef>
          </c:yVal>
          <c:smooth val="1"/>
        </c:ser>
        <c:ser>
          <c:idx val="22"/>
          <c:order val="22"/>
          <c:tx>
            <c:v>EOC total Be</c:v>
          </c:tx>
          <c:spPr>
            <a:ln>
              <a:solidFill>
                <a:srgbClr val="0000FF"/>
              </a:solidFill>
            </a:ln>
          </c:spPr>
          <c:marker>
            <c:symbol val="none"/>
          </c:marker>
          <c:xVal>
            <c:numRef>
              <c:f>Flux!$H$59:$H$69</c:f>
              <c:numCache>
                <c:formatCode>0.0000</c:formatCode>
                <c:ptCount val="11"/>
                <c:pt idx="0">
                  <c:v>24.764999999999986</c:v>
                </c:pt>
                <c:pt idx="1">
                  <c:v>26.307414999999999</c:v>
                </c:pt>
                <c:pt idx="2">
                  <c:v>28.89249999999986</c:v>
                </c:pt>
                <c:pt idx="3">
                  <c:v>31.670625000000001</c:v>
                </c:pt>
                <c:pt idx="4">
                  <c:v>34.837499999999999</c:v>
                </c:pt>
                <c:pt idx="5">
                  <c:v>37.837499999999999</c:v>
                </c:pt>
                <c:pt idx="6">
                  <c:v>40.837499999999999</c:v>
                </c:pt>
                <c:pt idx="7">
                  <c:v>43.837499999999999</c:v>
                </c:pt>
                <c:pt idx="8">
                  <c:v>46.837499999999999</c:v>
                </c:pt>
                <c:pt idx="9">
                  <c:v>49.837499999999999</c:v>
                </c:pt>
                <c:pt idx="10">
                  <c:v>52.973750000000003</c:v>
                </c:pt>
              </c:numCache>
            </c:numRef>
          </c:xVal>
          <c:yVal>
            <c:numRef>
              <c:f>Flux!$N$59:$N$69</c:f>
              <c:numCache>
                <c:formatCode>0.00E+00</c:formatCode>
                <c:ptCount val="11"/>
                <c:pt idx="0">
                  <c:v>1869622400000000</c:v>
                </c:pt>
                <c:pt idx="1">
                  <c:v>1765028399999999.7</c:v>
                </c:pt>
                <c:pt idx="2">
                  <c:v>1498238680000000</c:v>
                </c:pt>
                <c:pt idx="3">
                  <c:v>1219149400000000</c:v>
                </c:pt>
                <c:pt idx="4">
                  <c:v>912281019999999.87</c:v>
                </c:pt>
                <c:pt idx="5">
                  <c:v>693448300000000</c:v>
                </c:pt>
                <c:pt idx="6">
                  <c:v>514356959999999.94</c:v>
                </c:pt>
                <c:pt idx="7">
                  <c:v>398779225999999.94</c:v>
                </c:pt>
                <c:pt idx="8">
                  <c:v>308645610000000</c:v>
                </c:pt>
                <c:pt idx="9">
                  <c:v>230880808000000.03</c:v>
                </c:pt>
                <c:pt idx="10">
                  <c:v>162293680000000</c:v>
                </c:pt>
              </c:numCache>
            </c:numRef>
          </c:yVal>
          <c:smooth val="1"/>
        </c:ser>
        <c:ser>
          <c:idx val="23"/>
          <c:order val="23"/>
          <c:tx>
            <c:v>EOC thermal Be</c:v>
          </c:tx>
          <c:spPr>
            <a:ln>
              <a:solidFill>
                <a:srgbClr val="0000FF"/>
              </a:solidFill>
              <a:prstDash val="sysDash"/>
            </a:ln>
          </c:spPr>
          <c:marker>
            <c:symbol val="none"/>
          </c:marker>
          <c:xVal>
            <c:numRef>
              <c:f>Flux!$H$59:$H$69</c:f>
              <c:numCache>
                <c:formatCode>0.0000</c:formatCode>
                <c:ptCount val="11"/>
                <c:pt idx="0">
                  <c:v>24.764999999999986</c:v>
                </c:pt>
                <c:pt idx="1">
                  <c:v>26.307414999999999</c:v>
                </c:pt>
                <c:pt idx="2">
                  <c:v>28.89249999999986</c:v>
                </c:pt>
                <c:pt idx="3">
                  <c:v>31.670625000000001</c:v>
                </c:pt>
                <c:pt idx="4">
                  <c:v>34.837499999999999</c:v>
                </c:pt>
                <c:pt idx="5">
                  <c:v>37.837499999999999</c:v>
                </c:pt>
                <c:pt idx="6">
                  <c:v>40.837499999999999</c:v>
                </c:pt>
                <c:pt idx="7">
                  <c:v>43.837499999999999</c:v>
                </c:pt>
                <c:pt idx="8">
                  <c:v>46.837499999999999</c:v>
                </c:pt>
                <c:pt idx="9">
                  <c:v>49.837499999999999</c:v>
                </c:pt>
                <c:pt idx="10">
                  <c:v>52.973750000000003</c:v>
                </c:pt>
              </c:numCache>
            </c:numRef>
          </c:xVal>
          <c:yVal>
            <c:numRef>
              <c:f>Flux!$J$59:$J$69</c:f>
              <c:numCache>
                <c:formatCode>0.00E+00</c:formatCode>
                <c:ptCount val="11"/>
                <c:pt idx="0">
                  <c:v>859747800000000.12</c:v>
                </c:pt>
                <c:pt idx="1">
                  <c:v>916880800000000</c:v>
                </c:pt>
                <c:pt idx="2">
                  <c:v>898435800000000</c:v>
                </c:pt>
                <c:pt idx="3">
                  <c:v>824711600000000</c:v>
                </c:pt>
                <c:pt idx="4">
                  <c:v>687313400000000</c:v>
                </c:pt>
                <c:pt idx="5">
                  <c:v>560023060000000</c:v>
                </c:pt>
                <c:pt idx="6">
                  <c:v>437136580000000</c:v>
                </c:pt>
                <c:pt idx="7">
                  <c:v>350665180000000</c:v>
                </c:pt>
                <c:pt idx="8">
                  <c:v>279010540000000</c:v>
                </c:pt>
                <c:pt idx="9">
                  <c:v>213195060000000</c:v>
                </c:pt>
                <c:pt idx="10">
                  <c:v>153213160000000</c:v>
                </c:pt>
              </c:numCache>
            </c:numRef>
          </c:yVal>
          <c:smooth val="1"/>
        </c:ser>
        <c:axId val="194353024"/>
        <c:axId val="194367488"/>
      </c:scatterChart>
      <c:valAx>
        <c:axId val="194353024"/>
        <c:scaling>
          <c:orientation val="minMax"/>
          <c:max val="55"/>
        </c:scaling>
        <c:axPos val="b"/>
        <c:majorGridlines>
          <c:spPr>
            <a:ln>
              <a:solidFill>
                <a:sysClr val="windowText" lastClr="000000"/>
              </a:solidFill>
            </a:ln>
          </c:spPr>
        </c:majorGridlines>
        <c:minorGridlines/>
        <c:title>
          <c:tx>
            <c:rich>
              <a:bodyPr/>
              <a:lstStyle/>
              <a:p>
                <a:pPr>
                  <a:defRPr sz="1100"/>
                </a:pPr>
                <a:r>
                  <a:rPr lang="en-US" sz="1100"/>
                  <a:t>Distance from core centerline (cm)</a:t>
                </a:r>
              </a:p>
            </c:rich>
          </c:tx>
          <c:layout>
            <c:manualLayout>
              <c:xMode val="edge"/>
              <c:yMode val="edge"/>
              <c:x val="0.33261583494628738"/>
              <c:y val="0.946272236887166"/>
            </c:manualLayout>
          </c:layout>
        </c:title>
        <c:numFmt formatCode="0" sourceLinked="0"/>
        <c:tickLblPos val="nextTo"/>
        <c:spPr>
          <a:ln>
            <a:solidFill>
              <a:sysClr val="windowText" lastClr="000000"/>
            </a:solidFill>
          </a:ln>
        </c:spPr>
        <c:crossAx val="194367488"/>
        <c:crosses val="autoZero"/>
        <c:crossBetween val="midCat"/>
        <c:majorUnit val="5"/>
        <c:minorUnit val="2.5"/>
      </c:valAx>
      <c:valAx>
        <c:axId val="194367488"/>
        <c:scaling>
          <c:orientation val="minMax"/>
          <c:max val="4000000000000000"/>
        </c:scaling>
        <c:axPos val="l"/>
        <c:majorGridlines>
          <c:spPr>
            <a:ln>
              <a:solidFill>
                <a:sysClr val="windowText" lastClr="000000"/>
              </a:solidFill>
            </a:ln>
          </c:spPr>
        </c:majorGridlines>
        <c:minorGridlines/>
        <c:title>
          <c:tx>
            <c:rich>
              <a:bodyPr rot="-5400000" vert="horz"/>
              <a:lstStyle/>
              <a:p>
                <a:pPr>
                  <a:defRPr/>
                </a:pPr>
                <a:r>
                  <a:rPr lang="en-US"/>
                  <a:t>Axially Averaged Neutron Flux (n/cm2/s)</a:t>
                </a:r>
              </a:p>
            </c:rich>
          </c:tx>
          <c:layout>
            <c:manualLayout>
              <c:xMode val="edge"/>
              <c:yMode val="edge"/>
              <c:x val="2.6120533010296791E-3"/>
              <c:y val="0.11777808497560541"/>
            </c:manualLayout>
          </c:layout>
        </c:title>
        <c:numFmt formatCode="0.0E+00" sourceLinked="0"/>
        <c:tickLblPos val="nextTo"/>
        <c:spPr>
          <a:ln>
            <a:solidFill>
              <a:schemeClr val="tx1"/>
            </a:solidFill>
          </a:ln>
        </c:spPr>
        <c:crossAx val="194353024"/>
        <c:crosses val="autoZero"/>
        <c:crossBetween val="midCat"/>
      </c:valAx>
    </c:plotArea>
    <c:legend>
      <c:legendPos val="r"/>
      <c:legendEntry>
        <c:idx val="1"/>
        <c:delete val="1"/>
      </c:legendEntry>
      <c:legendEntry>
        <c:idx val="2"/>
        <c:delete val="1"/>
      </c:legendEntry>
      <c:legendEntry>
        <c:idx val="4"/>
        <c:delete val="1"/>
      </c:legendEntry>
      <c:legendEntry>
        <c:idx val="5"/>
        <c:delete val="1"/>
      </c:legendEntry>
      <c:legendEntry>
        <c:idx val="6"/>
        <c:delete val="1"/>
      </c:legendEntry>
      <c:legendEntry>
        <c:idx val="7"/>
        <c:delete val="1"/>
      </c:legendEntry>
      <c:legendEntry>
        <c:idx val="10"/>
        <c:delete val="1"/>
      </c:legendEntry>
      <c:legendEntry>
        <c:idx val="11"/>
        <c:delete val="1"/>
      </c:legendEntry>
      <c:legendEntry>
        <c:idx val="12"/>
        <c:delete val="1"/>
      </c:legendEntry>
      <c:legendEntry>
        <c:idx val="13"/>
        <c:delete val="1"/>
      </c:legendEntry>
      <c:legendEntry>
        <c:idx val="14"/>
        <c:delete val="1"/>
      </c:legendEntry>
      <c:legendEntry>
        <c:idx val="15"/>
        <c:delete val="1"/>
      </c:legendEntry>
      <c:legendEntry>
        <c:idx val="18"/>
        <c:delete val="1"/>
      </c:legendEntry>
      <c:legendEntry>
        <c:idx val="19"/>
        <c:delete val="1"/>
      </c:legendEntry>
      <c:legendEntry>
        <c:idx val="20"/>
        <c:delete val="1"/>
      </c:legendEntry>
      <c:legendEntry>
        <c:idx val="21"/>
        <c:delete val="1"/>
      </c:legendEntry>
      <c:legendEntry>
        <c:idx val="22"/>
        <c:delete val="1"/>
      </c:legendEntry>
      <c:legendEntry>
        <c:idx val="23"/>
        <c:delete val="1"/>
      </c:legendEntry>
      <c:layout>
        <c:manualLayout>
          <c:xMode val="edge"/>
          <c:yMode val="edge"/>
          <c:x val="0.63934631118858498"/>
          <c:y val="3.6774923336603142E-2"/>
          <c:w val="0.32906478220451696"/>
          <c:h val="0.35320209688997473"/>
        </c:manualLayout>
      </c:layout>
      <c:overlay val="1"/>
      <c:spPr>
        <a:solidFill>
          <a:schemeClr val="bg1"/>
        </a:solidFill>
        <a:ln w="12700">
          <a:solidFill>
            <a:sysClr val="windowText" lastClr="000000"/>
          </a:solidFill>
        </a:ln>
      </c:spPr>
      <c:txPr>
        <a:bodyPr/>
        <a:lstStyle/>
        <a:p>
          <a:pPr>
            <a:defRPr sz="1000"/>
          </a:pPr>
          <a:endParaRPr lang="en-US"/>
        </a:p>
      </c:txPr>
    </c:legend>
    <c:plotVisOnly val="1"/>
  </c:chart>
  <c:txPr>
    <a:bodyPr/>
    <a:lstStyle/>
    <a:p>
      <a:pPr>
        <a:defRPr sz="1050">
          <a:latin typeface="+mn-lt"/>
          <a:cs typeface="Arial" pitchFamily="34" charset="0"/>
        </a:defRPr>
      </a:pPr>
      <a:endParaRPr lang="en-US"/>
    </a:p>
  </c:txPr>
  <c:externalData r:id="rId1"/>
</c:chartSpace>
</file>

<file path=word/charts/chart44.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1093948943468325"/>
          <c:y val="3.1985294117647056E-2"/>
          <c:w val="0.78547797638167571"/>
          <c:h val="0.83506137100509492"/>
        </c:manualLayout>
      </c:layout>
      <c:scatterChart>
        <c:scatterStyle val="lineMarker"/>
        <c:ser>
          <c:idx val="0"/>
          <c:order val="0"/>
          <c:tx>
            <c:v>Cf252</c:v>
          </c:tx>
          <c:spPr>
            <a:ln>
              <a:solidFill>
                <a:srgbClr val="0000FF"/>
              </a:solidFill>
            </a:ln>
          </c:spPr>
          <c:marker>
            <c:symbol val="none"/>
          </c:marker>
          <c:xVal>
            <c:numRef>
              <c:f>Results!$C$3:$AG$3</c:f>
              <c:numCache>
                <c:formatCode>General</c:formatCode>
                <c:ptCount val="31"/>
                <c:pt idx="0">
                  <c:v>0</c:v>
                </c:pt>
                <c:pt idx="1">
                  <c:v>0.9324832500000001</c:v>
                </c:pt>
                <c:pt idx="2">
                  <c:v>1.9763677500000001</c:v>
                </c:pt>
                <c:pt idx="3">
                  <c:v>26.728994999999987</c:v>
                </c:pt>
                <c:pt idx="4">
                  <c:v>44.414399999999993</c:v>
                </c:pt>
                <c:pt idx="5">
                  <c:v>67.753874999999979</c:v>
                </c:pt>
                <c:pt idx="6">
                  <c:v>93.430950000000024</c:v>
                </c:pt>
                <c:pt idx="7">
                  <c:v>112.57004999999998</c:v>
                </c:pt>
                <c:pt idx="8">
                  <c:v>135.39817500000001</c:v>
                </c:pt>
                <c:pt idx="9">
                  <c:v>135.61732499999999</c:v>
                </c:pt>
                <c:pt idx="10">
                  <c:v>137.26094999999998</c:v>
                </c:pt>
                <c:pt idx="11">
                  <c:v>141.64394999999999</c:v>
                </c:pt>
                <c:pt idx="12">
                  <c:v>184.41472499999998</c:v>
                </c:pt>
                <c:pt idx="13">
                  <c:v>208.11944999999997</c:v>
                </c:pt>
                <c:pt idx="14">
                  <c:v>218.52907499999998</c:v>
                </c:pt>
                <c:pt idx="15">
                  <c:v>242.16074999999998</c:v>
                </c:pt>
                <c:pt idx="16">
                  <c:v>268.49527499999863</c:v>
                </c:pt>
                <c:pt idx="17">
                  <c:v>292.45567499999999</c:v>
                </c:pt>
                <c:pt idx="18">
                  <c:v>317.58487500000001</c:v>
                </c:pt>
                <c:pt idx="19">
                  <c:v>341.69137499999869</c:v>
                </c:pt>
                <c:pt idx="20">
                  <c:v>390.8175</c:v>
                </c:pt>
                <c:pt idx="21">
                  <c:v>405.06225000000001</c:v>
                </c:pt>
                <c:pt idx="22">
                  <c:v>409.44524999999999</c:v>
                </c:pt>
                <c:pt idx="23">
                  <c:v>413.46299999999923</c:v>
                </c:pt>
                <c:pt idx="24">
                  <c:v>429.53399999999863</c:v>
                </c:pt>
                <c:pt idx="25">
                  <c:v>450.35325000000006</c:v>
                </c:pt>
                <c:pt idx="26">
                  <c:v>499.29674999999753</c:v>
                </c:pt>
                <c:pt idx="27">
                  <c:v>523.40325000000007</c:v>
                </c:pt>
                <c:pt idx="28">
                  <c:v>548.24024999999949</c:v>
                </c:pt>
                <c:pt idx="29">
                  <c:v>571.98149999999998</c:v>
                </c:pt>
                <c:pt idx="30">
                  <c:v>753.87599999999998</c:v>
                </c:pt>
              </c:numCache>
            </c:numRef>
          </c:xVal>
          <c:yVal>
            <c:numRef>
              <c:f>Results!$AJ$12:$BN$12</c:f>
              <c:numCache>
                <c:formatCode>0.00</c:formatCode>
                <c:ptCount val="31"/>
                <c:pt idx="0">
                  <c:v>4.3779992099999845</c:v>
                </c:pt>
                <c:pt idx="1">
                  <c:v>4.7177327600000005</c:v>
                </c:pt>
                <c:pt idx="2">
                  <c:v>4.7146903699999845</c:v>
                </c:pt>
                <c:pt idx="3">
                  <c:v>52.237836300000012</c:v>
                </c:pt>
                <c:pt idx="4">
                  <c:v>51.57865180000001</c:v>
                </c:pt>
                <c:pt idx="5">
                  <c:v>104.35397699999965</c:v>
                </c:pt>
                <c:pt idx="6">
                  <c:v>102.528543</c:v>
                </c:pt>
                <c:pt idx="7">
                  <c:v>138.22591900000003</c:v>
                </c:pt>
                <c:pt idx="8">
                  <c:v>135.994833</c:v>
                </c:pt>
                <c:pt idx="9">
                  <c:v>136.40048499999997</c:v>
                </c:pt>
                <c:pt idx="10">
                  <c:v>136.29907199999911</c:v>
                </c:pt>
                <c:pt idx="11">
                  <c:v>143.49939499999999</c:v>
                </c:pt>
                <c:pt idx="12">
                  <c:v>139.13863600000047</c:v>
                </c:pt>
                <c:pt idx="13">
                  <c:v>175.14025099999998</c:v>
                </c:pt>
                <c:pt idx="14">
                  <c:v>173.82188200000004</c:v>
                </c:pt>
                <c:pt idx="15">
                  <c:v>203.23165199999914</c:v>
                </c:pt>
                <c:pt idx="16">
                  <c:v>199.37795800000004</c:v>
                </c:pt>
                <c:pt idx="17">
                  <c:v>223.91990399999995</c:v>
                </c:pt>
                <c:pt idx="18">
                  <c:v>219.964797</c:v>
                </c:pt>
                <c:pt idx="19">
                  <c:v>242.07283100000001</c:v>
                </c:pt>
                <c:pt idx="20">
                  <c:v>233.65555199999972</c:v>
                </c:pt>
                <c:pt idx="21">
                  <c:v>243.79685199999992</c:v>
                </c:pt>
                <c:pt idx="22">
                  <c:v>242.9855480000009</c:v>
                </c:pt>
                <c:pt idx="23">
                  <c:v>245.52087300000002</c:v>
                </c:pt>
                <c:pt idx="24">
                  <c:v>242.68130900000088</c:v>
                </c:pt>
                <c:pt idx="25">
                  <c:v>255.96641200000047</c:v>
                </c:pt>
                <c:pt idx="26">
                  <c:v>247.14348099999998</c:v>
                </c:pt>
                <c:pt idx="27">
                  <c:v>261.64553999999993</c:v>
                </c:pt>
                <c:pt idx="28">
                  <c:v>256.98054199999899</c:v>
                </c:pt>
                <c:pt idx="29">
                  <c:v>267.73031999999677</c:v>
                </c:pt>
                <c:pt idx="30">
                  <c:v>234.97392100000002</c:v>
                </c:pt>
              </c:numCache>
            </c:numRef>
          </c:yVal>
        </c:ser>
        <c:axId val="139338496"/>
        <c:axId val="139340416"/>
      </c:scatterChart>
      <c:scatterChart>
        <c:scatterStyle val="lineMarker"/>
        <c:ser>
          <c:idx val="1"/>
          <c:order val="1"/>
          <c:tx>
            <c:v>Bk249</c:v>
          </c:tx>
          <c:spPr>
            <a:ln>
              <a:solidFill>
                <a:srgbClr val="FF0000"/>
              </a:solidFill>
            </a:ln>
          </c:spPr>
          <c:marker>
            <c:symbol val="none"/>
          </c:marker>
          <c:xVal>
            <c:numRef>
              <c:f>Results!$C$3:$AG$3</c:f>
              <c:numCache>
                <c:formatCode>General</c:formatCode>
                <c:ptCount val="31"/>
                <c:pt idx="0">
                  <c:v>0</c:v>
                </c:pt>
                <c:pt idx="1">
                  <c:v>0.9324832500000001</c:v>
                </c:pt>
                <c:pt idx="2">
                  <c:v>1.9763677500000001</c:v>
                </c:pt>
                <c:pt idx="3">
                  <c:v>26.728994999999987</c:v>
                </c:pt>
                <c:pt idx="4">
                  <c:v>44.414399999999993</c:v>
                </c:pt>
                <c:pt idx="5">
                  <c:v>67.753874999999979</c:v>
                </c:pt>
                <c:pt idx="6">
                  <c:v>93.430950000000024</c:v>
                </c:pt>
                <c:pt idx="7">
                  <c:v>112.57004999999998</c:v>
                </c:pt>
                <c:pt idx="8">
                  <c:v>135.39817500000001</c:v>
                </c:pt>
                <c:pt idx="9">
                  <c:v>135.61732499999999</c:v>
                </c:pt>
                <c:pt idx="10">
                  <c:v>137.26094999999998</c:v>
                </c:pt>
                <c:pt idx="11">
                  <c:v>141.64394999999999</c:v>
                </c:pt>
                <c:pt idx="12">
                  <c:v>184.41472499999998</c:v>
                </c:pt>
                <c:pt idx="13">
                  <c:v>208.11944999999997</c:v>
                </c:pt>
                <c:pt idx="14">
                  <c:v>218.52907499999998</c:v>
                </c:pt>
                <c:pt idx="15">
                  <c:v>242.16074999999998</c:v>
                </c:pt>
                <c:pt idx="16">
                  <c:v>268.49527499999863</c:v>
                </c:pt>
                <c:pt idx="17">
                  <c:v>292.45567499999999</c:v>
                </c:pt>
                <c:pt idx="18">
                  <c:v>317.58487500000001</c:v>
                </c:pt>
                <c:pt idx="19">
                  <c:v>341.69137499999869</c:v>
                </c:pt>
                <c:pt idx="20">
                  <c:v>390.8175</c:v>
                </c:pt>
                <c:pt idx="21">
                  <c:v>405.06225000000001</c:v>
                </c:pt>
                <c:pt idx="22">
                  <c:v>409.44524999999999</c:v>
                </c:pt>
                <c:pt idx="23">
                  <c:v>413.46299999999923</c:v>
                </c:pt>
                <c:pt idx="24">
                  <c:v>429.53399999999863</c:v>
                </c:pt>
                <c:pt idx="25">
                  <c:v>450.35325000000006</c:v>
                </c:pt>
                <c:pt idx="26">
                  <c:v>499.29674999999753</c:v>
                </c:pt>
                <c:pt idx="27">
                  <c:v>523.40325000000007</c:v>
                </c:pt>
                <c:pt idx="28">
                  <c:v>548.24024999999949</c:v>
                </c:pt>
                <c:pt idx="29">
                  <c:v>571.98149999999998</c:v>
                </c:pt>
                <c:pt idx="30">
                  <c:v>753.87599999999998</c:v>
                </c:pt>
              </c:numCache>
            </c:numRef>
          </c:xVal>
          <c:yVal>
            <c:numRef>
              <c:f>Results!$AJ$13:$BN$13</c:f>
              <c:numCache>
                <c:formatCode>0.00</c:formatCode>
                <c:ptCount val="31"/>
                <c:pt idx="0">
                  <c:v>2.3010609699999987</c:v>
                </c:pt>
                <c:pt idx="1">
                  <c:v>8.8330723000000013</c:v>
                </c:pt>
                <c:pt idx="2">
                  <c:v>9.3685329400000068</c:v>
                </c:pt>
                <c:pt idx="3">
                  <c:v>43.212079300000013</c:v>
                </c:pt>
                <c:pt idx="4">
                  <c:v>42.218231900000013</c:v>
                </c:pt>
                <c:pt idx="5">
                  <c:v>42.421057900000001</c:v>
                </c:pt>
                <c:pt idx="6">
                  <c:v>40.980993300000002</c:v>
                </c:pt>
                <c:pt idx="7">
                  <c:v>42.238514500000228</c:v>
                </c:pt>
                <c:pt idx="8">
                  <c:v>41.122971500000013</c:v>
                </c:pt>
                <c:pt idx="9">
                  <c:v>40.666613000000012</c:v>
                </c:pt>
                <c:pt idx="10">
                  <c:v>41.092547600000003</c:v>
                </c:pt>
                <c:pt idx="11">
                  <c:v>41.528623500000002</c:v>
                </c:pt>
                <c:pt idx="12">
                  <c:v>39.135276700000013</c:v>
                </c:pt>
                <c:pt idx="13">
                  <c:v>41.863286399999993</c:v>
                </c:pt>
                <c:pt idx="14">
                  <c:v>41.650319100000011</c:v>
                </c:pt>
                <c:pt idx="15">
                  <c:v>41.254808400000002</c:v>
                </c:pt>
                <c:pt idx="16">
                  <c:v>40.189971900000003</c:v>
                </c:pt>
                <c:pt idx="17">
                  <c:v>41.204101900000012</c:v>
                </c:pt>
                <c:pt idx="18">
                  <c:v>40.281243599999996</c:v>
                </c:pt>
                <c:pt idx="19">
                  <c:v>40.544917399999996</c:v>
                </c:pt>
                <c:pt idx="20">
                  <c:v>38.526798700000221</c:v>
                </c:pt>
                <c:pt idx="21">
                  <c:v>40.291384900000011</c:v>
                </c:pt>
                <c:pt idx="22">
                  <c:v>40.514493499999944</c:v>
                </c:pt>
                <c:pt idx="23">
                  <c:v>40.129124100000013</c:v>
                </c:pt>
                <c:pt idx="24">
                  <c:v>39.764037300000012</c:v>
                </c:pt>
                <c:pt idx="25">
                  <c:v>40.129124100000013</c:v>
                </c:pt>
                <c:pt idx="26">
                  <c:v>38.263124900000228</c:v>
                </c:pt>
                <c:pt idx="27">
                  <c:v>39.571352600000012</c:v>
                </c:pt>
                <c:pt idx="28">
                  <c:v>38.841179000000004</c:v>
                </c:pt>
                <c:pt idx="29">
                  <c:v>39.226548400000013</c:v>
                </c:pt>
                <c:pt idx="30">
                  <c:v>29.227226600000002</c:v>
                </c:pt>
              </c:numCache>
            </c:numRef>
          </c:yVal>
        </c:ser>
        <c:axId val="192563840"/>
        <c:axId val="192561920"/>
      </c:scatterChart>
      <c:valAx>
        <c:axId val="139338496"/>
        <c:scaling>
          <c:orientation val="minMax"/>
          <c:max val="800"/>
          <c:min val="0"/>
        </c:scaling>
        <c:axPos val="b"/>
        <c:majorGridlines>
          <c:spPr>
            <a:ln>
              <a:solidFill>
                <a:sysClr val="windowText" lastClr="000000"/>
              </a:solidFill>
            </a:ln>
          </c:spPr>
        </c:majorGridlines>
        <c:minorGridlines/>
        <c:title>
          <c:tx>
            <c:rich>
              <a:bodyPr/>
              <a:lstStyle/>
              <a:p>
                <a:pPr>
                  <a:defRPr/>
                </a:pPr>
                <a:r>
                  <a:rPr lang="en-US"/>
                  <a:t>Time From BOC 408 (days)</a:t>
                </a:r>
              </a:p>
            </c:rich>
          </c:tx>
          <c:layout>
            <c:manualLayout>
              <c:xMode val="edge"/>
              <c:yMode val="edge"/>
              <c:x val="0.36898560031889038"/>
              <c:y val="0.94093137254902581"/>
            </c:manualLayout>
          </c:layout>
        </c:title>
        <c:numFmt formatCode="General" sourceLinked="0"/>
        <c:tickLblPos val="nextTo"/>
        <c:spPr>
          <a:ln>
            <a:solidFill>
              <a:sysClr val="windowText" lastClr="000000"/>
            </a:solidFill>
          </a:ln>
        </c:spPr>
        <c:txPr>
          <a:bodyPr/>
          <a:lstStyle/>
          <a:p>
            <a:pPr>
              <a:defRPr sz="1000"/>
            </a:pPr>
            <a:endParaRPr lang="en-US"/>
          </a:p>
        </c:txPr>
        <c:crossAx val="139340416"/>
        <c:crosses val="autoZero"/>
        <c:crossBetween val="midCat"/>
        <c:majorUnit val="100"/>
        <c:minorUnit val="25"/>
      </c:valAx>
      <c:valAx>
        <c:axId val="139340416"/>
        <c:scaling>
          <c:orientation val="minMax"/>
        </c:scaling>
        <c:axPos val="l"/>
        <c:majorGridlines>
          <c:spPr>
            <a:ln>
              <a:solidFill>
                <a:sysClr val="windowText" lastClr="000000"/>
              </a:solidFill>
            </a:ln>
          </c:spPr>
        </c:majorGridlines>
        <c:minorGridlines/>
        <c:title>
          <c:tx>
            <c:rich>
              <a:bodyPr rot="-5400000" vert="horz"/>
              <a:lstStyle/>
              <a:p>
                <a:pPr>
                  <a:defRPr sz="1100"/>
                </a:pPr>
                <a:r>
                  <a:rPr lang="en-US" sz="1100" baseline="30000"/>
                  <a:t>252</a:t>
                </a:r>
                <a:r>
                  <a:rPr lang="en-US" sz="1100"/>
                  <a:t>Cf  in  7  Targets  (milligrams)</a:t>
                </a:r>
              </a:p>
            </c:rich>
          </c:tx>
          <c:layout>
            <c:manualLayout>
              <c:xMode val="edge"/>
              <c:yMode val="edge"/>
              <c:x val="9.4631294035488027E-3"/>
              <c:y val="0.20565209846319199"/>
            </c:manualLayout>
          </c:layout>
        </c:title>
        <c:numFmt formatCode="0" sourceLinked="0"/>
        <c:tickLblPos val="nextTo"/>
        <c:spPr>
          <a:ln>
            <a:solidFill>
              <a:schemeClr val="tx1"/>
            </a:solidFill>
          </a:ln>
        </c:spPr>
        <c:txPr>
          <a:bodyPr/>
          <a:lstStyle/>
          <a:p>
            <a:pPr>
              <a:defRPr sz="1000"/>
            </a:pPr>
            <a:endParaRPr lang="en-US"/>
          </a:p>
        </c:txPr>
        <c:crossAx val="139338496"/>
        <c:crosses val="autoZero"/>
        <c:crossBetween val="midCat"/>
        <c:majorUnit val="30"/>
        <c:minorUnit val="15"/>
      </c:valAx>
      <c:valAx>
        <c:axId val="192561920"/>
        <c:scaling>
          <c:orientation val="minMax"/>
        </c:scaling>
        <c:axPos val="r"/>
        <c:title>
          <c:tx>
            <c:rich>
              <a:bodyPr rot="-5400000" vert="horz"/>
              <a:lstStyle/>
              <a:p>
                <a:pPr>
                  <a:defRPr sz="1100"/>
                </a:pPr>
                <a:r>
                  <a:rPr lang="en-US" sz="1100" baseline="30000"/>
                  <a:t>249</a:t>
                </a:r>
                <a:r>
                  <a:rPr lang="en-US" sz="1100"/>
                  <a:t>Bk  in  7  Targets  (milligrams)</a:t>
                </a:r>
              </a:p>
            </c:rich>
          </c:tx>
          <c:layout>
            <c:manualLayout>
              <c:xMode val="edge"/>
              <c:yMode val="edge"/>
              <c:x val="0.95974586441824439"/>
              <c:y val="0.21070909433567991"/>
            </c:manualLayout>
          </c:layout>
        </c:title>
        <c:numFmt formatCode="0" sourceLinked="0"/>
        <c:tickLblPos val="nextTo"/>
        <c:spPr>
          <a:ln>
            <a:solidFill>
              <a:sysClr val="windowText" lastClr="000000"/>
            </a:solidFill>
          </a:ln>
        </c:spPr>
        <c:crossAx val="192563840"/>
        <c:crosses val="max"/>
        <c:crossBetween val="midCat"/>
        <c:minorUnit val="2.5"/>
      </c:valAx>
      <c:valAx>
        <c:axId val="192563840"/>
        <c:scaling>
          <c:orientation val="minMax"/>
        </c:scaling>
        <c:delete val="1"/>
        <c:axPos val="b"/>
        <c:numFmt formatCode="General" sourceLinked="1"/>
        <c:tickLblPos val="none"/>
        <c:crossAx val="192561920"/>
        <c:crosses val="autoZero"/>
        <c:crossBetween val="midCat"/>
      </c:valAx>
    </c:plotArea>
    <c:legend>
      <c:legendPos val="r"/>
      <c:layout>
        <c:manualLayout>
          <c:xMode val="edge"/>
          <c:yMode val="edge"/>
          <c:x val="0.41055943819185692"/>
          <c:y val="0.45394754028616424"/>
          <c:w val="0.17406559155886459"/>
          <c:h val="0.15758812948297987"/>
        </c:manualLayout>
      </c:layout>
      <c:overlay val="1"/>
      <c:spPr>
        <a:solidFill>
          <a:schemeClr val="bg1"/>
        </a:solidFill>
        <a:ln w="12700">
          <a:solidFill>
            <a:sysClr val="windowText" lastClr="000000"/>
          </a:solidFill>
        </a:ln>
      </c:spPr>
    </c:legend>
    <c:plotVisOnly val="1"/>
    <c:dispBlanksAs val="gap"/>
  </c:chart>
  <c:spPr>
    <a:ln>
      <a:solidFill>
        <a:prstClr val="black"/>
      </a:solidFill>
    </a:ln>
  </c:spPr>
  <c:txPr>
    <a:bodyPr/>
    <a:lstStyle/>
    <a:p>
      <a:pPr>
        <a:defRPr sz="1050">
          <a:latin typeface="+mj-lt"/>
          <a:cs typeface="Arial" pitchFamily="34" charset="0"/>
        </a:defRPr>
      </a:pPr>
      <a:endParaRPr lang="en-US"/>
    </a:p>
  </c:txPr>
  <c:externalData r:id="rId1"/>
  <c:userShapes r:id="rId2"/>
</c:chartSpace>
</file>

<file path=word/charts/chart45.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0844370415236557"/>
          <c:y val="1.8614808435269841E-2"/>
          <c:w val="0.8669836462749948"/>
          <c:h val="0.8617129026986019"/>
        </c:manualLayout>
      </c:layout>
      <c:scatterChart>
        <c:scatterStyle val="smoothMarker"/>
        <c:ser>
          <c:idx val="2"/>
          <c:order val="0"/>
          <c:tx>
            <c:v>COMSOL (thermal at horizontal midplane)</c:v>
          </c:tx>
          <c:spPr>
            <a:ln w="22225">
              <a:solidFill>
                <a:srgbClr val="0000FF"/>
              </a:solidFill>
            </a:ln>
          </c:spPr>
          <c:marker>
            <c:symbol val="none"/>
          </c:marker>
          <c:xVal>
            <c:numRef>
              <c:f>Sheet1!$O$6:$O$205</c:f>
              <c:numCache>
                <c:formatCode>General</c:formatCode>
                <c:ptCount val="200"/>
                <c:pt idx="0">
                  <c:v>0</c:v>
                </c:pt>
                <c:pt idx="1">
                  <c:v>0.30150753000000002</c:v>
                </c:pt>
                <c:pt idx="2">
                  <c:v>0.60301506999999999</c:v>
                </c:pt>
                <c:pt idx="3">
                  <c:v>0.90452265999999959</c:v>
                </c:pt>
                <c:pt idx="4">
                  <c:v>1.2060301</c:v>
                </c:pt>
                <c:pt idx="5">
                  <c:v>1.5075376999999808</c:v>
                </c:pt>
                <c:pt idx="6">
                  <c:v>1.8090453</c:v>
                </c:pt>
                <c:pt idx="7">
                  <c:v>2.1105527999999998</c:v>
                </c:pt>
                <c:pt idx="8">
                  <c:v>2.4120602999999967</c:v>
                </c:pt>
                <c:pt idx="9">
                  <c:v>2.7135677000000409</c:v>
                </c:pt>
                <c:pt idx="10">
                  <c:v>3.0150753999999647</c:v>
                </c:pt>
                <c:pt idx="11">
                  <c:v>3.3165829999999561</c:v>
                </c:pt>
                <c:pt idx="12">
                  <c:v>3.6180905999999999</c:v>
                </c:pt>
                <c:pt idx="13">
                  <c:v>3.9195978999999999</c:v>
                </c:pt>
                <c:pt idx="14">
                  <c:v>4.2211055999999845</c:v>
                </c:pt>
                <c:pt idx="15">
                  <c:v>4.5226129999999856</c:v>
                </c:pt>
                <c:pt idx="16">
                  <c:v>4.8241204999999745</c:v>
                </c:pt>
                <c:pt idx="17">
                  <c:v>5.1256279999999945</c:v>
                </c:pt>
                <c:pt idx="18">
                  <c:v>5.4271354999999755</c:v>
                </c:pt>
                <c:pt idx="19">
                  <c:v>5.7286434000000739</c:v>
                </c:pt>
                <c:pt idx="20">
                  <c:v>6.030151</c:v>
                </c:pt>
                <c:pt idx="21">
                  <c:v>6.3316584000000802</c:v>
                </c:pt>
                <c:pt idx="22">
                  <c:v>6.6331660000000001</c:v>
                </c:pt>
                <c:pt idx="23">
                  <c:v>6.9346733000000134</c:v>
                </c:pt>
                <c:pt idx="24">
                  <c:v>7.2361813000000001</c:v>
                </c:pt>
                <c:pt idx="25">
                  <c:v>7.5376887000000004</c:v>
                </c:pt>
                <c:pt idx="26">
                  <c:v>7.8391957000000003</c:v>
                </c:pt>
                <c:pt idx="27">
                  <c:v>8.1407039999999995</c:v>
                </c:pt>
                <c:pt idx="28">
                  <c:v>8.4422110000000004</c:v>
                </c:pt>
                <c:pt idx="29">
                  <c:v>8.7437189999999987</c:v>
                </c:pt>
                <c:pt idx="30">
                  <c:v>9.0452259999999995</c:v>
                </c:pt>
                <c:pt idx="31">
                  <c:v>9.3467340000000068</c:v>
                </c:pt>
                <c:pt idx="32">
                  <c:v>9.648240999999997</c:v>
                </c:pt>
                <c:pt idx="33">
                  <c:v>9.9497490000000006</c:v>
                </c:pt>
                <c:pt idx="34">
                  <c:v>10.251256</c:v>
                </c:pt>
                <c:pt idx="35">
                  <c:v>10.552764000000026</c:v>
                </c:pt>
                <c:pt idx="36">
                  <c:v>10.854271000000001</c:v>
                </c:pt>
                <c:pt idx="37">
                  <c:v>11.155779000000004</c:v>
                </c:pt>
                <c:pt idx="38">
                  <c:v>11.457287000000004</c:v>
                </c:pt>
                <c:pt idx="39">
                  <c:v>11.758794</c:v>
                </c:pt>
                <c:pt idx="40">
                  <c:v>12.060302</c:v>
                </c:pt>
                <c:pt idx="41">
                  <c:v>12.361809000000004</c:v>
                </c:pt>
                <c:pt idx="42">
                  <c:v>12.663317000000001</c:v>
                </c:pt>
                <c:pt idx="43">
                  <c:v>12.964824</c:v>
                </c:pt>
                <c:pt idx="44">
                  <c:v>13.266332</c:v>
                </c:pt>
                <c:pt idx="45">
                  <c:v>13.567839000000006</c:v>
                </c:pt>
                <c:pt idx="46">
                  <c:v>13.869347000000024</c:v>
                </c:pt>
                <c:pt idx="47">
                  <c:v>14.170855</c:v>
                </c:pt>
                <c:pt idx="48">
                  <c:v>14.472362500000004</c:v>
                </c:pt>
                <c:pt idx="49">
                  <c:v>14.7738695</c:v>
                </c:pt>
                <c:pt idx="50">
                  <c:v>15.075377</c:v>
                </c:pt>
                <c:pt idx="51">
                  <c:v>15.376884000000157</c:v>
                </c:pt>
                <c:pt idx="52">
                  <c:v>15.678391</c:v>
                </c:pt>
                <c:pt idx="53">
                  <c:v>15.979900000000002</c:v>
                </c:pt>
                <c:pt idx="54">
                  <c:v>16.281407999999889</c:v>
                </c:pt>
                <c:pt idx="55">
                  <c:v>16.582913999999889</c:v>
                </c:pt>
                <c:pt idx="56">
                  <c:v>16.884421999999986</c:v>
                </c:pt>
                <c:pt idx="57">
                  <c:v>17.185928000000001</c:v>
                </c:pt>
                <c:pt idx="58">
                  <c:v>17.487437999999678</c:v>
                </c:pt>
                <c:pt idx="59">
                  <c:v>17.78894399999967</c:v>
                </c:pt>
                <c:pt idx="60">
                  <c:v>18.090451999999999</c:v>
                </c:pt>
                <c:pt idx="61">
                  <c:v>18.391958000000358</c:v>
                </c:pt>
                <c:pt idx="62">
                  <c:v>18.693467999999999</c:v>
                </c:pt>
                <c:pt idx="63">
                  <c:v>18.994976000000001</c:v>
                </c:pt>
                <c:pt idx="64">
                  <c:v>19.296481999999987</c:v>
                </c:pt>
                <c:pt idx="65">
                  <c:v>19.597989999999999</c:v>
                </c:pt>
                <c:pt idx="66">
                  <c:v>19.899498000000001</c:v>
                </c:pt>
                <c:pt idx="67">
                  <c:v>20.201006</c:v>
                </c:pt>
                <c:pt idx="68">
                  <c:v>20.502511999999989</c:v>
                </c:pt>
                <c:pt idx="69">
                  <c:v>20.804020000000001</c:v>
                </c:pt>
                <c:pt idx="70">
                  <c:v>21.105528</c:v>
                </c:pt>
                <c:pt idx="71">
                  <c:v>21.407036000000002</c:v>
                </c:pt>
                <c:pt idx="72">
                  <c:v>21.708541999999699</c:v>
                </c:pt>
                <c:pt idx="73">
                  <c:v>22.010050000000035</c:v>
                </c:pt>
                <c:pt idx="74">
                  <c:v>22.311558000000318</c:v>
                </c:pt>
                <c:pt idx="75">
                  <c:v>22.613066000000035</c:v>
                </c:pt>
                <c:pt idx="76">
                  <c:v>22.914574000000005</c:v>
                </c:pt>
                <c:pt idx="77">
                  <c:v>23.216080000000005</c:v>
                </c:pt>
                <c:pt idx="78">
                  <c:v>23.517588000000035</c:v>
                </c:pt>
                <c:pt idx="79">
                  <c:v>23.819095999999998</c:v>
                </c:pt>
                <c:pt idx="80">
                  <c:v>24.120604</c:v>
                </c:pt>
                <c:pt idx="81">
                  <c:v>24.422109999999627</c:v>
                </c:pt>
                <c:pt idx="82">
                  <c:v>24.723617999999789</c:v>
                </c:pt>
                <c:pt idx="83">
                  <c:v>25.025125999999986</c:v>
                </c:pt>
                <c:pt idx="84">
                  <c:v>25.326632999999688</c:v>
                </c:pt>
                <c:pt idx="85">
                  <c:v>25.628140999999989</c:v>
                </c:pt>
                <c:pt idx="86">
                  <c:v>25.929646999999576</c:v>
                </c:pt>
                <c:pt idx="87">
                  <c:v>26.231157000000035</c:v>
                </c:pt>
                <c:pt idx="88">
                  <c:v>26.532662999999989</c:v>
                </c:pt>
                <c:pt idx="89">
                  <c:v>26.834171000000307</c:v>
                </c:pt>
                <c:pt idx="90">
                  <c:v>27.135677000000001</c:v>
                </c:pt>
                <c:pt idx="91">
                  <c:v>27.437184999999999</c:v>
                </c:pt>
                <c:pt idx="92">
                  <c:v>27.738692999999699</c:v>
                </c:pt>
                <c:pt idx="93">
                  <c:v>28.040201</c:v>
                </c:pt>
                <c:pt idx="94">
                  <c:v>28.341709999999889</c:v>
                </c:pt>
                <c:pt idx="95">
                  <c:v>28.643215000000001</c:v>
                </c:pt>
                <c:pt idx="96">
                  <c:v>28.944724999999789</c:v>
                </c:pt>
                <c:pt idx="97">
                  <c:v>29.246231000000002</c:v>
                </c:pt>
                <c:pt idx="98">
                  <c:v>29.547738999999989</c:v>
                </c:pt>
                <c:pt idx="99">
                  <c:v>29.849245</c:v>
                </c:pt>
                <c:pt idx="100">
                  <c:v>30.150755000000135</c:v>
                </c:pt>
                <c:pt idx="101">
                  <c:v>30.452259999999889</c:v>
                </c:pt>
                <c:pt idx="102">
                  <c:v>30.753768999999988</c:v>
                </c:pt>
                <c:pt idx="103">
                  <c:v>31.055277</c:v>
                </c:pt>
                <c:pt idx="104">
                  <c:v>31.356783</c:v>
                </c:pt>
                <c:pt idx="105">
                  <c:v>31.658290000000001</c:v>
                </c:pt>
                <c:pt idx="106">
                  <c:v>31.959800000000001</c:v>
                </c:pt>
                <c:pt idx="107">
                  <c:v>32.261307000000002</c:v>
                </c:pt>
                <c:pt idx="108">
                  <c:v>32.562817000000003</c:v>
                </c:pt>
                <c:pt idx="109">
                  <c:v>32.864320000000006</c:v>
                </c:pt>
                <c:pt idx="110">
                  <c:v>33.165830000000113</c:v>
                </c:pt>
                <c:pt idx="111">
                  <c:v>33.46734</c:v>
                </c:pt>
                <c:pt idx="112">
                  <c:v>33.768845000000013</c:v>
                </c:pt>
                <c:pt idx="113">
                  <c:v>34.070350000000012</c:v>
                </c:pt>
                <c:pt idx="114">
                  <c:v>34.371856999999999</c:v>
                </c:pt>
                <c:pt idx="115">
                  <c:v>34.673367000000006</c:v>
                </c:pt>
                <c:pt idx="116">
                  <c:v>34.974876000000002</c:v>
                </c:pt>
                <c:pt idx="117">
                  <c:v>35.276382000000012</c:v>
                </c:pt>
                <c:pt idx="118">
                  <c:v>35.577889999999996</c:v>
                </c:pt>
                <c:pt idx="119">
                  <c:v>35.879400000000004</c:v>
                </c:pt>
                <c:pt idx="120">
                  <c:v>36.180904000000005</c:v>
                </c:pt>
                <c:pt idx="121">
                  <c:v>36.482414000000006</c:v>
                </c:pt>
                <c:pt idx="122">
                  <c:v>36.783916000000012</c:v>
                </c:pt>
                <c:pt idx="123">
                  <c:v>37.085426000000005</c:v>
                </c:pt>
                <c:pt idx="124">
                  <c:v>37.386936000000006</c:v>
                </c:pt>
                <c:pt idx="125">
                  <c:v>37.688442000000002</c:v>
                </c:pt>
                <c:pt idx="126">
                  <c:v>37.989952000000002</c:v>
                </c:pt>
                <c:pt idx="127">
                  <c:v>38.291454000000002</c:v>
                </c:pt>
                <c:pt idx="128">
                  <c:v>38.592964000000002</c:v>
                </c:pt>
                <c:pt idx="129">
                  <c:v>38.894474000000002</c:v>
                </c:pt>
                <c:pt idx="130">
                  <c:v>39.195980000000013</c:v>
                </c:pt>
                <c:pt idx="131">
                  <c:v>39.497486000000002</c:v>
                </c:pt>
                <c:pt idx="132">
                  <c:v>39.798996000000564</c:v>
                </c:pt>
                <c:pt idx="133">
                  <c:v>40.100502000000013</c:v>
                </c:pt>
                <c:pt idx="134">
                  <c:v>40.402010000000011</c:v>
                </c:pt>
                <c:pt idx="135">
                  <c:v>40.703514000000013</c:v>
                </c:pt>
                <c:pt idx="136">
                  <c:v>41.005024000000006</c:v>
                </c:pt>
                <c:pt idx="137">
                  <c:v>41.306534000000006</c:v>
                </c:pt>
                <c:pt idx="138">
                  <c:v>41.608040000000003</c:v>
                </c:pt>
                <c:pt idx="139">
                  <c:v>41.909550000000003</c:v>
                </c:pt>
                <c:pt idx="140">
                  <c:v>42.211056000000006</c:v>
                </c:pt>
                <c:pt idx="141">
                  <c:v>42.512560000000001</c:v>
                </c:pt>
                <c:pt idx="142">
                  <c:v>42.814069999999994</c:v>
                </c:pt>
                <c:pt idx="143">
                  <c:v>43.115578000000063</c:v>
                </c:pt>
                <c:pt idx="144">
                  <c:v>43.417083999999974</c:v>
                </c:pt>
                <c:pt idx="145">
                  <c:v>43.718594000000003</c:v>
                </c:pt>
                <c:pt idx="146">
                  <c:v>44.020100000000063</c:v>
                </c:pt>
                <c:pt idx="147">
                  <c:v>44.32161</c:v>
                </c:pt>
                <c:pt idx="148">
                  <c:v>44.623116000000593</c:v>
                </c:pt>
                <c:pt idx="149">
                  <c:v>44.924620000000004</c:v>
                </c:pt>
                <c:pt idx="150">
                  <c:v>45.226130000000708</c:v>
                </c:pt>
                <c:pt idx="151">
                  <c:v>45.527637000000006</c:v>
                </c:pt>
                <c:pt idx="152">
                  <c:v>45.829147000000006</c:v>
                </c:pt>
                <c:pt idx="153">
                  <c:v>46.130653000000002</c:v>
                </c:pt>
                <c:pt idx="154">
                  <c:v>46.432160000000003</c:v>
                </c:pt>
                <c:pt idx="155">
                  <c:v>46.733670000000011</c:v>
                </c:pt>
                <c:pt idx="156">
                  <c:v>47.03517500000055</c:v>
                </c:pt>
                <c:pt idx="157">
                  <c:v>47.336684999999996</c:v>
                </c:pt>
                <c:pt idx="158">
                  <c:v>47.638190000000463</c:v>
                </c:pt>
                <c:pt idx="159">
                  <c:v>47.939697000000002</c:v>
                </c:pt>
                <c:pt idx="160">
                  <c:v>48.241207000000003</c:v>
                </c:pt>
                <c:pt idx="161">
                  <c:v>48.542717000000003</c:v>
                </c:pt>
                <c:pt idx="162">
                  <c:v>48.844219999999993</c:v>
                </c:pt>
                <c:pt idx="163">
                  <c:v>49.145730000000263</c:v>
                </c:pt>
                <c:pt idx="164">
                  <c:v>49.447234999999999</c:v>
                </c:pt>
                <c:pt idx="165">
                  <c:v>49.748745000000063</c:v>
                </c:pt>
                <c:pt idx="166">
                  <c:v>50.050249999999998</c:v>
                </c:pt>
                <c:pt idx="167">
                  <c:v>50.351756999999999</c:v>
                </c:pt>
                <c:pt idx="168">
                  <c:v>50.653266999999992</c:v>
                </c:pt>
                <c:pt idx="169">
                  <c:v>50.954773000000003</c:v>
                </c:pt>
                <c:pt idx="170">
                  <c:v>51.256283000000003</c:v>
                </c:pt>
                <c:pt idx="171">
                  <c:v>51.557789999999997</c:v>
                </c:pt>
                <c:pt idx="172">
                  <c:v>51.859294999999996</c:v>
                </c:pt>
                <c:pt idx="173">
                  <c:v>52.160805000000003</c:v>
                </c:pt>
                <c:pt idx="174">
                  <c:v>52.462315000000636</c:v>
                </c:pt>
                <c:pt idx="175">
                  <c:v>52.763817000000003</c:v>
                </c:pt>
                <c:pt idx="176">
                  <c:v>53.065327000000003</c:v>
                </c:pt>
                <c:pt idx="177">
                  <c:v>53.366833</c:v>
                </c:pt>
                <c:pt idx="178">
                  <c:v>53.668343000000213</c:v>
                </c:pt>
                <c:pt idx="179">
                  <c:v>53.969850000000001</c:v>
                </c:pt>
                <c:pt idx="180">
                  <c:v>54.271355000000113</c:v>
                </c:pt>
                <c:pt idx="181">
                  <c:v>54.572865</c:v>
                </c:pt>
                <c:pt idx="182">
                  <c:v>54.874369999999999</c:v>
                </c:pt>
                <c:pt idx="183">
                  <c:v>55.175880000000006</c:v>
                </c:pt>
                <c:pt idx="184">
                  <c:v>55.477386000000003</c:v>
                </c:pt>
                <c:pt idx="185">
                  <c:v>55.778893000000011</c:v>
                </c:pt>
                <c:pt idx="186">
                  <c:v>56.080401999999999</c:v>
                </c:pt>
                <c:pt idx="187">
                  <c:v>56.381912</c:v>
                </c:pt>
                <c:pt idx="188">
                  <c:v>56.683420000000005</c:v>
                </c:pt>
                <c:pt idx="189">
                  <c:v>56.984923999999999</c:v>
                </c:pt>
                <c:pt idx="190">
                  <c:v>57.286430000000003</c:v>
                </c:pt>
                <c:pt idx="191">
                  <c:v>57.587940000000003</c:v>
                </c:pt>
                <c:pt idx="192">
                  <c:v>57.889449999999997</c:v>
                </c:pt>
                <c:pt idx="193">
                  <c:v>58.190952000000578</c:v>
                </c:pt>
                <c:pt idx="194">
                  <c:v>58.492462000000003</c:v>
                </c:pt>
                <c:pt idx="195">
                  <c:v>58.793972000000622</c:v>
                </c:pt>
                <c:pt idx="196">
                  <c:v>59.095478000000163</c:v>
                </c:pt>
                <c:pt idx="197">
                  <c:v>59.396984000000003</c:v>
                </c:pt>
                <c:pt idx="198">
                  <c:v>59.698490000000113</c:v>
                </c:pt>
                <c:pt idx="199">
                  <c:v>60</c:v>
                </c:pt>
              </c:numCache>
            </c:numRef>
          </c:xVal>
          <c:yVal>
            <c:numRef>
              <c:f>Sheet1!$P$6:$P$205</c:f>
              <c:numCache>
                <c:formatCode>General</c:formatCode>
                <c:ptCount val="200"/>
                <c:pt idx="0">
                  <c:v>1</c:v>
                </c:pt>
                <c:pt idx="1">
                  <c:v>0.998564522857885</c:v>
                </c:pt>
                <c:pt idx="2">
                  <c:v>0.99424340751886164</c:v>
                </c:pt>
                <c:pt idx="3">
                  <c:v>0.98707333605919334</c:v>
                </c:pt>
                <c:pt idx="4">
                  <c:v>0.97981394208143968</c:v>
                </c:pt>
                <c:pt idx="5">
                  <c:v>0.97196558467655569</c:v>
                </c:pt>
                <c:pt idx="6">
                  <c:v>0.96345406852710569</c:v>
                </c:pt>
                <c:pt idx="7">
                  <c:v>0.95406572885041419</c:v>
                </c:pt>
                <c:pt idx="8">
                  <c:v>0.94374831308163265</c:v>
                </c:pt>
                <c:pt idx="9">
                  <c:v>0.93221457064156121</c:v>
                </c:pt>
                <c:pt idx="10">
                  <c:v>0.91938725860824999</c:v>
                </c:pt>
                <c:pt idx="11">
                  <c:v>0.90492271801329871</c:v>
                </c:pt>
                <c:pt idx="12">
                  <c:v>0.88870835372226098</c:v>
                </c:pt>
                <c:pt idx="13">
                  <c:v>0.86953121913434661</c:v>
                </c:pt>
                <c:pt idx="14">
                  <c:v>0.84661090584724108</c:v>
                </c:pt>
                <c:pt idx="15">
                  <c:v>0.81975663381773811</c:v>
                </c:pt>
                <c:pt idx="16">
                  <c:v>0.78843075019665887</c:v>
                </c:pt>
                <c:pt idx="17">
                  <c:v>0.75234661392574664</c:v>
                </c:pt>
                <c:pt idx="18">
                  <c:v>0.71102547403965355</c:v>
                </c:pt>
                <c:pt idx="19">
                  <c:v>0.6639211998075466</c:v>
                </c:pt>
                <c:pt idx="20">
                  <c:v>0.610572273082432</c:v>
                </c:pt>
                <c:pt idx="21">
                  <c:v>0.55024405494089335</c:v>
                </c:pt>
                <c:pt idx="22">
                  <c:v>0.51635247618698799</c:v>
                </c:pt>
                <c:pt idx="23">
                  <c:v>0.49133743902921267</c:v>
                </c:pt>
                <c:pt idx="24">
                  <c:v>0.45311157928473778</c:v>
                </c:pt>
                <c:pt idx="25">
                  <c:v>0.39486509667750186</c:v>
                </c:pt>
                <c:pt idx="26">
                  <c:v>0.34397597468072388</c:v>
                </c:pt>
                <c:pt idx="27">
                  <c:v>0.30403462389042063</c:v>
                </c:pt>
                <c:pt idx="28">
                  <c:v>0.27328509769595088</c:v>
                </c:pt>
                <c:pt idx="29">
                  <c:v>0.25046664089316756</c:v>
                </c:pt>
                <c:pt idx="30">
                  <c:v>0.23341782031888916</c:v>
                </c:pt>
                <c:pt idx="31">
                  <c:v>0.22050410592675415</c:v>
                </c:pt>
                <c:pt idx="32">
                  <c:v>0.21069946347199786</c:v>
                </c:pt>
                <c:pt idx="33">
                  <c:v>0.20435470548199244</c:v>
                </c:pt>
                <c:pt idx="34">
                  <c:v>0.20129509893660241</c:v>
                </c:pt>
                <c:pt idx="35">
                  <c:v>0.20120129921043442</c:v>
                </c:pt>
                <c:pt idx="36">
                  <c:v>0.20419523264886541</c:v>
                </c:pt>
                <c:pt idx="37">
                  <c:v>0.2104966315381338</c:v>
                </c:pt>
                <c:pt idx="38">
                  <c:v>0.22054259994245026</c:v>
                </c:pt>
                <c:pt idx="39">
                  <c:v>0.23484937990390739</c:v>
                </c:pt>
                <c:pt idx="40">
                  <c:v>0.25389635407312744</c:v>
                </c:pt>
                <c:pt idx="41">
                  <c:v>0.27824526799830734</c:v>
                </c:pt>
                <c:pt idx="42">
                  <c:v>0.30731074334344566</c:v>
                </c:pt>
                <c:pt idx="43">
                  <c:v>0.32771168508648574</c:v>
                </c:pt>
                <c:pt idx="44">
                  <c:v>0.34180070539301005</c:v>
                </c:pt>
                <c:pt idx="45">
                  <c:v>0.34966233927141582</c:v>
                </c:pt>
                <c:pt idx="46">
                  <c:v>0.35134447290046</c:v>
                </c:pt>
                <c:pt idx="47">
                  <c:v>0.34685839904015453</c:v>
                </c:pt>
                <c:pt idx="48">
                  <c:v>0.33617950966925536</c:v>
                </c:pt>
                <c:pt idx="49">
                  <c:v>0.31924748992365654</c:v>
                </c:pt>
                <c:pt idx="50">
                  <c:v>0.29596262772442145</c:v>
                </c:pt>
                <c:pt idx="51">
                  <c:v>0.26243133123632273</c:v>
                </c:pt>
                <c:pt idx="52">
                  <c:v>0.23121736119450079</c:v>
                </c:pt>
                <c:pt idx="53">
                  <c:v>0.20530059326886116</c:v>
                </c:pt>
                <c:pt idx="54">
                  <c:v>0.18383294561339344</c:v>
                </c:pt>
                <c:pt idx="55">
                  <c:v>0.16705654763702329</c:v>
                </c:pt>
                <c:pt idx="56">
                  <c:v>0.15472754664898983</c:v>
                </c:pt>
                <c:pt idx="57">
                  <c:v>0.14652674209248023</c:v>
                </c:pt>
                <c:pt idx="58">
                  <c:v>0.14163182377354167</c:v>
                </c:pt>
                <c:pt idx="59">
                  <c:v>0.13945576764974438</c:v>
                </c:pt>
                <c:pt idx="60">
                  <c:v>0.13948483071471146</c:v>
                </c:pt>
                <c:pt idx="61">
                  <c:v>0.14191210365003012</c:v>
                </c:pt>
                <c:pt idx="62">
                  <c:v>0.14665409871501359</c:v>
                </c:pt>
                <c:pt idx="63">
                  <c:v>0.1523813676995257</c:v>
                </c:pt>
                <c:pt idx="64">
                  <c:v>0.15967114906493124</c:v>
                </c:pt>
                <c:pt idx="65">
                  <c:v>0.16925168176514604</c:v>
                </c:pt>
                <c:pt idx="66">
                  <c:v>0.18002766781620491</c:v>
                </c:pt>
                <c:pt idx="67">
                  <c:v>0.19191027785786538</c:v>
                </c:pt>
                <c:pt idx="68">
                  <c:v>0.20444751335141897</c:v>
                </c:pt>
                <c:pt idx="69">
                  <c:v>0.21737580637537809</c:v>
                </c:pt>
                <c:pt idx="70">
                  <c:v>0.22774415038631993</c:v>
                </c:pt>
                <c:pt idx="71">
                  <c:v>0.23239210191677148</c:v>
                </c:pt>
                <c:pt idx="72">
                  <c:v>0.23659749694145499</c:v>
                </c:pt>
                <c:pt idx="73">
                  <c:v>0.24454001978504891</c:v>
                </c:pt>
                <c:pt idx="74">
                  <c:v>0.24503595923989643</c:v>
                </c:pt>
                <c:pt idx="75">
                  <c:v>0.24739194593483091</c:v>
                </c:pt>
                <c:pt idx="76">
                  <c:v>0.2627189309047695</c:v>
                </c:pt>
                <c:pt idx="77">
                  <c:v>0.26594843309075838</c:v>
                </c:pt>
                <c:pt idx="78">
                  <c:v>0.26903689768045191</c:v>
                </c:pt>
                <c:pt idx="79">
                  <c:v>0.28768588794535166</c:v>
                </c:pt>
                <c:pt idx="80">
                  <c:v>0.29753416655579856</c:v>
                </c:pt>
                <c:pt idx="81">
                  <c:v>0.30655540841474682</c:v>
                </c:pt>
                <c:pt idx="82">
                  <c:v>0.31462492216833632</c:v>
                </c:pt>
                <c:pt idx="83">
                  <c:v>0.32174225898753817</c:v>
                </c:pt>
                <c:pt idx="84">
                  <c:v>0.32794191775557613</c:v>
                </c:pt>
                <c:pt idx="85">
                  <c:v>0.33326901964270206</c:v>
                </c:pt>
                <c:pt idx="86">
                  <c:v>0.33777105186851131</c:v>
                </c:pt>
                <c:pt idx="87">
                  <c:v>0.34149413300111853</c:v>
                </c:pt>
                <c:pt idx="88">
                  <c:v>0.34450110464581846</c:v>
                </c:pt>
                <c:pt idx="89">
                  <c:v>0.34681401483607188</c:v>
                </c:pt>
                <c:pt idx="90">
                  <c:v>0.34850161198886215</c:v>
                </c:pt>
                <c:pt idx="91">
                  <c:v>0.34958392717755254</c:v>
                </c:pt>
                <c:pt idx="92">
                  <c:v>0.35012759211925626</c:v>
                </c:pt>
                <c:pt idx="93">
                  <c:v>0.35014515740350527</c:v>
                </c:pt>
                <c:pt idx="94">
                  <c:v>0.34968474747632039</c:v>
                </c:pt>
                <c:pt idx="95">
                  <c:v>0.34878462916831332</c:v>
                </c:pt>
                <c:pt idx="96">
                  <c:v>0.34745536935554511</c:v>
                </c:pt>
                <c:pt idx="97">
                  <c:v>0.34576015319144382</c:v>
                </c:pt>
                <c:pt idx="98">
                  <c:v>0.34370975257274627</c:v>
                </c:pt>
                <c:pt idx="99">
                  <c:v>0.34131741072638228</c:v>
                </c:pt>
                <c:pt idx="100">
                  <c:v>0.33863546333369515</c:v>
                </c:pt>
                <c:pt idx="101">
                  <c:v>0.33566992248722682</c:v>
                </c:pt>
                <c:pt idx="102">
                  <c:v>0.33242570314193726</c:v>
                </c:pt>
                <c:pt idx="103">
                  <c:v>0.32896689365041626</c:v>
                </c:pt>
                <c:pt idx="104">
                  <c:v>0.3253035234020889</c:v>
                </c:pt>
                <c:pt idx="105">
                  <c:v>0.32143420712218967</c:v>
                </c:pt>
                <c:pt idx="106">
                  <c:v>0.31735969285909826</c:v>
                </c:pt>
                <c:pt idx="107">
                  <c:v>0.31312659787984348</c:v>
                </c:pt>
                <c:pt idx="108">
                  <c:v>0.30875691480687939</c:v>
                </c:pt>
                <c:pt idx="109">
                  <c:v>0.30425080987319697</c:v>
                </c:pt>
                <c:pt idx="110">
                  <c:v>0.29960810022252532</c:v>
                </c:pt>
                <c:pt idx="111">
                  <c:v>0.29497442810455055</c:v>
                </c:pt>
                <c:pt idx="112">
                  <c:v>0.29047823619722402</c:v>
                </c:pt>
                <c:pt idx="113">
                  <c:v>0.28595937565333035</c:v>
                </c:pt>
                <c:pt idx="114">
                  <c:v>0.28141792404826532</c:v>
                </c:pt>
                <c:pt idx="115">
                  <c:v>0.27685562128715691</c:v>
                </c:pt>
                <c:pt idx="116">
                  <c:v>0.27228807664625648</c:v>
                </c:pt>
                <c:pt idx="117">
                  <c:v>0.26771863694946146</c:v>
                </c:pt>
                <c:pt idx="118">
                  <c:v>0.26314721353916593</c:v>
                </c:pt>
                <c:pt idx="119">
                  <c:v>0.25857564606029793</c:v>
                </c:pt>
                <c:pt idx="120">
                  <c:v>0.254019067254596</c:v>
                </c:pt>
                <c:pt idx="121">
                  <c:v>0.24948074082944288</c:v>
                </c:pt>
                <c:pt idx="122">
                  <c:v>0.24496120427145876</c:v>
                </c:pt>
                <c:pt idx="123">
                  <c:v>0.24046149930728342</c:v>
                </c:pt>
                <c:pt idx="124">
                  <c:v>0.23598892910557076</c:v>
                </c:pt>
                <c:pt idx="125">
                  <c:v>0.23154472933143724</c:v>
                </c:pt>
                <c:pt idx="126">
                  <c:v>0.22712815747759429</c:v>
                </c:pt>
                <c:pt idx="127">
                  <c:v>0.22274274322419191</c:v>
                </c:pt>
                <c:pt idx="128">
                  <c:v>0.21839815578922525</c:v>
                </c:pt>
                <c:pt idx="129">
                  <c:v>0.21409539811163086</c:v>
                </c:pt>
                <c:pt idx="130">
                  <c:v>0.20983453114350001</c:v>
                </c:pt>
                <c:pt idx="131">
                  <c:v>0.20561549393274786</c:v>
                </c:pt>
                <c:pt idx="132">
                  <c:v>0.20143823660947993</c:v>
                </c:pt>
                <c:pt idx="133">
                  <c:v>0.19730288107787294</c:v>
                </c:pt>
                <c:pt idx="134">
                  <c:v>0.19320929989265473</c:v>
                </c:pt>
                <c:pt idx="135">
                  <c:v>0.18916234151556388</c:v>
                </c:pt>
                <c:pt idx="136">
                  <c:v>0.18517302719277778</c:v>
                </c:pt>
                <c:pt idx="137">
                  <c:v>0.18123477963963019</c:v>
                </c:pt>
                <c:pt idx="138">
                  <c:v>0.17734759885611995</c:v>
                </c:pt>
                <c:pt idx="139">
                  <c:v>0.17351142943125092</c:v>
                </c:pt>
                <c:pt idx="140">
                  <c:v>0.16972632123491588</c:v>
                </c:pt>
                <c:pt idx="141">
                  <c:v>0.16599225764382244</c:v>
                </c:pt>
                <c:pt idx="142">
                  <c:v>0.16230921095247144</c:v>
                </c:pt>
                <c:pt idx="143">
                  <c:v>0.15867448264558229</c:v>
                </c:pt>
                <c:pt idx="144">
                  <c:v>0.15509281590401838</c:v>
                </c:pt>
                <c:pt idx="145">
                  <c:v>0.15156704222943931</c:v>
                </c:pt>
                <c:pt idx="146">
                  <c:v>0.14809728906712213</c:v>
                </c:pt>
                <c:pt idx="147">
                  <c:v>0.14468342897178088</c:v>
                </c:pt>
                <c:pt idx="148">
                  <c:v>0.14132556722430967</c:v>
                </c:pt>
                <c:pt idx="149">
                  <c:v>0.1380236594959118</c:v>
                </c:pt>
                <c:pt idx="150">
                  <c:v>0.13477766699889238</c:v>
                </c:pt>
                <c:pt idx="151">
                  <c:v>0.1315876617675408</c:v>
                </c:pt>
                <c:pt idx="152">
                  <c:v>0.12845357176756797</c:v>
                </c:pt>
                <c:pt idx="153">
                  <c:v>0.12537396185429781</c:v>
                </c:pt>
                <c:pt idx="154">
                  <c:v>0.12234490892954221</c:v>
                </c:pt>
                <c:pt idx="155">
                  <c:v>0.11936626338362598</c:v>
                </c:pt>
                <c:pt idx="156">
                  <c:v>0.1164381027919327</c:v>
                </c:pt>
                <c:pt idx="157">
                  <c:v>0.11356032741468226</c:v>
                </c:pt>
                <c:pt idx="158">
                  <c:v>0.11073304253275669</c:v>
                </c:pt>
                <c:pt idx="159">
                  <c:v>0.1079561871940643</c:v>
                </c:pt>
                <c:pt idx="160">
                  <c:v>0.10522973923421421</c:v>
                </c:pt>
                <c:pt idx="161">
                  <c:v>0.10255373189979188</c:v>
                </c:pt>
                <c:pt idx="162">
                  <c:v>9.9929483972398564E-2</c:v>
                </c:pt>
                <c:pt idx="163">
                  <c:v>9.7356059006278167E-2</c:v>
                </c:pt>
                <c:pt idx="164">
                  <c:v>9.4831633979815214E-2</c:v>
                </c:pt>
                <c:pt idx="165">
                  <c:v>9.2356131317621853E-2</c:v>
                </c:pt>
                <c:pt idx="166">
                  <c:v>8.992961197178849E-2</c:v>
                </c:pt>
                <c:pt idx="167">
                  <c:v>8.7552053777918706E-2</c:v>
                </c:pt>
                <c:pt idx="168">
                  <c:v>8.5223417948318239E-2</c:v>
                </c:pt>
                <c:pt idx="169">
                  <c:v>8.2943770976176986E-2</c:v>
                </c:pt>
                <c:pt idx="170">
                  <c:v>8.0713046368305466E-2</c:v>
                </c:pt>
                <c:pt idx="171">
                  <c:v>7.8531310617892952E-2</c:v>
                </c:pt>
                <c:pt idx="172">
                  <c:v>7.6396701915631943E-2</c:v>
                </c:pt>
                <c:pt idx="173">
                  <c:v>7.4304698724622933E-2</c:v>
                </c:pt>
                <c:pt idx="174">
                  <c:v>7.2255151435191803E-2</c:v>
                </c:pt>
                <c:pt idx="175">
                  <c:v>7.0248126540529462E-2</c:v>
                </c:pt>
                <c:pt idx="176">
                  <c:v>6.82835021364539E-2</c:v>
                </c:pt>
                <c:pt idx="177">
                  <c:v>6.6361375192199951E-2</c:v>
                </c:pt>
                <c:pt idx="178">
                  <c:v>6.4481681985129172E-2</c:v>
                </c:pt>
                <c:pt idx="179">
                  <c:v>6.2644478480338064E-2</c:v>
                </c:pt>
                <c:pt idx="180">
                  <c:v>6.0849735310005953E-2</c:v>
                </c:pt>
                <c:pt idx="181">
                  <c:v>5.909743474261564E-2</c:v>
                </c:pt>
                <c:pt idx="182">
                  <c:v>5.5627011107299493E-2</c:v>
                </c:pt>
                <c:pt idx="183">
                  <c:v>5.2089163377701087E-2</c:v>
                </c:pt>
                <c:pt idx="184">
                  <c:v>4.8740289293028434E-2</c:v>
                </c:pt>
                <c:pt idx="185">
                  <c:v>4.5580357823126534E-2</c:v>
                </c:pt>
                <c:pt idx="186">
                  <c:v>4.2609329072080315E-2</c:v>
                </c:pt>
                <c:pt idx="187">
                  <c:v>3.9827239611145676E-2</c:v>
                </c:pt>
                <c:pt idx="188">
                  <c:v>3.723412490335639E-2</c:v>
                </c:pt>
                <c:pt idx="189">
                  <c:v>3.4829947269238395E-2</c:v>
                </c:pt>
                <c:pt idx="190">
                  <c:v>3.2614704492351952E-2</c:v>
                </c:pt>
                <c:pt idx="191">
                  <c:v>3.0583725426126435E-2</c:v>
                </c:pt>
                <c:pt idx="192">
                  <c:v>2.8654852193674071E-2</c:v>
                </c:pt>
                <c:pt idx="193">
                  <c:v>2.6824737971118815E-2</c:v>
                </c:pt>
                <c:pt idx="194">
                  <c:v>2.5093291330324272E-2</c:v>
                </c:pt>
                <c:pt idx="195">
                  <c:v>2.3460557154193439E-2</c:v>
                </c:pt>
                <c:pt idx="196">
                  <c:v>2.1926554282463397E-2</c:v>
                </c:pt>
                <c:pt idx="197">
                  <c:v>2.0491262767177852E-2</c:v>
                </c:pt>
                <c:pt idx="198">
                  <c:v>1.9154682054225089E-2</c:v>
                </c:pt>
                <c:pt idx="199">
                  <c:v>1.7916798290859067E-2</c:v>
                </c:pt>
              </c:numCache>
            </c:numRef>
          </c:yVal>
          <c:smooth val="1"/>
        </c:ser>
        <c:ser>
          <c:idx val="0"/>
          <c:order val="1"/>
          <c:tx>
            <c:v>MCNP (thermal axially averaged)</c:v>
          </c:tx>
          <c:spPr>
            <a:ln>
              <a:noFill/>
            </a:ln>
          </c:spPr>
          <c:marker>
            <c:symbol val="diamond"/>
            <c:size val="8"/>
            <c:spPr>
              <a:noFill/>
              <a:ln w="19050">
                <a:solidFill>
                  <a:srgbClr val="0000FF"/>
                </a:solidFill>
              </a:ln>
            </c:spPr>
          </c:marker>
          <c:xVal>
            <c:numRef>
              <c:f>Sheet1!$K$6:$K$36</c:f>
              <c:numCache>
                <c:formatCode>General</c:formatCode>
                <c:ptCount val="31"/>
                <c:pt idx="0">
                  <c:v>1.6890969606568085</c:v>
                </c:pt>
                <c:pt idx="1">
                  <c:v>3.3781999999999988</c:v>
                </c:pt>
                <c:pt idx="2">
                  <c:v>4.4689282006427442</c:v>
                </c:pt>
                <c:pt idx="3">
                  <c:v>7.3199999999999985</c:v>
                </c:pt>
                <c:pt idx="4">
                  <c:v>7.75</c:v>
                </c:pt>
                <c:pt idx="5">
                  <c:v>8.25</c:v>
                </c:pt>
                <c:pt idx="6">
                  <c:v>9</c:v>
                </c:pt>
                <c:pt idx="7">
                  <c:v>10</c:v>
                </c:pt>
                <c:pt idx="8">
                  <c:v>11</c:v>
                </c:pt>
                <c:pt idx="9">
                  <c:v>11.75</c:v>
                </c:pt>
                <c:pt idx="10">
                  <c:v>12.3</c:v>
                </c:pt>
                <c:pt idx="11">
                  <c:v>15.314755</c:v>
                </c:pt>
                <c:pt idx="12">
                  <c:v>15.75</c:v>
                </c:pt>
                <c:pt idx="13">
                  <c:v>16.25</c:v>
                </c:pt>
                <c:pt idx="14">
                  <c:v>17</c:v>
                </c:pt>
                <c:pt idx="15">
                  <c:v>18</c:v>
                </c:pt>
                <c:pt idx="16">
                  <c:v>19</c:v>
                </c:pt>
                <c:pt idx="17">
                  <c:v>19.75</c:v>
                </c:pt>
                <c:pt idx="18">
                  <c:v>20.25</c:v>
                </c:pt>
                <c:pt idx="19">
                  <c:v>20.739000000000001</c:v>
                </c:pt>
                <c:pt idx="20">
                  <c:v>24.764999999999986</c:v>
                </c:pt>
                <c:pt idx="21">
                  <c:v>26.307414999999999</c:v>
                </c:pt>
                <c:pt idx="22">
                  <c:v>28.892499999999789</c:v>
                </c:pt>
                <c:pt idx="23">
                  <c:v>31.670625000000001</c:v>
                </c:pt>
                <c:pt idx="24">
                  <c:v>34.837499999999999</c:v>
                </c:pt>
                <c:pt idx="25">
                  <c:v>37.837499999999999</c:v>
                </c:pt>
                <c:pt idx="26">
                  <c:v>40.837499999999999</c:v>
                </c:pt>
                <c:pt idx="27">
                  <c:v>43.837499999999999</c:v>
                </c:pt>
                <c:pt idx="28">
                  <c:v>46.837499999999999</c:v>
                </c:pt>
                <c:pt idx="29">
                  <c:v>49.837499999999999</c:v>
                </c:pt>
                <c:pt idx="30">
                  <c:v>52.973750000000003</c:v>
                </c:pt>
              </c:numCache>
            </c:numRef>
          </c:xVal>
          <c:yVal>
            <c:numRef>
              <c:f>Sheet1!$L$6:$L$36</c:f>
              <c:numCache>
                <c:formatCode>General</c:formatCode>
                <c:ptCount val="31"/>
                <c:pt idx="0">
                  <c:v>1</c:v>
                </c:pt>
                <c:pt idx="1">
                  <c:v>0.96384132898313102</c:v>
                </c:pt>
                <c:pt idx="2">
                  <c:v>0.91182935604381943</c:v>
                </c:pt>
                <c:pt idx="3">
                  <c:v>0.43911510647176133</c:v>
                </c:pt>
                <c:pt idx="4">
                  <c:v>0.36660719624909238</c:v>
                </c:pt>
                <c:pt idx="5">
                  <c:v>0.31194271125963158</c:v>
                </c:pt>
                <c:pt idx="6">
                  <c:v>0.26486514014976031</c:v>
                </c:pt>
                <c:pt idx="7">
                  <c:v>0.23691700098241575</c:v>
                </c:pt>
                <c:pt idx="8">
                  <c:v>0.23569276465157235</c:v>
                </c:pt>
                <c:pt idx="9">
                  <c:v>0.25147115356181804</c:v>
                </c:pt>
                <c:pt idx="10">
                  <c:v>0.28071384215039769</c:v>
                </c:pt>
                <c:pt idx="11">
                  <c:v>0.25685897625455523</c:v>
                </c:pt>
                <c:pt idx="12">
                  <c:v>0.21967386554428575</c:v>
                </c:pt>
                <c:pt idx="13">
                  <c:v>0.19052054686498887</c:v>
                </c:pt>
                <c:pt idx="14">
                  <c:v>0.16551668621633644</c:v>
                </c:pt>
                <c:pt idx="15">
                  <c:v>0.15331046515066676</c:v>
                </c:pt>
                <c:pt idx="16">
                  <c:v>0.15673444980007206</c:v>
                </c:pt>
                <c:pt idx="17">
                  <c:v>0.16720880030753776</c:v>
                </c:pt>
                <c:pt idx="18">
                  <c:v>0.17834586812024344</c:v>
                </c:pt>
                <c:pt idx="19">
                  <c:v>0.18652584334637973</c:v>
                </c:pt>
                <c:pt idx="20">
                  <c:v>0.24570876580812648</c:v>
                </c:pt>
                <c:pt idx="21">
                  <c:v>0.29326111456105225</c:v>
                </c:pt>
                <c:pt idx="22">
                  <c:v>0.31904597621840941</c:v>
                </c:pt>
                <c:pt idx="23">
                  <c:v>0.31334371601397082</c:v>
                </c:pt>
                <c:pt idx="24">
                  <c:v>0.27773473565235107</c:v>
                </c:pt>
                <c:pt idx="25">
                  <c:v>0.23270347261239732</c:v>
                </c:pt>
                <c:pt idx="26">
                  <c:v>0.18604153729386599</c:v>
                </c:pt>
                <c:pt idx="27">
                  <c:v>0.15143369705572451</c:v>
                </c:pt>
                <c:pt idx="28">
                  <c:v>0.12156936189227641</c:v>
                </c:pt>
                <c:pt idx="29">
                  <c:v>9.3835447654533763E-2</c:v>
                </c:pt>
                <c:pt idx="30">
                  <c:v>6.7815989985314282E-2</c:v>
                </c:pt>
              </c:numCache>
            </c:numRef>
          </c:yVal>
          <c:smooth val="1"/>
        </c:ser>
        <c:ser>
          <c:idx val="11"/>
          <c:order val="2"/>
          <c:tx>
            <c:v>KENO VI (thermal axially averaged)</c:v>
          </c:tx>
          <c:spPr>
            <a:ln>
              <a:noFill/>
            </a:ln>
          </c:spPr>
          <c:marker>
            <c:symbol val="star"/>
            <c:size val="7"/>
            <c:spPr>
              <a:noFill/>
              <a:ln w="12700">
                <a:solidFill>
                  <a:srgbClr val="0000FF"/>
                </a:solidFill>
              </a:ln>
            </c:spPr>
          </c:marker>
          <c:xVal>
            <c:numRef>
              <c:f>Sheet1!$G$40:$G$76</c:f>
              <c:numCache>
                <c:formatCode>0.0000</c:formatCode>
                <c:ptCount val="37"/>
                <c:pt idx="0">
                  <c:v>1.6890969606568085</c:v>
                </c:pt>
                <c:pt idx="1">
                  <c:v>1.6890969606568085</c:v>
                </c:pt>
                <c:pt idx="2">
                  <c:v>1.6890969606568085</c:v>
                </c:pt>
                <c:pt idx="3">
                  <c:v>1.6890969606568085</c:v>
                </c:pt>
                <c:pt idx="4">
                  <c:v>2.9256052643000197</c:v>
                </c:pt>
                <c:pt idx="5">
                  <c:v>2.9255999999999998</c:v>
                </c:pt>
                <c:pt idx="6">
                  <c:v>2.9256052643000197</c:v>
                </c:pt>
                <c:pt idx="7">
                  <c:v>1.6890969606568085</c:v>
                </c:pt>
                <c:pt idx="8">
                  <c:v>2.9256052643000197</c:v>
                </c:pt>
                <c:pt idx="9">
                  <c:v>7.3199999999999985</c:v>
                </c:pt>
                <c:pt idx="10">
                  <c:v>7.75</c:v>
                </c:pt>
                <c:pt idx="11">
                  <c:v>8.25</c:v>
                </c:pt>
                <c:pt idx="12">
                  <c:v>9</c:v>
                </c:pt>
                <c:pt idx="13">
                  <c:v>10</c:v>
                </c:pt>
                <c:pt idx="14">
                  <c:v>11</c:v>
                </c:pt>
                <c:pt idx="15">
                  <c:v>11.75</c:v>
                </c:pt>
                <c:pt idx="16">
                  <c:v>12.3</c:v>
                </c:pt>
                <c:pt idx="17">
                  <c:v>15.314755</c:v>
                </c:pt>
                <c:pt idx="18">
                  <c:v>15.75</c:v>
                </c:pt>
                <c:pt idx="19">
                  <c:v>16.25</c:v>
                </c:pt>
                <c:pt idx="20">
                  <c:v>17</c:v>
                </c:pt>
                <c:pt idx="21">
                  <c:v>18</c:v>
                </c:pt>
                <c:pt idx="22">
                  <c:v>19</c:v>
                </c:pt>
                <c:pt idx="23">
                  <c:v>19.75</c:v>
                </c:pt>
                <c:pt idx="24">
                  <c:v>20.25</c:v>
                </c:pt>
                <c:pt idx="25">
                  <c:v>20.739000000000001</c:v>
                </c:pt>
                <c:pt idx="26">
                  <c:v>24.764999999999986</c:v>
                </c:pt>
                <c:pt idx="27">
                  <c:v>26.307414999999999</c:v>
                </c:pt>
                <c:pt idx="28">
                  <c:v>28.892499999999789</c:v>
                </c:pt>
                <c:pt idx="29">
                  <c:v>31.670625000000001</c:v>
                </c:pt>
                <c:pt idx="30">
                  <c:v>34.837499999999999</c:v>
                </c:pt>
                <c:pt idx="31">
                  <c:v>37.837499999999999</c:v>
                </c:pt>
                <c:pt idx="32">
                  <c:v>40.837499999999999</c:v>
                </c:pt>
                <c:pt idx="33">
                  <c:v>43.837499999999999</c:v>
                </c:pt>
                <c:pt idx="34">
                  <c:v>46.837499999999999</c:v>
                </c:pt>
                <c:pt idx="35">
                  <c:v>49.837499999999999</c:v>
                </c:pt>
                <c:pt idx="36">
                  <c:v>52.973750000000003</c:v>
                </c:pt>
              </c:numCache>
            </c:numRef>
          </c:xVal>
          <c:yVal>
            <c:numRef>
              <c:f>Sheet1!$H$40:$H$76</c:f>
              <c:numCache>
                <c:formatCode>0.0000E+00</c:formatCode>
                <c:ptCount val="37"/>
                <c:pt idx="0">
                  <c:v>1</c:v>
                </c:pt>
                <c:pt idx="1">
                  <c:v>0.99578531796841663</c:v>
                </c:pt>
                <c:pt idx="2">
                  <c:v>0.99263764404609478</c:v>
                </c:pt>
                <c:pt idx="3">
                  <c:v>0.99125053350405468</c:v>
                </c:pt>
                <c:pt idx="4">
                  <c:v>0.93891378574477158</c:v>
                </c:pt>
                <c:pt idx="5">
                  <c:v>0.94120785317969402</c:v>
                </c:pt>
                <c:pt idx="6">
                  <c:v>0.94307511737090388</c:v>
                </c:pt>
                <c:pt idx="7">
                  <c:v>0.99491837387963367</c:v>
                </c:pt>
                <c:pt idx="8">
                  <c:v>0.94106558543178254</c:v>
                </c:pt>
                <c:pt idx="9">
                  <c:v>0.35286491677337184</c:v>
                </c:pt>
                <c:pt idx="10">
                  <c:v>0.28198356807511737</c:v>
                </c:pt>
                <c:pt idx="11">
                  <c:v>0.22901195049082645</c:v>
                </c:pt>
                <c:pt idx="12">
                  <c:v>0.18352539479300276</c:v>
                </c:pt>
                <c:pt idx="13">
                  <c:v>0.15626867264191224</c:v>
                </c:pt>
                <c:pt idx="14">
                  <c:v>0.15438540332906694</c:v>
                </c:pt>
                <c:pt idx="15">
                  <c:v>0.16832586427656837</c:v>
                </c:pt>
                <c:pt idx="16">
                  <c:v>0.19390204865556984</c:v>
                </c:pt>
                <c:pt idx="17">
                  <c:v>0.17743811352966579</c:v>
                </c:pt>
                <c:pt idx="18">
                  <c:v>0.14639884763124394</c:v>
                </c:pt>
                <c:pt idx="19">
                  <c:v>0.12282330345710629</c:v>
                </c:pt>
                <c:pt idx="20">
                  <c:v>0.10424135723431499</c:v>
                </c:pt>
                <c:pt idx="21">
                  <c:v>9.8868971404182798E-2</c:v>
                </c:pt>
                <c:pt idx="22">
                  <c:v>0.11049935979513445</c:v>
                </c:pt>
                <c:pt idx="23">
                  <c:v>0.13003627827571487</c:v>
                </c:pt>
                <c:pt idx="24">
                  <c:v>0.14970123772941007</c:v>
                </c:pt>
                <c:pt idx="25">
                  <c:v>0.1743224498506189</c:v>
                </c:pt>
                <c:pt idx="26">
                  <c:v>0.33126333760136578</c:v>
                </c:pt>
                <c:pt idx="27">
                  <c:v>0.37155356380709187</c:v>
                </c:pt>
                <c:pt idx="28">
                  <c:v>0.39865556978233535</c:v>
                </c:pt>
                <c:pt idx="29">
                  <c:v>0.39455292360222644</c:v>
                </c:pt>
                <c:pt idx="30">
                  <c:v>0.35730900554844747</c:v>
                </c:pt>
                <c:pt idx="31">
                  <c:v>0.31382309005549025</c:v>
                </c:pt>
                <c:pt idx="32">
                  <c:v>0.26670934699103277</c:v>
                </c:pt>
                <c:pt idx="33">
                  <c:v>0.21998506188647526</c:v>
                </c:pt>
                <c:pt idx="34">
                  <c:v>0.17570422535211291</c:v>
                </c:pt>
                <c:pt idx="35">
                  <c:v>0.13485915492957737</c:v>
                </c:pt>
                <c:pt idx="36">
                  <c:v>9.6190781049935919E-2</c:v>
                </c:pt>
              </c:numCache>
            </c:numRef>
          </c:yVal>
          <c:smooth val="1"/>
        </c:ser>
        <c:ser>
          <c:idx val="3"/>
          <c:order val="3"/>
          <c:tx>
            <c:v>COMSOL (fast at horizontal midplane)</c:v>
          </c:tx>
          <c:spPr>
            <a:ln w="22225">
              <a:solidFill>
                <a:srgbClr val="FF0000"/>
              </a:solidFill>
            </a:ln>
          </c:spPr>
          <c:marker>
            <c:symbol val="none"/>
          </c:marker>
          <c:xVal>
            <c:numRef>
              <c:f>Sheet1!$O$6:$O$205</c:f>
              <c:numCache>
                <c:formatCode>General</c:formatCode>
                <c:ptCount val="200"/>
                <c:pt idx="0">
                  <c:v>0</c:v>
                </c:pt>
                <c:pt idx="1">
                  <c:v>0.30150753000000002</c:v>
                </c:pt>
                <c:pt idx="2">
                  <c:v>0.60301506999999999</c:v>
                </c:pt>
                <c:pt idx="3">
                  <c:v>0.90452265999999959</c:v>
                </c:pt>
                <c:pt idx="4">
                  <c:v>1.2060301</c:v>
                </c:pt>
                <c:pt idx="5">
                  <c:v>1.5075376999999808</c:v>
                </c:pt>
                <c:pt idx="6">
                  <c:v>1.8090453</c:v>
                </c:pt>
                <c:pt idx="7">
                  <c:v>2.1105527999999998</c:v>
                </c:pt>
                <c:pt idx="8">
                  <c:v>2.4120602999999967</c:v>
                </c:pt>
                <c:pt idx="9">
                  <c:v>2.7135677000000409</c:v>
                </c:pt>
                <c:pt idx="10">
                  <c:v>3.0150753999999647</c:v>
                </c:pt>
                <c:pt idx="11">
                  <c:v>3.3165829999999561</c:v>
                </c:pt>
                <c:pt idx="12">
                  <c:v>3.6180905999999999</c:v>
                </c:pt>
                <c:pt idx="13">
                  <c:v>3.9195978999999999</c:v>
                </c:pt>
                <c:pt idx="14">
                  <c:v>4.2211055999999845</c:v>
                </c:pt>
                <c:pt idx="15">
                  <c:v>4.5226129999999856</c:v>
                </c:pt>
                <c:pt idx="16">
                  <c:v>4.8241204999999745</c:v>
                </c:pt>
                <c:pt idx="17">
                  <c:v>5.1256279999999945</c:v>
                </c:pt>
                <c:pt idx="18">
                  <c:v>5.4271354999999755</c:v>
                </c:pt>
                <c:pt idx="19">
                  <c:v>5.7286434000000739</c:v>
                </c:pt>
                <c:pt idx="20">
                  <c:v>6.030151</c:v>
                </c:pt>
                <c:pt idx="21">
                  <c:v>6.3316584000000802</c:v>
                </c:pt>
                <c:pt idx="22">
                  <c:v>6.6331660000000001</c:v>
                </c:pt>
                <c:pt idx="23">
                  <c:v>6.9346733000000134</c:v>
                </c:pt>
                <c:pt idx="24">
                  <c:v>7.2361813000000001</c:v>
                </c:pt>
                <c:pt idx="25">
                  <c:v>7.5376887000000004</c:v>
                </c:pt>
                <c:pt idx="26">
                  <c:v>7.8391957000000003</c:v>
                </c:pt>
                <c:pt idx="27">
                  <c:v>8.1407039999999995</c:v>
                </c:pt>
                <c:pt idx="28">
                  <c:v>8.4422110000000004</c:v>
                </c:pt>
                <c:pt idx="29">
                  <c:v>8.7437189999999987</c:v>
                </c:pt>
                <c:pt idx="30">
                  <c:v>9.0452259999999995</c:v>
                </c:pt>
                <c:pt idx="31">
                  <c:v>9.3467340000000068</c:v>
                </c:pt>
                <c:pt idx="32">
                  <c:v>9.648240999999997</c:v>
                </c:pt>
                <c:pt idx="33">
                  <c:v>9.9497490000000006</c:v>
                </c:pt>
                <c:pt idx="34">
                  <c:v>10.251256</c:v>
                </c:pt>
                <c:pt idx="35">
                  <c:v>10.552764000000026</c:v>
                </c:pt>
                <c:pt idx="36">
                  <c:v>10.854271000000001</c:v>
                </c:pt>
                <c:pt idx="37">
                  <c:v>11.155779000000004</c:v>
                </c:pt>
                <c:pt idx="38">
                  <c:v>11.457287000000004</c:v>
                </c:pt>
                <c:pt idx="39">
                  <c:v>11.758794</c:v>
                </c:pt>
                <c:pt idx="40">
                  <c:v>12.060302</c:v>
                </c:pt>
                <c:pt idx="41">
                  <c:v>12.361809000000004</c:v>
                </c:pt>
                <c:pt idx="42">
                  <c:v>12.663317000000001</c:v>
                </c:pt>
                <c:pt idx="43">
                  <c:v>12.964824</c:v>
                </c:pt>
                <c:pt idx="44">
                  <c:v>13.266332</c:v>
                </c:pt>
                <c:pt idx="45">
                  <c:v>13.567839000000006</c:v>
                </c:pt>
                <c:pt idx="46">
                  <c:v>13.869347000000024</c:v>
                </c:pt>
                <c:pt idx="47">
                  <c:v>14.170855</c:v>
                </c:pt>
                <c:pt idx="48">
                  <c:v>14.472362500000004</c:v>
                </c:pt>
                <c:pt idx="49">
                  <c:v>14.7738695</c:v>
                </c:pt>
                <c:pt idx="50">
                  <c:v>15.075377</c:v>
                </c:pt>
                <c:pt idx="51">
                  <c:v>15.376884000000157</c:v>
                </c:pt>
                <c:pt idx="52">
                  <c:v>15.678391</c:v>
                </c:pt>
                <c:pt idx="53">
                  <c:v>15.979900000000002</c:v>
                </c:pt>
                <c:pt idx="54">
                  <c:v>16.281407999999889</c:v>
                </c:pt>
                <c:pt idx="55">
                  <c:v>16.582913999999889</c:v>
                </c:pt>
                <c:pt idx="56">
                  <c:v>16.884421999999986</c:v>
                </c:pt>
                <c:pt idx="57">
                  <c:v>17.185928000000001</c:v>
                </c:pt>
                <c:pt idx="58">
                  <c:v>17.487437999999678</c:v>
                </c:pt>
                <c:pt idx="59">
                  <c:v>17.78894399999967</c:v>
                </c:pt>
                <c:pt idx="60">
                  <c:v>18.090451999999999</c:v>
                </c:pt>
                <c:pt idx="61">
                  <c:v>18.391958000000358</c:v>
                </c:pt>
                <c:pt idx="62">
                  <c:v>18.693467999999999</c:v>
                </c:pt>
                <c:pt idx="63">
                  <c:v>18.994976000000001</c:v>
                </c:pt>
                <c:pt idx="64">
                  <c:v>19.296481999999987</c:v>
                </c:pt>
                <c:pt idx="65">
                  <c:v>19.597989999999999</c:v>
                </c:pt>
                <c:pt idx="66">
                  <c:v>19.899498000000001</c:v>
                </c:pt>
                <c:pt idx="67">
                  <c:v>20.201006</c:v>
                </c:pt>
                <c:pt idx="68">
                  <c:v>20.502511999999989</c:v>
                </c:pt>
                <c:pt idx="69">
                  <c:v>20.804020000000001</c:v>
                </c:pt>
                <c:pt idx="70">
                  <c:v>21.105528</c:v>
                </c:pt>
                <c:pt idx="71">
                  <c:v>21.407036000000002</c:v>
                </c:pt>
                <c:pt idx="72">
                  <c:v>21.708541999999699</c:v>
                </c:pt>
                <c:pt idx="73">
                  <c:v>22.010050000000035</c:v>
                </c:pt>
                <c:pt idx="74">
                  <c:v>22.311558000000318</c:v>
                </c:pt>
                <c:pt idx="75">
                  <c:v>22.613066000000035</c:v>
                </c:pt>
                <c:pt idx="76">
                  <c:v>22.914574000000005</c:v>
                </c:pt>
                <c:pt idx="77">
                  <c:v>23.216080000000005</c:v>
                </c:pt>
                <c:pt idx="78">
                  <c:v>23.517588000000035</c:v>
                </c:pt>
                <c:pt idx="79">
                  <c:v>23.819095999999998</c:v>
                </c:pt>
                <c:pt idx="80">
                  <c:v>24.120604</c:v>
                </c:pt>
                <c:pt idx="81">
                  <c:v>24.422109999999627</c:v>
                </c:pt>
                <c:pt idx="82">
                  <c:v>24.723617999999789</c:v>
                </c:pt>
                <c:pt idx="83">
                  <c:v>25.025125999999986</c:v>
                </c:pt>
                <c:pt idx="84">
                  <c:v>25.326632999999688</c:v>
                </c:pt>
                <c:pt idx="85">
                  <c:v>25.628140999999989</c:v>
                </c:pt>
                <c:pt idx="86">
                  <c:v>25.929646999999576</c:v>
                </c:pt>
                <c:pt idx="87">
                  <c:v>26.231157000000035</c:v>
                </c:pt>
                <c:pt idx="88">
                  <c:v>26.532662999999989</c:v>
                </c:pt>
                <c:pt idx="89">
                  <c:v>26.834171000000307</c:v>
                </c:pt>
                <c:pt idx="90">
                  <c:v>27.135677000000001</c:v>
                </c:pt>
                <c:pt idx="91">
                  <c:v>27.437184999999999</c:v>
                </c:pt>
                <c:pt idx="92">
                  <c:v>27.738692999999699</c:v>
                </c:pt>
                <c:pt idx="93">
                  <c:v>28.040201</c:v>
                </c:pt>
                <c:pt idx="94">
                  <c:v>28.341709999999889</c:v>
                </c:pt>
                <c:pt idx="95">
                  <c:v>28.643215000000001</c:v>
                </c:pt>
                <c:pt idx="96">
                  <c:v>28.944724999999789</c:v>
                </c:pt>
                <c:pt idx="97">
                  <c:v>29.246231000000002</c:v>
                </c:pt>
                <c:pt idx="98">
                  <c:v>29.547738999999989</c:v>
                </c:pt>
                <c:pt idx="99">
                  <c:v>29.849245</c:v>
                </c:pt>
                <c:pt idx="100">
                  <c:v>30.150755000000135</c:v>
                </c:pt>
                <c:pt idx="101">
                  <c:v>30.452259999999889</c:v>
                </c:pt>
                <c:pt idx="102">
                  <c:v>30.753768999999988</c:v>
                </c:pt>
                <c:pt idx="103">
                  <c:v>31.055277</c:v>
                </c:pt>
                <c:pt idx="104">
                  <c:v>31.356783</c:v>
                </c:pt>
                <c:pt idx="105">
                  <c:v>31.658290000000001</c:v>
                </c:pt>
                <c:pt idx="106">
                  <c:v>31.959800000000001</c:v>
                </c:pt>
                <c:pt idx="107">
                  <c:v>32.261307000000002</c:v>
                </c:pt>
                <c:pt idx="108">
                  <c:v>32.562817000000003</c:v>
                </c:pt>
                <c:pt idx="109">
                  <c:v>32.864320000000006</c:v>
                </c:pt>
                <c:pt idx="110">
                  <c:v>33.165830000000113</c:v>
                </c:pt>
                <c:pt idx="111">
                  <c:v>33.46734</c:v>
                </c:pt>
                <c:pt idx="112">
                  <c:v>33.768845000000013</c:v>
                </c:pt>
                <c:pt idx="113">
                  <c:v>34.070350000000012</c:v>
                </c:pt>
                <c:pt idx="114">
                  <c:v>34.371856999999999</c:v>
                </c:pt>
                <c:pt idx="115">
                  <c:v>34.673367000000006</c:v>
                </c:pt>
                <c:pt idx="116">
                  <c:v>34.974876000000002</c:v>
                </c:pt>
                <c:pt idx="117">
                  <c:v>35.276382000000012</c:v>
                </c:pt>
                <c:pt idx="118">
                  <c:v>35.577889999999996</c:v>
                </c:pt>
                <c:pt idx="119">
                  <c:v>35.879400000000004</c:v>
                </c:pt>
                <c:pt idx="120">
                  <c:v>36.180904000000005</c:v>
                </c:pt>
                <c:pt idx="121">
                  <c:v>36.482414000000006</c:v>
                </c:pt>
                <c:pt idx="122">
                  <c:v>36.783916000000012</c:v>
                </c:pt>
                <c:pt idx="123">
                  <c:v>37.085426000000005</c:v>
                </c:pt>
                <c:pt idx="124">
                  <c:v>37.386936000000006</c:v>
                </c:pt>
                <c:pt idx="125">
                  <c:v>37.688442000000002</c:v>
                </c:pt>
                <c:pt idx="126">
                  <c:v>37.989952000000002</c:v>
                </c:pt>
                <c:pt idx="127">
                  <c:v>38.291454000000002</c:v>
                </c:pt>
                <c:pt idx="128">
                  <c:v>38.592964000000002</c:v>
                </c:pt>
                <c:pt idx="129">
                  <c:v>38.894474000000002</c:v>
                </c:pt>
                <c:pt idx="130">
                  <c:v>39.195980000000013</c:v>
                </c:pt>
                <c:pt idx="131">
                  <c:v>39.497486000000002</c:v>
                </c:pt>
                <c:pt idx="132">
                  <c:v>39.798996000000564</c:v>
                </c:pt>
                <c:pt idx="133">
                  <c:v>40.100502000000013</c:v>
                </c:pt>
                <c:pt idx="134">
                  <c:v>40.402010000000011</c:v>
                </c:pt>
                <c:pt idx="135">
                  <c:v>40.703514000000013</c:v>
                </c:pt>
                <c:pt idx="136">
                  <c:v>41.005024000000006</c:v>
                </c:pt>
                <c:pt idx="137">
                  <c:v>41.306534000000006</c:v>
                </c:pt>
                <c:pt idx="138">
                  <c:v>41.608040000000003</c:v>
                </c:pt>
                <c:pt idx="139">
                  <c:v>41.909550000000003</c:v>
                </c:pt>
                <c:pt idx="140">
                  <c:v>42.211056000000006</c:v>
                </c:pt>
                <c:pt idx="141">
                  <c:v>42.512560000000001</c:v>
                </c:pt>
                <c:pt idx="142">
                  <c:v>42.814069999999994</c:v>
                </c:pt>
                <c:pt idx="143">
                  <c:v>43.115578000000063</c:v>
                </c:pt>
                <c:pt idx="144">
                  <c:v>43.417083999999974</c:v>
                </c:pt>
                <c:pt idx="145">
                  <c:v>43.718594000000003</c:v>
                </c:pt>
                <c:pt idx="146">
                  <c:v>44.020100000000063</c:v>
                </c:pt>
                <c:pt idx="147">
                  <c:v>44.32161</c:v>
                </c:pt>
                <c:pt idx="148">
                  <c:v>44.623116000000593</c:v>
                </c:pt>
                <c:pt idx="149">
                  <c:v>44.924620000000004</c:v>
                </c:pt>
                <c:pt idx="150">
                  <c:v>45.226130000000708</c:v>
                </c:pt>
                <c:pt idx="151">
                  <c:v>45.527637000000006</c:v>
                </c:pt>
                <c:pt idx="152">
                  <c:v>45.829147000000006</c:v>
                </c:pt>
                <c:pt idx="153">
                  <c:v>46.130653000000002</c:v>
                </c:pt>
                <c:pt idx="154">
                  <c:v>46.432160000000003</c:v>
                </c:pt>
                <c:pt idx="155">
                  <c:v>46.733670000000011</c:v>
                </c:pt>
                <c:pt idx="156">
                  <c:v>47.03517500000055</c:v>
                </c:pt>
                <c:pt idx="157">
                  <c:v>47.336684999999996</c:v>
                </c:pt>
                <c:pt idx="158">
                  <c:v>47.638190000000463</c:v>
                </c:pt>
                <c:pt idx="159">
                  <c:v>47.939697000000002</c:v>
                </c:pt>
                <c:pt idx="160">
                  <c:v>48.241207000000003</c:v>
                </c:pt>
                <c:pt idx="161">
                  <c:v>48.542717000000003</c:v>
                </c:pt>
                <c:pt idx="162">
                  <c:v>48.844219999999993</c:v>
                </c:pt>
                <c:pt idx="163">
                  <c:v>49.145730000000263</c:v>
                </c:pt>
                <c:pt idx="164">
                  <c:v>49.447234999999999</c:v>
                </c:pt>
                <c:pt idx="165">
                  <c:v>49.748745000000063</c:v>
                </c:pt>
                <c:pt idx="166">
                  <c:v>50.050249999999998</c:v>
                </c:pt>
                <c:pt idx="167">
                  <c:v>50.351756999999999</c:v>
                </c:pt>
                <c:pt idx="168">
                  <c:v>50.653266999999992</c:v>
                </c:pt>
                <c:pt idx="169">
                  <c:v>50.954773000000003</c:v>
                </c:pt>
                <c:pt idx="170">
                  <c:v>51.256283000000003</c:v>
                </c:pt>
                <c:pt idx="171">
                  <c:v>51.557789999999997</c:v>
                </c:pt>
                <c:pt idx="172">
                  <c:v>51.859294999999996</c:v>
                </c:pt>
                <c:pt idx="173">
                  <c:v>52.160805000000003</c:v>
                </c:pt>
                <c:pt idx="174">
                  <c:v>52.462315000000636</c:v>
                </c:pt>
                <c:pt idx="175">
                  <c:v>52.763817000000003</c:v>
                </c:pt>
                <c:pt idx="176">
                  <c:v>53.065327000000003</c:v>
                </c:pt>
                <c:pt idx="177">
                  <c:v>53.366833</c:v>
                </c:pt>
                <c:pt idx="178">
                  <c:v>53.668343000000213</c:v>
                </c:pt>
                <c:pt idx="179">
                  <c:v>53.969850000000001</c:v>
                </c:pt>
                <c:pt idx="180">
                  <c:v>54.271355000000113</c:v>
                </c:pt>
                <c:pt idx="181">
                  <c:v>54.572865</c:v>
                </c:pt>
                <c:pt idx="182">
                  <c:v>54.874369999999999</c:v>
                </c:pt>
                <c:pt idx="183">
                  <c:v>55.175880000000006</c:v>
                </c:pt>
                <c:pt idx="184">
                  <c:v>55.477386000000003</c:v>
                </c:pt>
                <c:pt idx="185">
                  <c:v>55.778893000000011</c:v>
                </c:pt>
                <c:pt idx="186">
                  <c:v>56.080401999999999</c:v>
                </c:pt>
                <c:pt idx="187">
                  <c:v>56.381912</c:v>
                </c:pt>
                <c:pt idx="188">
                  <c:v>56.683420000000005</c:v>
                </c:pt>
                <c:pt idx="189">
                  <c:v>56.984923999999999</c:v>
                </c:pt>
                <c:pt idx="190">
                  <c:v>57.286430000000003</c:v>
                </c:pt>
                <c:pt idx="191">
                  <c:v>57.587940000000003</c:v>
                </c:pt>
                <c:pt idx="192">
                  <c:v>57.889449999999997</c:v>
                </c:pt>
                <c:pt idx="193">
                  <c:v>58.190952000000578</c:v>
                </c:pt>
                <c:pt idx="194">
                  <c:v>58.492462000000003</c:v>
                </c:pt>
                <c:pt idx="195">
                  <c:v>58.793972000000622</c:v>
                </c:pt>
                <c:pt idx="196">
                  <c:v>59.095478000000163</c:v>
                </c:pt>
                <c:pt idx="197">
                  <c:v>59.396984000000003</c:v>
                </c:pt>
                <c:pt idx="198">
                  <c:v>59.698490000000113</c:v>
                </c:pt>
                <c:pt idx="199">
                  <c:v>60</c:v>
                </c:pt>
              </c:numCache>
            </c:numRef>
          </c:xVal>
          <c:yVal>
            <c:numRef>
              <c:f>Sheet1!$Q$6:$Q$205</c:f>
              <c:numCache>
                <c:formatCode>General</c:formatCode>
                <c:ptCount val="200"/>
                <c:pt idx="0">
                  <c:v>0.48584305257998939</c:v>
                </c:pt>
                <c:pt idx="1">
                  <c:v>0.48639189267248367</c:v>
                </c:pt>
                <c:pt idx="2">
                  <c:v>0.48803945875805199</c:v>
                </c:pt>
                <c:pt idx="3">
                  <c:v>0.49079495394801448</c:v>
                </c:pt>
                <c:pt idx="4">
                  <c:v>0.49461947418093288</c:v>
                </c:pt>
                <c:pt idx="5">
                  <c:v>0.49933397710957012</c:v>
                </c:pt>
                <c:pt idx="6">
                  <c:v>0.50494710808088605</c:v>
                </c:pt>
                <c:pt idx="7">
                  <c:v>0.5114846985550523</c:v>
                </c:pt>
                <c:pt idx="8">
                  <c:v>0.51895295366013861</c:v>
                </c:pt>
                <c:pt idx="9">
                  <c:v>0.52738617590190606</c:v>
                </c:pt>
                <c:pt idx="10">
                  <c:v>0.53679363811225922</c:v>
                </c:pt>
                <c:pt idx="11">
                  <c:v>0.5472178698206519</c:v>
                </c:pt>
                <c:pt idx="12">
                  <c:v>0.55882264457609065</c:v>
                </c:pt>
                <c:pt idx="13">
                  <c:v>0.57216597072204356</c:v>
                </c:pt>
                <c:pt idx="14">
                  <c:v>0.58690496264181768</c:v>
                </c:pt>
                <c:pt idx="15">
                  <c:v>0.60306210520961956</c:v>
                </c:pt>
                <c:pt idx="16">
                  <c:v>0.62069676546543662</c:v>
                </c:pt>
                <c:pt idx="17">
                  <c:v>0.63983735452941015</c:v>
                </c:pt>
                <c:pt idx="18">
                  <c:v>0.66053550046153264</c:v>
                </c:pt>
                <c:pt idx="19">
                  <c:v>0.68284628248860668</c:v>
                </c:pt>
                <c:pt idx="20">
                  <c:v>0.70681505382199161</c:v>
                </c:pt>
                <c:pt idx="21">
                  <c:v>0.73251338259623255</c:v>
                </c:pt>
                <c:pt idx="22">
                  <c:v>0.75238105231374075</c:v>
                </c:pt>
                <c:pt idx="23">
                  <c:v>0.77069555755709795</c:v>
                </c:pt>
                <c:pt idx="24">
                  <c:v>0.79129710568075651</c:v>
                </c:pt>
                <c:pt idx="25">
                  <c:v>0.81603221033181061</c:v>
                </c:pt>
                <c:pt idx="26">
                  <c:v>0.84822943468042877</c:v>
                </c:pt>
                <c:pt idx="27">
                  <c:v>0.87411918119779253</c:v>
                </c:pt>
                <c:pt idx="28">
                  <c:v>0.89369444296966183</c:v>
                </c:pt>
                <c:pt idx="29">
                  <c:v>0.91198963562338931</c:v>
                </c:pt>
                <c:pt idx="30">
                  <c:v>0.92839020745730261</c:v>
                </c:pt>
                <c:pt idx="31">
                  <c:v>0.94304218814289953</c:v>
                </c:pt>
                <c:pt idx="32">
                  <c:v>0.95632719305697766</c:v>
                </c:pt>
                <c:pt idx="33">
                  <c:v>0.9678876604091059</c:v>
                </c:pt>
                <c:pt idx="34">
                  <c:v>0.97752084286834362</c:v>
                </c:pt>
                <c:pt idx="35">
                  <c:v>0.98534435898604156</c:v>
                </c:pt>
                <c:pt idx="36">
                  <c:v>0.99145302869686958</c:v>
                </c:pt>
                <c:pt idx="37">
                  <c:v>0.99555085344738969</c:v>
                </c:pt>
                <c:pt idx="38">
                  <c:v>0.99752314294895328</c:v>
                </c:pt>
                <c:pt idx="39">
                  <c:v>0.99737150077401959</c:v>
                </c:pt>
                <c:pt idx="40">
                  <c:v>0.99522389897410068</c:v>
                </c:pt>
                <c:pt idx="41">
                  <c:v>0.99052849947348864</c:v>
                </c:pt>
                <c:pt idx="42">
                  <c:v>0.98376170272339969</c:v>
                </c:pt>
                <c:pt idx="43">
                  <c:v>0.97854625771340165</c:v>
                </c:pt>
                <c:pt idx="44">
                  <c:v>0.97487658680027711</c:v>
                </c:pt>
                <c:pt idx="45">
                  <c:v>0.97274760038460695</c:v>
                </c:pt>
                <c:pt idx="46">
                  <c:v>0.9721570674090606</c:v>
                </c:pt>
                <c:pt idx="47">
                  <c:v>0.97310491815315014</c:v>
                </c:pt>
                <c:pt idx="48">
                  <c:v>0.97559411573979182</c:v>
                </c:pt>
                <c:pt idx="49">
                  <c:v>0.97962943602603592</c:v>
                </c:pt>
                <c:pt idx="50">
                  <c:v>0.98521872257259313</c:v>
                </c:pt>
                <c:pt idx="51">
                  <c:v>0.99354192580192313</c:v>
                </c:pt>
                <c:pt idx="52">
                  <c:v>0.99853039559329926</c:v>
                </c:pt>
                <c:pt idx="53">
                  <c:v>1</c:v>
                </c:pt>
                <c:pt idx="54">
                  <c:v>0.99893442612379379</c:v>
                </c:pt>
                <c:pt idx="55">
                  <c:v>0.99521242994521963</c:v>
                </c:pt>
                <c:pt idx="56">
                  <c:v>0.98893869685547475</c:v>
                </c:pt>
                <c:pt idx="57">
                  <c:v>0.98020016836813251</c:v>
                </c:pt>
                <c:pt idx="58">
                  <c:v>0.96921109570325858</c:v>
                </c:pt>
                <c:pt idx="59">
                  <c:v>0.95635759121250652</c:v>
                </c:pt>
                <c:pt idx="60">
                  <c:v>0.94162327056893735</c:v>
                </c:pt>
                <c:pt idx="61">
                  <c:v>0.92495852760817721</c:v>
                </c:pt>
                <c:pt idx="62">
                  <c:v>0.90654864466581575</c:v>
                </c:pt>
                <c:pt idx="63">
                  <c:v>0.88678538145728558</c:v>
                </c:pt>
                <c:pt idx="64">
                  <c:v>0.8654686400321886</c:v>
                </c:pt>
                <c:pt idx="65">
                  <c:v>0.84253309224435335</c:v>
                </c:pt>
                <c:pt idx="66">
                  <c:v>0.81850763811177163</c:v>
                </c:pt>
                <c:pt idx="67">
                  <c:v>0.79321372333097828</c:v>
                </c:pt>
                <c:pt idx="68">
                  <c:v>0.7668558033861419</c:v>
                </c:pt>
                <c:pt idx="69">
                  <c:v>0.73964697910834465</c:v>
                </c:pt>
                <c:pt idx="70">
                  <c:v>0.714647563889384</c:v>
                </c:pt>
                <c:pt idx="71">
                  <c:v>0.69537841014928503</c:v>
                </c:pt>
                <c:pt idx="72">
                  <c:v>0.67663644827393365</c:v>
                </c:pt>
                <c:pt idx="73">
                  <c:v>0.64747196284342301</c:v>
                </c:pt>
                <c:pt idx="74">
                  <c:v>0.63031691018366454</c:v>
                </c:pt>
                <c:pt idx="75">
                  <c:v>0.61486540920328159</c:v>
                </c:pt>
                <c:pt idx="76">
                  <c:v>0.59163069057741913</c:v>
                </c:pt>
                <c:pt idx="77">
                  <c:v>0.57650461021843979</c:v>
                </c:pt>
                <c:pt idx="78">
                  <c:v>0.56548011951913324</c:v>
                </c:pt>
                <c:pt idx="79">
                  <c:v>0.55102631946906699</c:v>
                </c:pt>
                <c:pt idx="80">
                  <c:v>0.52970323347482295</c:v>
                </c:pt>
                <c:pt idx="81">
                  <c:v>0.50929610107749257</c:v>
                </c:pt>
                <c:pt idx="82">
                  <c:v>0.48971303060512023</c:v>
                </c:pt>
                <c:pt idx="83">
                  <c:v>0.47090643778901303</c:v>
                </c:pt>
                <c:pt idx="84">
                  <c:v>0.45284024224959468</c:v>
                </c:pt>
                <c:pt idx="85">
                  <c:v>0.43548289544245317</c:v>
                </c:pt>
                <c:pt idx="86">
                  <c:v>0.41880497529959293</c:v>
                </c:pt>
                <c:pt idx="87">
                  <c:v>0.40277918622952402</c:v>
                </c:pt>
                <c:pt idx="88">
                  <c:v>0.38737976649267358</c:v>
                </c:pt>
                <c:pt idx="89">
                  <c:v>0.37258294138480103</c:v>
                </c:pt>
                <c:pt idx="90">
                  <c:v>0.35836294916630551</c:v>
                </c:pt>
                <c:pt idx="91">
                  <c:v>0.34470459075943038</c:v>
                </c:pt>
                <c:pt idx="92">
                  <c:v>0.33157248299002701</c:v>
                </c:pt>
                <c:pt idx="93">
                  <c:v>0.31895885201784818</c:v>
                </c:pt>
                <c:pt idx="94">
                  <c:v>0.30683896448125986</c:v>
                </c:pt>
                <c:pt idx="95">
                  <c:v>0.29519183101163354</c:v>
                </c:pt>
                <c:pt idx="96">
                  <c:v>0.28400911651839217</c:v>
                </c:pt>
                <c:pt idx="97">
                  <c:v>0.27325742137675685</c:v>
                </c:pt>
                <c:pt idx="98">
                  <c:v>0.2629275773356875</c:v>
                </c:pt>
                <c:pt idx="99">
                  <c:v>0.25301518851510274</c:v>
                </c:pt>
                <c:pt idx="100">
                  <c:v>0.24348364814539725</c:v>
                </c:pt>
                <c:pt idx="101">
                  <c:v>0.23432801652627799</c:v>
                </c:pt>
                <c:pt idx="102">
                  <c:v>0.22554736637457146</c:v>
                </c:pt>
                <c:pt idx="103">
                  <c:v>0.21709881607202453</c:v>
                </c:pt>
                <c:pt idx="104">
                  <c:v>0.20897888307764548</c:v>
                </c:pt>
                <c:pt idx="105">
                  <c:v>0.20118756739143842</c:v>
                </c:pt>
                <c:pt idx="106">
                  <c:v>0.19372452738275917</c:v>
                </c:pt>
                <c:pt idx="107">
                  <c:v>0.18655553723842044</c:v>
                </c:pt>
                <c:pt idx="108">
                  <c:v>0.1796588999263089</c:v>
                </c:pt>
                <c:pt idx="109">
                  <c:v>0.17303481763599193</c:v>
                </c:pt>
                <c:pt idx="110">
                  <c:v>0.16668299405517364</c:v>
                </c:pt>
                <c:pt idx="111">
                  <c:v>0.16061919648402351</c:v>
                </c:pt>
                <c:pt idx="112">
                  <c:v>0.15480150196170939</c:v>
                </c:pt>
                <c:pt idx="113">
                  <c:v>0.14919048700878004</c:v>
                </c:pt>
                <c:pt idx="114">
                  <c:v>0.14378613419510169</c:v>
                </c:pt>
                <c:pt idx="115">
                  <c:v>0.13858598238559391</c:v>
                </c:pt>
                <c:pt idx="116">
                  <c:v>0.13356672400367667</c:v>
                </c:pt>
                <c:pt idx="117">
                  <c:v>0.12872260710478087</c:v>
                </c:pt>
                <c:pt idx="118">
                  <c:v>0.1240535828845277</c:v>
                </c:pt>
                <c:pt idx="119">
                  <c:v>0.11955874497589469</c:v>
                </c:pt>
                <c:pt idx="120">
                  <c:v>0.11522113385747616</c:v>
                </c:pt>
                <c:pt idx="121">
                  <c:v>0.11103654886672579</c:v>
                </c:pt>
                <c:pt idx="122">
                  <c:v>0.10700525145567162</c:v>
                </c:pt>
                <c:pt idx="123">
                  <c:v>0.10312395081480828</c:v>
                </c:pt>
                <c:pt idx="124">
                  <c:v>9.9375927958603227E-2</c:v>
                </c:pt>
                <c:pt idx="125">
                  <c:v>9.5758641573361544E-2</c:v>
                </c:pt>
                <c:pt idx="126">
                  <c:v>9.2271736084329009E-2</c:v>
                </c:pt>
                <c:pt idx="127">
                  <c:v>8.8922214919770343E-2</c:v>
                </c:pt>
                <c:pt idx="128">
                  <c:v>8.5685627086234714E-2</c:v>
                </c:pt>
                <c:pt idx="129">
                  <c:v>8.2554850630541243E-2</c:v>
                </c:pt>
                <c:pt idx="130">
                  <c:v>7.9529927385011814E-2</c:v>
                </c:pt>
                <c:pt idx="131">
                  <c:v>7.6610819003351163E-2</c:v>
                </c:pt>
                <c:pt idx="132">
                  <c:v>7.3797490625289744E-2</c:v>
                </c:pt>
                <c:pt idx="133">
                  <c:v>7.1090011971365483E-2</c:v>
                </c:pt>
                <c:pt idx="134">
                  <c:v>6.8488306348985964E-2</c:v>
                </c:pt>
                <c:pt idx="135">
                  <c:v>6.5978101963570956E-2</c:v>
                </c:pt>
                <c:pt idx="136">
                  <c:v>6.3551380952996964E-2</c:v>
                </c:pt>
                <c:pt idx="137">
                  <c:v>6.1201837094402065E-2</c:v>
                </c:pt>
                <c:pt idx="138">
                  <c:v>5.8929501762029775E-2</c:v>
                </c:pt>
                <c:pt idx="139">
                  <c:v>5.6734319179447823E-2</c:v>
                </c:pt>
                <c:pt idx="140">
                  <c:v>5.4616334665007503E-2</c:v>
                </c:pt>
                <c:pt idx="141">
                  <c:v>5.2575534274600128E-2</c:v>
                </c:pt>
                <c:pt idx="142">
                  <c:v>5.0611886633983312E-2</c:v>
                </c:pt>
                <c:pt idx="143">
                  <c:v>4.8720340490018957E-2</c:v>
                </c:pt>
                <c:pt idx="144">
                  <c:v>4.6888673832009904E-2</c:v>
                </c:pt>
                <c:pt idx="145">
                  <c:v>4.5112759203974097E-2</c:v>
                </c:pt>
                <c:pt idx="146">
                  <c:v>4.3392641924265896E-2</c:v>
                </c:pt>
                <c:pt idx="147">
                  <c:v>4.1728276674529635E-2</c:v>
                </c:pt>
                <c:pt idx="148">
                  <c:v>4.0119705287093327E-2</c:v>
                </c:pt>
                <c:pt idx="149">
                  <c:v>3.8566908240204409E-2</c:v>
                </c:pt>
                <c:pt idx="150">
                  <c:v>3.7069865314906442E-2</c:v>
                </c:pt>
                <c:pt idx="151">
                  <c:v>3.5628611371468916E-2</c:v>
                </c:pt>
                <c:pt idx="152">
                  <c:v>3.4243117824471862E-2</c:v>
                </c:pt>
                <c:pt idx="153">
                  <c:v>3.2901659770666232E-2</c:v>
                </c:pt>
                <c:pt idx="154">
                  <c:v>3.1596369247092422E-2</c:v>
                </c:pt>
                <c:pt idx="155">
                  <c:v>3.0327734297531168E-2</c:v>
                </c:pt>
                <c:pt idx="156">
                  <c:v>2.9095787690636438E-2</c:v>
                </c:pt>
                <c:pt idx="157">
                  <c:v>2.790049735495961E-2</c:v>
                </c:pt>
                <c:pt idx="158">
                  <c:v>2.6741891875922411E-2</c:v>
                </c:pt>
                <c:pt idx="159">
                  <c:v>2.5619960795443212E-2</c:v>
                </c:pt>
                <c:pt idx="160">
                  <c:v>2.4534685986181873E-2</c:v>
                </c:pt>
                <c:pt idx="161">
                  <c:v>2.3486079997835873E-2</c:v>
                </c:pt>
                <c:pt idx="162">
                  <c:v>2.2472587713756209E-2</c:v>
                </c:pt>
                <c:pt idx="163">
                  <c:v>2.1485053781205105E-2</c:v>
                </c:pt>
                <c:pt idx="164">
                  <c:v>2.0522122484278212E-2</c:v>
                </c:pt>
                <c:pt idx="165">
                  <c:v>1.9583767677773721E-2</c:v>
                </c:pt>
                <c:pt idx="166">
                  <c:v>1.8670012718072365E-2</c:v>
                </c:pt>
                <c:pt idx="167">
                  <c:v>1.7780847844298443E-2</c:v>
                </c:pt>
                <c:pt idx="168">
                  <c:v>1.6916259809549281E-2</c:v>
                </c:pt>
                <c:pt idx="169">
                  <c:v>1.6076271970205905E-2</c:v>
                </c:pt>
                <c:pt idx="170">
                  <c:v>1.5260864107311665E-2</c:v>
                </c:pt>
                <c:pt idx="171">
                  <c:v>1.4470052953796038E-2</c:v>
                </c:pt>
                <c:pt idx="172">
                  <c:v>1.3700286945341299E-2</c:v>
                </c:pt>
                <c:pt idx="173">
                  <c:v>1.2944144679045181E-2</c:v>
                </c:pt>
                <c:pt idx="174">
                  <c:v>1.2201588157213469E-2</c:v>
                </c:pt>
                <c:pt idx="175">
                  <c:v>1.1472634461377983E-2</c:v>
                </c:pt>
                <c:pt idx="176">
                  <c:v>1.0757244896639474E-2</c:v>
                </c:pt>
                <c:pt idx="177">
                  <c:v>1.0055449094227361E-2</c:v>
                </c:pt>
                <c:pt idx="178">
                  <c:v>9.3672282295957504E-3</c:v>
                </c:pt>
                <c:pt idx="179">
                  <c:v>8.6926004300851567E-3</c:v>
                </c:pt>
                <c:pt idx="180">
                  <c:v>8.0315562834225047E-3</c:v>
                </c:pt>
                <c:pt idx="181">
                  <c:v>7.3840877717458314E-3</c:v>
                </c:pt>
                <c:pt idx="182">
                  <c:v>6.8954851801846344E-3</c:v>
                </c:pt>
                <c:pt idx="183">
                  <c:v>6.4507667882443579E-3</c:v>
                </c:pt>
                <c:pt idx="184">
                  <c:v>6.0301873903361594E-3</c:v>
                </c:pt>
                <c:pt idx="185">
                  <c:v>5.6337417574199022E-3</c:v>
                </c:pt>
                <c:pt idx="186">
                  <c:v>5.2614239632494831E-3</c:v>
                </c:pt>
                <c:pt idx="187">
                  <c:v>4.9132408055777392E-3</c:v>
                </c:pt>
                <c:pt idx="188">
                  <c:v>4.5891948989245914E-3</c:v>
                </c:pt>
                <c:pt idx="189">
                  <c:v>4.2892825829620868E-3</c:v>
                </c:pt>
                <c:pt idx="190">
                  <c:v>4.0135033347857311E-3</c:v>
                </c:pt>
                <c:pt idx="191">
                  <c:v>3.7612289723286652E-3</c:v>
                </c:pt>
                <c:pt idx="192">
                  <c:v>3.5216339873131645E-3</c:v>
                </c:pt>
                <c:pt idx="193">
                  <c:v>3.2944384517704069E-3</c:v>
                </c:pt>
                <c:pt idx="194">
                  <c:v>3.079631559016526E-3</c:v>
                </c:pt>
                <c:pt idx="195">
                  <c:v>2.8772181894893426E-3</c:v>
                </c:pt>
                <c:pt idx="196">
                  <c:v>2.6872020383776601E-3</c:v>
                </c:pt>
                <c:pt idx="197">
                  <c:v>2.5095793407721328E-3</c:v>
                </c:pt>
                <c:pt idx="198">
                  <c:v>2.3443506544370842E-3</c:v>
                </c:pt>
                <c:pt idx="199">
                  <c:v>2.1915137831756051E-3</c:v>
                </c:pt>
              </c:numCache>
            </c:numRef>
          </c:yVal>
          <c:smooth val="1"/>
        </c:ser>
        <c:ser>
          <c:idx val="1"/>
          <c:order val="4"/>
          <c:tx>
            <c:v>MCNP (fast axially averaged)</c:v>
          </c:tx>
          <c:spPr>
            <a:ln>
              <a:noFill/>
            </a:ln>
          </c:spPr>
          <c:marker>
            <c:symbol val="square"/>
            <c:size val="6"/>
            <c:spPr>
              <a:noFill/>
              <a:ln w="15875">
                <a:solidFill>
                  <a:srgbClr val="FF0000"/>
                </a:solidFill>
              </a:ln>
            </c:spPr>
          </c:marker>
          <c:xVal>
            <c:numRef>
              <c:f>Sheet1!$K$6:$K$36</c:f>
              <c:numCache>
                <c:formatCode>General</c:formatCode>
                <c:ptCount val="31"/>
                <c:pt idx="0">
                  <c:v>1.6890969606568085</c:v>
                </c:pt>
                <c:pt idx="1">
                  <c:v>3.3781999999999988</c:v>
                </c:pt>
                <c:pt idx="2">
                  <c:v>4.4689282006427442</c:v>
                </c:pt>
                <c:pt idx="3">
                  <c:v>7.3199999999999985</c:v>
                </c:pt>
                <c:pt idx="4">
                  <c:v>7.75</c:v>
                </c:pt>
                <c:pt idx="5">
                  <c:v>8.25</c:v>
                </c:pt>
                <c:pt idx="6">
                  <c:v>9</c:v>
                </c:pt>
                <c:pt idx="7">
                  <c:v>10</c:v>
                </c:pt>
                <c:pt idx="8">
                  <c:v>11</c:v>
                </c:pt>
                <c:pt idx="9">
                  <c:v>11.75</c:v>
                </c:pt>
                <c:pt idx="10">
                  <c:v>12.3</c:v>
                </c:pt>
                <c:pt idx="11">
                  <c:v>15.314755</c:v>
                </c:pt>
                <c:pt idx="12">
                  <c:v>15.75</c:v>
                </c:pt>
                <c:pt idx="13">
                  <c:v>16.25</c:v>
                </c:pt>
                <c:pt idx="14">
                  <c:v>17</c:v>
                </c:pt>
                <c:pt idx="15">
                  <c:v>18</c:v>
                </c:pt>
                <c:pt idx="16">
                  <c:v>19</c:v>
                </c:pt>
                <c:pt idx="17">
                  <c:v>19.75</c:v>
                </c:pt>
                <c:pt idx="18">
                  <c:v>20.25</c:v>
                </c:pt>
                <c:pt idx="19">
                  <c:v>20.739000000000001</c:v>
                </c:pt>
                <c:pt idx="20">
                  <c:v>24.764999999999986</c:v>
                </c:pt>
                <c:pt idx="21">
                  <c:v>26.307414999999999</c:v>
                </c:pt>
                <c:pt idx="22">
                  <c:v>28.892499999999789</c:v>
                </c:pt>
                <c:pt idx="23">
                  <c:v>31.670625000000001</c:v>
                </c:pt>
                <c:pt idx="24">
                  <c:v>34.837499999999999</c:v>
                </c:pt>
                <c:pt idx="25">
                  <c:v>37.837499999999999</c:v>
                </c:pt>
                <c:pt idx="26">
                  <c:v>40.837499999999999</c:v>
                </c:pt>
                <c:pt idx="27">
                  <c:v>43.837499999999999</c:v>
                </c:pt>
                <c:pt idx="28">
                  <c:v>46.837499999999999</c:v>
                </c:pt>
                <c:pt idx="29">
                  <c:v>49.837499999999999</c:v>
                </c:pt>
                <c:pt idx="30">
                  <c:v>52.973750000000003</c:v>
                </c:pt>
              </c:numCache>
            </c:numRef>
          </c:xVal>
          <c:yVal>
            <c:numRef>
              <c:f>Sheet1!$M$6:$M$36</c:f>
              <c:numCache>
                <c:formatCode>General</c:formatCode>
                <c:ptCount val="31"/>
                <c:pt idx="0">
                  <c:v>0.6699354058852417</c:v>
                </c:pt>
                <c:pt idx="1">
                  <c:v>0.69258741610950536</c:v>
                </c:pt>
                <c:pt idx="2">
                  <c:v>0.72005691333309441</c:v>
                </c:pt>
                <c:pt idx="3">
                  <c:v>0.91648597942557863</c:v>
                </c:pt>
                <c:pt idx="4">
                  <c:v>0.94813835480174757</c:v>
                </c:pt>
                <c:pt idx="5">
                  <c:v>0.97151815056850765</c:v>
                </c:pt>
                <c:pt idx="6">
                  <c:v>0.99121872599754335</c:v>
                </c:pt>
                <c:pt idx="7">
                  <c:v>1</c:v>
                </c:pt>
                <c:pt idx="8">
                  <c:v>0.99152092068648567</c:v>
                </c:pt>
                <c:pt idx="9">
                  <c:v>0.9734471599994966</c:v>
                </c:pt>
                <c:pt idx="10">
                  <c:v>0.94673818607637972</c:v>
                </c:pt>
                <c:pt idx="11">
                  <c:v>0.89250179428095799</c:v>
                </c:pt>
                <c:pt idx="12">
                  <c:v>0.89802188393205651</c:v>
                </c:pt>
                <c:pt idx="13">
                  <c:v>0.8914567043150885</c:v>
                </c:pt>
                <c:pt idx="14">
                  <c:v>0.86634936224330372</c:v>
                </c:pt>
                <c:pt idx="15">
                  <c:v>0.81793777307697169</c:v>
                </c:pt>
                <c:pt idx="16">
                  <c:v>0.75730492703258279</c:v>
                </c:pt>
                <c:pt idx="17">
                  <c:v>0.70533247711504798</c:v>
                </c:pt>
                <c:pt idx="18">
                  <c:v>0.66605472242160213</c:v>
                </c:pt>
                <c:pt idx="19">
                  <c:v>0.63721527594152561</c:v>
                </c:pt>
                <c:pt idx="20">
                  <c:v>0.37188582077337118</c:v>
                </c:pt>
                <c:pt idx="21">
                  <c:v>0.31720117352270882</c:v>
                </c:pt>
                <c:pt idx="22">
                  <c:v>0.22736801017388789</c:v>
                </c:pt>
                <c:pt idx="23">
                  <c:v>0.15050806482076345</c:v>
                </c:pt>
                <c:pt idx="24">
                  <c:v>8.6140092421209097E-2</c:v>
                </c:pt>
                <c:pt idx="25">
                  <c:v>5.1109684080635813E-2</c:v>
                </c:pt>
                <c:pt idx="26">
                  <c:v>2.9675014794948346E-2</c:v>
                </c:pt>
                <c:pt idx="27">
                  <c:v>1.8553570304335642E-2</c:v>
                </c:pt>
                <c:pt idx="28">
                  <c:v>1.1469799418275453E-2</c:v>
                </c:pt>
                <c:pt idx="29">
                  <c:v>6.8651330286203568E-3</c:v>
                </c:pt>
                <c:pt idx="30">
                  <c:v>3.5497047306060976E-3</c:v>
                </c:pt>
              </c:numCache>
            </c:numRef>
          </c:yVal>
          <c:smooth val="1"/>
        </c:ser>
        <c:ser>
          <c:idx val="12"/>
          <c:order val="5"/>
          <c:tx>
            <c:v>KENO VI (fast axially averaged)</c:v>
          </c:tx>
          <c:spPr>
            <a:ln>
              <a:noFill/>
            </a:ln>
          </c:spPr>
          <c:marker>
            <c:symbol val="plus"/>
            <c:size val="8"/>
            <c:spPr>
              <a:noFill/>
              <a:ln w="25400">
                <a:solidFill>
                  <a:srgbClr val="FF0000"/>
                </a:solidFill>
              </a:ln>
            </c:spPr>
          </c:marker>
          <c:xVal>
            <c:numRef>
              <c:f>Sheet1!$G$40:$G$76</c:f>
              <c:numCache>
                <c:formatCode>0.0000</c:formatCode>
                <c:ptCount val="37"/>
                <c:pt idx="0">
                  <c:v>1.6890969606568085</c:v>
                </c:pt>
                <c:pt idx="1">
                  <c:v>1.6890969606568085</c:v>
                </c:pt>
                <c:pt idx="2">
                  <c:v>1.6890969606568085</c:v>
                </c:pt>
                <c:pt idx="3">
                  <c:v>1.6890969606568085</c:v>
                </c:pt>
                <c:pt idx="4">
                  <c:v>2.9256052643000197</c:v>
                </c:pt>
                <c:pt idx="5">
                  <c:v>2.9255999999999998</c:v>
                </c:pt>
                <c:pt idx="6">
                  <c:v>2.9256052643000197</c:v>
                </c:pt>
                <c:pt idx="7">
                  <c:v>1.6890969606568085</c:v>
                </c:pt>
                <c:pt idx="8">
                  <c:v>2.9256052643000197</c:v>
                </c:pt>
                <c:pt idx="9">
                  <c:v>7.3199999999999985</c:v>
                </c:pt>
                <c:pt idx="10">
                  <c:v>7.75</c:v>
                </c:pt>
                <c:pt idx="11">
                  <c:v>8.25</c:v>
                </c:pt>
                <c:pt idx="12">
                  <c:v>9</c:v>
                </c:pt>
                <c:pt idx="13">
                  <c:v>10</c:v>
                </c:pt>
                <c:pt idx="14">
                  <c:v>11</c:v>
                </c:pt>
                <c:pt idx="15">
                  <c:v>11.75</c:v>
                </c:pt>
                <c:pt idx="16">
                  <c:v>12.3</c:v>
                </c:pt>
                <c:pt idx="17">
                  <c:v>15.314755</c:v>
                </c:pt>
                <c:pt idx="18">
                  <c:v>15.75</c:v>
                </c:pt>
                <c:pt idx="19">
                  <c:v>16.25</c:v>
                </c:pt>
                <c:pt idx="20">
                  <c:v>17</c:v>
                </c:pt>
                <c:pt idx="21">
                  <c:v>18</c:v>
                </c:pt>
                <c:pt idx="22">
                  <c:v>19</c:v>
                </c:pt>
                <c:pt idx="23">
                  <c:v>19.75</c:v>
                </c:pt>
                <c:pt idx="24">
                  <c:v>20.25</c:v>
                </c:pt>
                <c:pt idx="25">
                  <c:v>20.739000000000001</c:v>
                </c:pt>
                <c:pt idx="26">
                  <c:v>24.764999999999986</c:v>
                </c:pt>
                <c:pt idx="27">
                  <c:v>26.307414999999999</c:v>
                </c:pt>
                <c:pt idx="28">
                  <c:v>28.892499999999789</c:v>
                </c:pt>
                <c:pt idx="29">
                  <c:v>31.670625000000001</c:v>
                </c:pt>
                <c:pt idx="30">
                  <c:v>34.837499999999999</c:v>
                </c:pt>
                <c:pt idx="31">
                  <c:v>37.837499999999999</c:v>
                </c:pt>
                <c:pt idx="32">
                  <c:v>40.837499999999999</c:v>
                </c:pt>
                <c:pt idx="33">
                  <c:v>43.837499999999999</c:v>
                </c:pt>
                <c:pt idx="34">
                  <c:v>46.837499999999999</c:v>
                </c:pt>
                <c:pt idx="35">
                  <c:v>49.837499999999999</c:v>
                </c:pt>
                <c:pt idx="36">
                  <c:v>52.973750000000003</c:v>
                </c:pt>
              </c:numCache>
            </c:numRef>
          </c:xVal>
          <c:yVal>
            <c:numRef>
              <c:f>Sheet1!$I$40:$I$76</c:f>
              <c:numCache>
                <c:formatCode>0.0000E+00</c:formatCode>
                <c:ptCount val="37"/>
                <c:pt idx="0">
                  <c:v>0.65083718800679502</c:v>
                </c:pt>
                <c:pt idx="1">
                  <c:v>0.6496818557204026</c:v>
                </c:pt>
                <c:pt idx="2">
                  <c:v>0.65100834834553012</c:v>
                </c:pt>
                <c:pt idx="3">
                  <c:v>0.64989580614382658</c:v>
                </c:pt>
                <c:pt idx="4">
                  <c:v>0.67450010483570744</c:v>
                </c:pt>
                <c:pt idx="5">
                  <c:v>0.67411499407358932</c:v>
                </c:pt>
                <c:pt idx="6">
                  <c:v>0.67154758899267852</c:v>
                </c:pt>
                <c:pt idx="7">
                  <c:v>0.65035579955413736</c:v>
                </c:pt>
                <c:pt idx="8">
                  <c:v>0.67338756263399591</c:v>
                </c:pt>
                <c:pt idx="9">
                  <c:v>0.92237878638761828</c:v>
                </c:pt>
                <c:pt idx="10">
                  <c:v>0.9529993709857556</c:v>
                </c:pt>
                <c:pt idx="11">
                  <c:v>0.97524593601171783</c:v>
                </c:pt>
                <c:pt idx="12">
                  <c:v>0.99341460596749642</c:v>
                </c:pt>
                <c:pt idx="13">
                  <c:v>1</c:v>
                </c:pt>
                <c:pt idx="14">
                  <c:v>0.9905562283107755</c:v>
                </c:pt>
                <c:pt idx="15">
                  <c:v>0.97205807470292926</c:v>
                </c:pt>
                <c:pt idx="16">
                  <c:v>0.94628132769074769</c:v>
                </c:pt>
                <c:pt idx="17">
                  <c:v>0.89003804038528211</c:v>
                </c:pt>
                <c:pt idx="18">
                  <c:v>0.89413733049777733</c:v>
                </c:pt>
                <c:pt idx="19">
                  <c:v>0.886345256077262</c:v>
                </c:pt>
                <c:pt idx="20">
                  <c:v>0.86094078280180963</c:v>
                </c:pt>
                <c:pt idx="21">
                  <c:v>0.81368769228794302</c:v>
                </c:pt>
                <c:pt idx="22">
                  <c:v>0.75463737542736598</c:v>
                </c:pt>
                <c:pt idx="23">
                  <c:v>0.70246770418358662</c:v>
                </c:pt>
                <c:pt idx="24">
                  <c:v>0.6617486596006158</c:v>
                </c:pt>
                <c:pt idx="25">
                  <c:v>0.61517165242471961</c:v>
                </c:pt>
                <c:pt idx="26">
                  <c:v>0.33743404978198482</c:v>
                </c:pt>
                <c:pt idx="27">
                  <c:v>0.28616297031651838</c:v>
                </c:pt>
                <c:pt idx="28">
                  <c:v>0.20781432526454968</c:v>
                </c:pt>
                <c:pt idx="29">
                  <c:v>0.13973102152769429</c:v>
                </c:pt>
                <c:pt idx="30">
                  <c:v>8.8725240587254395E-2</c:v>
                </c:pt>
                <c:pt idx="31">
                  <c:v>5.8541114852866331E-2</c:v>
                </c:pt>
                <c:pt idx="32">
                  <c:v>3.7501230214935052E-2</c:v>
                </c:pt>
                <c:pt idx="33">
                  <c:v>2.3380502270014002E-2</c:v>
                </c:pt>
                <c:pt idx="34">
                  <c:v>1.4159239021133998E-2</c:v>
                </c:pt>
                <c:pt idx="35">
                  <c:v>8.1044420386908247E-3</c:v>
                </c:pt>
                <c:pt idx="36">
                  <c:v>3.8596656382782978E-3</c:v>
                </c:pt>
              </c:numCache>
            </c:numRef>
          </c:yVal>
          <c:smooth val="1"/>
        </c:ser>
        <c:ser>
          <c:idx val="4"/>
          <c:order val="6"/>
          <c:spPr>
            <a:ln w="31750">
              <a:solidFill>
                <a:sysClr val="windowText" lastClr="000000"/>
              </a:solidFill>
            </a:ln>
          </c:spPr>
          <c:marker>
            <c:symbol val="none"/>
          </c:marker>
          <c:dPt>
            <c:idx val="1"/>
            <c:spPr>
              <a:ln w="25400">
                <a:solidFill>
                  <a:sysClr val="windowText" lastClr="000000"/>
                </a:solidFill>
              </a:ln>
            </c:spPr>
          </c:dPt>
          <c:xVal>
            <c:numRef>
              <c:f>Sheet1!$S$5:$S$6</c:f>
              <c:numCache>
                <c:formatCode>General</c:formatCode>
                <c:ptCount val="2"/>
                <c:pt idx="0">
                  <c:v>7.14</c:v>
                </c:pt>
                <c:pt idx="1">
                  <c:v>7.14</c:v>
                </c:pt>
              </c:numCache>
            </c:numRef>
          </c:xVal>
          <c:yVal>
            <c:numRef>
              <c:f>Sheet1!$T$5:$T$6</c:f>
              <c:numCache>
                <c:formatCode>General</c:formatCode>
                <c:ptCount val="2"/>
                <c:pt idx="0">
                  <c:v>0</c:v>
                </c:pt>
                <c:pt idx="1">
                  <c:v>1.1000000000000001</c:v>
                </c:pt>
              </c:numCache>
            </c:numRef>
          </c:yVal>
          <c:smooth val="1"/>
        </c:ser>
        <c:ser>
          <c:idx val="5"/>
          <c:order val="7"/>
          <c:spPr>
            <a:ln w="25400">
              <a:solidFill>
                <a:sysClr val="windowText" lastClr="000000"/>
              </a:solidFill>
            </a:ln>
          </c:spPr>
          <c:marker>
            <c:symbol val="none"/>
          </c:marker>
          <c:xVal>
            <c:numRef>
              <c:f>Sheet1!$S$8:$S$9</c:f>
              <c:numCache>
                <c:formatCode>General</c:formatCode>
                <c:ptCount val="2"/>
                <c:pt idx="0">
                  <c:v>12.6</c:v>
                </c:pt>
                <c:pt idx="1">
                  <c:v>12.6</c:v>
                </c:pt>
              </c:numCache>
            </c:numRef>
          </c:xVal>
          <c:yVal>
            <c:numRef>
              <c:f>Sheet1!$T$8:$T$9</c:f>
              <c:numCache>
                <c:formatCode>General</c:formatCode>
                <c:ptCount val="2"/>
                <c:pt idx="0">
                  <c:v>0</c:v>
                </c:pt>
                <c:pt idx="1">
                  <c:v>1.1000000000000001</c:v>
                </c:pt>
              </c:numCache>
            </c:numRef>
          </c:yVal>
          <c:smooth val="1"/>
        </c:ser>
        <c:ser>
          <c:idx val="6"/>
          <c:order val="8"/>
          <c:spPr>
            <a:ln w="25400">
              <a:solidFill>
                <a:sysClr val="windowText" lastClr="000000"/>
              </a:solidFill>
            </a:ln>
          </c:spPr>
          <c:marker>
            <c:symbol val="none"/>
          </c:marker>
          <c:xVal>
            <c:numRef>
              <c:f>Sheet1!$S$14:$S$15</c:f>
              <c:numCache>
                <c:formatCode>General</c:formatCode>
                <c:ptCount val="2"/>
                <c:pt idx="0">
                  <c:v>15.15</c:v>
                </c:pt>
                <c:pt idx="1">
                  <c:v>15.15</c:v>
                </c:pt>
              </c:numCache>
            </c:numRef>
          </c:xVal>
          <c:yVal>
            <c:numRef>
              <c:f>Sheet1!$T$14:$T$15</c:f>
              <c:numCache>
                <c:formatCode>General</c:formatCode>
                <c:ptCount val="2"/>
                <c:pt idx="0">
                  <c:v>0</c:v>
                </c:pt>
                <c:pt idx="1">
                  <c:v>1.1000000000000001</c:v>
                </c:pt>
              </c:numCache>
            </c:numRef>
          </c:yVal>
          <c:smooth val="1"/>
        </c:ser>
        <c:ser>
          <c:idx val="7"/>
          <c:order val="9"/>
          <c:spPr>
            <a:ln w="25400">
              <a:solidFill>
                <a:sysClr val="windowText" lastClr="000000"/>
              </a:solidFill>
            </a:ln>
          </c:spPr>
          <c:marker>
            <c:symbol val="none"/>
          </c:marker>
          <c:xVal>
            <c:numRef>
              <c:f>Sheet1!$S$17:$S$18</c:f>
              <c:numCache>
                <c:formatCode>General</c:formatCode>
                <c:ptCount val="2"/>
                <c:pt idx="0">
                  <c:v>21</c:v>
                </c:pt>
                <c:pt idx="1">
                  <c:v>21</c:v>
                </c:pt>
              </c:numCache>
            </c:numRef>
          </c:xVal>
          <c:yVal>
            <c:numRef>
              <c:f>Sheet1!$T$17:$T$18</c:f>
              <c:numCache>
                <c:formatCode>General</c:formatCode>
                <c:ptCount val="2"/>
                <c:pt idx="0">
                  <c:v>0</c:v>
                </c:pt>
                <c:pt idx="1">
                  <c:v>1.1000000000000001</c:v>
                </c:pt>
              </c:numCache>
            </c:numRef>
          </c:yVal>
          <c:smooth val="1"/>
        </c:ser>
        <c:ser>
          <c:idx val="8"/>
          <c:order val="10"/>
          <c:spPr>
            <a:ln w="31750">
              <a:solidFill>
                <a:sysClr val="windowText" lastClr="000000"/>
              </a:solidFill>
            </a:ln>
          </c:spPr>
          <c:marker>
            <c:symbol val="none"/>
          </c:marker>
          <c:dPt>
            <c:idx val="1"/>
            <c:spPr>
              <a:ln w="25400">
                <a:solidFill>
                  <a:sysClr val="windowText" lastClr="000000"/>
                </a:solidFill>
              </a:ln>
            </c:spPr>
          </c:dPt>
          <c:xVal>
            <c:numRef>
              <c:f>Sheet1!$S$21:$S$22</c:f>
              <c:numCache>
                <c:formatCode>General</c:formatCode>
                <c:ptCount val="2"/>
                <c:pt idx="0">
                  <c:v>23.8125</c:v>
                </c:pt>
                <c:pt idx="1">
                  <c:v>23.8125</c:v>
                </c:pt>
              </c:numCache>
            </c:numRef>
          </c:xVal>
          <c:yVal>
            <c:numRef>
              <c:f>Sheet1!$T$21:$T$22</c:f>
              <c:numCache>
                <c:formatCode>General</c:formatCode>
                <c:ptCount val="2"/>
                <c:pt idx="0">
                  <c:v>0</c:v>
                </c:pt>
                <c:pt idx="1">
                  <c:v>1.1000000000000001</c:v>
                </c:pt>
              </c:numCache>
            </c:numRef>
          </c:yVal>
          <c:smooth val="1"/>
        </c:ser>
        <c:ser>
          <c:idx val="9"/>
          <c:order val="11"/>
          <c:spPr>
            <a:ln w="31750">
              <a:solidFill>
                <a:sysClr val="windowText" lastClr="000000"/>
              </a:solidFill>
            </a:ln>
          </c:spPr>
          <c:marker>
            <c:symbol val="none"/>
          </c:marker>
          <c:dPt>
            <c:idx val="1"/>
            <c:spPr>
              <a:ln w="25400">
                <a:solidFill>
                  <a:sysClr val="windowText" lastClr="000000"/>
                </a:solidFill>
              </a:ln>
            </c:spPr>
          </c:dPt>
          <c:xVal>
            <c:numRef>
              <c:f>Sheet1!$S$23:$S$24</c:f>
              <c:numCache>
                <c:formatCode>General</c:formatCode>
                <c:ptCount val="2"/>
                <c:pt idx="0">
                  <c:v>54.61</c:v>
                </c:pt>
                <c:pt idx="1">
                  <c:v>54.61</c:v>
                </c:pt>
              </c:numCache>
            </c:numRef>
          </c:xVal>
          <c:yVal>
            <c:numRef>
              <c:f>Sheet1!$T$23:$T$24</c:f>
              <c:numCache>
                <c:formatCode>General</c:formatCode>
                <c:ptCount val="2"/>
                <c:pt idx="0">
                  <c:v>0</c:v>
                </c:pt>
                <c:pt idx="1">
                  <c:v>1.1000000000000001</c:v>
                </c:pt>
              </c:numCache>
            </c:numRef>
          </c:yVal>
          <c:smooth val="1"/>
        </c:ser>
        <c:ser>
          <c:idx val="10"/>
          <c:order val="12"/>
          <c:spPr>
            <a:ln w="25400">
              <a:solidFill>
                <a:sysClr val="windowText" lastClr="000000"/>
              </a:solidFill>
            </a:ln>
          </c:spPr>
          <c:marker>
            <c:symbol val="none"/>
          </c:marker>
          <c:xVal>
            <c:numRef>
              <c:f>Sheet1!$V$5:$V$6</c:f>
              <c:numCache>
                <c:formatCode>General</c:formatCode>
                <c:ptCount val="2"/>
                <c:pt idx="0">
                  <c:v>6.4</c:v>
                </c:pt>
                <c:pt idx="1">
                  <c:v>6.4</c:v>
                </c:pt>
              </c:numCache>
            </c:numRef>
          </c:xVal>
          <c:yVal>
            <c:numRef>
              <c:f>Sheet1!$W$5:$W$6</c:f>
              <c:numCache>
                <c:formatCode>General</c:formatCode>
                <c:ptCount val="2"/>
                <c:pt idx="0">
                  <c:v>0</c:v>
                </c:pt>
                <c:pt idx="1">
                  <c:v>1.1000000000000001</c:v>
                </c:pt>
              </c:numCache>
            </c:numRef>
          </c:yVal>
          <c:smooth val="1"/>
        </c:ser>
        <c:axId val="196436736"/>
        <c:axId val="196438656"/>
      </c:scatterChart>
      <c:valAx>
        <c:axId val="196436736"/>
        <c:scaling>
          <c:orientation val="minMax"/>
          <c:max val="60"/>
          <c:min val="0"/>
        </c:scaling>
        <c:axPos val="b"/>
        <c:majorGridlines/>
        <c:title>
          <c:tx>
            <c:rich>
              <a:bodyPr/>
              <a:lstStyle/>
              <a:p>
                <a:pPr>
                  <a:defRPr/>
                </a:pPr>
                <a:r>
                  <a:rPr lang="en-US"/>
                  <a:t>Distance from Core Centerline</a:t>
                </a:r>
              </a:p>
            </c:rich>
          </c:tx>
          <c:layout>
            <c:manualLayout>
              <c:xMode val="edge"/>
              <c:yMode val="edge"/>
              <c:x val="0.38651877649909877"/>
              <c:y val="0.95393776131288466"/>
            </c:manualLayout>
          </c:layout>
        </c:title>
        <c:numFmt formatCode="General" sourceLinked="1"/>
        <c:tickLblPos val="nextTo"/>
        <c:spPr>
          <a:ln>
            <a:solidFill>
              <a:sysClr val="windowText" lastClr="000000"/>
            </a:solidFill>
          </a:ln>
        </c:spPr>
        <c:crossAx val="196438656"/>
        <c:crosses val="autoZero"/>
        <c:crossBetween val="midCat"/>
        <c:majorUnit val="5"/>
        <c:minorUnit val="2.5"/>
      </c:valAx>
      <c:valAx>
        <c:axId val="196438656"/>
        <c:scaling>
          <c:orientation val="minMax"/>
          <c:max val="1.1000000000000001"/>
          <c:min val="0"/>
        </c:scaling>
        <c:axPos val="l"/>
        <c:majorGridlines/>
        <c:title>
          <c:tx>
            <c:rich>
              <a:bodyPr rot="-5400000" vert="horz"/>
              <a:lstStyle/>
              <a:p>
                <a:pPr>
                  <a:defRPr/>
                </a:pPr>
                <a:r>
                  <a:rPr lang="en-US"/>
                  <a:t>Normalized Flux</a:t>
                </a:r>
              </a:p>
            </c:rich>
          </c:tx>
          <c:layout>
            <c:manualLayout>
              <c:xMode val="edge"/>
              <c:yMode val="edge"/>
              <c:x val="8.5470085470085531E-3"/>
              <c:y val="0.31238155071628881"/>
            </c:manualLayout>
          </c:layout>
        </c:title>
        <c:numFmt formatCode="#,##0.0" sourceLinked="0"/>
        <c:tickLblPos val="nextTo"/>
        <c:spPr>
          <a:ln>
            <a:solidFill>
              <a:sysClr val="windowText" lastClr="000000"/>
            </a:solidFill>
          </a:ln>
        </c:spPr>
        <c:crossAx val="196436736"/>
        <c:crosses val="autoZero"/>
        <c:crossBetween val="midCat"/>
        <c:majorUnit val="0.1"/>
        <c:minorUnit val="5.0000000000000031E-2"/>
      </c:valAx>
    </c:plotArea>
    <c:legend>
      <c:legendPos val="r"/>
      <c:legendEntry>
        <c:idx val="6"/>
        <c:delete val="1"/>
      </c:legendEntry>
      <c:legendEntry>
        <c:idx val="7"/>
        <c:delete val="1"/>
      </c:legendEntry>
      <c:legendEntry>
        <c:idx val="8"/>
        <c:delete val="1"/>
      </c:legendEntry>
      <c:legendEntry>
        <c:idx val="9"/>
        <c:delete val="1"/>
      </c:legendEntry>
      <c:legendEntry>
        <c:idx val="10"/>
        <c:delete val="1"/>
      </c:legendEntry>
      <c:legendEntry>
        <c:idx val="11"/>
        <c:delete val="1"/>
      </c:legendEntry>
      <c:legendEntry>
        <c:idx val="12"/>
        <c:delete val="1"/>
      </c:legendEntry>
      <c:layout>
        <c:manualLayout>
          <c:xMode val="edge"/>
          <c:yMode val="edge"/>
          <c:x val="0.5196789824349004"/>
          <c:y val="1.9631949415414063E-2"/>
          <c:w val="0.45422538528837741"/>
          <c:h val="0.22317923327765837"/>
        </c:manualLayout>
      </c:layout>
      <c:overlay val="1"/>
      <c:spPr>
        <a:solidFill>
          <a:sysClr val="window" lastClr="FFFFFF"/>
        </a:solidFill>
        <a:ln w="12700">
          <a:solidFill>
            <a:schemeClr val="tx1"/>
          </a:solidFill>
        </a:ln>
      </c:spPr>
      <c:txPr>
        <a:bodyPr/>
        <a:lstStyle/>
        <a:p>
          <a:pPr>
            <a:defRPr sz="1000"/>
          </a:pPr>
          <a:endParaRPr lang="en-US"/>
        </a:p>
      </c:txPr>
    </c:legend>
    <c:plotVisOnly val="1"/>
  </c:chart>
  <c:spPr>
    <a:ln>
      <a:solidFill>
        <a:sysClr val="windowText" lastClr="000000"/>
      </a:solidFill>
    </a:ln>
  </c:spPr>
  <c:txPr>
    <a:bodyPr/>
    <a:lstStyle/>
    <a:p>
      <a:pPr>
        <a:defRPr sz="1100">
          <a:latin typeface="Times New Roman" pitchFamily="18" charset="0"/>
          <a:cs typeface="Times New Roman" pitchFamily="18" charset="0"/>
        </a:defRPr>
      </a:pPr>
      <a:endParaRPr lang="en-US"/>
    </a:p>
  </c:txPr>
  <c:externalData r:id="rId1"/>
</c:chartSpace>
</file>

<file path=word/charts/chart46.xml><?xml version="1.0" encoding="utf-8"?>
<c:chartSpace xmlns:c="http://schemas.openxmlformats.org/drawingml/2006/chart" xmlns:a="http://schemas.openxmlformats.org/drawingml/2006/main" xmlns:r="http://schemas.openxmlformats.org/officeDocument/2006/relationships">
  <c:date1904 val="1"/>
  <c:lang val="en-US"/>
  <c:chart>
    <c:plotArea>
      <c:layout/>
      <c:scatterChart>
        <c:scatterStyle val="smoothMarker"/>
        <c:ser>
          <c:idx val="1"/>
          <c:order val="0"/>
          <c:tx>
            <c:v>Large VXF</c:v>
          </c:tx>
          <c:spPr>
            <a:ln w="28575">
              <a:solidFill>
                <a:srgbClr val="FF0000"/>
              </a:solidFill>
            </a:ln>
          </c:spPr>
          <c:marker>
            <c:symbol val="circle"/>
            <c:size val="6"/>
            <c:spPr>
              <a:solidFill>
                <a:srgbClr val="FF0000"/>
              </a:solidFill>
              <a:ln>
                <a:solidFill>
                  <a:srgbClr val="FF0000"/>
                </a:solidFill>
              </a:ln>
            </c:spPr>
          </c:marker>
          <c:xVal>
            <c:numRef>
              <c:f>'VESTA-1L1S'!$D$40:$U$40</c:f>
              <c:numCache>
                <c:formatCode>General</c:formatCode>
                <c:ptCount val="18"/>
                <c:pt idx="0">
                  <c:v>0</c:v>
                </c:pt>
                <c:pt idx="1">
                  <c:v>1</c:v>
                </c:pt>
                <c:pt idx="2">
                  <c:v>2</c:v>
                </c:pt>
                <c:pt idx="3">
                  <c:v>9</c:v>
                </c:pt>
                <c:pt idx="4">
                  <c:v>12</c:v>
                </c:pt>
                <c:pt idx="5">
                  <c:v>15</c:v>
                </c:pt>
                <c:pt idx="6">
                  <c:v>18</c:v>
                </c:pt>
                <c:pt idx="7">
                  <c:v>20</c:v>
                </c:pt>
                <c:pt idx="8">
                  <c:v>22</c:v>
                </c:pt>
                <c:pt idx="9">
                  <c:v>23</c:v>
                </c:pt>
                <c:pt idx="10">
                  <c:v>24</c:v>
                </c:pt>
                <c:pt idx="11">
                  <c:v>26</c:v>
                </c:pt>
                <c:pt idx="12">
                  <c:v>28</c:v>
                </c:pt>
                <c:pt idx="13">
                  <c:v>31</c:v>
                </c:pt>
                <c:pt idx="14">
                  <c:v>34</c:v>
                </c:pt>
                <c:pt idx="15">
                  <c:v>38</c:v>
                </c:pt>
                <c:pt idx="16">
                  <c:v>43</c:v>
                </c:pt>
                <c:pt idx="17">
                  <c:v>49</c:v>
                </c:pt>
              </c:numCache>
            </c:numRef>
          </c:xVal>
          <c:yVal>
            <c:numRef>
              <c:f>'VESTA-1L1S'!$D$104:$U$104</c:f>
              <c:numCache>
                <c:formatCode>0.000</c:formatCode>
                <c:ptCount val="18"/>
                <c:pt idx="0">
                  <c:v>2.9971481991529453E-2</c:v>
                </c:pt>
                <c:pt idx="1">
                  <c:v>0.12252341695712562</c:v>
                </c:pt>
                <c:pt idx="2">
                  <c:v>0.36860468008889863</c:v>
                </c:pt>
                <c:pt idx="3">
                  <c:v>3.9574613907625356</c:v>
                </c:pt>
                <c:pt idx="4">
                  <c:v>5.7788339182855015</c:v>
                </c:pt>
                <c:pt idx="5">
                  <c:v>7.6093916935248131</c:v>
                </c:pt>
                <c:pt idx="6">
                  <c:v>9.4379930368149392</c:v>
                </c:pt>
                <c:pt idx="7">
                  <c:v>10.65706250648185</c:v>
                </c:pt>
                <c:pt idx="8">
                  <c:v>11.881589893552476</c:v>
                </c:pt>
                <c:pt idx="9">
                  <c:v>12.496405468669726</c:v>
                </c:pt>
                <c:pt idx="10">
                  <c:v>13.112731762770018</c:v>
                </c:pt>
                <c:pt idx="11">
                  <c:v>14.080869919186711</c:v>
                </c:pt>
                <c:pt idx="12">
                  <c:v>14.583518424754232</c:v>
                </c:pt>
                <c:pt idx="13">
                  <c:v>14.922935524504426</c:v>
                </c:pt>
                <c:pt idx="14">
                  <c:v>15.049423268993785</c:v>
                </c:pt>
                <c:pt idx="15">
                  <c:v>15.103821233051331</c:v>
                </c:pt>
                <c:pt idx="16">
                  <c:v>15.118776460829919</c:v>
                </c:pt>
                <c:pt idx="17">
                  <c:v>15.120260475184548</c:v>
                </c:pt>
              </c:numCache>
            </c:numRef>
          </c:yVal>
          <c:smooth val="1"/>
        </c:ser>
        <c:ser>
          <c:idx val="0"/>
          <c:order val="1"/>
          <c:tx>
            <c:v>Small VXF</c:v>
          </c:tx>
          <c:spPr>
            <a:ln>
              <a:solidFill>
                <a:srgbClr val="0000FF"/>
              </a:solidFill>
            </a:ln>
          </c:spPr>
          <c:marker>
            <c:symbol val="diamond"/>
            <c:size val="6"/>
            <c:spPr>
              <a:solidFill>
                <a:srgbClr val="0000FF"/>
              </a:solidFill>
              <a:ln>
                <a:solidFill>
                  <a:srgbClr val="0000FF"/>
                </a:solidFill>
              </a:ln>
            </c:spPr>
          </c:marker>
          <c:xVal>
            <c:numRef>
              <c:f>'VESTA-1L1S'!$D$19:$U$19</c:f>
              <c:numCache>
                <c:formatCode>General</c:formatCode>
                <c:ptCount val="18"/>
                <c:pt idx="0">
                  <c:v>0</c:v>
                </c:pt>
                <c:pt idx="1">
                  <c:v>1</c:v>
                </c:pt>
                <c:pt idx="2">
                  <c:v>2</c:v>
                </c:pt>
                <c:pt idx="3">
                  <c:v>9</c:v>
                </c:pt>
                <c:pt idx="4">
                  <c:v>12</c:v>
                </c:pt>
                <c:pt idx="5">
                  <c:v>15</c:v>
                </c:pt>
                <c:pt idx="6">
                  <c:v>18</c:v>
                </c:pt>
                <c:pt idx="7">
                  <c:v>20</c:v>
                </c:pt>
                <c:pt idx="8">
                  <c:v>22</c:v>
                </c:pt>
                <c:pt idx="9">
                  <c:v>23</c:v>
                </c:pt>
                <c:pt idx="10">
                  <c:v>24</c:v>
                </c:pt>
                <c:pt idx="11">
                  <c:v>26</c:v>
                </c:pt>
                <c:pt idx="12">
                  <c:v>28</c:v>
                </c:pt>
                <c:pt idx="13">
                  <c:v>31</c:v>
                </c:pt>
                <c:pt idx="14">
                  <c:v>34</c:v>
                </c:pt>
                <c:pt idx="15">
                  <c:v>38</c:v>
                </c:pt>
                <c:pt idx="16">
                  <c:v>43</c:v>
                </c:pt>
                <c:pt idx="17">
                  <c:v>49</c:v>
                </c:pt>
              </c:numCache>
            </c:numRef>
          </c:xVal>
          <c:yVal>
            <c:numRef>
              <c:f>'VESTA-1L1S'!$D$37:$U$37</c:f>
              <c:numCache>
                <c:formatCode>0.000</c:formatCode>
                <c:ptCount val="18"/>
                <c:pt idx="0" formatCode="General">
                  <c:v>7.7345759978140914E-3</c:v>
                </c:pt>
                <c:pt idx="1">
                  <c:v>8.3616578989508208E-2</c:v>
                </c:pt>
                <c:pt idx="2">
                  <c:v>0.28248919005550632</c:v>
                </c:pt>
                <c:pt idx="3">
                  <c:v>3.0227414064376679</c:v>
                </c:pt>
                <c:pt idx="4">
                  <c:v>4.3325544753607845</c:v>
                </c:pt>
                <c:pt idx="5">
                  <c:v>5.6074436126400613</c:v>
                </c:pt>
                <c:pt idx="6">
                  <c:v>6.8626380864083485</c:v>
                </c:pt>
                <c:pt idx="7">
                  <c:v>7.6857828266168227</c:v>
                </c:pt>
                <c:pt idx="8">
                  <c:v>8.5005474000755719</c:v>
                </c:pt>
                <c:pt idx="9">
                  <c:v>8.9048300424267008</c:v>
                </c:pt>
                <c:pt idx="10">
                  <c:v>9.3076184972313687</c:v>
                </c:pt>
                <c:pt idx="11">
                  <c:v>10.009657747240125</c:v>
                </c:pt>
                <c:pt idx="12">
                  <c:v>10.374125060162413</c:v>
                </c:pt>
                <c:pt idx="13">
                  <c:v>10.620265435896798</c:v>
                </c:pt>
                <c:pt idx="14">
                  <c:v>10.712002193003039</c:v>
                </c:pt>
                <c:pt idx="15">
                  <c:v>10.751455102473797</c:v>
                </c:pt>
                <c:pt idx="16">
                  <c:v>10.762334059460876</c:v>
                </c:pt>
                <c:pt idx="17">
                  <c:v>10.763427677579926</c:v>
                </c:pt>
              </c:numCache>
            </c:numRef>
          </c:yVal>
          <c:smooth val="1"/>
        </c:ser>
        <c:axId val="196470272"/>
        <c:axId val="202244096"/>
      </c:scatterChart>
      <c:valAx>
        <c:axId val="196470272"/>
        <c:scaling>
          <c:orientation val="minMax"/>
          <c:max val="50"/>
          <c:min val="0"/>
        </c:scaling>
        <c:axPos val="b"/>
        <c:majorGridlines>
          <c:spPr>
            <a:ln>
              <a:solidFill>
                <a:sysClr val="windowText" lastClr="000000"/>
              </a:solidFill>
            </a:ln>
          </c:spPr>
        </c:majorGridlines>
        <c:minorGridlines/>
        <c:title>
          <c:tx>
            <c:rich>
              <a:bodyPr/>
              <a:lstStyle/>
              <a:p>
                <a:pPr>
                  <a:defRPr sz="900"/>
                </a:pPr>
                <a:r>
                  <a:rPr lang="en-US" sz="900"/>
                  <a:t>Time into Cycle (24 days irradiation + decay)</a:t>
                </a:r>
              </a:p>
            </c:rich>
          </c:tx>
        </c:title>
        <c:numFmt formatCode="General" sourceLinked="0"/>
        <c:tickLblPos val="nextTo"/>
        <c:spPr>
          <a:ln>
            <a:solidFill>
              <a:sysClr val="windowText" lastClr="000000"/>
            </a:solidFill>
          </a:ln>
        </c:spPr>
        <c:txPr>
          <a:bodyPr/>
          <a:lstStyle/>
          <a:p>
            <a:pPr>
              <a:defRPr sz="1000"/>
            </a:pPr>
            <a:endParaRPr lang="en-US"/>
          </a:p>
        </c:txPr>
        <c:crossAx val="202244096"/>
        <c:crosses val="autoZero"/>
        <c:crossBetween val="midCat"/>
        <c:majorUnit val="5"/>
        <c:minorUnit val="2.5"/>
      </c:valAx>
      <c:valAx>
        <c:axId val="202244096"/>
        <c:scaling>
          <c:orientation val="minMax"/>
        </c:scaling>
        <c:axPos val="l"/>
        <c:majorGridlines>
          <c:spPr>
            <a:ln>
              <a:solidFill>
                <a:sysClr val="windowText" lastClr="000000"/>
              </a:solidFill>
            </a:ln>
          </c:spPr>
        </c:majorGridlines>
        <c:minorGridlines/>
        <c:title>
          <c:tx>
            <c:rich>
              <a:bodyPr rot="-5400000" vert="horz"/>
              <a:lstStyle/>
              <a:p>
                <a:pPr>
                  <a:defRPr sz="900"/>
                </a:pPr>
                <a:r>
                  <a:rPr lang="en-US" sz="900"/>
                  <a:t>Pu-238 (grams) </a:t>
                </a:r>
              </a:p>
            </c:rich>
          </c:tx>
          <c:layout>
            <c:manualLayout>
              <c:xMode val="edge"/>
              <c:yMode val="edge"/>
              <c:x val="1.6203703703703703E-2"/>
              <c:y val="0.31316229969950915"/>
            </c:manualLayout>
          </c:layout>
        </c:title>
        <c:numFmt formatCode="General" sourceLinked="0"/>
        <c:tickLblPos val="nextTo"/>
        <c:spPr>
          <a:ln>
            <a:solidFill>
              <a:sysClr val="windowText" lastClr="000000"/>
            </a:solidFill>
          </a:ln>
        </c:spPr>
        <c:txPr>
          <a:bodyPr/>
          <a:lstStyle/>
          <a:p>
            <a:pPr>
              <a:defRPr sz="1000"/>
            </a:pPr>
            <a:endParaRPr lang="en-US"/>
          </a:p>
        </c:txPr>
        <c:crossAx val="196470272"/>
        <c:crosses val="autoZero"/>
        <c:crossBetween val="midCat"/>
        <c:minorUnit val="1"/>
      </c:valAx>
    </c:plotArea>
    <c:legend>
      <c:legendPos val="r"/>
      <c:layout>
        <c:manualLayout>
          <c:xMode val="edge"/>
          <c:yMode val="edge"/>
          <c:x val="0.6917437243421497"/>
          <c:y val="0.57305230197900847"/>
          <c:w val="0.21106534760078074"/>
          <c:h val="0.1451540865423615"/>
        </c:manualLayout>
      </c:layout>
      <c:overlay val="1"/>
      <c:spPr>
        <a:solidFill>
          <a:schemeClr val="bg1"/>
        </a:solidFill>
        <a:ln w="12700">
          <a:solidFill>
            <a:sysClr val="windowText" lastClr="000000"/>
          </a:solidFill>
        </a:ln>
      </c:spPr>
      <c:txPr>
        <a:bodyPr/>
        <a:lstStyle/>
        <a:p>
          <a:pPr>
            <a:defRPr sz="800"/>
          </a:pPr>
          <a:endParaRPr lang="en-US"/>
        </a:p>
      </c:txPr>
    </c:legend>
    <c:plotVisOnly val="1"/>
    <c:dispBlanksAs val="gap"/>
  </c:chart>
  <c:spPr>
    <a:noFill/>
    <a:ln>
      <a:solidFill>
        <a:sysClr val="windowText" lastClr="000000"/>
      </a:solidFill>
    </a:ln>
  </c:spPr>
  <c:txPr>
    <a:bodyPr/>
    <a:lstStyle/>
    <a:p>
      <a:pPr>
        <a:defRPr sz="1100">
          <a:latin typeface="Times New Roman" pitchFamily="18" charset="0"/>
          <a:cs typeface="Times New Roman" pitchFamily="18" charset="0"/>
        </a:defRPr>
      </a:pPr>
      <a:endParaRPr lang="en-US"/>
    </a:p>
  </c:txPr>
  <c:externalData r:id="rId1"/>
</c:chartSpace>
</file>

<file path=word/drawings/drawing1.xml><?xml version="1.0" encoding="utf-8"?>
<c:userShapes xmlns:c="http://schemas.openxmlformats.org/drawingml/2006/chart">
  <cdr:relSizeAnchor xmlns:cdr="http://schemas.openxmlformats.org/drawingml/2006/chartDrawing">
    <cdr:from>
      <cdr:x>0.15385</cdr:x>
      <cdr:y>0.78464</cdr:y>
    </cdr:from>
    <cdr:to>
      <cdr:x>0.625</cdr:x>
      <cdr:y>0.78464</cdr:y>
    </cdr:to>
    <cdr:sp macro="" textlink="">
      <cdr:nvSpPr>
        <cdr:cNvPr id="5" name="Straight Arrow Connector 4"/>
        <cdr:cNvSpPr/>
      </cdr:nvSpPr>
      <cdr:spPr>
        <a:xfrm xmlns:a="http://schemas.openxmlformats.org/drawingml/2006/main" flipV="1">
          <a:off x="914401" y="3587373"/>
          <a:ext cx="2800350" cy="0"/>
        </a:xfrm>
        <a:prstGeom xmlns:a="http://schemas.openxmlformats.org/drawingml/2006/main" prst="straightConnector1">
          <a:avLst/>
        </a:prstGeom>
        <a:ln xmlns:a="http://schemas.openxmlformats.org/drawingml/2006/main" w="19050">
          <a:solidFill>
            <a:schemeClr val="tx1"/>
          </a:solidFill>
          <a:headEnd type="triangle" w="lg" len="med"/>
          <a:tailEnd type="triangle" w="lg" len="med"/>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0.20673</cdr:x>
      <cdr:y>0.72727</cdr:y>
    </cdr:from>
    <cdr:to>
      <cdr:x>0.56891</cdr:x>
      <cdr:y>0.83449</cdr:y>
    </cdr:to>
    <cdr:sp macro="" textlink="">
      <cdr:nvSpPr>
        <cdr:cNvPr id="2" name="TextBox 8"/>
        <cdr:cNvSpPr txBox="1"/>
      </cdr:nvSpPr>
      <cdr:spPr>
        <a:xfrm xmlns:a="http://schemas.openxmlformats.org/drawingml/2006/main">
          <a:off x="1229437" y="2826327"/>
          <a:ext cx="2153907" cy="416653"/>
        </a:xfrm>
        <a:prstGeom xmlns:a="http://schemas.openxmlformats.org/drawingml/2006/main" prst="rect">
          <a:avLst/>
        </a:prstGeom>
        <a:solidFill xmlns:a="http://schemas.openxmlformats.org/drawingml/2006/main">
          <a:sysClr val="window" lastClr="FFFFFF"/>
        </a:solidFill>
        <a:ln xmlns:a="http://schemas.openxmlformats.org/drawingml/2006/main" w="12700">
          <a:solidFill>
            <a:sysClr val="windowText" lastClr="000000"/>
          </a:solidFill>
        </a:ln>
      </cdr:spPr>
      <cdr:txBody>
        <a:bodyPr xmlns:a="http://schemas.openxmlformats.org/drawingml/2006/main" wrap="square" rtlCol="0">
          <a:spAutoFit/>
        </a:bodyPr>
        <a:lstStyle xmlns:a="http://schemas.openxmlformats.org/drawingml/2006/main">
          <a:defPPr>
            <a:defRPr lang="en-US"/>
          </a:defPPr>
          <a:lvl1pPr algn="l" rtl="0" fontAlgn="base">
            <a:spcBef>
              <a:spcPct val="0"/>
            </a:spcBef>
            <a:spcAft>
              <a:spcPct val="0"/>
            </a:spcAft>
            <a:defRPr kern="1200">
              <a:solidFill>
                <a:sysClr val="windowText" lastClr="000000"/>
              </a:solidFill>
              <a:latin typeface="Arial" charset="0"/>
              <a:cs typeface="Arial" charset="0"/>
            </a:defRPr>
          </a:lvl1pPr>
          <a:lvl2pPr marL="457200" algn="l" rtl="0" fontAlgn="base">
            <a:spcBef>
              <a:spcPct val="0"/>
            </a:spcBef>
            <a:spcAft>
              <a:spcPct val="0"/>
            </a:spcAft>
            <a:defRPr kern="1200">
              <a:solidFill>
                <a:sysClr val="windowText" lastClr="000000"/>
              </a:solidFill>
              <a:latin typeface="Arial" charset="0"/>
              <a:cs typeface="Arial" charset="0"/>
            </a:defRPr>
          </a:lvl2pPr>
          <a:lvl3pPr marL="914400" algn="l" rtl="0" fontAlgn="base">
            <a:spcBef>
              <a:spcPct val="0"/>
            </a:spcBef>
            <a:spcAft>
              <a:spcPct val="0"/>
            </a:spcAft>
            <a:defRPr kern="1200">
              <a:solidFill>
                <a:sysClr val="windowText" lastClr="000000"/>
              </a:solidFill>
              <a:latin typeface="Arial" charset="0"/>
              <a:cs typeface="Arial" charset="0"/>
            </a:defRPr>
          </a:lvl3pPr>
          <a:lvl4pPr marL="1371600" algn="l" rtl="0" fontAlgn="base">
            <a:spcBef>
              <a:spcPct val="0"/>
            </a:spcBef>
            <a:spcAft>
              <a:spcPct val="0"/>
            </a:spcAft>
            <a:defRPr kern="1200">
              <a:solidFill>
                <a:sysClr val="windowText" lastClr="000000"/>
              </a:solidFill>
              <a:latin typeface="Arial" charset="0"/>
              <a:cs typeface="Arial" charset="0"/>
            </a:defRPr>
          </a:lvl4pPr>
          <a:lvl5pPr marL="1828800" algn="l" rtl="0" fontAlgn="base">
            <a:spcBef>
              <a:spcPct val="0"/>
            </a:spcBef>
            <a:spcAft>
              <a:spcPct val="0"/>
            </a:spcAft>
            <a:defRPr kern="1200">
              <a:solidFill>
                <a:sysClr val="windowText" lastClr="000000"/>
              </a:solidFill>
              <a:latin typeface="Arial" charset="0"/>
              <a:cs typeface="Arial" charset="0"/>
            </a:defRPr>
          </a:lvl5pPr>
          <a:lvl6pPr marL="2286000" algn="l" defTabSz="914400" rtl="0" eaLnBrk="1" latinLnBrk="0" hangingPunct="1">
            <a:defRPr kern="1200">
              <a:solidFill>
                <a:sysClr val="windowText" lastClr="000000"/>
              </a:solidFill>
              <a:latin typeface="Arial" charset="0"/>
              <a:cs typeface="Arial" charset="0"/>
            </a:defRPr>
          </a:lvl6pPr>
          <a:lvl7pPr marL="2743200" algn="l" defTabSz="914400" rtl="0" eaLnBrk="1" latinLnBrk="0" hangingPunct="1">
            <a:defRPr kern="1200">
              <a:solidFill>
                <a:sysClr val="windowText" lastClr="000000"/>
              </a:solidFill>
              <a:latin typeface="Arial" charset="0"/>
              <a:cs typeface="Arial" charset="0"/>
            </a:defRPr>
          </a:lvl7pPr>
          <a:lvl8pPr marL="3200400" algn="l" defTabSz="914400" rtl="0" eaLnBrk="1" latinLnBrk="0" hangingPunct="1">
            <a:defRPr kern="1200">
              <a:solidFill>
                <a:sysClr val="windowText" lastClr="000000"/>
              </a:solidFill>
              <a:latin typeface="Arial" charset="0"/>
              <a:cs typeface="Arial" charset="0"/>
            </a:defRPr>
          </a:lvl8pPr>
          <a:lvl9pPr marL="3657600" algn="l" defTabSz="914400" rtl="0" eaLnBrk="1" latinLnBrk="0" hangingPunct="1">
            <a:defRPr kern="1200">
              <a:solidFill>
                <a:sysClr val="windowText" lastClr="000000"/>
              </a:solidFill>
              <a:latin typeface="Arial" charset="0"/>
              <a:cs typeface="Arial" charset="0"/>
            </a:defRPr>
          </a:lvl9pPr>
        </a:lstStyle>
        <a:p xmlns:a="http://schemas.openxmlformats.org/drawingml/2006/main">
          <a:pPr algn="ctr"/>
          <a:r>
            <a:rPr lang="en-US" sz="1100" dirty="0" smtClean="0">
              <a:latin typeface="Times New Roman" pitchFamily="18" charset="0"/>
              <a:cs typeface="Times New Roman" pitchFamily="18" charset="0"/>
            </a:rPr>
            <a:t>20 cycles (25d irradiation + 25d outage) + one 25d irradiation</a:t>
          </a:r>
          <a:endParaRPr lang="en-US" sz="1100" dirty="0">
            <a:latin typeface="Times New Roman" pitchFamily="18" charset="0"/>
            <a:cs typeface="Times New Roman" pitchFamily="18" charset="0"/>
          </a:endParaRPr>
        </a:p>
      </cdr:txBody>
    </cdr:sp>
  </cdr:relSizeAnchor>
  <cdr:relSizeAnchor xmlns:cdr="http://schemas.openxmlformats.org/drawingml/2006/chartDrawing">
    <cdr:from>
      <cdr:x>0.6266</cdr:x>
      <cdr:y>0.78471</cdr:y>
    </cdr:from>
    <cdr:to>
      <cdr:x>0.9375</cdr:x>
      <cdr:y>0.78471</cdr:y>
    </cdr:to>
    <cdr:sp macro="" textlink="">
      <cdr:nvSpPr>
        <cdr:cNvPr id="6" name="Straight Arrow Connector 5"/>
        <cdr:cNvSpPr/>
      </cdr:nvSpPr>
      <cdr:spPr>
        <a:xfrm xmlns:a="http://schemas.openxmlformats.org/drawingml/2006/main">
          <a:off x="3724275" y="3649980"/>
          <a:ext cx="1847850" cy="0"/>
        </a:xfrm>
        <a:prstGeom xmlns:a="http://schemas.openxmlformats.org/drawingml/2006/main" prst="straightConnector1">
          <a:avLst/>
        </a:prstGeom>
        <a:noFill xmlns:a="http://schemas.openxmlformats.org/drawingml/2006/main"/>
        <a:ln xmlns:a="http://schemas.openxmlformats.org/drawingml/2006/main" w="19050" cap="flat" cmpd="sng" algn="ctr">
          <a:solidFill>
            <a:sysClr val="windowText" lastClr="000000"/>
          </a:solidFill>
          <a:prstDash val="solid"/>
          <a:headEnd type="triangle" w="lg" len="med"/>
          <a:tailEnd type="triangle" w="lg" len="med"/>
        </a:ln>
        <a:effectLst xmlns:a="http://schemas.openxmlformats.org/drawingml/2006/mai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lvl1pPr marL="0" indent="0">
            <a:defRPr sz="1100">
              <a:solidFill>
                <a:sysClr val="windowText" lastClr="000000"/>
              </a:solidFill>
              <a:latin typeface="Times New Roman"/>
            </a:defRPr>
          </a:lvl1pPr>
          <a:lvl2pPr marL="457200" indent="0">
            <a:defRPr sz="1100">
              <a:solidFill>
                <a:sysClr val="windowText" lastClr="000000"/>
              </a:solidFill>
              <a:latin typeface="Times New Roman"/>
            </a:defRPr>
          </a:lvl2pPr>
          <a:lvl3pPr marL="914400" indent="0">
            <a:defRPr sz="1100">
              <a:solidFill>
                <a:sysClr val="windowText" lastClr="000000"/>
              </a:solidFill>
              <a:latin typeface="Times New Roman"/>
            </a:defRPr>
          </a:lvl3pPr>
          <a:lvl4pPr marL="1371600" indent="0">
            <a:defRPr sz="1100">
              <a:solidFill>
                <a:sysClr val="windowText" lastClr="000000"/>
              </a:solidFill>
              <a:latin typeface="Times New Roman"/>
            </a:defRPr>
          </a:lvl4pPr>
          <a:lvl5pPr marL="1828800" indent="0">
            <a:defRPr sz="1100">
              <a:solidFill>
                <a:sysClr val="windowText" lastClr="000000"/>
              </a:solidFill>
              <a:latin typeface="Times New Roman"/>
            </a:defRPr>
          </a:lvl5pPr>
          <a:lvl6pPr marL="2286000" indent="0">
            <a:defRPr sz="1100">
              <a:solidFill>
                <a:sysClr val="windowText" lastClr="000000"/>
              </a:solidFill>
              <a:latin typeface="Times New Roman"/>
            </a:defRPr>
          </a:lvl6pPr>
          <a:lvl7pPr marL="2743200" indent="0">
            <a:defRPr sz="1100">
              <a:solidFill>
                <a:sysClr val="windowText" lastClr="000000"/>
              </a:solidFill>
              <a:latin typeface="Times New Roman"/>
            </a:defRPr>
          </a:lvl7pPr>
          <a:lvl8pPr marL="3200400" indent="0">
            <a:defRPr sz="1100">
              <a:solidFill>
                <a:sysClr val="windowText" lastClr="000000"/>
              </a:solidFill>
              <a:latin typeface="Times New Roman"/>
            </a:defRPr>
          </a:lvl8pPr>
          <a:lvl9pPr marL="3657600" indent="0">
            <a:defRPr sz="1100">
              <a:solidFill>
                <a:sysClr val="windowText" lastClr="000000"/>
              </a:solidFill>
              <a:latin typeface="Times New Roman"/>
            </a:defRPr>
          </a:lvl9pPr>
        </a:lstStyle>
        <a:p xmlns:a="http://schemas.openxmlformats.org/drawingml/2006/main">
          <a:endParaRPr lang="en-US"/>
        </a:p>
      </cdr:txBody>
    </cdr:sp>
  </cdr:relSizeAnchor>
  <cdr:relSizeAnchor xmlns:cdr="http://schemas.openxmlformats.org/drawingml/2006/chartDrawing">
    <cdr:from>
      <cdr:x>0.69071</cdr:x>
      <cdr:y>0.75358</cdr:y>
    </cdr:from>
    <cdr:to>
      <cdr:x>0.86859</cdr:x>
      <cdr:y>0.81907</cdr:y>
    </cdr:to>
    <cdr:sp macro="" textlink="">
      <cdr:nvSpPr>
        <cdr:cNvPr id="3" name="TextBox 9"/>
        <cdr:cNvSpPr txBox="1"/>
      </cdr:nvSpPr>
      <cdr:spPr>
        <a:xfrm xmlns:a="http://schemas.openxmlformats.org/drawingml/2006/main">
          <a:off x="4107697" y="2928563"/>
          <a:ext cx="1057863" cy="254493"/>
        </a:xfrm>
        <a:prstGeom xmlns:a="http://schemas.openxmlformats.org/drawingml/2006/main" prst="rect">
          <a:avLst/>
        </a:prstGeom>
        <a:solidFill xmlns:a="http://schemas.openxmlformats.org/drawingml/2006/main">
          <a:sysClr val="window" lastClr="FFFFFF"/>
        </a:solidFill>
        <a:ln xmlns:a="http://schemas.openxmlformats.org/drawingml/2006/main" w="12700">
          <a:solidFill>
            <a:sysClr val="windowText" lastClr="000000"/>
          </a:solidFill>
        </a:ln>
      </cdr:spPr>
      <cdr:txBody>
        <a:bodyPr xmlns:a="http://schemas.openxmlformats.org/drawingml/2006/main" wrap="square" rtlCol="0">
          <a:spAutoFit/>
        </a:bodyPr>
        <a:lstStyle xmlns:a="http://schemas.openxmlformats.org/drawingml/2006/main">
          <a:defPPr>
            <a:defRPr lang="en-US"/>
          </a:defPPr>
          <a:lvl1pPr algn="l" rtl="0" fontAlgn="base">
            <a:spcBef>
              <a:spcPct val="0"/>
            </a:spcBef>
            <a:spcAft>
              <a:spcPct val="0"/>
            </a:spcAft>
            <a:defRPr kern="1200">
              <a:solidFill>
                <a:sysClr val="windowText" lastClr="000000"/>
              </a:solidFill>
              <a:latin typeface="Arial" charset="0"/>
              <a:cs typeface="Arial" charset="0"/>
            </a:defRPr>
          </a:lvl1pPr>
          <a:lvl2pPr marL="457200" algn="l" rtl="0" fontAlgn="base">
            <a:spcBef>
              <a:spcPct val="0"/>
            </a:spcBef>
            <a:spcAft>
              <a:spcPct val="0"/>
            </a:spcAft>
            <a:defRPr kern="1200">
              <a:solidFill>
                <a:sysClr val="windowText" lastClr="000000"/>
              </a:solidFill>
              <a:latin typeface="Arial" charset="0"/>
              <a:cs typeface="Arial" charset="0"/>
            </a:defRPr>
          </a:lvl2pPr>
          <a:lvl3pPr marL="914400" algn="l" rtl="0" fontAlgn="base">
            <a:spcBef>
              <a:spcPct val="0"/>
            </a:spcBef>
            <a:spcAft>
              <a:spcPct val="0"/>
            </a:spcAft>
            <a:defRPr kern="1200">
              <a:solidFill>
                <a:sysClr val="windowText" lastClr="000000"/>
              </a:solidFill>
              <a:latin typeface="Arial" charset="0"/>
              <a:cs typeface="Arial" charset="0"/>
            </a:defRPr>
          </a:lvl3pPr>
          <a:lvl4pPr marL="1371600" algn="l" rtl="0" fontAlgn="base">
            <a:spcBef>
              <a:spcPct val="0"/>
            </a:spcBef>
            <a:spcAft>
              <a:spcPct val="0"/>
            </a:spcAft>
            <a:defRPr kern="1200">
              <a:solidFill>
                <a:sysClr val="windowText" lastClr="000000"/>
              </a:solidFill>
              <a:latin typeface="Arial" charset="0"/>
              <a:cs typeface="Arial" charset="0"/>
            </a:defRPr>
          </a:lvl4pPr>
          <a:lvl5pPr marL="1828800" algn="l" rtl="0" fontAlgn="base">
            <a:spcBef>
              <a:spcPct val="0"/>
            </a:spcBef>
            <a:spcAft>
              <a:spcPct val="0"/>
            </a:spcAft>
            <a:defRPr kern="1200">
              <a:solidFill>
                <a:sysClr val="windowText" lastClr="000000"/>
              </a:solidFill>
              <a:latin typeface="Arial" charset="0"/>
              <a:cs typeface="Arial" charset="0"/>
            </a:defRPr>
          </a:lvl5pPr>
          <a:lvl6pPr marL="2286000" algn="l" defTabSz="914400" rtl="0" eaLnBrk="1" latinLnBrk="0" hangingPunct="1">
            <a:defRPr kern="1200">
              <a:solidFill>
                <a:sysClr val="windowText" lastClr="000000"/>
              </a:solidFill>
              <a:latin typeface="Arial" charset="0"/>
              <a:cs typeface="Arial" charset="0"/>
            </a:defRPr>
          </a:lvl6pPr>
          <a:lvl7pPr marL="2743200" algn="l" defTabSz="914400" rtl="0" eaLnBrk="1" latinLnBrk="0" hangingPunct="1">
            <a:defRPr kern="1200">
              <a:solidFill>
                <a:sysClr val="windowText" lastClr="000000"/>
              </a:solidFill>
              <a:latin typeface="Arial" charset="0"/>
              <a:cs typeface="Arial" charset="0"/>
            </a:defRPr>
          </a:lvl7pPr>
          <a:lvl8pPr marL="3200400" algn="l" defTabSz="914400" rtl="0" eaLnBrk="1" latinLnBrk="0" hangingPunct="1">
            <a:defRPr kern="1200">
              <a:solidFill>
                <a:sysClr val="windowText" lastClr="000000"/>
              </a:solidFill>
              <a:latin typeface="Arial" charset="0"/>
              <a:cs typeface="Arial" charset="0"/>
            </a:defRPr>
          </a:lvl8pPr>
          <a:lvl9pPr marL="3657600" algn="l" defTabSz="914400" rtl="0" eaLnBrk="1" latinLnBrk="0" hangingPunct="1">
            <a:defRPr kern="1200">
              <a:solidFill>
                <a:sysClr val="windowText" lastClr="000000"/>
              </a:solidFill>
              <a:latin typeface="Arial" charset="0"/>
              <a:cs typeface="Arial" charset="0"/>
            </a:defRPr>
          </a:lvl9pPr>
        </a:lstStyle>
        <a:p xmlns:a="http://schemas.openxmlformats.org/drawingml/2006/main">
          <a:pPr algn="ctr"/>
          <a:r>
            <a:rPr lang="en-US" sz="1100" dirty="0" smtClean="0">
              <a:latin typeface="Times New Roman" pitchFamily="18" charset="0"/>
              <a:cs typeface="Times New Roman" pitchFamily="18" charset="0"/>
            </a:rPr>
            <a:t>730d outage</a:t>
          </a:r>
          <a:endParaRPr lang="en-US" sz="1100" dirty="0">
            <a:latin typeface="Times New Roman" pitchFamily="18" charset="0"/>
            <a:cs typeface="Times New Roman"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0.44551</cdr:x>
      <cdr:y>0.12917</cdr:y>
    </cdr:from>
    <cdr:to>
      <cdr:x>0.48397</cdr:x>
      <cdr:y>0.17708</cdr:y>
    </cdr:to>
    <cdr:sp macro="" textlink="">
      <cdr:nvSpPr>
        <cdr:cNvPr id="4" name="Cloud 3"/>
        <cdr:cNvSpPr/>
      </cdr:nvSpPr>
      <cdr:spPr>
        <a:xfrm xmlns:a="http://schemas.openxmlformats.org/drawingml/2006/main">
          <a:off x="2647950" y="590550"/>
          <a:ext cx="228600" cy="219075"/>
        </a:xfrm>
        <a:prstGeom xmlns:a="http://schemas.openxmlformats.org/drawingml/2006/main" prst="cloud">
          <a:avLst/>
        </a:prstGeom>
        <a:noFill xmlns:a="http://schemas.openxmlformats.org/drawingml/2006/main"/>
        <a:ln xmlns:a="http://schemas.openxmlformats.org/drawingml/2006/main" w="31750">
          <a:solidFill>
            <a:srgbClr val="00660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drawings/drawing3.xml><?xml version="1.0" encoding="utf-8"?>
<c:userShapes xmlns:c="http://schemas.openxmlformats.org/drawingml/2006/chart">
  <cdr:relSizeAnchor xmlns:cdr="http://schemas.openxmlformats.org/drawingml/2006/chartDrawing">
    <cdr:from>
      <cdr:x>0.89088</cdr:x>
      <cdr:y>0.69346</cdr:y>
    </cdr:from>
    <cdr:to>
      <cdr:x>0.94613</cdr:x>
      <cdr:y>0.94206</cdr:y>
    </cdr:to>
    <cdr:sp macro="" textlink="">
      <cdr:nvSpPr>
        <cdr:cNvPr id="2" name="Rectangle 1"/>
        <cdr:cNvSpPr/>
      </cdr:nvSpPr>
      <cdr:spPr>
        <a:xfrm xmlns:a="http://schemas.openxmlformats.org/drawingml/2006/main">
          <a:off x="5286195" y="3200400"/>
          <a:ext cx="327804" cy="1147313"/>
        </a:xfrm>
        <a:prstGeom xmlns:a="http://schemas.openxmlformats.org/drawingml/2006/main" prst="rect">
          <a:avLst/>
        </a:prstGeom>
        <a:noFill xmlns:a="http://schemas.openxmlformats.org/drawingml/2006/main"/>
        <a:ln xmlns:a="http://schemas.openxmlformats.org/drawingml/2006/main" w="38100">
          <a:gradFill>
            <a:gsLst>
              <a:gs pos="0">
                <a:srgbClr val="000082"/>
              </a:gs>
              <a:gs pos="30000">
                <a:srgbClr val="66008F"/>
              </a:gs>
              <a:gs pos="64999">
                <a:srgbClr val="BA0066"/>
              </a:gs>
              <a:gs pos="89999">
                <a:srgbClr val="FF0000"/>
              </a:gs>
              <a:gs pos="100000">
                <a:srgbClr val="FF8200"/>
              </a:gs>
            </a:gsLst>
            <a:lin ang="5400000" scaled="0"/>
          </a:gra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drawings/drawing4.xml><?xml version="1.0" encoding="utf-8"?>
<c:userShapes xmlns:c="http://schemas.openxmlformats.org/drawingml/2006/chart">
  <cdr:relSizeAnchor xmlns:cdr="http://schemas.openxmlformats.org/drawingml/2006/chartDrawing">
    <cdr:from>
      <cdr:x>0.62272</cdr:x>
      <cdr:y>0.33176</cdr:y>
    </cdr:from>
    <cdr:to>
      <cdr:x>0.7389</cdr:x>
      <cdr:y>0.39918</cdr:y>
    </cdr:to>
    <cdr:sp macro="" textlink="">
      <cdr:nvSpPr>
        <cdr:cNvPr id="4" name="TextBox 1"/>
        <cdr:cNvSpPr txBox="1"/>
      </cdr:nvSpPr>
      <cdr:spPr>
        <a:xfrm xmlns:a="http://schemas.openxmlformats.org/drawingml/2006/main">
          <a:off x="3698934" y="1390885"/>
          <a:ext cx="690113" cy="282640"/>
        </a:xfrm>
        <a:prstGeom xmlns:a="http://schemas.openxmlformats.org/drawingml/2006/main" prst="rect">
          <a:avLst/>
        </a:prstGeom>
        <a:solidFill xmlns:a="http://schemas.openxmlformats.org/drawingml/2006/main">
          <a:sysClr val="window" lastClr="FFFFFF"/>
        </a:solidFill>
        <a:ln xmlns:a="http://schemas.openxmlformats.org/drawingml/2006/main" w="19050">
          <a:solidFill>
            <a:srgbClr val="FF0000"/>
          </a:solidFill>
        </a:ln>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r>
            <a:rPr lang="en-US" sz="1100" b="1" dirty="0" smtClean="0">
              <a:latin typeface="+mn-lt"/>
              <a:cs typeface="Arial" pitchFamily="34" charset="0"/>
            </a:rPr>
            <a:t>33.4 mg</a:t>
          </a:r>
          <a:endParaRPr lang="en-US" sz="1100" b="1" dirty="0">
            <a:latin typeface="+mn-lt"/>
            <a:cs typeface="Arial" pitchFamily="34" charset="0"/>
          </a:endParaRPr>
        </a:p>
      </cdr:txBody>
    </cdr:sp>
  </cdr:relSizeAnchor>
  <cdr:relSizeAnchor xmlns:cdr="http://schemas.openxmlformats.org/drawingml/2006/chartDrawing">
    <cdr:from>
      <cdr:x>0.6445</cdr:x>
      <cdr:y>0.03764</cdr:y>
    </cdr:from>
    <cdr:to>
      <cdr:x>0.77486</cdr:x>
      <cdr:y>0.10082</cdr:y>
    </cdr:to>
    <cdr:sp macro="" textlink="">
      <cdr:nvSpPr>
        <cdr:cNvPr id="3" name="TextBox 2"/>
        <cdr:cNvSpPr txBox="1"/>
      </cdr:nvSpPr>
      <cdr:spPr>
        <a:xfrm xmlns:a="http://schemas.openxmlformats.org/drawingml/2006/main">
          <a:off x="3828332" y="157806"/>
          <a:ext cx="774355" cy="264889"/>
        </a:xfrm>
        <a:prstGeom xmlns:a="http://schemas.openxmlformats.org/drawingml/2006/main" prst="rect">
          <a:avLst/>
        </a:prstGeom>
        <a:solidFill xmlns:a="http://schemas.openxmlformats.org/drawingml/2006/main">
          <a:schemeClr val="bg1"/>
        </a:solidFill>
        <a:ln xmlns:a="http://schemas.openxmlformats.org/drawingml/2006/main" w="19050">
          <a:solidFill>
            <a:srgbClr val="0000FF"/>
          </a:solidFill>
        </a:ln>
      </cdr:spPr>
      <cdr:txBody>
        <a:bodyPr xmlns:a="http://schemas.openxmlformats.org/drawingml/2006/main" vertOverflow="clip" wrap="square" rtlCol="0"/>
        <a:lstStyle xmlns:a="http://schemas.openxmlformats.org/drawingml/2006/main"/>
        <a:p xmlns:a="http://schemas.openxmlformats.org/drawingml/2006/main">
          <a:pPr algn="ctr"/>
          <a:r>
            <a:rPr lang="en-US" sz="1100" b="1" dirty="0" smtClean="0">
              <a:latin typeface="+mn-lt"/>
              <a:cs typeface="Arial" pitchFamily="34" charset="0"/>
            </a:rPr>
            <a:t>248.7 mg</a:t>
          </a:r>
          <a:endParaRPr lang="en-US" sz="1100" b="1" dirty="0">
            <a:latin typeface="+mn-lt"/>
            <a:cs typeface="Arial" pitchFamily="34" charset="0"/>
          </a:endParaRPr>
        </a:p>
      </cdr:txBody>
    </cdr:sp>
  </cdr:relSizeAnchor>
  <cdr:relSizeAnchor xmlns:cdr="http://schemas.openxmlformats.org/drawingml/2006/chartDrawing">
    <cdr:from>
      <cdr:x>0.73599</cdr:x>
      <cdr:y>0.30882</cdr:y>
    </cdr:from>
    <cdr:to>
      <cdr:x>0.77341</cdr:x>
      <cdr:y>0.36831</cdr:y>
    </cdr:to>
    <cdr:sp macro="" textlink="">
      <cdr:nvSpPr>
        <cdr:cNvPr id="8" name="Straight Arrow Connector 7"/>
        <cdr:cNvSpPr/>
      </cdr:nvSpPr>
      <cdr:spPr>
        <a:xfrm xmlns:a="http://schemas.openxmlformats.org/drawingml/2006/main" flipV="1">
          <a:off x="4371795" y="1294708"/>
          <a:ext cx="222265" cy="249419"/>
        </a:xfrm>
        <a:prstGeom xmlns:a="http://schemas.openxmlformats.org/drawingml/2006/main" prst="straightConnector1">
          <a:avLst/>
        </a:prstGeom>
        <a:ln xmlns:a="http://schemas.openxmlformats.org/drawingml/2006/main" w="19050">
          <a:solidFill>
            <a:schemeClr val="tx1"/>
          </a:solidFill>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dirty="0"/>
        </a:p>
      </cdr:txBody>
    </cdr:sp>
  </cdr:relSizeAnchor>
  <cdr:relSizeAnchor xmlns:cdr="http://schemas.openxmlformats.org/drawingml/2006/chartDrawing">
    <cdr:from>
      <cdr:x>0.71189</cdr:x>
      <cdr:y>0.10294</cdr:y>
    </cdr:from>
    <cdr:to>
      <cdr:x>0.77517</cdr:x>
      <cdr:y>0.16176</cdr:y>
    </cdr:to>
    <cdr:sp macro="" textlink="">
      <cdr:nvSpPr>
        <cdr:cNvPr id="9" name="Straight Arrow Connector 8"/>
        <cdr:cNvSpPr/>
      </cdr:nvSpPr>
      <cdr:spPr>
        <a:xfrm xmlns:a="http://schemas.openxmlformats.org/drawingml/2006/main">
          <a:off x="6172200" y="533400"/>
          <a:ext cx="548640" cy="304800"/>
        </a:xfrm>
        <a:prstGeom xmlns:a="http://schemas.openxmlformats.org/drawingml/2006/main" prst="straightConnector1">
          <a:avLst/>
        </a:prstGeom>
        <a:noFill xmlns:a="http://schemas.openxmlformats.org/drawingml/2006/main"/>
        <a:ln xmlns:a="http://schemas.openxmlformats.org/drawingml/2006/main" w="19050" cap="flat" cmpd="sng" algn="ctr">
          <a:solidFill>
            <a:sysClr val="windowText" lastClr="000000"/>
          </a:solidFill>
          <a:prstDash val="solid"/>
          <a:tailEnd type="arrow"/>
        </a:ln>
        <a:effectLst xmlns:a="http://schemas.openxmlformats.org/drawingml/2006/mai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endParaRPr lang="en-US" dirty="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DB2D9-01A5-485E-8F97-2765532903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3798</TotalTime>
  <Pages>204</Pages>
  <Words>45886</Words>
  <Characters>261551</Characters>
  <Application>Microsoft Office Word</Application>
  <DocSecurity>0</DocSecurity>
  <Lines>2179</Lines>
  <Paragraphs>613</Paragraphs>
  <ScaleCrop>false</ScaleCrop>
  <HeadingPairs>
    <vt:vector size="2" baseType="variant">
      <vt:variant>
        <vt:lpstr>Title</vt:lpstr>
      </vt:variant>
      <vt:variant>
        <vt:i4>1</vt:i4>
      </vt:variant>
    </vt:vector>
  </HeadingPairs>
  <TitlesOfParts>
    <vt:vector size="1" baseType="lpstr">
      <vt:lpstr/>
    </vt:vector>
  </TitlesOfParts>
  <Company>ORNL</Company>
  <LinksUpToDate>false</LinksUpToDate>
  <CharactersWithSpaces>306824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dcz</dc:creator>
  <cp:lastModifiedBy>dcz</cp:lastModifiedBy>
  <cp:revision>124</cp:revision>
  <cp:lastPrinted>2010-10-18T18:29:00Z</cp:lastPrinted>
  <dcterms:created xsi:type="dcterms:W3CDTF">2010-10-20T15:49:00Z</dcterms:created>
  <dcterms:modified xsi:type="dcterms:W3CDTF">2011-06-21T15:20:00Z</dcterms:modified>
</cp:coreProperties>
</file>