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05BC13" w14:textId="01FCDDD8" w:rsidR="00C35952" w:rsidRPr="001B2AAD" w:rsidRDefault="00C35952" w:rsidP="00CE1EF7">
      <w:pPr>
        <w:spacing w:line="480" w:lineRule="auto"/>
        <w:outlineLvl w:val="0"/>
        <w:rPr>
          <w:rFonts w:ascii="Times New Roman" w:hAnsi="Times New Roman" w:cs="Times New Roman"/>
          <w:b/>
          <w:sz w:val="24"/>
          <w:szCs w:val="24"/>
        </w:rPr>
      </w:pPr>
      <w:r w:rsidRPr="001B2AAD">
        <w:rPr>
          <w:rFonts w:ascii="Times New Roman" w:hAnsi="Times New Roman" w:cs="Times New Roman"/>
          <w:b/>
          <w:sz w:val="24"/>
          <w:szCs w:val="24"/>
        </w:rPr>
        <w:t xml:space="preserve">Chapter </w:t>
      </w:r>
      <w:r w:rsidR="00516DAA">
        <w:rPr>
          <w:rFonts w:ascii="Times New Roman" w:hAnsi="Times New Roman" w:cs="Times New Roman"/>
          <w:b/>
          <w:sz w:val="24"/>
          <w:szCs w:val="24"/>
        </w:rPr>
        <w:t>6</w:t>
      </w:r>
      <w:r w:rsidRPr="001B2AAD">
        <w:rPr>
          <w:rFonts w:ascii="Times New Roman" w:hAnsi="Times New Roman" w:cs="Times New Roman"/>
          <w:b/>
          <w:sz w:val="24"/>
          <w:szCs w:val="24"/>
        </w:rPr>
        <w:t xml:space="preserve">. </w:t>
      </w:r>
      <w:r w:rsidR="00F82FC7">
        <w:rPr>
          <w:rFonts w:ascii="Times New Roman" w:hAnsi="Times New Roman" w:cs="Times New Roman"/>
          <w:b/>
          <w:sz w:val="24"/>
          <w:szCs w:val="24"/>
        </w:rPr>
        <w:t xml:space="preserve"> </w:t>
      </w:r>
      <w:r w:rsidR="00E13618">
        <w:rPr>
          <w:rFonts w:ascii="Times New Roman" w:hAnsi="Times New Roman" w:cs="Times New Roman"/>
          <w:b/>
          <w:sz w:val="24"/>
          <w:szCs w:val="24"/>
        </w:rPr>
        <w:t xml:space="preserve">Proposed </w:t>
      </w:r>
      <w:r w:rsidR="00516DAA">
        <w:rPr>
          <w:rFonts w:ascii="Times New Roman" w:hAnsi="Times New Roman" w:cs="Times New Roman"/>
          <w:b/>
          <w:sz w:val="24"/>
          <w:szCs w:val="24"/>
        </w:rPr>
        <w:t>2011 Kisatchie National Forest Model</w:t>
      </w:r>
      <w:r w:rsidR="00130552">
        <w:rPr>
          <w:rFonts w:ascii="Times New Roman" w:hAnsi="Times New Roman" w:cs="Times New Roman"/>
          <w:b/>
          <w:sz w:val="24"/>
          <w:szCs w:val="24"/>
        </w:rPr>
        <w:t xml:space="preserve"> and Conclusions</w:t>
      </w:r>
    </w:p>
    <w:p w14:paraId="3E0D0D81" w14:textId="77777777" w:rsidR="00096538" w:rsidRDefault="00096538" w:rsidP="004035E5">
      <w:pPr>
        <w:spacing w:line="480" w:lineRule="auto"/>
        <w:rPr>
          <w:rFonts w:ascii="Times New Roman" w:hAnsi="Times New Roman" w:cs="Times New Roman"/>
          <w:sz w:val="24"/>
          <w:szCs w:val="24"/>
        </w:rPr>
      </w:pPr>
    </w:p>
    <w:p w14:paraId="15CBD739" w14:textId="172753E3" w:rsidR="004F59DD" w:rsidRDefault="004F59DD" w:rsidP="004F59DD">
      <w:pPr>
        <w:spacing w:line="480" w:lineRule="auto"/>
        <w:rPr>
          <w:rFonts w:ascii="Times New Roman" w:hAnsi="Times New Roman" w:cs="Times New Roman"/>
          <w:sz w:val="24"/>
          <w:szCs w:val="24"/>
        </w:rPr>
      </w:pPr>
      <w:r>
        <w:rPr>
          <w:rFonts w:ascii="Times New Roman" w:hAnsi="Times New Roman" w:cs="Times New Roman"/>
          <w:sz w:val="24"/>
          <w:szCs w:val="24"/>
        </w:rPr>
        <w:tab/>
      </w:r>
      <w:r w:rsidR="00C24A80">
        <w:rPr>
          <w:rFonts w:ascii="Times New Roman" w:hAnsi="Times New Roman" w:cs="Times New Roman"/>
          <w:sz w:val="24"/>
          <w:szCs w:val="24"/>
        </w:rPr>
        <w:t xml:space="preserve">The </w:t>
      </w:r>
      <w:r w:rsidR="004A4181">
        <w:rPr>
          <w:rFonts w:ascii="Times New Roman" w:hAnsi="Times New Roman" w:cs="Times New Roman"/>
          <w:sz w:val="24"/>
          <w:szCs w:val="24"/>
        </w:rPr>
        <w:t xml:space="preserve">analysis </w:t>
      </w:r>
      <w:r w:rsidR="00C24A80">
        <w:rPr>
          <w:rFonts w:ascii="Times New Roman" w:hAnsi="Times New Roman" w:cs="Times New Roman"/>
          <w:sz w:val="24"/>
          <w:szCs w:val="24"/>
        </w:rPr>
        <w:t>results presented with</w:t>
      </w:r>
      <w:r w:rsidR="001D6805">
        <w:rPr>
          <w:rFonts w:ascii="Times New Roman" w:hAnsi="Times New Roman" w:cs="Times New Roman"/>
          <w:sz w:val="24"/>
          <w:szCs w:val="24"/>
        </w:rPr>
        <w:t>in</w:t>
      </w:r>
      <w:r w:rsidR="00C24A80">
        <w:rPr>
          <w:rFonts w:ascii="Times New Roman" w:hAnsi="Times New Roman" w:cs="Times New Roman"/>
          <w:sz w:val="24"/>
          <w:szCs w:val="24"/>
        </w:rPr>
        <w:t xml:space="preserve"> Chapter 4</w:t>
      </w:r>
      <w:r w:rsidR="004A4181">
        <w:rPr>
          <w:rFonts w:ascii="Times New Roman" w:hAnsi="Times New Roman" w:cs="Times New Roman"/>
          <w:sz w:val="24"/>
          <w:szCs w:val="24"/>
        </w:rPr>
        <w:t xml:space="preserve"> and 5</w:t>
      </w:r>
      <w:r w:rsidR="00C24A80">
        <w:rPr>
          <w:rFonts w:ascii="Times New Roman" w:hAnsi="Times New Roman" w:cs="Times New Roman"/>
          <w:sz w:val="24"/>
          <w:szCs w:val="24"/>
        </w:rPr>
        <w:t xml:space="preserve"> </w:t>
      </w:r>
      <w:r w:rsidR="00EE726B">
        <w:rPr>
          <w:rFonts w:ascii="Times New Roman" w:hAnsi="Times New Roman" w:cs="Times New Roman"/>
          <w:sz w:val="24"/>
          <w:szCs w:val="24"/>
        </w:rPr>
        <w:t>warrant</w:t>
      </w:r>
      <w:r w:rsidR="004A4181">
        <w:rPr>
          <w:rFonts w:ascii="Times New Roman" w:hAnsi="Times New Roman" w:cs="Times New Roman"/>
          <w:sz w:val="24"/>
          <w:szCs w:val="24"/>
        </w:rPr>
        <w:t xml:space="preserve"> </w:t>
      </w:r>
      <w:r w:rsidR="00C24A80">
        <w:rPr>
          <w:rFonts w:ascii="Times New Roman" w:hAnsi="Times New Roman" w:cs="Times New Roman"/>
          <w:sz w:val="24"/>
          <w:szCs w:val="24"/>
        </w:rPr>
        <w:t>t</w:t>
      </w:r>
      <w:r w:rsidR="006A4AEF">
        <w:rPr>
          <w:rFonts w:ascii="Times New Roman" w:hAnsi="Times New Roman" w:cs="Times New Roman"/>
          <w:sz w:val="24"/>
          <w:szCs w:val="24"/>
        </w:rPr>
        <w:t>he development of a new predictive model for the Kis</w:t>
      </w:r>
      <w:r w:rsidR="00035E5C">
        <w:rPr>
          <w:rFonts w:ascii="Times New Roman" w:hAnsi="Times New Roman" w:cs="Times New Roman"/>
          <w:sz w:val="24"/>
          <w:szCs w:val="24"/>
        </w:rPr>
        <w:t>at</w:t>
      </w:r>
      <w:r w:rsidR="006A4AEF">
        <w:rPr>
          <w:rFonts w:ascii="Times New Roman" w:hAnsi="Times New Roman" w:cs="Times New Roman"/>
          <w:sz w:val="24"/>
          <w:szCs w:val="24"/>
        </w:rPr>
        <w:t xml:space="preserve">chie National </w:t>
      </w:r>
      <w:r w:rsidR="00C24A80">
        <w:rPr>
          <w:rFonts w:ascii="Times New Roman" w:hAnsi="Times New Roman" w:cs="Times New Roman"/>
          <w:sz w:val="24"/>
          <w:szCs w:val="24"/>
        </w:rPr>
        <w:t xml:space="preserve">Forest.  The active US Forest Service Model lacks definition between the high and medium probability zones with respect to </w:t>
      </w:r>
      <w:proofErr w:type="spellStart"/>
      <w:r w:rsidR="00C24A80">
        <w:rPr>
          <w:rFonts w:ascii="Times New Roman" w:hAnsi="Times New Roman" w:cs="Times New Roman"/>
          <w:sz w:val="24"/>
          <w:szCs w:val="24"/>
        </w:rPr>
        <w:t>Kvamme’s</w:t>
      </w:r>
      <w:proofErr w:type="spellEnd"/>
      <w:r w:rsidR="00C24A80">
        <w:rPr>
          <w:rFonts w:ascii="Times New Roman" w:hAnsi="Times New Roman" w:cs="Times New Roman"/>
          <w:sz w:val="24"/>
          <w:szCs w:val="24"/>
        </w:rPr>
        <w:t xml:space="preserve"> </w:t>
      </w:r>
      <w:r w:rsidR="00B543AA">
        <w:rPr>
          <w:rFonts w:ascii="Times New Roman" w:hAnsi="Times New Roman" w:cs="Times New Roman"/>
          <w:sz w:val="24"/>
          <w:szCs w:val="24"/>
        </w:rPr>
        <w:t xml:space="preserve">(1988) </w:t>
      </w:r>
      <w:r w:rsidR="00C24A80">
        <w:rPr>
          <w:rFonts w:ascii="Times New Roman" w:hAnsi="Times New Roman" w:cs="Times New Roman"/>
          <w:sz w:val="24"/>
          <w:szCs w:val="24"/>
        </w:rPr>
        <w:t xml:space="preserve">gain </w:t>
      </w:r>
      <w:r w:rsidR="00F73436">
        <w:rPr>
          <w:rFonts w:ascii="Times New Roman" w:hAnsi="Times New Roman" w:cs="Times New Roman"/>
          <w:sz w:val="24"/>
          <w:szCs w:val="24"/>
        </w:rPr>
        <w:t>statistic</w:t>
      </w:r>
      <w:r w:rsidR="004A4181">
        <w:rPr>
          <w:rFonts w:ascii="Times New Roman" w:hAnsi="Times New Roman" w:cs="Times New Roman"/>
          <w:sz w:val="24"/>
          <w:szCs w:val="24"/>
        </w:rPr>
        <w:t>, since</w:t>
      </w:r>
      <w:r w:rsidR="00EE726B">
        <w:rPr>
          <w:rFonts w:ascii="Times New Roman" w:hAnsi="Times New Roman" w:cs="Times New Roman"/>
          <w:sz w:val="24"/>
          <w:szCs w:val="24"/>
        </w:rPr>
        <w:t xml:space="preserve"> </w:t>
      </w:r>
      <w:r w:rsidR="00EF754A">
        <w:rPr>
          <w:rFonts w:ascii="Times New Roman" w:hAnsi="Times New Roman" w:cs="Times New Roman"/>
          <w:sz w:val="24"/>
          <w:szCs w:val="24"/>
        </w:rPr>
        <w:t xml:space="preserve">the medium probability zone </w:t>
      </w:r>
      <w:r w:rsidR="00862414">
        <w:rPr>
          <w:rFonts w:ascii="Times New Roman" w:hAnsi="Times New Roman" w:cs="Times New Roman"/>
          <w:sz w:val="24"/>
          <w:szCs w:val="24"/>
        </w:rPr>
        <w:t>exhibits</w:t>
      </w:r>
      <w:r w:rsidR="00EF754A">
        <w:rPr>
          <w:rFonts w:ascii="Times New Roman" w:hAnsi="Times New Roman" w:cs="Times New Roman"/>
          <w:sz w:val="24"/>
          <w:szCs w:val="24"/>
        </w:rPr>
        <w:t xml:space="preserve"> a slightly higher gain than the high probability zone</w:t>
      </w:r>
      <w:r w:rsidR="00C24A80">
        <w:rPr>
          <w:rFonts w:ascii="Times New Roman" w:hAnsi="Times New Roman" w:cs="Times New Roman"/>
          <w:sz w:val="24"/>
          <w:szCs w:val="24"/>
        </w:rPr>
        <w:t xml:space="preserve">.  </w:t>
      </w:r>
      <w:r w:rsidR="00EF754A">
        <w:rPr>
          <w:rFonts w:ascii="Times New Roman" w:hAnsi="Times New Roman" w:cs="Times New Roman"/>
          <w:sz w:val="24"/>
          <w:szCs w:val="24"/>
        </w:rPr>
        <w:t>T</w:t>
      </w:r>
      <w:r w:rsidR="007A03C9">
        <w:rPr>
          <w:rFonts w:ascii="Times New Roman" w:hAnsi="Times New Roman" w:cs="Times New Roman"/>
          <w:sz w:val="24"/>
          <w:szCs w:val="24"/>
        </w:rPr>
        <w:t>he high probability zone</w:t>
      </w:r>
      <w:r w:rsidR="00EF754A">
        <w:rPr>
          <w:rFonts w:ascii="Times New Roman" w:hAnsi="Times New Roman" w:cs="Times New Roman"/>
          <w:sz w:val="24"/>
          <w:szCs w:val="24"/>
        </w:rPr>
        <w:t xml:space="preserve"> accounts for too large </w:t>
      </w:r>
      <w:r w:rsidR="00DE7CC3">
        <w:rPr>
          <w:rFonts w:ascii="Times New Roman" w:hAnsi="Times New Roman" w:cs="Times New Roman"/>
          <w:sz w:val="24"/>
          <w:szCs w:val="24"/>
        </w:rPr>
        <w:t xml:space="preserve">of </w:t>
      </w:r>
      <w:r w:rsidR="00EF754A">
        <w:rPr>
          <w:rFonts w:ascii="Times New Roman" w:hAnsi="Times New Roman" w:cs="Times New Roman"/>
          <w:sz w:val="24"/>
          <w:szCs w:val="24"/>
        </w:rPr>
        <w:t>an area to produce a</w:t>
      </w:r>
      <w:r w:rsidR="001D6805">
        <w:rPr>
          <w:rFonts w:ascii="Times New Roman" w:hAnsi="Times New Roman" w:cs="Times New Roman"/>
          <w:sz w:val="24"/>
          <w:szCs w:val="24"/>
        </w:rPr>
        <w:t xml:space="preserve"> sufficiently</w:t>
      </w:r>
      <w:r w:rsidR="00EF754A">
        <w:rPr>
          <w:rFonts w:ascii="Times New Roman" w:hAnsi="Times New Roman" w:cs="Times New Roman"/>
          <w:sz w:val="24"/>
          <w:szCs w:val="24"/>
        </w:rPr>
        <w:t xml:space="preserve"> high site density, while the medium </w:t>
      </w:r>
      <w:r w:rsidR="00C24A80">
        <w:rPr>
          <w:rFonts w:ascii="Times New Roman" w:hAnsi="Times New Roman" w:cs="Times New Roman"/>
          <w:sz w:val="24"/>
          <w:szCs w:val="24"/>
        </w:rPr>
        <w:t>or indeterminate</w:t>
      </w:r>
      <w:r w:rsidR="007A03C9">
        <w:rPr>
          <w:rFonts w:ascii="Times New Roman" w:hAnsi="Times New Roman" w:cs="Times New Roman"/>
          <w:sz w:val="24"/>
          <w:szCs w:val="24"/>
        </w:rPr>
        <w:t xml:space="preserve"> probability zone </w:t>
      </w:r>
      <w:r w:rsidR="00C53868">
        <w:rPr>
          <w:rFonts w:ascii="Times New Roman" w:hAnsi="Times New Roman" w:cs="Times New Roman"/>
          <w:sz w:val="24"/>
          <w:szCs w:val="24"/>
        </w:rPr>
        <w:t xml:space="preserve">covers </w:t>
      </w:r>
      <w:r w:rsidR="001D6805">
        <w:rPr>
          <w:rFonts w:ascii="Times New Roman" w:hAnsi="Times New Roman" w:cs="Times New Roman"/>
          <w:sz w:val="24"/>
          <w:szCs w:val="24"/>
        </w:rPr>
        <w:t xml:space="preserve">a </w:t>
      </w:r>
      <w:r w:rsidR="00C53868">
        <w:rPr>
          <w:rFonts w:ascii="Times New Roman" w:hAnsi="Times New Roman" w:cs="Times New Roman"/>
          <w:sz w:val="24"/>
          <w:szCs w:val="24"/>
        </w:rPr>
        <w:t xml:space="preserve">smaller and more specific </w:t>
      </w:r>
      <w:r w:rsidR="00117ED5">
        <w:rPr>
          <w:rFonts w:ascii="Times New Roman" w:hAnsi="Times New Roman" w:cs="Times New Roman"/>
          <w:sz w:val="24"/>
          <w:szCs w:val="24"/>
        </w:rPr>
        <w:t>land area—frequently flooded soils.</w:t>
      </w:r>
      <w:r w:rsidR="00F82FC7">
        <w:rPr>
          <w:rFonts w:ascii="Times New Roman" w:hAnsi="Times New Roman" w:cs="Times New Roman"/>
          <w:sz w:val="24"/>
          <w:szCs w:val="24"/>
        </w:rPr>
        <w:t xml:space="preserve"> </w:t>
      </w:r>
      <w:r w:rsidR="00C24A80">
        <w:rPr>
          <w:rFonts w:ascii="Times New Roman" w:hAnsi="Times New Roman" w:cs="Times New Roman"/>
          <w:sz w:val="24"/>
          <w:szCs w:val="24"/>
        </w:rPr>
        <w:t xml:space="preserve"> </w:t>
      </w:r>
      <w:r w:rsidR="00862414">
        <w:rPr>
          <w:rFonts w:ascii="Times New Roman" w:hAnsi="Times New Roman" w:cs="Times New Roman"/>
          <w:sz w:val="24"/>
          <w:szCs w:val="24"/>
        </w:rPr>
        <w:t xml:space="preserve">While both the high and medium probability zones produce more sites than expected by chance, there should be </w:t>
      </w:r>
      <w:r w:rsidR="0016796D">
        <w:rPr>
          <w:rFonts w:ascii="Times New Roman" w:hAnsi="Times New Roman" w:cs="Times New Roman"/>
          <w:sz w:val="24"/>
          <w:szCs w:val="24"/>
        </w:rPr>
        <w:t xml:space="preserve">a </w:t>
      </w:r>
      <w:r w:rsidR="00862414">
        <w:rPr>
          <w:rFonts w:ascii="Times New Roman" w:hAnsi="Times New Roman" w:cs="Times New Roman"/>
          <w:sz w:val="24"/>
          <w:szCs w:val="24"/>
        </w:rPr>
        <w:t xml:space="preserve">greater proportion of sites in the high probability zone than </w:t>
      </w:r>
      <w:r w:rsidR="005F078C">
        <w:rPr>
          <w:rFonts w:ascii="Times New Roman" w:hAnsi="Times New Roman" w:cs="Times New Roman"/>
          <w:sz w:val="24"/>
          <w:szCs w:val="24"/>
        </w:rPr>
        <w:t>is currently exhibited</w:t>
      </w:r>
      <w:r w:rsidR="00862414">
        <w:rPr>
          <w:rFonts w:ascii="Times New Roman" w:hAnsi="Times New Roman" w:cs="Times New Roman"/>
          <w:sz w:val="24"/>
          <w:szCs w:val="24"/>
        </w:rPr>
        <w:t xml:space="preserve">.  </w:t>
      </w:r>
      <w:r w:rsidR="00C24A80">
        <w:rPr>
          <w:rFonts w:ascii="Times New Roman" w:hAnsi="Times New Roman" w:cs="Times New Roman"/>
          <w:sz w:val="24"/>
          <w:szCs w:val="24"/>
        </w:rPr>
        <w:t xml:space="preserve">The active Forest model is </w:t>
      </w:r>
      <w:r w:rsidR="001D6805">
        <w:rPr>
          <w:rFonts w:ascii="Times New Roman" w:hAnsi="Times New Roman" w:cs="Times New Roman"/>
          <w:sz w:val="24"/>
          <w:szCs w:val="24"/>
        </w:rPr>
        <w:t xml:space="preserve">extremely </w:t>
      </w:r>
      <w:r w:rsidR="00C24A80">
        <w:rPr>
          <w:rFonts w:ascii="Times New Roman" w:hAnsi="Times New Roman" w:cs="Times New Roman"/>
          <w:sz w:val="24"/>
          <w:szCs w:val="24"/>
        </w:rPr>
        <w:t>effective in indicating low probability areas (i.e. upland locales l</w:t>
      </w:r>
      <w:r w:rsidR="00EE726B">
        <w:rPr>
          <w:rFonts w:ascii="Times New Roman" w:hAnsi="Times New Roman" w:cs="Times New Roman"/>
          <w:sz w:val="24"/>
          <w:szCs w:val="24"/>
        </w:rPr>
        <w:t xml:space="preserve">ocated away from water sources) </w:t>
      </w:r>
      <w:r w:rsidR="001D6805">
        <w:rPr>
          <w:rFonts w:ascii="Times New Roman" w:hAnsi="Times New Roman" w:cs="Times New Roman"/>
          <w:sz w:val="24"/>
          <w:szCs w:val="24"/>
        </w:rPr>
        <w:t>as it contains an appropriate negative gain statistic.</w:t>
      </w:r>
      <w:r w:rsidR="009F30CD">
        <w:rPr>
          <w:rFonts w:ascii="Times New Roman" w:hAnsi="Times New Roman" w:cs="Times New Roman"/>
          <w:sz w:val="24"/>
          <w:szCs w:val="24"/>
        </w:rPr>
        <w:t xml:space="preserve">  A new model</w:t>
      </w:r>
      <w:r w:rsidR="00862414">
        <w:rPr>
          <w:rFonts w:ascii="Times New Roman" w:hAnsi="Times New Roman" w:cs="Times New Roman"/>
          <w:sz w:val="24"/>
          <w:szCs w:val="24"/>
        </w:rPr>
        <w:t xml:space="preserve"> s</w:t>
      </w:r>
      <w:r w:rsidR="009F30CD">
        <w:rPr>
          <w:rFonts w:ascii="Times New Roman" w:hAnsi="Times New Roman" w:cs="Times New Roman"/>
          <w:sz w:val="24"/>
          <w:szCs w:val="24"/>
        </w:rPr>
        <w:t>hould better demarcate the medium and h</w:t>
      </w:r>
      <w:r w:rsidR="007450A3">
        <w:rPr>
          <w:rFonts w:ascii="Times New Roman" w:hAnsi="Times New Roman" w:cs="Times New Roman"/>
          <w:sz w:val="24"/>
          <w:szCs w:val="24"/>
        </w:rPr>
        <w:t>igh p</w:t>
      </w:r>
      <w:r w:rsidR="0016796D">
        <w:rPr>
          <w:rFonts w:ascii="Times New Roman" w:hAnsi="Times New Roman" w:cs="Times New Roman"/>
          <w:sz w:val="24"/>
          <w:szCs w:val="24"/>
        </w:rPr>
        <w:t>robability zones to aid Forest p</w:t>
      </w:r>
      <w:r w:rsidR="007450A3">
        <w:rPr>
          <w:rFonts w:ascii="Times New Roman" w:hAnsi="Times New Roman" w:cs="Times New Roman"/>
          <w:sz w:val="24"/>
          <w:szCs w:val="24"/>
        </w:rPr>
        <w:t>ersonnel in resource management efforts.</w:t>
      </w:r>
    </w:p>
    <w:p w14:paraId="480C5284" w14:textId="77777777" w:rsidR="00831880" w:rsidRDefault="007450A3" w:rsidP="004F59DD">
      <w:pPr>
        <w:spacing w:line="480" w:lineRule="auto"/>
        <w:rPr>
          <w:rFonts w:ascii="Times New Roman" w:hAnsi="Times New Roman" w:cs="Times New Roman"/>
          <w:sz w:val="24"/>
          <w:szCs w:val="24"/>
        </w:rPr>
      </w:pPr>
      <w:r>
        <w:rPr>
          <w:rFonts w:ascii="Times New Roman" w:hAnsi="Times New Roman" w:cs="Times New Roman"/>
          <w:sz w:val="24"/>
          <w:szCs w:val="24"/>
        </w:rPr>
        <w:tab/>
      </w:r>
      <w:r w:rsidR="00862414">
        <w:rPr>
          <w:rFonts w:ascii="Times New Roman" w:hAnsi="Times New Roman" w:cs="Times New Roman"/>
          <w:sz w:val="24"/>
          <w:szCs w:val="24"/>
        </w:rPr>
        <w:t>The development process</w:t>
      </w:r>
      <w:r w:rsidR="00C765B2">
        <w:rPr>
          <w:rFonts w:ascii="Times New Roman" w:hAnsi="Times New Roman" w:cs="Times New Roman"/>
          <w:sz w:val="24"/>
          <w:szCs w:val="24"/>
        </w:rPr>
        <w:t xml:space="preserve"> for the new predictive model</w:t>
      </w:r>
      <w:r w:rsidR="00862414">
        <w:rPr>
          <w:rFonts w:ascii="Times New Roman" w:hAnsi="Times New Roman" w:cs="Times New Roman"/>
          <w:sz w:val="24"/>
          <w:szCs w:val="24"/>
        </w:rPr>
        <w:t xml:space="preserve"> </w:t>
      </w:r>
      <w:r w:rsidR="00FA3A15">
        <w:rPr>
          <w:rFonts w:ascii="Times New Roman" w:hAnsi="Times New Roman" w:cs="Times New Roman"/>
          <w:sz w:val="24"/>
          <w:szCs w:val="24"/>
        </w:rPr>
        <w:t>relied on the analyses conducted within Chapter 5, which explored the environmental correlations between an a</w:t>
      </w:r>
      <w:r w:rsidR="007D3DFA">
        <w:rPr>
          <w:rFonts w:ascii="Times New Roman" w:hAnsi="Times New Roman" w:cs="Times New Roman"/>
          <w:sz w:val="24"/>
          <w:szCs w:val="24"/>
        </w:rPr>
        <w:t>r</w:t>
      </w:r>
      <w:r w:rsidR="00FA3A15">
        <w:rPr>
          <w:rFonts w:ascii="Times New Roman" w:hAnsi="Times New Roman" w:cs="Times New Roman"/>
          <w:sz w:val="24"/>
          <w:szCs w:val="24"/>
        </w:rPr>
        <w:t>ray of variables and archaeological site location.  Several variables were removed from the initial testing due to insig</w:t>
      </w:r>
      <w:r w:rsidR="0016796D">
        <w:rPr>
          <w:rFonts w:ascii="Times New Roman" w:hAnsi="Times New Roman" w:cs="Times New Roman"/>
          <w:sz w:val="24"/>
          <w:szCs w:val="24"/>
        </w:rPr>
        <w:t>nificance or redundancy</w:t>
      </w:r>
      <w:r w:rsidR="00FA3A15">
        <w:rPr>
          <w:rFonts w:ascii="Times New Roman" w:hAnsi="Times New Roman" w:cs="Times New Roman"/>
          <w:sz w:val="24"/>
          <w:szCs w:val="24"/>
        </w:rPr>
        <w:t xml:space="preserve">.  </w:t>
      </w:r>
      <w:r w:rsidR="00C0338C">
        <w:rPr>
          <w:rFonts w:ascii="Times New Roman" w:hAnsi="Times New Roman" w:cs="Times New Roman"/>
          <w:sz w:val="24"/>
          <w:szCs w:val="24"/>
        </w:rPr>
        <w:t>For example, s</w:t>
      </w:r>
      <w:r w:rsidR="00FA3A15">
        <w:rPr>
          <w:rFonts w:ascii="Times New Roman" w:hAnsi="Times New Roman" w:cs="Times New Roman"/>
          <w:sz w:val="24"/>
          <w:szCs w:val="24"/>
        </w:rPr>
        <w:t xml:space="preserve">tream rank one through nine produced a similar, but less effective relationship to site location than stream permanence, defined as a mapped watercourse with a stream </w:t>
      </w:r>
      <w:r w:rsidR="00FA3A15">
        <w:rPr>
          <w:rFonts w:ascii="Times New Roman" w:hAnsi="Times New Roman" w:cs="Times New Roman"/>
          <w:sz w:val="24"/>
          <w:szCs w:val="24"/>
        </w:rPr>
        <w:lastRenderedPageBreak/>
        <w:t xml:space="preserve">rank value equal to or greater than three.  </w:t>
      </w:r>
      <w:r w:rsidR="00C0338C">
        <w:rPr>
          <w:rFonts w:ascii="Times New Roman" w:hAnsi="Times New Roman" w:cs="Times New Roman"/>
          <w:sz w:val="24"/>
          <w:szCs w:val="24"/>
        </w:rPr>
        <w:t>A portion of the remaining significant variables co-varied as they represented similar data.</w:t>
      </w:r>
      <w:r w:rsidR="007A32B3">
        <w:rPr>
          <w:rFonts w:ascii="Times New Roman" w:hAnsi="Times New Roman" w:cs="Times New Roman"/>
          <w:sz w:val="24"/>
          <w:szCs w:val="24"/>
        </w:rPr>
        <w:t xml:space="preserve">  Due to the topography of the region, elevation is directly proportional to the distance from permanent stream or frequently flooded soils.  </w:t>
      </w:r>
      <w:r w:rsidR="00ED329A">
        <w:rPr>
          <w:rFonts w:ascii="Times New Roman" w:hAnsi="Times New Roman" w:cs="Times New Roman"/>
          <w:sz w:val="24"/>
          <w:szCs w:val="24"/>
        </w:rPr>
        <w:t>Elevation and slope, both significant factors in settlement patterning, did not convey effectiveness for delimiting pro</w:t>
      </w:r>
      <w:r w:rsidR="0090612E">
        <w:rPr>
          <w:rFonts w:ascii="Times New Roman" w:hAnsi="Times New Roman" w:cs="Times New Roman"/>
          <w:sz w:val="24"/>
          <w:szCs w:val="24"/>
        </w:rPr>
        <w:t>b</w:t>
      </w:r>
      <w:r w:rsidR="00ED329A">
        <w:rPr>
          <w:rFonts w:ascii="Times New Roman" w:hAnsi="Times New Roman" w:cs="Times New Roman"/>
          <w:sz w:val="24"/>
          <w:szCs w:val="24"/>
        </w:rPr>
        <w:t>ability zones</w:t>
      </w:r>
      <w:r w:rsidR="00EF1CE3">
        <w:rPr>
          <w:rFonts w:ascii="Times New Roman" w:hAnsi="Times New Roman" w:cs="Times New Roman"/>
          <w:sz w:val="24"/>
          <w:szCs w:val="24"/>
        </w:rPr>
        <w:t xml:space="preserve">. </w:t>
      </w:r>
      <w:r w:rsidR="00ED329A">
        <w:rPr>
          <w:rFonts w:ascii="Times New Roman" w:hAnsi="Times New Roman" w:cs="Times New Roman"/>
          <w:sz w:val="24"/>
          <w:szCs w:val="24"/>
        </w:rPr>
        <w:t xml:space="preserve"> </w:t>
      </w:r>
      <w:r w:rsidR="00EF1CE3">
        <w:rPr>
          <w:rFonts w:ascii="Times New Roman" w:hAnsi="Times New Roman" w:cs="Times New Roman"/>
          <w:sz w:val="24"/>
          <w:szCs w:val="24"/>
        </w:rPr>
        <w:t>T</w:t>
      </w:r>
      <w:r w:rsidR="00ED329A">
        <w:rPr>
          <w:rFonts w:ascii="Times New Roman" w:hAnsi="Times New Roman" w:cs="Times New Roman"/>
          <w:sz w:val="24"/>
          <w:szCs w:val="24"/>
        </w:rPr>
        <w:t>he significance was better represented by horizontal distance from perm</w:t>
      </w:r>
      <w:r w:rsidR="00EF1CE3">
        <w:rPr>
          <w:rFonts w:ascii="Times New Roman" w:hAnsi="Times New Roman" w:cs="Times New Roman"/>
          <w:sz w:val="24"/>
          <w:szCs w:val="24"/>
        </w:rPr>
        <w:t>anent streams and flooded soils, b</w:t>
      </w:r>
      <w:r w:rsidR="00ED329A">
        <w:rPr>
          <w:rFonts w:ascii="Times New Roman" w:hAnsi="Times New Roman" w:cs="Times New Roman"/>
          <w:sz w:val="24"/>
          <w:szCs w:val="24"/>
        </w:rPr>
        <w:t xml:space="preserve">oth </w:t>
      </w:r>
      <w:r w:rsidR="0016796D">
        <w:rPr>
          <w:rFonts w:ascii="Times New Roman" w:hAnsi="Times New Roman" w:cs="Times New Roman"/>
          <w:sz w:val="24"/>
          <w:szCs w:val="24"/>
        </w:rPr>
        <w:t>of which</w:t>
      </w:r>
      <w:r w:rsidR="00EF1CE3">
        <w:rPr>
          <w:rFonts w:ascii="Times New Roman" w:hAnsi="Times New Roman" w:cs="Times New Roman"/>
          <w:sz w:val="24"/>
          <w:szCs w:val="24"/>
        </w:rPr>
        <w:t xml:space="preserve"> </w:t>
      </w:r>
      <w:r w:rsidR="00ED329A">
        <w:rPr>
          <w:rFonts w:ascii="Times New Roman" w:hAnsi="Times New Roman" w:cs="Times New Roman"/>
          <w:sz w:val="24"/>
          <w:szCs w:val="24"/>
        </w:rPr>
        <w:t>occurred at lower elevations of less percent slope</w:t>
      </w:r>
      <w:r w:rsidR="0090612E">
        <w:rPr>
          <w:rFonts w:ascii="Times New Roman" w:hAnsi="Times New Roman" w:cs="Times New Roman"/>
          <w:sz w:val="24"/>
          <w:szCs w:val="24"/>
        </w:rPr>
        <w:t xml:space="preserve">.  </w:t>
      </w:r>
      <w:r w:rsidR="00EF1CE3">
        <w:rPr>
          <w:rFonts w:ascii="Times New Roman" w:hAnsi="Times New Roman" w:cs="Times New Roman"/>
          <w:sz w:val="24"/>
          <w:szCs w:val="24"/>
        </w:rPr>
        <w:t>With a</w:t>
      </w:r>
      <w:r w:rsidR="0090612E">
        <w:rPr>
          <w:rFonts w:ascii="Times New Roman" w:hAnsi="Times New Roman" w:cs="Times New Roman"/>
          <w:sz w:val="24"/>
          <w:szCs w:val="24"/>
        </w:rPr>
        <w:t>n increase in horizontal distance from a permanent stream or frequently flooded soil</w:t>
      </w:r>
      <w:r w:rsidR="00EF1CE3">
        <w:rPr>
          <w:rFonts w:ascii="Times New Roman" w:hAnsi="Times New Roman" w:cs="Times New Roman"/>
          <w:sz w:val="24"/>
          <w:szCs w:val="24"/>
        </w:rPr>
        <w:t>, there is</w:t>
      </w:r>
      <w:r w:rsidR="0090612E">
        <w:rPr>
          <w:rFonts w:ascii="Times New Roman" w:hAnsi="Times New Roman" w:cs="Times New Roman"/>
          <w:sz w:val="24"/>
          <w:szCs w:val="24"/>
        </w:rPr>
        <w:t xml:space="preserve"> generally an increase in slope and elevation as well</w:t>
      </w:r>
      <w:r w:rsidR="00ED329A">
        <w:rPr>
          <w:rFonts w:ascii="Times New Roman" w:hAnsi="Times New Roman" w:cs="Times New Roman"/>
          <w:sz w:val="24"/>
          <w:szCs w:val="24"/>
        </w:rPr>
        <w:t xml:space="preserve">.   </w:t>
      </w:r>
    </w:p>
    <w:p w14:paraId="1BC65D42" w14:textId="77777777" w:rsidR="007450A3" w:rsidRDefault="007A32B3" w:rsidP="0083188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Selecting appropriate variables </w:t>
      </w:r>
      <w:r w:rsidR="00831880">
        <w:rPr>
          <w:rFonts w:ascii="Times New Roman" w:hAnsi="Times New Roman" w:cs="Times New Roman"/>
          <w:sz w:val="24"/>
          <w:szCs w:val="24"/>
        </w:rPr>
        <w:t>that</w:t>
      </w:r>
      <w:r>
        <w:rPr>
          <w:rFonts w:ascii="Times New Roman" w:hAnsi="Times New Roman" w:cs="Times New Roman"/>
          <w:sz w:val="24"/>
          <w:szCs w:val="24"/>
        </w:rPr>
        <w:t xml:space="preserve"> display</w:t>
      </w:r>
      <w:r w:rsidR="00831880">
        <w:rPr>
          <w:rFonts w:ascii="Times New Roman" w:hAnsi="Times New Roman" w:cs="Times New Roman"/>
          <w:sz w:val="24"/>
          <w:szCs w:val="24"/>
        </w:rPr>
        <w:t>ed</w:t>
      </w:r>
      <w:r>
        <w:rPr>
          <w:rFonts w:ascii="Times New Roman" w:hAnsi="Times New Roman" w:cs="Times New Roman"/>
          <w:sz w:val="24"/>
          <w:szCs w:val="24"/>
        </w:rPr>
        <w:t xml:space="preserve"> significance</w:t>
      </w:r>
      <w:r w:rsidR="009E1337">
        <w:rPr>
          <w:rFonts w:ascii="Times New Roman" w:hAnsi="Times New Roman" w:cs="Times New Roman"/>
          <w:sz w:val="24"/>
          <w:szCs w:val="24"/>
        </w:rPr>
        <w:t>,</w:t>
      </w:r>
      <w:r>
        <w:rPr>
          <w:rFonts w:ascii="Times New Roman" w:hAnsi="Times New Roman" w:cs="Times New Roman"/>
          <w:sz w:val="24"/>
          <w:szCs w:val="24"/>
        </w:rPr>
        <w:t xml:space="preserve"> while also pertaining to settlement patterning</w:t>
      </w:r>
      <w:r w:rsidR="009E1337">
        <w:rPr>
          <w:rFonts w:ascii="Times New Roman" w:hAnsi="Times New Roman" w:cs="Times New Roman"/>
          <w:sz w:val="24"/>
          <w:szCs w:val="24"/>
        </w:rPr>
        <w:t>,</w:t>
      </w:r>
      <w:r>
        <w:rPr>
          <w:rFonts w:ascii="Times New Roman" w:hAnsi="Times New Roman" w:cs="Times New Roman"/>
          <w:sz w:val="24"/>
          <w:szCs w:val="24"/>
        </w:rPr>
        <w:t xml:space="preserve"> limited the inclusion of several variables. </w:t>
      </w:r>
      <w:r w:rsidR="00F82FC7">
        <w:rPr>
          <w:rFonts w:ascii="Times New Roman" w:hAnsi="Times New Roman" w:cs="Times New Roman"/>
          <w:sz w:val="24"/>
          <w:szCs w:val="24"/>
        </w:rPr>
        <w:t xml:space="preserve"> </w:t>
      </w:r>
      <w:r>
        <w:rPr>
          <w:rFonts w:ascii="Times New Roman" w:hAnsi="Times New Roman" w:cs="Times New Roman"/>
          <w:sz w:val="24"/>
          <w:szCs w:val="24"/>
        </w:rPr>
        <w:t>Distance to road produced the most significant correlation between historic site location and a variable</w:t>
      </w:r>
      <w:r w:rsidR="00FD39C3">
        <w:rPr>
          <w:rFonts w:ascii="Times New Roman" w:hAnsi="Times New Roman" w:cs="Times New Roman"/>
          <w:sz w:val="24"/>
          <w:szCs w:val="24"/>
        </w:rPr>
        <w:t>;</w:t>
      </w:r>
      <w:r>
        <w:rPr>
          <w:rFonts w:ascii="Times New Roman" w:hAnsi="Times New Roman" w:cs="Times New Roman"/>
          <w:sz w:val="24"/>
          <w:szCs w:val="24"/>
        </w:rPr>
        <w:t xml:space="preserve"> however, due to the extremely limited sample of historic sites (n = 300) and the </w:t>
      </w:r>
      <w:r w:rsidR="00FD39C3">
        <w:rPr>
          <w:rFonts w:ascii="Times New Roman" w:hAnsi="Times New Roman" w:cs="Times New Roman"/>
          <w:sz w:val="24"/>
          <w:szCs w:val="24"/>
        </w:rPr>
        <w:t xml:space="preserve">large </w:t>
      </w:r>
      <w:r>
        <w:rPr>
          <w:rFonts w:ascii="Times New Roman" w:hAnsi="Times New Roman" w:cs="Times New Roman"/>
          <w:sz w:val="24"/>
          <w:szCs w:val="24"/>
        </w:rPr>
        <w:t xml:space="preserve">percentage of area a road buffer encompasses, </w:t>
      </w:r>
      <w:r w:rsidR="00BD0084">
        <w:rPr>
          <w:rFonts w:ascii="Times New Roman" w:hAnsi="Times New Roman" w:cs="Times New Roman"/>
          <w:sz w:val="24"/>
          <w:szCs w:val="24"/>
        </w:rPr>
        <w:t>the distance to road variable</w:t>
      </w:r>
      <w:r>
        <w:rPr>
          <w:rFonts w:ascii="Times New Roman" w:hAnsi="Times New Roman" w:cs="Times New Roman"/>
          <w:sz w:val="24"/>
          <w:szCs w:val="24"/>
        </w:rPr>
        <w:t xml:space="preserve"> was not included.</w:t>
      </w:r>
      <w:r w:rsidR="002C4B6F">
        <w:rPr>
          <w:rFonts w:ascii="Times New Roman" w:hAnsi="Times New Roman" w:cs="Times New Roman"/>
          <w:sz w:val="24"/>
          <w:szCs w:val="24"/>
        </w:rPr>
        <w:t xml:space="preserve">  </w:t>
      </w:r>
      <w:r w:rsidR="001928EE">
        <w:rPr>
          <w:rFonts w:ascii="Times New Roman" w:hAnsi="Times New Roman" w:cs="Times New Roman"/>
          <w:sz w:val="24"/>
          <w:szCs w:val="24"/>
        </w:rPr>
        <w:t xml:space="preserve">This was also partially due to the high median value, which requires an extremely large buffer to maximize effectiveness.  </w:t>
      </w:r>
      <w:r w:rsidR="0016796D">
        <w:rPr>
          <w:rFonts w:ascii="Times New Roman" w:hAnsi="Times New Roman" w:cs="Times New Roman"/>
          <w:sz w:val="24"/>
          <w:szCs w:val="24"/>
        </w:rPr>
        <w:t>A 100-m</w:t>
      </w:r>
      <w:r w:rsidR="002C4B6F">
        <w:rPr>
          <w:rFonts w:ascii="Times New Roman" w:hAnsi="Times New Roman" w:cs="Times New Roman"/>
          <w:sz w:val="24"/>
          <w:szCs w:val="24"/>
        </w:rPr>
        <w:t xml:space="preserve"> full buffer around roadways throughout the entire study area only encompassed half of the historic s</w:t>
      </w:r>
      <w:r w:rsidR="0016796D">
        <w:rPr>
          <w:rFonts w:ascii="Times New Roman" w:hAnsi="Times New Roman" w:cs="Times New Roman"/>
          <w:sz w:val="24"/>
          <w:szCs w:val="24"/>
        </w:rPr>
        <w:t>ites (n = 152), while a 50-m</w:t>
      </w:r>
      <w:r w:rsidR="002C4B6F">
        <w:rPr>
          <w:rFonts w:ascii="Times New Roman" w:hAnsi="Times New Roman" w:cs="Times New Roman"/>
          <w:sz w:val="24"/>
          <w:szCs w:val="24"/>
        </w:rPr>
        <w:t xml:space="preserve"> full buffer overlapped with </w:t>
      </w:r>
      <w:r w:rsidR="0016796D">
        <w:rPr>
          <w:rFonts w:ascii="Times New Roman" w:hAnsi="Times New Roman" w:cs="Times New Roman"/>
          <w:sz w:val="24"/>
          <w:szCs w:val="24"/>
        </w:rPr>
        <w:t xml:space="preserve">roughly </w:t>
      </w:r>
      <w:r w:rsidR="002C4B6F">
        <w:rPr>
          <w:rFonts w:ascii="Times New Roman" w:hAnsi="Times New Roman" w:cs="Times New Roman"/>
          <w:sz w:val="24"/>
          <w:szCs w:val="24"/>
        </w:rPr>
        <w:t xml:space="preserve">under a third (n = 99).  </w:t>
      </w:r>
      <w:r w:rsidR="00E50962">
        <w:rPr>
          <w:rFonts w:ascii="Times New Roman" w:hAnsi="Times New Roman" w:cs="Times New Roman"/>
          <w:sz w:val="24"/>
          <w:szCs w:val="24"/>
        </w:rPr>
        <w:t>If the large sample of unknown archaeological sites w</w:t>
      </w:r>
      <w:r w:rsidR="006768E3">
        <w:rPr>
          <w:rFonts w:ascii="Times New Roman" w:hAnsi="Times New Roman" w:cs="Times New Roman"/>
          <w:sz w:val="24"/>
          <w:szCs w:val="24"/>
        </w:rPr>
        <w:t xml:space="preserve">as </w:t>
      </w:r>
      <w:r w:rsidR="00E50962">
        <w:rPr>
          <w:rFonts w:ascii="Times New Roman" w:hAnsi="Times New Roman" w:cs="Times New Roman"/>
          <w:sz w:val="24"/>
          <w:szCs w:val="24"/>
        </w:rPr>
        <w:t xml:space="preserve">known to contain significantly more historic sites, the inclusion of this buffer may be appropriate.  </w:t>
      </w:r>
      <w:r w:rsidR="00D26C0F">
        <w:rPr>
          <w:rFonts w:ascii="Times New Roman" w:hAnsi="Times New Roman" w:cs="Times New Roman"/>
          <w:sz w:val="24"/>
          <w:szCs w:val="24"/>
        </w:rPr>
        <w:t xml:space="preserve">The inclusion of a road buffer to increase the density of prehistoric sites </w:t>
      </w:r>
      <w:r w:rsidR="0016796D">
        <w:rPr>
          <w:rFonts w:ascii="Times New Roman" w:hAnsi="Times New Roman" w:cs="Times New Roman"/>
          <w:sz w:val="24"/>
          <w:szCs w:val="24"/>
        </w:rPr>
        <w:t>within</w:t>
      </w:r>
      <w:r w:rsidR="00D26C0F">
        <w:rPr>
          <w:rFonts w:ascii="Times New Roman" w:hAnsi="Times New Roman" w:cs="Times New Roman"/>
          <w:sz w:val="24"/>
          <w:szCs w:val="24"/>
        </w:rPr>
        <w:t xml:space="preserve"> a high or medium probability zone further compounds the biasing effect that roads represent for site discovery.  As neither the historic or prehistoric sites are </w:t>
      </w:r>
      <w:r w:rsidR="00D26C0F">
        <w:rPr>
          <w:rFonts w:ascii="Times New Roman" w:hAnsi="Times New Roman" w:cs="Times New Roman"/>
          <w:sz w:val="24"/>
          <w:szCs w:val="24"/>
        </w:rPr>
        <w:lastRenderedPageBreak/>
        <w:t xml:space="preserve">correctly influenced by road buffer inclusion, distance from roads was not </w:t>
      </w:r>
      <w:r w:rsidR="006000D5">
        <w:rPr>
          <w:rFonts w:ascii="Times New Roman" w:hAnsi="Times New Roman" w:cs="Times New Roman"/>
          <w:sz w:val="24"/>
          <w:szCs w:val="24"/>
        </w:rPr>
        <w:t>included</w:t>
      </w:r>
      <w:r w:rsidR="00D26C0F">
        <w:rPr>
          <w:rFonts w:ascii="Times New Roman" w:hAnsi="Times New Roman" w:cs="Times New Roman"/>
          <w:sz w:val="24"/>
          <w:szCs w:val="24"/>
        </w:rPr>
        <w:t xml:space="preserve"> in model development.</w:t>
      </w:r>
    </w:p>
    <w:p w14:paraId="23F47582" w14:textId="127C27D5" w:rsidR="006C56A8" w:rsidRDefault="00521127" w:rsidP="001A21FE">
      <w:pPr>
        <w:spacing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The formative variables within the new predictive model center upon the intersection between soil types and their ability to drain water.</w:t>
      </w:r>
      <w:proofErr w:type="gramEnd"/>
      <w:r>
        <w:rPr>
          <w:rFonts w:ascii="Times New Roman" w:hAnsi="Times New Roman" w:cs="Times New Roman"/>
          <w:sz w:val="24"/>
          <w:szCs w:val="24"/>
        </w:rPr>
        <w:t xml:space="preserve">  Categories of degree of drainage and flooding frequency of soils are closely related and are both produced from the SSURGO soils dataset.</w:t>
      </w:r>
      <w:r w:rsidR="00324225">
        <w:rPr>
          <w:rFonts w:ascii="Times New Roman" w:hAnsi="Times New Roman" w:cs="Times New Roman"/>
          <w:sz w:val="24"/>
          <w:szCs w:val="24"/>
        </w:rPr>
        <w:t xml:space="preserve">  Within the </w:t>
      </w:r>
      <w:r w:rsidR="003C673C">
        <w:rPr>
          <w:rFonts w:ascii="Times New Roman" w:hAnsi="Times New Roman" w:cs="Times New Roman"/>
          <w:sz w:val="24"/>
          <w:szCs w:val="24"/>
        </w:rPr>
        <w:t>analysis</w:t>
      </w:r>
      <w:r w:rsidR="00324225">
        <w:rPr>
          <w:rFonts w:ascii="Times New Roman" w:hAnsi="Times New Roman" w:cs="Times New Roman"/>
          <w:sz w:val="24"/>
          <w:szCs w:val="24"/>
        </w:rPr>
        <w:t xml:space="preserve"> of select variables, distance to frequently flooded soils superseded distance to grouped poorly drained soils</w:t>
      </w:r>
      <w:r w:rsidR="00650920">
        <w:rPr>
          <w:rFonts w:ascii="Times New Roman" w:hAnsi="Times New Roman" w:cs="Times New Roman"/>
          <w:sz w:val="24"/>
          <w:szCs w:val="24"/>
        </w:rPr>
        <w:t>,</w:t>
      </w:r>
      <w:r w:rsidR="00324225">
        <w:rPr>
          <w:rFonts w:ascii="Times New Roman" w:hAnsi="Times New Roman" w:cs="Times New Roman"/>
          <w:sz w:val="24"/>
          <w:szCs w:val="24"/>
        </w:rPr>
        <w:t xml:space="preserve"> suggesting the appropriateness of that category for developing a high probability zone.  </w:t>
      </w:r>
      <w:r w:rsidR="001F2A88">
        <w:rPr>
          <w:rFonts w:ascii="Times New Roman" w:hAnsi="Times New Roman" w:cs="Times New Roman"/>
          <w:sz w:val="24"/>
          <w:szCs w:val="24"/>
        </w:rPr>
        <w:t xml:space="preserve">Theoretically, the </w:t>
      </w:r>
      <w:proofErr w:type="spellStart"/>
      <w:r w:rsidR="001F2A88">
        <w:rPr>
          <w:rFonts w:ascii="Times New Roman" w:hAnsi="Times New Roman" w:cs="Times New Roman"/>
          <w:sz w:val="24"/>
          <w:szCs w:val="24"/>
        </w:rPr>
        <w:t>ecotones</w:t>
      </w:r>
      <w:proofErr w:type="spellEnd"/>
      <w:r w:rsidR="001F2A88">
        <w:rPr>
          <w:rFonts w:ascii="Times New Roman" w:hAnsi="Times New Roman" w:cs="Times New Roman"/>
          <w:sz w:val="24"/>
          <w:szCs w:val="24"/>
        </w:rPr>
        <w:t xml:space="preserve"> between differently drained soils provide a key environment for both prehistoric and historic peoples to </w:t>
      </w:r>
      <w:r w:rsidR="001F2A88" w:rsidRPr="00BF5453">
        <w:rPr>
          <w:rFonts w:ascii="Times New Roman" w:hAnsi="Times New Roman" w:cs="Times New Roman"/>
          <w:sz w:val="24"/>
          <w:szCs w:val="24"/>
        </w:rPr>
        <w:t>exploit.</w:t>
      </w:r>
      <w:r w:rsidR="009672CC" w:rsidRPr="00BF5453">
        <w:rPr>
          <w:rFonts w:ascii="Times New Roman" w:hAnsi="Times New Roman" w:cs="Times New Roman"/>
          <w:sz w:val="24"/>
          <w:szCs w:val="24"/>
        </w:rPr>
        <w:t xml:space="preserve">  Proximity to two distinct patches of landsc</w:t>
      </w:r>
      <w:r w:rsidR="000725D8">
        <w:rPr>
          <w:rFonts w:ascii="Times New Roman" w:hAnsi="Times New Roman" w:cs="Times New Roman"/>
          <w:sz w:val="24"/>
          <w:szCs w:val="24"/>
        </w:rPr>
        <w:t>apes increases subsistence diversity for biotic</w:t>
      </w:r>
      <w:r w:rsidR="00A92354" w:rsidRPr="00BF5453">
        <w:rPr>
          <w:rFonts w:ascii="Times New Roman" w:hAnsi="Times New Roman" w:cs="Times New Roman"/>
          <w:sz w:val="24"/>
          <w:szCs w:val="24"/>
        </w:rPr>
        <w:t xml:space="preserve"> communities</w:t>
      </w:r>
      <w:r w:rsidR="000725D8">
        <w:rPr>
          <w:rFonts w:ascii="Times New Roman" w:hAnsi="Times New Roman" w:cs="Times New Roman"/>
          <w:sz w:val="24"/>
          <w:szCs w:val="24"/>
        </w:rPr>
        <w:t xml:space="preserve"> and therefore subsistence opportunities</w:t>
      </w:r>
      <w:r w:rsidR="009672CC" w:rsidRPr="00BF5453">
        <w:rPr>
          <w:rFonts w:ascii="Times New Roman" w:hAnsi="Times New Roman" w:cs="Times New Roman"/>
          <w:sz w:val="24"/>
          <w:szCs w:val="24"/>
        </w:rPr>
        <w:t>.</w:t>
      </w:r>
      <w:r w:rsidR="00C429DC" w:rsidRPr="00BF5453">
        <w:rPr>
          <w:rFonts w:ascii="Times New Roman" w:hAnsi="Times New Roman" w:cs="Times New Roman"/>
          <w:sz w:val="24"/>
          <w:szCs w:val="24"/>
        </w:rPr>
        <w:t xml:space="preserve">  </w:t>
      </w:r>
      <w:r w:rsidR="001A21FE" w:rsidRPr="00BF5453">
        <w:rPr>
          <w:rFonts w:ascii="Times New Roman" w:hAnsi="Times New Roman" w:cs="Times New Roman"/>
          <w:sz w:val="24"/>
          <w:szCs w:val="24"/>
        </w:rPr>
        <w:t>The intersection of frequently flooded</w:t>
      </w:r>
      <w:r w:rsidR="001A21FE">
        <w:rPr>
          <w:rFonts w:ascii="Times New Roman" w:hAnsi="Times New Roman" w:cs="Times New Roman"/>
          <w:sz w:val="24"/>
          <w:szCs w:val="24"/>
        </w:rPr>
        <w:t xml:space="preserve"> soils with </w:t>
      </w:r>
      <w:proofErr w:type="gramStart"/>
      <w:r w:rsidR="001A21FE">
        <w:rPr>
          <w:rFonts w:ascii="Times New Roman" w:hAnsi="Times New Roman" w:cs="Times New Roman"/>
          <w:sz w:val="24"/>
          <w:szCs w:val="24"/>
        </w:rPr>
        <w:t>non flooded</w:t>
      </w:r>
      <w:proofErr w:type="gramEnd"/>
      <w:r w:rsidR="001A21FE">
        <w:rPr>
          <w:rFonts w:ascii="Times New Roman" w:hAnsi="Times New Roman" w:cs="Times New Roman"/>
          <w:sz w:val="24"/>
          <w:szCs w:val="24"/>
        </w:rPr>
        <w:t xml:space="preserve"> soils is also within proximity to permanent water sources</w:t>
      </w:r>
      <w:r w:rsidR="00B342D5">
        <w:rPr>
          <w:rFonts w:ascii="Times New Roman" w:hAnsi="Times New Roman" w:cs="Times New Roman"/>
          <w:sz w:val="24"/>
          <w:szCs w:val="24"/>
        </w:rPr>
        <w:t>, conferring greater attractiveness for exploitation</w:t>
      </w:r>
      <w:r w:rsidR="001A21FE">
        <w:rPr>
          <w:rFonts w:ascii="Times New Roman" w:hAnsi="Times New Roman" w:cs="Times New Roman"/>
          <w:sz w:val="24"/>
          <w:szCs w:val="24"/>
        </w:rPr>
        <w:t>.</w:t>
      </w:r>
      <w:r w:rsidR="00CF6354">
        <w:rPr>
          <w:rFonts w:ascii="Times New Roman" w:hAnsi="Times New Roman" w:cs="Times New Roman"/>
          <w:sz w:val="24"/>
          <w:szCs w:val="24"/>
        </w:rPr>
        <w:t xml:space="preserve">  </w:t>
      </w:r>
      <w:r w:rsidR="003A5B99">
        <w:rPr>
          <w:rFonts w:ascii="Times New Roman" w:hAnsi="Times New Roman" w:cs="Times New Roman"/>
          <w:sz w:val="24"/>
          <w:szCs w:val="24"/>
        </w:rPr>
        <w:t>As the characteristics of individual lo</w:t>
      </w:r>
      <w:r w:rsidR="004C74AD">
        <w:rPr>
          <w:rFonts w:ascii="Times New Roman" w:hAnsi="Times New Roman" w:cs="Times New Roman"/>
          <w:sz w:val="24"/>
          <w:szCs w:val="24"/>
        </w:rPr>
        <w:t>cations on the landscape influence</w:t>
      </w:r>
      <w:r w:rsidR="003A5B99">
        <w:rPr>
          <w:rFonts w:ascii="Times New Roman" w:hAnsi="Times New Roman" w:cs="Times New Roman"/>
          <w:sz w:val="24"/>
          <w:szCs w:val="24"/>
        </w:rPr>
        <w:t xml:space="preserve"> settlement, areas conferring greater benefits (e.g. proximity to </w:t>
      </w:r>
      <w:proofErr w:type="spellStart"/>
      <w:r w:rsidR="003A5B99">
        <w:rPr>
          <w:rFonts w:ascii="Times New Roman" w:hAnsi="Times New Roman" w:cs="Times New Roman"/>
          <w:sz w:val="24"/>
          <w:szCs w:val="24"/>
        </w:rPr>
        <w:t>ecotones</w:t>
      </w:r>
      <w:proofErr w:type="spellEnd"/>
      <w:r w:rsidR="003A5B99">
        <w:rPr>
          <w:rFonts w:ascii="Times New Roman" w:hAnsi="Times New Roman" w:cs="Times New Roman"/>
          <w:sz w:val="24"/>
          <w:szCs w:val="24"/>
        </w:rPr>
        <w:t>, proximity to water, elevation, slope, etc.) will be selected for habitation (</w:t>
      </w:r>
      <w:proofErr w:type="spellStart"/>
      <w:r w:rsidR="003A5B99">
        <w:rPr>
          <w:rFonts w:ascii="Times New Roman" w:hAnsi="Times New Roman" w:cs="Times New Roman"/>
          <w:sz w:val="24"/>
          <w:szCs w:val="24"/>
        </w:rPr>
        <w:t>Jochim</w:t>
      </w:r>
      <w:proofErr w:type="spellEnd"/>
      <w:r w:rsidR="003A5B99">
        <w:rPr>
          <w:rFonts w:ascii="Times New Roman" w:hAnsi="Times New Roman" w:cs="Times New Roman"/>
          <w:sz w:val="24"/>
          <w:szCs w:val="24"/>
        </w:rPr>
        <w:t xml:space="preserve"> 1976).</w:t>
      </w:r>
    </w:p>
    <w:p w14:paraId="744CCF78" w14:textId="2688A929" w:rsidR="00CF6354" w:rsidRDefault="00CF6354" w:rsidP="00976D8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Using central place foraging theory, </w:t>
      </w:r>
      <w:proofErr w:type="spellStart"/>
      <w:r>
        <w:rPr>
          <w:rFonts w:ascii="Times New Roman" w:hAnsi="Times New Roman" w:cs="Times New Roman"/>
          <w:sz w:val="24"/>
          <w:szCs w:val="24"/>
        </w:rPr>
        <w:t>Hollenbach</w:t>
      </w:r>
      <w:proofErr w:type="spellEnd"/>
      <w:r>
        <w:rPr>
          <w:rFonts w:ascii="Times New Roman" w:hAnsi="Times New Roman" w:cs="Times New Roman"/>
          <w:sz w:val="24"/>
          <w:szCs w:val="24"/>
        </w:rPr>
        <w:t xml:space="preserve"> (2010) models the relationship between campsite location and the exploitation of the landscape’s resources.  The resource procurement model suggests that </w:t>
      </w:r>
      <w:r w:rsidR="004C74AD">
        <w:rPr>
          <w:rFonts w:ascii="Times New Roman" w:hAnsi="Times New Roman" w:cs="Times New Roman"/>
          <w:sz w:val="24"/>
          <w:szCs w:val="24"/>
        </w:rPr>
        <w:t xml:space="preserve">foragers select </w:t>
      </w:r>
      <w:proofErr w:type="gramStart"/>
      <w:r>
        <w:rPr>
          <w:rFonts w:ascii="Times New Roman" w:hAnsi="Times New Roman" w:cs="Times New Roman"/>
          <w:sz w:val="24"/>
          <w:szCs w:val="24"/>
        </w:rPr>
        <w:t>camp site</w:t>
      </w:r>
      <w:proofErr w:type="gramEnd"/>
      <w:r>
        <w:rPr>
          <w:rFonts w:ascii="Times New Roman" w:hAnsi="Times New Roman" w:cs="Times New Roman"/>
          <w:sz w:val="24"/>
          <w:szCs w:val="24"/>
        </w:rPr>
        <w:t xml:space="preserve"> location</w:t>
      </w:r>
      <w:r w:rsidR="004C74AD">
        <w:rPr>
          <w:rFonts w:ascii="Times New Roman" w:hAnsi="Times New Roman" w:cs="Times New Roman"/>
          <w:sz w:val="24"/>
          <w:szCs w:val="24"/>
        </w:rPr>
        <w:t>s</w:t>
      </w:r>
      <w:r>
        <w:rPr>
          <w:rFonts w:ascii="Times New Roman" w:hAnsi="Times New Roman" w:cs="Times New Roman"/>
          <w:sz w:val="24"/>
          <w:szCs w:val="24"/>
        </w:rPr>
        <w:t xml:space="preserve"> </w:t>
      </w:r>
      <w:r w:rsidR="004C74AD">
        <w:rPr>
          <w:rFonts w:ascii="Times New Roman" w:hAnsi="Times New Roman" w:cs="Times New Roman"/>
          <w:sz w:val="24"/>
          <w:szCs w:val="24"/>
        </w:rPr>
        <w:t>in areas where short-</w:t>
      </w:r>
      <w:r>
        <w:rPr>
          <w:rFonts w:ascii="Times New Roman" w:hAnsi="Times New Roman" w:cs="Times New Roman"/>
          <w:sz w:val="24"/>
          <w:szCs w:val="24"/>
        </w:rPr>
        <w:t xml:space="preserve">term foraging will produce the greatest returns.  Areas </w:t>
      </w:r>
      <w:r w:rsidR="002A7ACD">
        <w:rPr>
          <w:rFonts w:ascii="Times New Roman" w:hAnsi="Times New Roman" w:cs="Times New Roman"/>
          <w:sz w:val="24"/>
          <w:szCs w:val="24"/>
        </w:rPr>
        <w:t xml:space="preserve">of </w:t>
      </w:r>
      <w:proofErr w:type="spellStart"/>
      <w:r>
        <w:rPr>
          <w:rFonts w:ascii="Times New Roman" w:hAnsi="Times New Roman" w:cs="Times New Roman"/>
          <w:sz w:val="24"/>
          <w:szCs w:val="24"/>
        </w:rPr>
        <w:t>ecotones</w:t>
      </w:r>
      <w:proofErr w:type="spellEnd"/>
      <w:r w:rsidR="002A7ACD">
        <w:rPr>
          <w:rFonts w:ascii="Times New Roman" w:hAnsi="Times New Roman" w:cs="Times New Roman"/>
          <w:sz w:val="24"/>
          <w:szCs w:val="24"/>
        </w:rPr>
        <w:t xml:space="preserve"> straddling multiple landscape patches</w:t>
      </w:r>
      <w:r>
        <w:rPr>
          <w:rFonts w:ascii="Times New Roman" w:hAnsi="Times New Roman" w:cs="Times New Roman"/>
          <w:sz w:val="24"/>
          <w:szCs w:val="24"/>
        </w:rPr>
        <w:t xml:space="preserve"> provide greater resource diversity and density</w:t>
      </w:r>
      <w:r w:rsidR="00976D86">
        <w:rPr>
          <w:rFonts w:ascii="Times New Roman" w:hAnsi="Times New Roman" w:cs="Times New Roman"/>
          <w:sz w:val="24"/>
          <w:szCs w:val="24"/>
        </w:rPr>
        <w:t>,</w:t>
      </w:r>
      <w:r w:rsidR="008E6B7E">
        <w:rPr>
          <w:rFonts w:ascii="Times New Roman" w:hAnsi="Times New Roman" w:cs="Times New Roman"/>
          <w:sz w:val="24"/>
          <w:szCs w:val="24"/>
        </w:rPr>
        <w:t xml:space="preserve"> which follows with central place foraging theory.</w:t>
      </w:r>
      <w:r w:rsidR="00976D86">
        <w:rPr>
          <w:rFonts w:ascii="Times New Roman" w:hAnsi="Times New Roman" w:cs="Times New Roman"/>
          <w:sz w:val="24"/>
          <w:szCs w:val="24"/>
        </w:rPr>
        <w:t xml:space="preserve">  Incorporating this </w:t>
      </w:r>
      <w:r w:rsidR="00976D86">
        <w:rPr>
          <w:rFonts w:ascii="Times New Roman" w:hAnsi="Times New Roman" w:cs="Times New Roman"/>
          <w:sz w:val="24"/>
          <w:szCs w:val="24"/>
        </w:rPr>
        <w:lastRenderedPageBreak/>
        <w:t>theoretical consideration in the formation</w:t>
      </w:r>
      <w:r>
        <w:rPr>
          <w:rFonts w:ascii="Times New Roman" w:hAnsi="Times New Roman" w:cs="Times New Roman"/>
          <w:sz w:val="24"/>
          <w:szCs w:val="24"/>
        </w:rPr>
        <w:t xml:space="preserve"> of zone definition</w:t>
      </w:r>
      <w:r w:rsidR="00976D86">
        <w:rPr>
          <w:rFonts w:ascii="Times New Roman" w:hAnsi="Times New Roman" w:cs="Times New Roman"/>
          <w:sz w:val="24"/>
          <w:szCs w:val="24"/>
        </w:rPr>
        <w:t>s,</w:t>
      </w:r>
      <w:r>
        <w:rPr>
          <w:rFonts w:ascii="Times New Roman" w:hAnsi="Times New Roman" w:cs="Times New Roman"/>
          <w:sz w:val="24"/>
          <w:szCs w:val="24"/>
        </w:rPr>
        <w:t xml:space="preserve"> </w:t>
      </w:r>
      <w:r w:rsidR="00976D86">
        <w:rPr>
          <w:rFonts w:ascii="Times New Roman" w:hAnsi="Times New Roman" w:cs="Times New Roman"/>
          <w:sz w:val="24"/>
          <w:szCs w:val="24"/>
        </w:rPr>
        <w:t xml:space="preserve">the new </w:t>
      </w:r>
      <w:r>
        <w:rPr>
          <w:rFonts w:ascii="Times New Roman" w:hAnsi="Times New Roman" w:cs="Times New Roman"/>
          <w:sz w:val="24"/>
          <w:szCs w:val="24"/>
        </w:rPr>
        <w:t>Kisatchie National Forest Predictive Model</w:t>
      </w:r>
      <w:r w:rsidR="00976D86">
        <w:rPr>
          <w:rFonts w:ascii="Times New Roman" w:hAnsi="Times New Roman" w:cs="Times New Roman"/>
          <w:sz w:val="24"/>
          <w:szCs w:val="24"/>
        </w:rPr>
        <w:t xml:space="preserve"> assigns high probability to areas </w:t>
      </w:r>
      <w:r w:rsidR="00BF5453">
        <w:rPr>
          <w:rFonts w:ascii="Times New Roman" w:hAnsi="Times New Roman" w:cs="Times New Roman"/>
          <w:sz w:val="24"/>
          <w:szCs w:val="24"/>
        </w:rPr>
        <w:t xml:space="preserve">that allow </w:t>
      </w:r>
      <w:r w:rsidR="00976D86">
        <w:rPr>
          <w:rFonts w:ascii="Times New Roman" w:hAnsi="Times New Roman" w:cs="Times New Roman"/>
          <w:sz w:val="24"/>
          <w:szCs w:val="24"/>
        </w:rPr>
        <w:t>for foraging efficiency</w:t>
      </w:r>
      <w:r>
        <w:rPr>
          <w:rFonts w:ascii="Times New Roman" w:hAnsi="Times New Roman" w:cs="Times New Roman"/>
          <w:sz w:val="24"/>
          <w:szCs w:val="24"/>
        </w:rPr>
        <w:t>.</w:t>
      </w:r>
    </w:p>
    <w:p w14:paraId="41C0273B" w14:textId="353D7F23" w:rsidR="00F31CD4" w:rsidRDefault="00AA6E2F" w:rsidP="00976D8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w:t>
      </w:r>
      <w:r w:rsidR="00F31CD4">
        <w:rPr>
          <w:rFonts w:ascii="Times New Roman" w:hAnsi="Times New Roman" w:cs="Times New Roman"/>
          <w:sz w:val="24"/>
          <w:szCs w:val="24"/>
        </w:rPr>
        <w:t>tripartite probability division</w:t>
      </w:r>
      <w:r w:rsidR="00BF5453">
        <w:rPr>
          <w:rFonts w:ascii="Times New Roman" w:hAnsi="Times New Roman" w:cs="Times New Roman"/>
          <w:sz w:val="24"/>
          <w:szCs w:val="24"/>
        </w:rPr>
        <w:t xml:space="preserve"> that is similar to the 1995 model</w:t>
      </w:r>
      <w:r w:rsidR="00F31CD4">
        <w:rPr>
          <w:rFonts w:ascii="Times New Roman" w:hAnsi="Times New Roman" w:cs="Times New Roman"/>
          <w:sz w:val="24"/>
          <w:szCs w:val="24"/>
        </w:rPr>
        <w:t xml:space="preserve"> was selected for the new predictive model so as to facilita</w:t>
      </w:r>
      <w:r w:rsidR="00F0604B">
        <w:rPr>
          <w:rFonts w:ascii="Times New Roman" w:hAnsi="Times New Roman" w:cs="Times New Roman"/>
          <w:sz w:val="24"/>
          <w:szCs w:val="24"/>
        </w:rPr>
        <w:t>te comparison with the active US</w:t>
      </w:r>
      <w:r w:rsidR="00F31CD4">
        <w:rPr>
          <w:rFonts w:ascii="Times New Roman" w:hAnsi="Times New Roman" w:cs="Times New Roman"/>
          <w:sz w:val="24"/>
          <w:szCs w:val="24"/>
        </w:rPr>
        <w:t xml:space="preserve"> Forest Service model.  Gain statistics serve as the assigning criteria for high, medium, and low probabilities for containing archaeological sites.  The gain statistics should follow a pattern of high positive gain for high probability areas, lower positive gain for medium probability areas, and negative gains representing low probability areas.</w:t>
      </w:r>
    </w:p>
    <w:p w14:paraId="065F8C41" w14:textId="751966C3" w:rsidR="00B32560" w:rsidRPr="00B32560" w:rsidRDefault="00B32560" w:rsidP="00B3256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modeling technique </w:t>
      </w:r>
      <w:r w:rsidR="00624E4C">
        <w:rPr>
          <w:rFonts w:ascii="Times New Roman" w:hAnsi="Times New Roman" w:cs="Times New Roman"/>
          <w:sz w:val="24"/>
          <w:szCs w:val="24"/>
        </w:rPr>
        <w:t xml:space="preserve">used to develop the proposed predictive model </w:t>
      </w:r>
      <w:r>
        <w:rPr>
          <w:rFonts w:ascii="Times New Roman" w:hAnsi="Times New Roman" w:cs="Times New Roman"/>
          <w:sz w:val="24"/>
          <w:szCs w:val="24"/>
        </w:rPr>
        <w:t>involved</w:t>
      </w:r>
      <w:r w:rsidR="00624E4C">
        <w:rPr>
          <w:rFonts w:ascii="Times New Roman" w:hAnsi="Times New Roman" w:cs="Times New Roman"/>
          <w:sz w:val="24"/>
          <w:szCs w:val="24"/>
        </w:rPr>
        <w:t xml:space="preserve"> buffering</w:t>
      </w:r>
      <w:r w:rsidRPr="00B32560">
        <w:rPr>
          <w:rFonts w:ascii="Times New Roman" w:hAnsi="Times New Roman" w:cs="Times New Roman"/>
          <w:sz w:val="24"/>
          <w:szCs w:val="24"/>
        </w:rPr>
        <w:t xml:space="preserve"> significant variable</w:t>
      </w:r>
      <w:r w:rsidR="00662B2A">
        <w:rPr>
          <w:rFonts w:ascii="Times New Roman" w:hAnsi="Times New Roman" w:cs="Times New Roman"/>
          <w:sz w:val="24"/>
          <w:szCs w:val="24"/>
        </w:rPr>
        <w:t>s</w:t>
      </w:r>
      <w:r w:rsidR="00304DF3">
        <w:rPr>
          <w:rFonts w:ascii="Times New Roman" w:hAnsi="Times New Roman" w:cs="Times New Roman"/>
          <w:sz w:val="24"/>
          <w:szCs w:val="24"/>
        </w:rPr>
        <w:t>.  An example of the buffering technique for distance to road is displayed within the text for all sites (Table 6.1) and historic sites (Table 6.2)</w:t>
      </w:r>
      <w:r w:rsidR="00662B2A">
        <w:rPr>
          <w:rFonts w:ascii="Times New Roman" w:hAnsi="Times New Roman" w:cs="Times New Roman"/>
          <w:sz w:val="24"/>
          <w:szCs w:val="24"/>
        </w:rPr>
        <w:t>.</w:t>
      </w:r>
      <w:r w:rsidRPr="00B32560">
        <w:rPr>
          <w:rFonts w:ascii="Times New Roman" w:hAnsi="Times New Roman" w:cs="Times New Roman"/>
          <w:sz w:val="24"/>
          <w:szCs w:val="24"/>
        </w:rPr>
        <w:t xml:space="preserve"> </w:t>
      </w:r>
      <w:r w:rsidR="00662B2A">
        <w:rPr>
          <w:rFonts w:ascii="Times New Roman" w:hAnsi="Times New Roman" w:cs="Times New Roman"/>
          <w:sz w:val="24"/>
          <w:szCs w:val="24"/>
        </w:rPr>
        <w:t xml:space="preserve"> T</w:t>
      </w:r>
      <w:r w:rsidRPr="00B32560">
        <w:rPr>
          <w:rFonts w:ascii="Times New Roman" w:hAnsi="Times New Roman" w:cs="Times New Roman"/>
          <w:sz w:val="24"/>
          <w:szCs w:val="24"/>
        </w:rPr>
        <w:t xml:space="preserve">he gain values calculated for the historic sites sample is </w:t>
      </w:r>
      <w:r w:rsidR="0075222A" w:rsidRPr="00B32560">
        <w:rPr>
          <w:rFonts w:ascii="Times New Roman" w:hAnsi="Times New Roman" w:cs="Times New Roman"/>
          <w:sz w:val="24"/>
          <w:szCs w:val="24"/>
        </w:rPr>
        <w:t>negative;</w:t>
      </w:r>
      <w:r w:rsidRPr="00B32560">
        <w:rPr>
          <w:rFonts w:ascii="Times New Roman" w:hAnsi="Times New Roman" w:cs="Times New Roman"/>
          <w:sz w:val="24"/>
          <w:szCs w:val="24"/>
        </w:rPr>
        <w:t xml:space="preserve"> suggesting that distance to road is not an appropriate variable to formulate a zone for historic sites. This is due to the low number of historic sites recorded on the K</w:t>
      </w:r>
      <w:r w:rsidR="00035E5C">
        <w:rPr>
          <w:rFonts w:ascii="Times New Roman" w:hAnsi="Times New Roman" w:cs="Times New Roman"/>
          <w:sz w:val="24"/>
          <w:szCs w:val="24"/>
        </w:rPr>
        <w:t xml:space="preserve">isatchie </w:t>
      </w:r>
      <w:r w:rsidRPr="00B32560">
        <w:rPr>
          <w:rFonts w:ascii="Times New Roman" w:hAnsi="Times New Roman" w:cs="Times New Roman"/>
          <w:sz w:val="24"/>
          <w:szCs w:val="24"/>
        </w:rPr>
        <w:t>N</w:t>
      </w:r>
      <w:r w:rsidR="00035E5C">
        <w:rPr>
          <w:rFonts w:ascii="Times New Roman" w:hAnsi="Times New Roman" w:cs="Times New Roman"/>
          <w:sz w:val="24"/>
          <w:szCs w:val="24"/>
        </w:rPr>
        <w:t xml:space="preserve">ational </w:t>
      </w:r>
      <w:r w:rsidRPr="00B32560">
        <w:rPr>
          <w:rFonts w:ascii="Times New Roman" w:hAnsi="Times New Roman" w:cs="Times New Roman"/>
          <w:sz w:val="24"/>
          <w:szCs w:val="24"/>
        </w:rPr>
        <w:t>F</w:t>
      </w:r>
      <w:r w:rsidR="00035E5C">
        <w:rPr>
          <w:rFonts w:ascii="Times New Roman" w:hAnsi="Times New Roman" w:cs="Times New Roman"/>
          <w:sz w:val="24"/>
          <w:szCs w:val="24"/>
        </w:rPr>
        <w:t>orest</w:t>
      </w:r>
      <w:r w:rsidRPr="00B32560">
        <w:rPr>
          <w:rFonts w:ascii="Times New Roman" w:hAnsi="Times New Roman" w:cs="Times New Roman"/>
          <w:sz w:val="24"/>
          <w:szCs w:val="24"/>
        </w:rPr>
        <w:t xml:space="preserve"> relative to the large percentage of area that the buffering of the roadways encompasses. </w:t>
      </w:r>
      <w:r w:rsidR="007828E4">
        <w:rPr>
          <w:rFonts w:ascii="Times New Roman" w:hAnsi="Times New Roman" w:cs="Times New Roman"/>
          <w:sz w:val="24"/>
          <w:szCs w:val="24"/>
        </w:rPr>
        <w:t xml:space="preserve">This technique was used for </w:t>
      </w:r>
      <w:r w:rsidRPr="00B32560">
        <w:rPr>
          <w:rFonts w:ascii="Times New Roman" w:hAnsi="Times New Roman" w:cs="Times New Roman"/>
          <w:sz w:val="24"/>
          <w:szCs w:val="24"/>
        </w:rPr>
        <w:t xml:space="preserve">each variable with the increasing of buffering increments ceasing only after a drop in gain was noted.  Typically the buffer with the highest gain was selected unless a buffer of similar gain represented considerably less area while containing a high number of sites.  </w:t>
      </w:r>
    </w:p>
    <w:p w14:paraId="51B0C1F7" w14:textId="77777777" w:rsidR="0075222A" w:rsidRDefault="0075222A" w:rsidP="00976D86">
      <w:pPr>
        <w:spacing w:line="480" w:lineRule="auto"/>
        <w:ind w:firstLine="720"/>
        <w:rPr>
          <w:rFonts w:ascii="Times New Roman" w:hAnsi="Times New Roman" w:cs="Times New Roman"/>
          <w:sz w:val="24"/>
          <w:szCs w:val="24"/>
        </w:rPr>
      </w:pPr>
    </w:p>
    <w:p w14:paraId="62F6D351" w14:textId="77777777" w:rsidR="0075222A" w:rsidRDefault="0075222A" w:rsidP="00976D86">
      <w:pPr>
        <w:spacing w:line="480" w:lineRule="auto"/>
        <w:ind w:firstLine="720"/>
        <w:rPr>
          <w:rFonts w:ascii="Times New Roman" w:hAnsi="Times New Roman" w:cs="Times New Roman"/>
          <w:sz w:val="24"/>
          <w:szCs w:val="24"/>
        </w:rPr>
      </w:pPr>
    </w:p>
    <w:p w14:paraId="050DF93A" w14:textId="77777777" w:rsidR="0075222A" w:rsidRPr="00007D2A" w:rsidRDefault="0075222A" w:rsidP="0075222A">
      <w:pPr>
        <w:spacing w:line="240" w:lineRule="auto"/>
        <w:rPr>
          <w:rFonts w:ascii="Times New Roman" w:hAnsi="Times New Roman" w:cs="Times New Roman"/>
        </w:rPr>
      </w:pPr>
      <w:r w:rsidRPr="00007D2A">
        <w:rPr>
          <w:rFonts w:ascii="Times New Roman" w:hAnsi="Times New Roman" w:cs="Times New Roman"/>
          <w:b/>
        </w:rPr>
        <w:lastRenderedPageBreak/>
        <w:t>Table 6.1.</w:t>
      </w:r>
      <w:r w:rsidRPr="00007D2A">
        <w:rPr>
          <w:rFonts w:ascii="Times New Roman" w:hAnsi="Times New Roman" w:cs="Times New Roman"/>
        </w:rPr>
        <w:t xml:space="preserve">  </w:t>
      </w:r>
      <w:proofErr w:type="gramStart"/>
      <w:r w:rsidRPr="00007D2A">
        <w:rPr>
          <w:rFonts w:ascii="Times New Roman" w:hAnsi="Times New Roman" w:cs="Times New Roman"/>
        </w:rPr>
        <w:t>An Example of the Buffering Strategy and Statistical Evaluation for the Road Variable using All Archaeological Sites.</w:t>
      </w:r>
      <w:proofErr w:type="gramEnd"/>
    </w:p>
    <w:tbl>
      <w:tblPr>
        <w:tblW w:w="8300" w:type="dxa"/>
        <w:tblInd w:w="93" w:type="dxa"/>
        <w:tblLook w:val="04A0" w:firstRow="1" w:lastRow="0" w:firstColumn="1" w:lastColumn="0" w:noHBand="0" w:noVBand="1"/>
      </w:tblPr>
      <w:tblGrid>
        <w:gridCol w:w="1660"/>
        <w:gridCol w:w="1200"/>
        <w:gridCol w:w="880"/>
        <w:gridCol w:w="1080"/>
        <w:gridCol w:w="1020"/>
        <w:gridCol w:w="820"/>
        <w:gridCol w:w="760"/>
        <w:gridCol w:w="880"/>
      </w:tblGrid>
      <w:tr w:rsidR="0075222A" w:rsidRPr="0051788B" w14:paraId="27AAD4C7" w14:textId="77777777" w:rsidTr="00D706E2">
        <w:trPr>
          <w:trHeight w:val="315"/>
        </w:trPr>
        <w:tc>
          <w:tcPr>
            <w:tcW w:w="1660" w:type="dxa"/>
            <w:tcBorders>
              <w:top w:val="single" w:sz="4" w:space="0" w:color="auto"/>
              <w:left w:val="nil"/>
              <w:bottom w:val="single" w:sz="4" w:space="0" w:color="auto"/>
              <w:right w:val="nil"/>
            </w:tcBorders>
            <w:shd w:val="clear" w:color="auto" w:fill="auto"/>
            <w:noWrap/>
            <w:vAlign w:val="bottom"/>
            <w:hideMark/>
          </w:tcPr>
          <w:p w14:paraId="041EC70B" w14:textId="77777777" w:rsidR="0075222A" w:rsidRPr="0051788B" w:rsidRDefault="0075222A" w:rsidP="00D706E2">
            <w:pPr>
              <w:spacing w:after="0" w:line="240" w:lineRule="auto"/>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Variable</w:t>
            </w:r>
          </w:p>
        </w:tc>
        <w:tc>
          <w:tcPr>
            <w:tcW w:w="1200" w:type="dxa"/>
            <w:tcBorders>
              <w:top w:val="single" w:sz="4" w:space="0" w:color="auto"/>
              <w:left w:val="nil"/>
              <w:bottom w:val="single" w:sz="4" w:space="0" w:color="auto"/>
              <w:right w:val="nil"/>
            </w:tcBorders>
            <w:shd w:val="clear" w:color="auto" w:fill="auto"/>
            <w:noWrap/>
            <w:vAlign w:val="bottom"/>
            <w:hideMark/>
          </w:tcPr>
          <w:p w14:paraId="2BC6A17A"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Area (m</w:t>
            </w:r>
            <w:r w:rsidRPr="0051788B">
              <w:rPr>
                <w:rFonts w:ascii="Times New Roman" w:eastAsia="Times New Roman" w:hAnsi="Times New Roman" w:cs="Times New Roman"/>
                <w:color w:val="000000"/>
                <w:sz w:val="20"/>
                <w:szCs w:val="20"/>
                <w:vertAlign w:val="superscript"/>
              </w:rPr>
              <w:t>2</w:t>
            </w:r>
            <w:r w:rsidRPr="0051788B">
              <w:rPr>
                <w:rFonts w:ascii="Times New Roman" w:eastAsia="Times New Roman" w:hAnsi="Times New Roman" w:cs="Times New Roman"/>
                <w:color w:val="000000"/>
                <w:sz w:val="20"/>
                <w:szCs w:val="20"/>
              </w:rPr>
              <w:t>)</w:t>
            </w:r>
          </w:p>
        </w:tc>
        <w:tc>
          <w:tcPr>
            <w:tcW w:w="880" w:type="dxa"/>
            <w:tcBorders>
              <w:top w:val="single" w:sz="4" w:space="0" w:color="auto"/>
              <w:left w:val="nil"/>
              <w:bottom w:val="single" w:sz="4" w:space="0" w:color="auto"/>
              <w:right w:val="nil"/>
            </w:tcBorders>
            <w:shd w:val="clear" w:color="auto" w:fill="auto"/>
            <w:noWrap/>
            <w:vAlign w:val="bottom"/>
            <w:hideMark/>
          </w:tcPr>
          <w:p w14:paraId="7E2D8CCC"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 xml:space="preserve">% </w:t>
            </w:r>
            <w:proofErr w:type="gramStart"/>
            <w:r w:rsidRPr="0051788B">
              <w:rPr>
                <w:rFonts w:ascii="Times New Roman" w:eastAsia="Times New Roman" w:hAnsi="Times New Roman" w:cs="Times New Roman"/>
                <w:color w:val="000000"/>
                <w:sz w:val="20"/>
                <w:szCs w:val="20"/>
              </w:rPr>
              <w:t>of</w:t>
            </w:r>
            <w:proofErr w:type="gramEnd"/>
            <w:r w:rsidRPr="0051788B">
              <w:rPr>
                <w:rFonts w:ascii="Times New Roman" w:eastAsia="Times New Roman" w:hAnsi="Times New Roman" w:cs="Times New Roman"/>
                <w:color w:val="000000"/>
                <w:sz w:val="20"/>
                <w:szCs w:val="20"/>
              </w:rPr>
              <w:t xml:space="preserve"> Area</w:t>
            </w:r>
          </w:p>
        </w:tc>
        <w:tc>
          <w:tcPr>
            <w:tcW w:w="1080" w:type="dxa"/>
            <w:tcBorders>
              <w:top w:val="single" w:sz="4" w:space="0" w:color="auto"/>
              <w:left w:val="nil"/>
              <w:bottom w:val="single" w:sz="4" w:space="0" w:color="auto"/>
              <w:right w:val="nil"/>
            </w:tcBorders>
            <w:shd w:val="clear" w:color="auto" w:fill="auto"/>
            <w:noWrap/>
            <w:vAlign w:val="bottom"/>
            <w:hideMark/>
          </w:tcPr>
          <w:p w14:paraId="347F7941"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Expected Sites</w:t>
            </w:r>
          </w:p>
        </w:tc>
        <w:tc>
          <w:tcPr>
            <w:tcW w:w="1020" w:type="dxa"/>
            <w:tcBorders>
              <w:top w:val="single" w:sz="4" w:space="0" w:color="auto"/>
              <w:left w:val="nil"/>
              <w:bottom w:val="single" w:sz="4" w:space="0" w:color="auto"/>
              <w:right w:val="nil"/>
            </w:tcBorders>
            <w:shd w:val="clear" w:color="auto" w:fill="auto"/>
            <w:noWrap/>
            <w:vAlign w:val="bottom"/>
            <w:hideMark/>
          </w:tcPr>
          <w:p w14:paraId="195B71EE"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Observed Sites</w:t>
            </w:r>
          </w:p>
        </w:tc>
        <w:tc>
          <w:tcPr>
            <w:tcW w:w="820" w:type="dxa"/>
            <w:tcBorders>
              <w:top w:val="single" w:sz="4" w:space="0" w:color="auto"/>
              <w:left w:val="nil"/>
              <w:bottom w:val="single" w:sz="4" w:space="0" w:color="auto"/>
              <w:right w:val="nil"/>
            </w:tcBorders>
            <w:shd w:val="clear" w:color="auto" w:fill="auto"/>
            <w:noWrap/>
            <w:vAlign w:val="bottom"/>
            <w:hideMark/>
          </w:tcPr>
          <w:p w14:paraId="642E7D98"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 Sites</w:t>
            </w:r>
          </w:p>
        </w:tc>
        <w:tc>
          <w:tcPr>
            <w:tcW w:w="760" w:type="dxa"/>
            <w:tcBorders>
              <w:top w:val="single" w:sz="4" w:space="0" w:color="auto"/>
              <w:left w:val="nil"/>
              <w:bottom w:val="single" w:sz="4" w:space="0" w:color="auto"/>
              <w:right w:val="nil"/>
            </w:tcBorders>
            <w:shd w:val="clear" w:color="auto" w:fill="auto"/>
            <w:noWrap/>
            <w:vAlign w:val="bottom"/>
            <w:hideMark/>
          </w:tcPr>
          <w:p w14:paraId="66950AA8"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χ2</w:t>
            </w:r>
          </w:p>
        </w:tc>
        <w:tc>
          <w:tcPr>
            <w:tcW w:w="880" w:type="dxa"/>
            <w:tcBorders>
              <w:top w:val="single" w:sz="4" w:space="0" w:color="auto"/>
              <w:left w:val="nil"/>
              <w:bottom w:val="single" w:sz="4" w:space="0" w:color="auto"/>
              <w:right w:val="nil"/>
            </w:tcBorders>
            <w:shd w:val="clear" w:color="auto" w:fill="auto"/>
            <w:noWrap/>
            <w:vAlign w:val="bottom"/>
            <w:hideMark/>
          </w:tcPr>
          <w:p w14:paraId="7EC6B215"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Gain</w:t>
            </w:r>
          </w:p>
        </w:tc>
      </w:tr>
      <w:tr w:rsidR="0075222A" w:rsidRPr="0051788B" w14:paraId="09DAE4DC" w14:textId="77777777" w:rsidTr="00D706E2">
        <w:trPr>
          <w:trHeight w:val="255"/>
        </w:trPr>
        <w:tc>
          <w:tcPr>
            <w:tcW w:w="1660" w:type="dxa"/>
            <w:tcBorders>
              <w:top w:val="nil"/>
              <w:left w:val="nil"/>
              <w:bottom w:val="nil"/>
              <w:right w:val="nil"/>
            </w:tcBorders>
            <w:shd w:val="clear" w:color="auto" w:fill="auto"/>
            <w:noWrap/>
            <w:vAlign w:val="bottom"/>
            <w:hideMark/>
          </w:tcPr>
          <w:p w14:paraId="5FB1A797" w14:textId="77777777" w:rsidR="0075222A" w:rsidRPr="0051788B" w:rsidRDefault="0075222A" w:rsidP="00D706E2">
            <w:pPr>
              <w:spacing w:after="0" w:line="240" w:lineRule="auto"/>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Road Buffer 20</w:t>
            </w:r>
          </w:p>
        </w:tc>
        <w:tc>
          <w:tcPr>
            <w:tcW w:w="1200" w:type="dxa"/>
            <w:tcBorders>
              <w:top w:val="nil"/>
              <w:left w:val="nil"/>
              <w:bottom w:val="nil"/>
              <w:right w:val="nil"/>
            </w:tcBorders>
            <w:shd w:val="clear" w:color="auto" w:fill="auto"/>
            <w:noWrap/>
            <w:vAlign w:val="bottom"/>
            <w:hideMark/>
          </w:tcPr>
          <w:p w14:paraId="3D7728C4"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209527498</w:t>
            </w:r>
          </w:p>
        </w:tc>
        <w:tc>
          <w:tcPr>
            <w:tcW w:w="880" w:type="dxa"/>
            <w:tcBorders>
              <w:top w:val="nil"/>
              <w:left w:val="nil"/>
              <w:bottom w:val="nil"/>
              <w:right w:val="nil"/>
            </w:tcBorders>
            <w:shd w:val="clear" w:color="auto" w:fill="auto"/>
            <w:noWrap/>
            <w:vAlign w:val="bottom"/>
            <w:hideMark/>
          </w:tcPr>
          <w:p w14:paraId="1F63CA09"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8.4</w:t>
            </w:r>
          </w:p>
        </w:tc>
        <w:tc>
          <w:tcPr>
            <w:tcW w:w="1080" w:type="dxa"/>
            <w:tcBorders>
              <w:top w:val="nil"/>
              <w:left w:val="nil"/>
              <w:bottom w:val="nil"/>
              <w:right w:val="nil"/>
            </w:tcBorders>
            <w:shd w:val="clear" w:color="auto" w:fill="auto"/>
            <w:noWrap/>
            <w:vAlign w:val="bottom"/>
            <w:hideMark/>
          </w:tcPr>
          <w:p w14:paraId="524A8526"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59.0</w:t>
            </w:r>
          </w:p>
        </w:tc>
        <w:tc>
          <w:tcPr>
            <w:tcW w:w="1020" w:type="dxa"/>
            <w:tcBorders>
              <w:top w:val="nil"/>
              <w:left w:val="nil"/>
              <w:bottom w:val="nil"/>
              <w:right w:val="nil"/>
            </w:tcBorders>
            <w:shd w:val="clear" w:color="auto" w:fill="auto"/>
            <w:noWrap/>
            <w:vAlign w:val="bottom"/>
            <w:hideMark/>
          </w:tcPr>
          <w:p w14:paraId="0FE2E065"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341</w:t>
            </w:r>
          </w:p>
        </w:tc>
        <w:tc>
          <w:tcPr>
            <w:tcW w:w="820" w:type="dxa"/>
            <w:tcBorders>
              <w:top w:val="nil"/>
              <w:left w:val="nil"/>
              <w:bottom w:val="nil"/>
              <w:right w:val="nil"/>
            </w:tcBorders>
            <w:shd w:val="clear" w:color="auto" w:fill="auto"/>
            <w:noWrap/>
            <w:vAlign w:val="bottom"/>
            <w:hideMark/>
          </w:tcPr>
          <w:p w14:paraId="0DC73126"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8.6</w:t>
            </w:r>
          </w:p>
        </w:tc>
        <w:tc>
          <w:tcPr>
            <w:tcW w:w="760" w:type="dxa"/>
            <w:tcBorders>
              <w:top w:val="nil"/>
              <w:left w:val="nil"/>
              <w:bottom w:val="nil"/>
              <w:right w:val="nil"/>
            </w:tcBorders>
            <w:shd w:val="clear" w:color="auto" w:fill="auto"/>
            <w:noWrap/>
            <w:vAlign w:val="bottom"/>
            <w:hideMark/>
          </w:tcPr>
          <w:p w14:paraId="2DB549F6" w14:textId="77777777" w:rsidR="0075222A" w:rsidRPr="0051788B" w:rsidRDefault="0075222A" w:rsidP="00D706E2">
            <w:pPr>
              <w:spacing w:after="0" w:line="240" w:lineRule="auto"/>
              <w:jc w:val="center"/>
              <w:rPr>
                <w:rFonts w:ascii="Times New Roman" w:eastAsia="Times New Roman" w:hAnsi="Times New Roman" w:cs="Times New Roman"/>
                <w:sz w:val="20"/>
                <w:szCs w:val="20"/>
              </w:rPr>
            </w:pPr>
            <w:r w:rsidRPr="0051788B">
              <w:rPr>
                <w:rFonts w:ascii="Times New Roman" w:eastAsia="Times New Roman" w:hAnsi="Times New Roman" w:cs="Times New Roman"/>
                <w:sz w:val="20"/>
                <w:szCs w:val="20"/>
              </w:rPr>
              <w:t>43.2</w:t>
            </w:r>
          </w:p>
        </w:tc>
        <w:tc>
          <w:tcPr>
            <w:tcW w:w="880" w:type="dxa"/>
            <w:tcBorders>
              <w:top w:val="nil"/>
              <w:left w:val="nil"/>
              <w:bottom w:val="nil"/>
              <w:right w:val="nil"/>
            </w:tcBorders>
            <w:shd w:val="clear" w:color="auto" w:fill="auto"/>
            <w:noWrap/>
            <w:vAlign w:val="bottom"/>
            <w:hideMark/>
          </w:tcPr>
          <w:p w14:paraId="1EE31CF7"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0.02</w:t>
            </w:r>
          </w:p>
        </w:tc>
      </w:tr>
      <w:tr w:rsidR="0075222A" w:rsidRPr="0051788B" w14:paraId="01D15005" w14:textId="77777777" w:rsidTr="00D706E2">
        <w:trPr>
          <w:trHeight w:val="255"/>
        </w:trPr>
        <w:tc>
          <w:tcPr>
            <w:tcW w:w="1660" w:type="dxa"/>
            <w:tcBorders>
              <w:top w:val="nil"/>
              <w:left w:val="nil"/>
              <w:bottom w:val="nil"/>
              <w:right w:val="nil"/>
            </w:tcBorders>
            <w:shd w:val="clear" w:color="auto" w:fill="auto"/>
            <w:noWrap/>
            <w:vAlign w:val="bottom"/>
            <w:hideMark/>
          </w:tcPr>
          <w:p w14:paraId="2D8A7715" w14:textId="77777777" w:rsidR="0075222A" w:rsidRPr="0051788B" w:rsidRDefault="0075222A" w:rsidP="00D706E2">
            <w:pPr>
              <w:spacing w:after="0" w:line="240" w:lineRule="auto"/>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Road Buffer 30</w:t>
            </w:r>
          </w:p>
        </w:tc>
        <w:tc>
          <w:tcPr>
            <w:tcW w:w="1200" w:type="dxa"/>
            <w:tcBorders>
              <w:top w:val="nil"/>
              <w:left w:val="nil"/>
              <w:bottom w:val="nil"/>
              <w:right w:val="nil"/>
            </w:tcBorders>
            <w:shd w:val="clear" w:color="auto" w:fill="auto"/>
            <w:noWrap/>
            <w:vAlign w:val="bottom"/>
            <w:hideMark/>
          </w:tcPr>
          <w:p w14:paraId="34072C15"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311049157</w:t>
            </w:r>
          </w:p>
        </w:tc>
        <w:tc>
          <w:tcPr>
            <w:tcW w:w="880" w:type="dxa"/>
            <w:tcBorders>
              <w:top w:val="nil"/>
              <w:left w:val="nil"/>
              <w:bottom w:val="nil"/>
              <w:right w:val="nil"/>
            </w:tcBorders>
            <w:shd w:val="clear" w:color="auto" w:fill="auto"/>
            <w:noWrap/>
            <w:vAlign w:val="bottom"/>
            <w:hideMark/>
          </w:tcPr>
          <w:p w14:paraId="1232F819"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12.5</w:t>
            </w:r>
          </w:p>
        </w:tc>
        <w:tc>
          <w:tcPr>
            <w:tcW w:w="1080" w:type="dxa"/>
            <w:tcBorders>
              <w:top w:val="nil"/>
              <w:left w:val="nil"/>
              <w:bottom w:val="nil"/>
              <w:right w:val="nil"/>
            </w:tcBorders>
            <w:shd w:val="clear" w:color="auto" w:fill="auto"/>
            <w:noWrap/>
            <w:vAlign w:val="bottom"/>
            <w:hideMark/>
          </w:tcPr>
          <w:p w14:paraId="4864A216"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108.0</w:t>
            </w:r>
          </w:p>
        </w:tc>
        <w:tc>
          <w:tcPr>
            <w:tcW w:w="1020" w:type="dxa"/>
            <w:tcBorders>
              <w:top w:val="nil"/>
              <w:left w:val="nil"/>
              <w:bottom w:val="nil"/>
              <w:right w:val="nil"/>
            </w:tcBorders>
            <w:shd w:val="clear" w:color="auto" w:fill="auto"/>
            <w:noWrap/>
            <w:vAlign w:val="bottom"/>
            <w:hideMark/>
          </w:tcPr>
          <w:p w14:paraId="57AAF903"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520</w:t>
            </w:r>
          </w:p>
        </w:tc>
        <w:tc>
          <w:tcPr>
            <w:tcW w:w="820" w:type="dxa"/>
            <w:tcBorders>
              <w:top w:val="nil"/>
              <w:left w:val="nil"/>
              <w:bottom w:val="nil"/>
              <w:right w:val="nil"/>
            </w:tcBorders>
            <w:shd w:val="clear" w:color="auto" w:fill="auto"/>
            <w:noWrap/>
            <w:vAlign w:val="bottom"/>
            <w:hideMark/>
          </w:tcPr>
          <w:p w14:paraId="551FCBD2"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13.0</w:t>
            </w:r>
          </w:p>
        </w:tc>
        <w:tc>
          <w:tcPr>
            <w:tcW w:w="760" w:type="dxa"/>
            <w:tcBorders>
              <w:top w:val="nil"/>
              <w:left w:val="nil"/>
              <w:bottom w:val="nil"/>
              <w:right w:val="nil"/>
            </w:tcBorders>
            <w:shd w:val="clear" w:color="auto" w:fill="auto"/>
            <w:noWrap/>
            <w:vAlign w:val="bottom"/>
            <w:hideMark/>
          </w:tcPr>
          <w:p w14:paraId="3FDB0810" w14:textId="77777777" w:rsidR="0075222A" w:rsidRPr="0051788B" w:rsidRDefault="0075222A" w:rsidP="00D706E2">
            <w:pPr>
              <w:spacing w:after="0" w:line="240" w:lineRule="auto"/>
              <w:jc w:val="center"/>
              <w:rPr>
                <w:rFonts w:ascii="Times New Roman" w:eastAsia="Times New Roman" w:hAnsi="Times New Roman" w:cs="Times New Roman"/>
                <w:sz w:val="20"/>
                <w:szCs w:val="20"/>
              </w:rPr>
            </w:pPr>
            <w:r w:rsidRPr="0051788B">
              <w:rPr>
                <w:rFonts w:ascii="Times New Roman" w:eastAsia="Times New Roman" w:hAnsi="Times New Roman" w:cs="Times New Roman"/>
                <w:sz w:val="20"/>
                <w:szCs w:val="20"/>
              </w:rPr>
              <w:t>83.5</w:t>
            </w:r>
          </w:p>
        </w:tc>
        <w:tc>
          <w:tcPr>
            <w:tcW w:w="880" w:type="dxa"/>
            <w:tcBorders>
              <w:top w:val="nil"/>
              <w:left w:val="nil"/>
              <w:bottom w:val="nil"/>
              <w:right w:val="nil"/>
            </w:tcBorders>
            <w:shd w:val="clear" w:color="auto" w:fill="auto"/>
            <w:noWrap/>
            <w:vAlign w:val="bottom"/>
            <w:hideMark/>
          </w:tcPr>
          <w:p w14:paraId="50D1204F"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0.04</w:t>
            </w:r>
          </w:p>
        </w:tc>
      </w:tr>
      <w:tr w:rsidR="0075222A" w:rsidRPr="0051788B" w14:paraId="160B108F" w14:textId="77777777" w:rsidTr="00D706E2">
        <w:trPr>
          <w:trHeight w:val="255"/>
        </w:trPr>
        <w:tc>
          <w:tcPr>
            <w:tcW w:w="1660" w:type="dxa"/>
            <w:tcBorders>
              <w:top w:val="nil"/>
              <w:left w:val="nil"/>
              <w:bottom w:val="nil"/>
              <w:right w:val="nil"/>
            </w:tcBorders>
            <w:shd w:val="clear" w:color="auto" w:fill="auto"/>
            <w:noWrap/>
            <w:vAlign w:val="bottom"/>
            <w:hideMark/>
          </w:tcPr>
          <w:p w14:paraId="55F770B5" w14:textId="77777777" w:rsidR="0075222A" w:rsidRPr="0051788B" w:rsidRDefault="0075222A" w:rsidP="00D706E2">
            <w:pPr>
              <w:spacing w:after="0" w:line="240" w:lineRule="auto"/>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Road Buffer 40</w:t>
            </w:r>
          </w:p>
        </w:tc>
        <w:tc>
          <w:tcPr>
            <w:tcW w:w="1200" w:type="dxa"/>
            <w:tcBorders>
              <w:top w:val="nil"/>
              <w:left w:val="nil"/>
              <w:bottom w:val="nil"/>
              <w:right w:val="nil"/>
            </w:tcBorders>
            <w:shd w:val="clear" w:color="auto" w:fill="auto"/>
            <w:noWrap/>
            <w:vAlign w:val="bottom"/>
            <w:hideMark/>
          </w:tcPr>
          <w:p w14:paraId="10ABC5FF"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410318406</w:t>
            </w:r>
          </w:p>
        </w:tc>
        <w:tc>
          <w:tcPr>
            <w:tcW w:w="880" w:type="dxa"/>
            <w:tcBorders>
              <w:top w:val="nil"/>
              <w:left w:val="nil"/>
              <w:bottom w:val="nil"/>
              <w:right w:val="nil"/>
            </w:tcBorders>
            <w:shd w:val="clear" w:color="auto" w:fill="auto"/>
            <w:noWrap/>
            <w:vAlign w:val="bottom"/>
            <w:hideMark/>
          </w:tcPr>
          <w:p w14:paraId="28D783E1"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16.5</w:t>
            </w:r>
          </w:p>
        </w:tc>
        <w:tc>
          <w:tcPr>
            <w:tcW w:w="1080" w:type="dxa"/>
            <w:tcBorders>
              <w:top w:val="nil"/>
              <w:left w:val="nil"/>
              <w:bottom w:val="nil"/>
              <w:right w:val="nil"/>
            </w:tcBorders>
            <w:shd w:val="clear" w:color="auto" w:fill="auto"/>
            <w:noWrap/>
            <w:vAlign w:val="bottom"/>
            <w:hideMark/>
          </w:tcPr>
          <w:p w14:paraId="6EEB2A13"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143.3</w:t>
            </w:r>
          </w:p>
        </w:tc>
        <w:tc>
          <w:tcPr>
            <w:tcW w:w="1020" w:type="dxa"/>
            <w:tcBorders>
              <w:top w:val="nil"/>
              <w:left w:val="nil"/>
              <w:bottom w:val="nil"/>
              <w:right w:val="nil"/>
            </w:tcBorders>
            <w:shd w:val="clear" w:color="auto" w:fill="auto"/>
            <w:noWrap/>
            <w:vAlign w:val="bottom"/>
            <w:hideMark/>
          </w:tcPr>
          <w:p w14:paraId="4EBA04DA"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690</w:t>
            </w:r>
          </w:p>
        </w:tc>
        <w:tc>
          <w:tcPr>
            <w:tcW w:w="820" w:type="dxa"/>
            <w:tcBorders>
              <w:top w:val="nil"/>
              <w:left w:val="nil"/>
              <w:bottom w:val="nil"/>
              <w:right w:val="nil"/>
            </w:tcBorders>
            <w:shd w:val="clear" w:color="auto" w:fill="auto"/>
            <w:noWrap/>
            <w:vAlign w:val="bottom"/>
            <w:hideMark/>
          </w:tcPr>
          <w:p w14:paraId="5158F30A"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17.3</w:t>
            </w:r>
          </w:p>
        </w:tc>
        <w:tc>
          <w:tcPr>
            <w:tcW w:w="760" w:type="dxa"/>
            <w:tcBorders>
              <w:top w:val="nil"/>
              <w:left w:val="nil"/>
              <w:bottom w:val="nil"/>
              <w:right w:val="nil"/>
            </w:tcBorders>
            <w:shd w:val="clear" w:color="auto" w:fill="auto"/>
            <w:noWrap/>
            <w:vAlign w:val="bottom"/>
            <w:hideMark/>
          </w:tcPr>
          <w:p w14:paraId="5C70AA49" w14:textId="77777777" w:rsidR="0075222A" w:rsidRPr="0051788B" w:rsidRDefault="0075222A" w:rsidP="00D706E2">
            <w:pPr>
              <w:spacing w:after="0" w:line="240" w:lineRule="auto"/>
              <w:jc w:val="center"/>
              <w:rPr>
                <w:rFonts w:ascii="Times New Roman" w:eastAsia="Times New Roman" w:hAnsi="Times New Roman" w:cs="Times New Roman"/>
                <w:sz w:val="20"/>
                <w:szCs w:val="20"/>
              </w:rPr>
            </w:pPr>
            <w:r w:rsidRPr="0051788B">
              <w:rPr>
                <w:rFonts w:ascii="Times New Roman" w:eastAsia="Times New Roman" w:hAnsi="Times New Roman" w:cs="Times New Roman"/>
                <w:sz w:val="20"/>
                <w:szCs w:val="20"/>
              </w:rPr>
              <w:t>110.8</w:t>
            </w:r>
          </w:p>
        </w:tc>
        <w:tc>
          <w:tcPr>
            <w:tcW w:w="880" w:type="dxa"/>
            <w:tcBorders>
              <w:top w:val="nil"/>
              <w:left w:val="nil"/>
              <w:bottom w:val="nil"/>
              <w:right w:val="nil"/>
            </w:tcBorders>
            <w:shd w:val="clear" w:color="auto" w:fill="auto"/>
            <w:noWrap/>
            <w:vAlign w:val="bottom"/>
            <w:hideMark/>
          </w:tcPr>
          <w:p w14:paraId="6941A2AF"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0.05</w:t>
            </w:r>
          </w:p>
        </w:tc>
      </w:tr>
      <w:tr w:rsidR="0075222A" w:rsidRPr="0051788B" w14:paraId="4F7A36E1" w14:textId="77777777" w:rsidTr="00D706E2">
        <w:trPr>
          <w:trHeight w:val="255"/>
        </w:trPr>
        <w:tc>
          <w:tcPr>
            <w:tcW w:w="1660" w:type="dxa"/>
            <w:tcBorders>
              <w:top w:val="nil"/>
              <w:left w:val="nil"/>
              <w:bottom w:val="nil"/>
              <w:right w:val="nil"/>
            </w:tcBorders>
            <w:shd w:val="clear" w:color="auto" w:fill="auto"/>
            <w:noWrap/>
            <w:vAlign w:val="bottom"/>
            <w:hideMark/>
          </w:tcPr>
          <w:p w14:paraId="4186F087" w14:textId="77777777" w:rsidR="0075222A" w:rsidRPr="0051788B" w:rsidRDefault="0075222A" w:rsidP="00D706E2">
            <w:pPr>
              <w:spacing w:after="0" w:line="240" w:lineRule="auto"/>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Road Buffer 50</w:t>
            </w:r>
          </w:p>
        </w:tc>
        <w:tc>
          <w:tcPr>
            <w:tcW w:w="1200" w:type="dxa"/>
            <w:tcBorders>
              <w:top w:val="nil"/>
              <w:left w:val="nil"/>
              <w:bottom w:val="nil"/>
              <w:right w:val="nil"/>
            </w:tcBorders>
            <w:shd w:val="clear" w:color="auto" w:fill="auto"/>
            <w:noWrap/>
            <w:vAlign w:val="bottom"/>
            <w:hideMark/>
          </w:tcPr>
          <w:p w14:paraId="70C635D2"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507419340</w:t>
            </w:r>
          </w:p>
        </w:tc>
        <w:tc>
          <w:tcPr>
            <w:tcW w:w="880" w:type="dxa"/>
            <w:tcBorders>
              <w:top w:val="nil"/>
              <w:left w:val="nil"/>
              <w:bottom w:val="nil"/>
              <w:right w:val="nil"/>
            </w:tcBorders>
            <w:shd w:val="clear" w:color="auto" w:fill="auto"/>
            <w:noWrap/>
            <w:vAlign w:val="bottom"/>
            <w:hideMark/>
          </w:tcPr>
          <w:p w14:paraId="7F0B9DC4"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20.4</w:t>
            </w:r>
          </w:p>
        </w:tc>
        <w:tc>
          <w:tcPr>
            <w:tcW w:w="1080" w:type="dxa"/>
            <w:tcBorders>
              <w:top w:val="nil"/>
              <w:left w:val="nil"/>
              <w:bottom w:val="nil"/>
              <w:right w:val="nil"/>
            </w:tcBorders>
            <w:shd w:val="clear" w:color="auto" w:fill="auto"/>
            <w:noWrap/>
            <w:vAlign w:val="bottom"/>
            <w:hideMark/>
          </w:tcPr>
          <w:p w14:paraId="7BB0585E"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200.9</w:t>
            </w:r>
          </w:p>
        </w:tc>
        <w:tc>
          <w:tcPr>
            <w:tcW w:w="1020" w:type="dxa"/>
            <w:tcBorders>
              <w:top w:val="nil"/>
              <w:left w:val="nil"/>
              <w:bottom w:val="nil"/>
              <w:right w:val="nil"/>
            </w:tcBorders>
            <w:shd w:val="clear" w:color="auto" w:fill="auto"/>
            <w:noWrap/>
            <w:vAlign w:val="bottom"/>
            <w:hideMark/>
          </w:tcPr>
          <w:p w14:paraId="373B0B34"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828</w:t>
            </w:r>
          </w:p>
        </w:tc>
        <w:tc>
          <w:tcPr>
            <w:tcW w:w="820" w:type="dxa"/>
            <w:tcBorders>
              <w:top w:val="nil"/>
              <w:left w:val="nil"/>
              <w:bottom w:val="nil"/>
              <w:right w:val="nil"/>
            </w:tcBorders>
            <w:shd w:val="clear" w:color="auto" w:fill="auto"/>
            <w:noWrap/>
            <w:vAlign w:val="bottom"/>
            <w:hideMark/>
          </w:tcPr>
          <w:p w14:paraId="6F29A9DF"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20.8</w:t>
            </w:r>
          </w:p>
        </w:tc>
        <w:tc>
          <w:tcPr>
            <w:tcW w:w="760" w:type="dxa"/>
            <w:tcBorders>
              <w:top w:val="nil"/>
              <w:left w:val="nil"/>
              <w:bottom w:val="nil"/>
              <w:right w:val="nil"/>
            </w:tcBorders>
            <w:shd w:val="clear" w:color="auto" w:fill="auto"/>
            <w:noWrap/>
            <w:vAlign w:val="bottom"/>
            <w:hideMark/>
          </w:tcPr>
          <w:p w14:paraId="2C66C401" w14:textId="77777777" w:rsidR="0075222A" w:rsidRPr="0051788B" w:rsidRDefault="0075222A" w:rsidP="00D706E2">
            <w:pPr>
              <w:spacing w:after="0" w:line="240" w:lineRule="auto"/>
              <w:jc w:val="center"/>
              <w:rPr>
                <w:rFonts w:ascii="Times New Roman" w:eastAsia="Times New Roman" w:hAnsi="Times New Roman" w:cs="Times New Roman"/>
                <w:sz w:val="20"/>
                <w:szCs w:val="20"/>
              </w:rPr>
            </w:pPr>
            <w:r w:rsidRPr="0051788B">
              <w:rPr>
                <w:rFonts w:ascii="Times New Roman" w:eastAsia="Times New Roman" w:hAnsi="Times New Roman" w:cs="Times New Roman"/>
                <w:sz w:val="20"/>
                <w:szCs w:val="20"/>
              </w:rPr>
              <w:t>161.5</w:t>
            </w:r>
          </w:p>
        </w:tc>
        <w:tc>
          <w:tcPr>
            <w:tcW w:w="880" w:type="dxa"/>
            <w:tcBorders>
              <w:top w:val="nil"/>
              <w:left w:val="nil"/>
              <w:bottom w:val="nil"/>
              <w:right w:val="nil"/>
            </w:tcBorders>
            <w:shd w:val="clear" w:color="auto" w:fill="auto"/>
            <w:noWrap/>
            <w:vAlign w:val="bottom"/>
            <w:hideMark/>
          </w:tcPr>
          <w:p w14:paraId="7D7A14BB"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0.02</w:t>
            </w:r>
          </w:p>
        </w:tc>
      </w:tr>
      <w:tr w:rsidR="0075222A" w:rsidRPr="0051788B" w14:paraId="5EABD52E" w14:textId="77777777" w:rsidTr="00D706E2">
        <w:trPr>
          <w:trHeight w:val="255"/>
        </w:trPr>
        <w:tc>
          <w:tcPr>
            <w:tcW w:w="1660" w:type="dxa"/>
            <w:tcBorders>
              <w:top w:val="nil"/>
              <w:left w:val="nil"/>
              <w:bottom w:val="nil"/>
              <w:right w:val="nil"/>
            </w:tcBorders>
            <w:shd w:val="clear" w:color="auto" w:fill="auto"/>
            <w:noWrap/>
            <w:vAlign w:val="bottom"/>
            <w:hideMark/>
          </w:tcPr>
          <w:p w14:paraId="1E9833C7" w14:textId="77777777" w:rsidR="0075222A" w:rsidRPr="0051788B" w:rsidRDefault="0075222A" w:rsidP="00D706E2">
            <w:pPr>
              <w:spacing w:after="0" w:line="240" w:lineRule="auto"/>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Road Buffer 60</w:t>
            </w:r>
          </w:p>
        </w:tc>
        <w:tc>
          <w:tcPr>
            <w:tcW w:w="1200" w:type="dxa"/>
            <w:tcBorders>
              <w:top w:val="nil"/>
              <w:left w:val="nil"/>
              <w:bottom w:val="nil"/>
              <w:right w:val="nil"/>
            </w:tcBorders>
            <w:shd w:val="clear" w:color="auto" w:fill="auto"/>
            <w:noWrap/>
            <w:vAlign w:val="bottom"/>
            <w:hideMark/>
          </w:tcPr>
          <w:p w14:paraId="50070B32"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602340962</w:t>
            </w:r>
          </w:p>
        </w:tc>
        <w:tc>
          <w:tcPr>
            <w:tcW w:w="880" w:type="dxa"/>
            <w:tcBorders>
              <w:top w:val="nil"/>
              <w:left w:val="nil"/>
              <w:bottom w:val="nil"/>
              <w:right w:val="nil"/>
            </w:tcBorders>
            <w:shd w:val="clear" w:color="auto" w:fill="auto"/>
            <w:noWrap/>
            <w:vAlign w:val="bottom"/>
            <w:hideMark/>
          </w:tcPr>
          <w:p w14:paraId="394555F4"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24.2</w:t>
            </w:r>
          </w:p>
        </w:tc>
        <w:tc>
          <w:tcPr>
            <w:tcW w:w="1080" w:type="dxa"/>
            <w:tcBorders>
              <w:top w:val="nil"/>
              <w:left w:val="nil"/>
              <w:bottom w:val="nil"/>
              <w:right w:val="nil"/>
            </w:tcBorders>
            <w:shd w:val="clear" w:color="auto" w:fill="auto"/>
            <w:noWrap/>
            <w:vAlign w:val="bottom"/>
            <w:hideMark/>
          </w:tcPr>
          <w:p w14:paraId="33FF54D9"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200.9</w:t>
            </w:r>
          </w:p>
        </w:tc>
        <w:tc>
          <w:tcPr>
            <w:tcW w:w="1020" w:type="dxa"/>
            <w:tcBorders>
              <w:top w:val="nil"/>
              <w:left w:val="nil"/>
              <w:bottom w:val="nil"/>
              <w:right w:val="nil"/>
            </w:tcBorders>
            <w:shd w:val="clear" w:color="auto" w:fill="auto"/>
            <w:noWrap/>
            <w:vAlign w:val="bottom"/>
            <w:hideMark/>
          </w:tcPr>
          <w:p w14:paraId="6566CF30"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967</w:t>
            </w:r>
          </w:p>
        </w:tc>
        <w:tc>
          <w:tcPr>
            <w:tcW w:w="820" w:type="dxa"/>
            <w:tcBorders>
              <w:top w:val="nil"/>
              <w:left w:val="nil"/>
              <w:bottom w:val="nil"/>
              <w:right w:val="nil"/>
            </w:tcBorders>
            <w:shd w:val="clear" w:color="auto" w:fill="auto"/>
            <w:noWrap/>
            <w:vAlign w:val="bottom"/>
            <w:hideMark/>
          </w:tcPr>
          <w:p w14:paraId="342753C8"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24.3</w:t>
            </w:r>
          </w:p>
        </w:tc>
        <w:tc>
          <w:tcPr>
            <w:tcW w:w="760" w:type="dxa"/>
            <w:tcBorders>
              <w:top w:val="nil"/>
              <w:left w:val="nil"/>
              <w:bottom w:val="nil"/>
              <w:right w:val="nil"/>
            </w:tcBorders>
            <w:shd w:val="clear" w:color="auto" w:fill="auto"/>
            <w:noWrap/>
            <w:vAlign w:val="bottom"/>
            <w:hideMark/>
          </w:tcPr>
          <w:p w14:paraId="63C5F659" w14:textId="77777777" w:rsidR="0075222A" w:rsidRPr="0051788B" w:rsidRDefault="0075222A" w:rsidP="00D706E2">
            <w:pPr>
              <w:spacing w:after="0" w:line="240" w:lineRule="auto"/>
              <w:jc w:val="center"/>
              <w:rPr>
                <w:rFonts w:ascii="Times New Roman" w:eastAsia="Times New Roman" w:hAnsi="Times New Roman" w:cs="Times New Roman"/>
                <w:sz w:val="20"/>
                <w:szCs w:val="20"/>
              </w:rPr>
            </w:pPr>
            <w:r w:rsidRPr="0051788B">
              <w:rPr>
                <w:rFonts w:ascii="Times New Roman" w:eastAsia="Times New Roman" w:hAnsi="Times New Roman" w:cs="Times New Roman"/>
                <w:sz w:val="20"/>
                <w:szCs w:val="20"/>
              </w:rPr>
              <w:t>155.3</w:t>
            </w:r>
          </w:p>
        </w:tc>
        <w:tc>
          <w:tcPr>
            <w:tcW w:w="880" w:type="dxa"/>
            <w:tcBorders>
              <w:top w:val="nil"/>
              <w:left w:val="nil"/>
              <w:bottom w:val="nil"/>
              <w:right w:val="nil"/>
            </w:tcBorders>
            <w:shd w:val="clear" w:color="auto" w:fill="auto"/>
            <w:noWrap/>
            <w:vAlign w:val="bottom"/>
            <w:hideMark/>
          </w:tcPr>
          <w:p w14:paraId="3C88943E"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0.00</w:t>
            </w:r>
          </w:p>
        </w:tc>
      </w:tr>
      <w:tr w:rsidR="0075222A" w:rsidRPr="0051788B" w14:paraId="227CC7FA" w14:textId="77777777" w:rsidTr="00D706E2">
        <w:trPr>
          <w:trHeight w:val="255"/>
        </w:trPr>
        <w:tc>
          <w:tcPr>
            <w:tcW w:w="1660" w:type="dxa"/>
            <w:tcBorders>
              <w:top w:val="nil"/>
              <w:left w:val="nil"/>
              <w:bottom w:val="nil"/>
              <w:right w:val="nil"/>
            </w:tcBorders>
            <w:shd w:val="clear" w:color="auto" w:fill="auto"/>
            <w:noWrap/>
            <w:vAlign w:val="bottom"/>
            <w:hideMark/>
          </w:tcPr>
          <w:p w14:paraId="011E2A92" w14:textId="77777777" w:rsidR="0075222A" w:rsidRPr="0051788B" w:rsidRDefault="0075222A" w:rsidP="00D706E2">
            <w:pPr>
              <w:spacing w:after="0" w:line="240" w:lineRule="auto"/>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Road Buffer 75</w:t>
            </w:r>
          </w:p>
        </w:tc>
        <w:tc>
          <w:tcPr>
            <w:tcW w:w="1200" w:type="dxa"/>
            <w:tcBorders>
              <w:top w:val="nil"/>
              <w:left w:val="nil"/>
              <w:bottom w:val="nil"/>
              <w:right w:val="nil"/>
            </w:tcBorders>
            <w:shd w:val="clear" w:color="auto" w:fill="auto"/>
            <w:noWrap/>
            <w:vAlign w:val="bottom"/>
            <w:hideMark/>
          </w:tcPr>
          <w:p w14:paraId="7D53C2E1"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740418475</w:t>
            </w:r>
          </w:p>
        </w:tc>
        <w:tc>
          <w:tcPr>
            <w:tcW w:w="880" w:type="dxa"/>
            <w:tcBorders>
              <w:top w:val="nil"/>
              <w:left w:val="nil"/>
              <w:bottom w:val="nil"/>
              <w:right w:val="nil"/>
            </w:tcBorders>
            <w:shd w:val="clear" w:color="auto" w:fill="auto"/>
            <w:noWrap/>
            <w:vAlign w:val="bottom"/>
            <w:hideMark/>
          </w:tcPr>
          <w:p w14:paraId="11683983"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29.8</w:t>
            </w:r>
          </w:p>
        </w:tc>
        <w:tc>
          <w:tcPr>
            <w:tcW w:w="1080" w:type="dxa"/>
            <w:tcBorders>
              <w:top w:val="nil"/>
              <w:left w:val="nil"/>
              <w:bottom w:val="nil"/>
              <w:right w:val="nil"/>
            </w:tcBorders>
            <w:shd w:val="clear" w:color="auto" w:fill="auto"/>
            <w:noWrap/>
            <w:vAlign w:val="bottom"/>
            <w:hideMark/>
          </w:tcPr>
          <w:p w14:paraId="66731AB3"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314.7</w:t>
            </w:r>
          </w:p>
        </w:tc>
        <w:tc>
          <w:tcPr>
            <w:tcW w:w="1020" w:type="dxa"/>
            <w:tcBorders>
              <w:top w:val="nil"/>
              <w:left w:val="nil"/>
              <w:bottom w:val="nil"/>
              <w:right w:val="nil"/>
            </w:tcBorders>
            <w:shd w:val="clear" w:color="auto" w:fill="auto"/>
            <w:noWrap/>
            <w:vAlign w:val="bottom"/>
            <w:hideMark/>
          </w:tcPr>
          <w:p w14:paraId="68D42323"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1120</w:t>
            </w:r>
          </w:p>
        </w:tc>
        <w:tc>
          <w:tcPr>
            <w:tcW w:w="820" w:type="dxa"/>
            <w:tcBorders>
              <w:top w:val="nil"/>
              <w:left w:val="nil"/>
              <w:bottom w:val="nil"/>
              <w:right w:val="nil"/>
            </w:tcBorders>
            <w:shd w:val="clear" w:color="auto" w:fill="auto"/>
            <w:noWrap/>
            <w:vAlign w:val="bottom"/>
            <w:hideMark/>
          </w:tcPr>
          <w:p w14:paraId="2D54D4F3"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28.1</w:t>
            </w:r>
          </w:p>
        </w:tc>
        <w:tc>
          <w:tcPr>
            <w:tcW w:w="760" w:type="dxa"/>
            <w:tcBorders>
              <w:top w:val="nil"/>
              <w:left w:val="nil"/>
              <w:bottom w:val="nil"/>
              <w:right w:val="nil"/>
            </w:tcBorders>
            <w:shd w:val="clear" w:color="auto" w:fill="auto"/>
            <w:noWrap/>
            <w:vAlign w:val="bottom"/>
            <w:hideMark/>
          </w:tcPr>
          <w:p w14:paraId="2A7A42F3" w14:textId="77777777" w:rsidR="0075222A" w:rsidRPr="0051788B" w:rsidRDefault="0075222A" w:rsidP="00D706E2">
            <w:pPr>
              <w:spacing w:after="0" w:line="240" w:lineRule="auto"/>
              <w:jc w:val="center"/>
              <w:rPr>
                <w:rFonts w:ascii="Times New Roman" w:eastAsia="Times New Roman" w:hAnsi="Times New Roman" w:cs="Times New Roman"/>
                <w:sz w:val="20"/>
                <w:szCs w:val="20"/>
              </w:rPr>
            </w:pPr>
            <w:r w:rsidRPr="0051788B">
              <w:rPr>
                <w:rFonts w:ascii="Times New Roman" w:eastAsia="Times New Roman" w:hAnsi="Times New Roman" w:cs="Times New Roman"/>
                <w:sz w:val="20"/>
                <w:szCs w:val="20"/>
              </w:rPr>
              <w:t>261.0</w:t>
            </w:r>
          </w:p>
        </w:tc>
        <w:tc>
          <w:tcPr>
            <w:tcW w:w="880" w:type="dxa"/>
            <w:tcBorders>
              <w:top w:val="nil"/>
              <w:left w:val="nil"/>
              <w:bottom w:val="nil"/>
              <w:right w:val="nil"/>
            </w:tcBorders>
            <w:shd w:val="clear" w:color="auto" w:fill="auto"/>
            <w:noWrap/>
            <w:vAlign w:val="bottom"/>
            <w:hideMark/>
          </w:tcPr>
          <w:p w14:paraId="2F67217F"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-0.06</w:t>
            </w:r>
          </w:p>
        </w:tc>
      </w:tr>
      <w:tr w:rsidR="0075222A" w:rsidRPr="0051788B" w14:paraId="23264EAB" w14:textId="77777777" w:rsidTr="00D706E2">
        <w:trPr>
          <w:trHeight w:val="255"/>
        </w:trPr>
        <w:tc>
          <w:tcPr>
            <w:tcW w:w="1660" w:type="dxa"/>
            <w:tcBorders>
              <w:top w:val="nil"/>
              <w:left w:val="nil"/>
              <w:bottom w:val="single" w:sz="4" w:space="0" w:color="auto"/>
              <w:right w:val="nil"/>
            </w:tcBorders>
            <w:shd w:val="clear" w:color="auto" w:fill="auto"/>
            <w:noWrap/>
            <w:vAlign w:val="bottom"/>
            <w:hideMark/>
          </w:tcPr>
          <w:p w14:paraId="28107632" w14:textId="77777777" w:rsidR="0075222A" w:rsidRPr="0051788B" w:rsidRDefault="0075222A" w:rsidP="00D706E2">
            <w:pPr>
              <w:spacing w:after="0" w:line="240" w:lineRule="auto"/>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Road Buffer 100</w:t>
            </w:r>
          </w:p>
        </w:tc>
        <w:tc>
          <w:tcPr>
            <w:tcW w:w="1200" w:type="dxa"/>
            <w:tcBorders>
              <w:top w:val="nil"/>
              <w:left w:val="nil"/>
              <w:bottom w:val="single" w:sz="4" w:space="0" w:color="auto"/>
              <w:right w:val="nil"/>
            </w:tcBorders>
            <w:shd w:val="clear" w:color="auto" w:fill="auto"/>
            <w:noWrap/>
            <w:vAlign w:val="bottom"/>
            <w:hideMark/>
          </w:tcPr>
          <w:p w14:paraId="1A9334BB"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958857109</w:t>
            </w:r>
          </w:p>
        </w:tc>
        <w:tc>
          <w:tcPr>
            <w:tcW w:w="880" w:type="dxa"/>
            <w:tcBorders>
              <w:top w:val="nil"/>
              <w:left w:val="nil"/>
              <w:bottom w:val="single" w:sz="4" w:space="0" w:color="auto"/>
              <w:right w:val="nil"/>
            </w:tcBorders>
            <w:shd w:val="clear" w:color="auto" w:fill="auto"/>
            <w:noWrap/>
            <w:vAlign w:val="bottom"/>
            <w:hideMark/>
          </w:tcPr>
          <w:p w14:paraId="1C5AB83C"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38.6</w:t>
            </w:r>
          </w:p>
        </w:tc>
        <w:tc>
          <w:tcPr>
            <w:tcW w:w="1080" w:type="dxa"/>
            <w:tcBorders>
              <w:top w:val="nil"/>
              <w:left w:val="nil"/>
              <w:bottom w:val="single" w:sz="4" w:space="0" w:color="auto"/>
              <w:right w:val="nil"/>
            </w:tcBorders>
            <w:shd w:val="clear" w:color="auto" w:fill="auto"/>
            <w:noWrap/>
            <w:vAlign w:val="bottom"/>
            <w:hideMark/>
          </w:tcPr>
          <w:p w14:paraId="5F5AA884"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478.5</w:t>
            </w:r>
          </w:p>
        </w:tc>
        <w:tc>
          <w:tcPr>
            <w:tcW w:w="1020" w:type="dxa"/>
            <w:tcBorders>
              <w:top w:val="nil"/>
              <w:left w:val="nil"/>
              <w:bottom w:val="single" w:sz="4" w:space="0" w:color="auto"/>
              <w:right w:val="nil"/>
            </w:tcBorders>
            <w:shd w:val="clear" w:color="auto" w:fill="auto"/>
            <w:noWrap/>
            <w:vAlign w:val="bottom"/>
            <w:hideMark/>
          </w:tcPr>
          <w:p w14:paraId="33FFBE2C"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1381</w:t>
            </w:r>
          </w:p>
        </w:tc>
        <w:tc>
          <w:tcPr>
            <w:tcW w:w="820" w:type="dxa"/>
            <w:tcBorders>
              <w:top w:val="nil"/>
              <w:left w:val="nil"/>
              <w:bottom w:val="single" w:sz="4" w:space="0" w:color="auto"/>
              <w:right w:val="nil"/>
            </w:tcBorders>
            <w:shd w:val="clear" w:color="auto" w:fill="auto"/>
            <w:noWrap/>
            <w:vAlign w:val="bottom"/>
            <w:hideMark/>
          </w:tcPr>
          <w:p w14:paraId="752F7F3D"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34.6</w:t>
            </w:r>
          </w:p>
        </w:tc>
        <w:tc>
          <w:tcPr>
            <w:tcW w:w="760" w:type="dxa"/>
            <w:tcBorders>
              <w:top w:val="nil"/>
              <w:left w:val="nil"/>
              <w:bottom w:val="single" w:sz="4" w:space="0" w:color="auto"/>
              <w:right w:val="nil"/>
            </w:tcBorders>
            <w:shd w:val="clear" w:color="auto" w:fill="auto"/>
            <w:noWrap/>
            <w:vAlign w:val="bottom"/>
            <w:hideMark/>
          </w:tcPr>
          <w:p w14:paraId="3A313E86" w14:textId="77777777" w:rsidR="0075222A" w:rsidRPr="0051788B" w:rsidRDefault="0075222A" w:rsidP="00D706E2">
            <w:pPr>
              <w:spacing w:after="0" w:line="240" w:lineRule="auto"/>
              <w:jc w:val="center"/>
              <w:rPr>
                <w:rFonts w:ascii="Times New Roman" w:eastAsia="Times New Roman" w:hAnsi="Times New Roman" w:cs="Times New Roman"/>
                <w:sz w:val="20"/>
                <w:szCs w:val="20"/>
              </w:rPr>
            </w:pPr>
            <w:r w:rsidRPr="0051788B">
              <w:rPr>
                <w:rFonts w:ascii="Times New Roman" w:eastAsia="Times New Roman" w:hAnsi="Times New Roman" w:cs="Times New Roman"/>
                <w:sz w:val="20"/>
                <w:szCs w:val="20"/>
              </w:rPr>
              <w:t>411.7</w:t>
            </w:r>
          </w:p>
        </w:tc>
        <w:tc>
          <w:tcPr>
            <w:tcW w:w="880" w:type="dxa"/>
            <w:tcBorders>
              <w:top w:val="nil"/>
              <w:left w:val="nil"/>
              <w:bottom w:val="single" w:sz="4" w:space="0" w:color="auto"/>
              <w:right w:val="nil"/>
            </w:tcBorders>
            <w:shd w:val="clear" w:color="auto" w:fill="auto"/>
            <w:noWrap/>
            <w:vAlign w:val="bottom"/>
            <w:hideMark/>
          </w:tcPr>
          <w:p w14:paraId="0E385BCC"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-0.11</w:t>
            </w:r>
          </w:p>
        </w:tc>
      </w:tr>
      <w:tr w:rsidR="0075222A" w:rsidRPr="0051788B" w14:paraId="6DFF9CBB" w14:textId="77777777" w:rsidTr="00D706E2">
        <w:trPr>
          <w:trHeight w:val="255"/>
        </w:trPr>
        <w:tc>
          <w:tcPr>
            <w:tcW w:w="2860" w:type="dxa"/>
            <w:gridSpan w:val="2"/>
            <w:tcBorders>
              <w:top w:val="nil"/>
              <w:left w:val="nil"/>
              <w:bottom w:val="nil"/>
              <w:right w:val="nil"/>
            </w:tcBorders>
            <w:shd w:val="clear" w:color="auto" w:fill="auto"/>
            <w:noWrap/>
            <w:vAlign w:val="bottom"/>
            <w:hideMark/>
          </w:tcPr>
          <w:p w14:paraId="0FA4BA62" w14:textId="77777777" w:rsidR="0075222A" w:rsidRPr="0051788B" w:rsidRDefault="0075222A" w:rsidP="00D706E2">
            <w:pPr>
              <w:spacing w:after="0" w:line="240" w:lineRule="auto"/>
              <w:rPr>
                <w:rFonts w:ascii="Times New Roman" w:eastAsia="Times New Roman" w:hAnsi="Times New Roman" w:cs="Times New Roman"/>
                <w:color w:val="000000"/>
                <w:sz w:val="20"/>
                <w:szCs w:val="20"/>
              </w:rPr>
            </w:pPr>
            <w:proofErr w:type="spellStart"/>
            <w:proofErr w:type="gramStart"/>
            <w:r w:rsidRPr="0051788B">
              <w:rPr>
                <w:rFonts w:ascii="Times New Roman" w:eastAsia="Times New Roman" w:hAnsi="Times New Roman" w:cs="Times New Roman"/>
                <w:color w:val="000000"/>
                <w:sz w:val="20"/>
                <w:szCs w:val="20"/>
              </w:rPr>
              <w:t>df</w:t>
            </w:r>
            <w:proofErr w:type="spellEnd"/>
            <w:proofErr w:type="gramEnd"/>
            <w:r w:rsidRPr="0051788B">
              <w:rPr>
                <w:rFonts w:ascii="Times New Roman" w:eastAsia="Times New Roman" w:hAnsi="Times New Roman" w:cs="Times New Roman"/>
                <w:color w:val="000000"/>
                <w:sz w:val="20"/>
                <w:szCs w:val="20"/>
              </w:rPr>
              <w:t xml:space="preserve"> = 6, α = .05, sig of χ2 ≥ 12.59</w:t>
            </w:r>
          </w:p>
        </w:tc>
        <w:tc>
          <w:tcPr>
            <w:tcW w:w="880" w:type="dxa"/>
            <w:tcBorders>
              <w:top w:val="nil"/>
              <w:left w:val="nil"/>
              <w:bottom w:val="nil"/>
              <w:right w:val="nil"/>
            </w:tcBorders>
            <w:shd w:val="clear" w:color="auto" w:fill="auto"/>
            <w:noWrap/>
            <w:vAlign w:val="bottom"/>
            <w:hideMark/>
          </w:tcPr>
          <w:p w14:paraId="3D8F0749"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p>
        </w:tc>
        <w:tc>
          <w:tcPr>
            <w:tcW w:w="1080" w:type="dxa"/>
            <w:tcBorders>
              <w:top w:val="nil"/>
              <w:left w:val="nil"/>
              <w:bottom w:val="nil"/>
              <w:right w:val="nil"/>
            </w:tcBorders>
            <w:shd w:val="clear" w:color="auto" w:fill="auto"/>
            <w:noWrap/>
            <w:vAlign w:val="bottom"/>
            <w:hideMark/>
          </w:tcPr>
          <w:p w14:paraId="33175283"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bottom"/>
            <w:hideMark/>
          </w:tcPr>
          <w:p w14:paraId="20C54103"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p>
        </w:tc>
        <w:tc>
          <w:tcPr>
            <w:tcW w:w="820" w:type="dxa"/>
            <w:tcBorders>
              <w:top w:val="nil"/>
              <w:left w:val="nil"/>
              <w:bottom w:val="nil"/>
              <w:right w:val="nil"/>
            </w:tcBorders>
            <w:shd w:val="clear" w:color="auto" w:fill="auto"/>
            <w:noWrap/>
            <w:vAlign w:val="bottom"/>
            <w:hideMark/>
          </w:tcPr>
          <w:p w14:paraId="4A5BC643"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p>
        </w:tc>
        <w:tc>
          <w:tcPr>
            <w:tcW w:w="760" w:type="dxa"/>
            <w:tcBorders>
              <w:top w:val="nil"/>
              <w:left w:val="nil"/>
              <w:bottom w:val="nil"/>
              <w:right w:val="nil"/>
            </w:tcBorders>
            <w:shd w:val="clear" w:color="auto" w:fill="auto"/>
            <w:noWrap/>
            <w:vAlign w:val="bottom"/>
            <w:hideMark/>
          </w:tcPr>
          <w:p w14:paraId="3DD1DEB1" w14:textId="77777777" w:rsidR="0075222A" w:rsidRPr="0051788B" w:rsidRDefault="0075222A" w:rsidP="00D706E2">
            <w:pPr>
              <w:spacing w:after="0" w:line="240" w:lineRule="auto"/>
              <w:jc w:val="center"/>
              <w:rPr>
                <w:rFonts w:ascii="Times New Roman" w:eastAsia="Times New Roman" w:hAnsi="Times New Roman" w:cs="Times New Roman"/>
                <w:sz w:val="20"/>
                <w:szCs w:val="20"/>
              </w:rPr>
            </w:pPr>
          </w:p>
        </w:tc>
        <w:tc>
          <w:tcPr>
            <w:tcW w:w="880" w:type="dxa"/>
            <w:tcBorders>
              <w:top w:val="nil"/>
              <w:left w:val="nil"/>
              <w:bottom w:val="nil"/>
              <w:right w:val="nil"/>
            </w:tcBorders>
            <w:shd w:val="clear" w:color="auto" w:fill="auto"/>
            <w:noWrap/>
            <w:vAlign w:val="bottom"/>
            <w:hideMark/>
          </w:tcPr>
          <w:p w14:paraId="37590AC9"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p>
        </w:tc>
      </w:tr>
    </w:tbl>
    <w:p w14:paraId="022C985D" w14:textId="77777777" w:rsidR="0075222A" w:rsidRDefault="0075222A" w:rsidP="0075222A">
      <w:pPr>
        <w:spacing w:line="480" w:lineRule="auto"/>
        <w:rPr>
          <w:rFonts w:ascii="Times New Roman" w:hAnsi="Times New Roman" w:cs="Times New Roman"/>
          <w:sz w:val="24"/>
          <w:szCs w:val="24"/>
        </w:rPr>
      </w:pPr>
    </w:p>
    <w:p w14:paraId="03DDE6F4" w14:textId="77777777" w:rsidR="0075222A" w:rsidRPr="00007D2A" w:rsidRDefault="0075222A" w:rsidP="0075222A">
      <w:pPr>
        <w:spacing w:line="240" w:lineRule="auto"/>
        <w:rPr>
          <w:rFonts w:ascii="Times New Roman" w:hAnsi="Times New Roman" w:cs="Times New Roman"/>
        </w:rPr>
      </w:pPr>
      <w:r w:rsidRPr="00007D2A">
        <w:rPr>
          <w:rFonts w:ascii="Times New Roman" w:hAnsi="Times New Roman" w:cs="Times New Roman"/>
          <w:b/>
        </w:rPr>
        <w:t>Table 6.2.</w:t>
      </w:r>
      <w:r w:rsidRPr="00007D2A">
        <w:rPr>
          <w:rFonts w:ascii="Times New Roman" w:hAnsi="Times New Roman" w:cs="Times New Roman"/>
        </w:rPr>
        <w:t xml:space="preserve">  An Example of the Buffering Strategy and Statistical Evaluation for the Road Variable using only Historic Archaeological Sites.</w:t>
      </w:r>
    </w:p>
    <w:tbl>
      <w:tblPr>
        <w:tblW w:w="8300" w:type="dxa"/>
        <w:tblInd w:w="93" w:type="dxa"/>
        <w:tblLook w:val="04A0" w:firstRow="1" w:lastRow="0" w:firstColumn="1" w:lastColumn="0" w:noHBand="0" w:noVBand="1"/>
      </w:tblPr>
      <w:tblGrid>
        <w:gridCol w:w="1660"/>
        <w:gridCol w:w="1200"/>
        <w:gridCol w:w="880"/>
        <w:gridCol w:w="1080"/>
        <w:gridCol w:w="1020"/>
        <w:gridCol w:w="820"/>
        <w:gridCol w:w="760"/>
        <w:gridCol w:w="880"/>
      </w:tblGrid>
      <w:tr w:rsidR="0075222A" w:rsidRPr="0051788B" w14:paraId="011FE896" w14:textId="77777777" w:rsidTr="00D706E2">
        <w:trPr>
          <w:trHeight w:val="315"/>
        </w:trPr>
        <w:tc>
          <w:tcPr>
            <w:tcW w:w="1660" w:type="dxa"/>
            <w:tcBorders>
              <w:top w:val="single" w:sz="4" w:space="0" w:color="auto"/>
              <w:left w:val="nil"/>
              <w:bottom w:val="single" w:sz="4" w:space="0" w:color="auto"/>
              <w:right w:val="nil"/>
            </w:tcBorders>
            <w:shd w:val="clear" w:color="auto" w:fill="auto"/>
            <w:noWrap/>
            <w:vAlign w:val="bottom"/>
            <w:hideMark/>
          </w:tcPr>
          <w:p w14:paraId="72F1D6D6" w14:textId="77777777" w:rsidR="0075222A" w:rsidRPr="0051788B" w:rsidRDefault="0075222A" w:rsidP="00D706E2">
            <w:pPr>
              <w:spacing w:after="0" w:line="240" w:lineRule="auto"/>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Variable</w:t>
            </w:r>
          </w:p>
        </w:tc>
        <w:tc>
          <w:tcPr>
            <w:tcW w:w="1200" w:type="dxa"/>
            <w:tcBorders>
              <w:top w:val="single" w:sz="4" w:space="0" w:color="auto"/>
              <w:left w:val="nil"/>
              <w:bottom w:val="single" w:sz="4" w:space="0" w:color="auto"/>
              <w:right w:val="nil"/>
            </w:tcBorders>
            <w:shd w:val="clear" w:color="auto" w:fill="auto"/>
            <w:noWrap/>
            <w:vAlign w:val="bottom"/>
            <w:hideMark/>
          </w:tcPr>
          <w:p w14:paraId="42CBC96B"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Area (m</w:t>
            </w:r>
            <w:r w:rsidRPr="0051788B">
              <w:rPr>
                <w:rFonts w:ascii="Times New Roman" w:eastAsia="Times New Roman" w:hAnsi="Times New Roman" w:cs="Times New Roman"/>
                <w:color w:val="000000"/>
                <w:sz w:val="20"/>
                <w:szCs w:val="20"/>
                <w:vertAlign w:val="superscript"/>
              </w:rPr>
              <w:t>2</w:t>
            </w:r>
            <w:r w:rsidRPr="0051788B">
              <w:rPr>
                <w:rFonts w:ascii="Times New Roman" w:eastAsia="Times New Roman" w:hAnsi="Times New Roman" w:cs="Times New Roman"/>
                <w:color w:val="000000"/>
                <w:sz w:val="20"/>
                <w:szCs w:val="20"/>
              </w:rPr>
              <w:t>)</w:t>
            </w:r>
          </w:p>
        </w:tc>
        <w:tc>
          <w:tcPr>
            <w:tcW w:w="880" w:type="dxa"/>
            <w:tcBorders>
              <w:top w:val="single" w:sz="4" w:space="0" w:color="auto"/>
              <w:left w:val="nil"/>
              <w:bottom w:val="single" w:sz="4" w:space="0" w:color="auto"/>
              <w:right w:val="nil"/>
            </w:tcBorders>
            <w:shd w:val="clear" w:color="auto" w:fill="auto"/>
            <w:noWrap/>
            <w:vAlign w:val="bottom"/>
            <w:hideMark/>
          </w:tcPr>
          <w:p w14:paraId="1EFAD7FA"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 xml:space="preserve">% </w:t>
            </w:r>
            <w:proofErr w:type="gramStart"/>
            <w:r w:rsidRPr="0051788B">
              <w:rPr>
                <w:rFonts w:ascii="Times New Roman" w:eastAsia="Times New Roman" w:hAnsi="Times New Roman" w:cs="Times New Roman"/>
                <w:color w:val="000000"/>
                <w:sz w:val="20"/>
                <w:szCs w:val="20"/>
              </w:rPr>
              <w:t>of</w:t>
            </w:r>
            <w:proofErr w:type="gramEnd"/>
            <w:r w:rsidRPr="0051788B">
              <w:rPr>
                <w:rFonts w:ascii="Times New Roman" w:eastAsia="Times New Roman" w:hAnsi="Times New Roman" w:cs="Times New Roman"/>
                <w:color w:val="000000"/>
                <w:sz w:val="20"/>
                <w:szCs w:val="20"/>
              </w:rPr>
              <w:t xml:space="preserve"> Area</w:t>
            </w:r>
          </w:p>
        </w:tc>
        <w:tc>
          <w:tcPr>
            <w:tcW w:w="1080" w:type="dxa"/>
            <w:tcBorders>
              <w:top w:val="single" w:sz="4" w:space="0" w:color="auto"/>
              <w:left w:val="nil"/>
              <w:bottom w:val="single" w:sz="4" w:space="0" w:color="auto"/>
              <w:right w:val="nil"/>
            </w:tcBorders>
            <w:shd w:val="clear" w:color="auto" w:fill="auto"/>
            <w:noWrap/>
            <w:vAlign w:val="bottom"/>
            <w:hideMark/>
          </w:tcPr>
          <w:p w14:paraId="183C5DF3"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Expected Sites</w:t>
            </w:r>
          </w:p>
        </w:tc>
        <w:tc>
          <w:tcPr>
            <w:tcW w:w="1020" w:type="dxa"/>
            <w:tcBorders>
              <w:top w:val="single" w:sz="4" w:space="0" w:color="auto"/>
              <w:left w:val="nil"/>
              <w:bottom w:val="single" w:sz="4" w:space="0" w:color="auto"/>
              <w:right w:val="nil"/>
            </w:tcBorders>
            <w:shd w:val="clear" w:color="auto" w:fill="auto"/>
            <w:noWrap/>
            <w:vAlign w:val="bottom"/>
            <w:hideMark/>
          </w:tcPr>
          <w:p w14:paraId="5EECFBBB"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Observed Sites</w:t>
            </w:r>
          </w:p>
        </w:tc>
        <w:tc>
          <w:tcPr>
            <w:tcW w:w="820" w:type="dxa"/>
            <w:tcBorders>
              <w:top w:val="single" w:sz="4" w:space="0" w:color="auto"/>
              <w:left w:val="nil"/>
              <w:bottom w:val="single" w:sz="4" w:space="0" w:color="auto"/>
              <w:right w:val="nil"/>
            </w:tcBorders>
            <w:shd w:val="clear" w:color="auto" w:fill="auto"/>
            <w:noWrap/>
            <w:vAlign w:val="bottom"/>
            <w:hideMark/>
          </w:tcPr>
          <w:p w14:paraId="44822793"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 Sites</w:t>
            </w:r>
          </w:p>
        </w:tc>
        <w:tc>
          <w:tcPr>
            <w:tcW w:w="760" w:type="dxa"/>
            <w:tcBorders>
              <w:top w:val="single" w:sz="4" w:space="0" w:color="auto"/>
              <w:left w:val="nil"/>
              <w:bottom w:val="single" w:sz="4" w:space="0" w:color="auto"/>
              <w:right w:val="nil"/>
            </w:tcBorders>
            <w:shd w:val="clear" w:color="auto" w:fill="auto"/>
            <w:noWrap/>
            <w:vAlign w:val="bottom"/>
            <w:hideMark/>
          </w:tcPr>
          <w:p w14:paraId="503508CB"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χ2</w:t>
            </w:r>
          </w:p>
        </w:tc>
        <w:tc>
          <w:tcPr>
            <w:tcW w:w="880" w:type="dxa"/>
            <w:tcBorders>
              <w:top w:val="single" w:sz="4" w:space="0" w:color="auto"/>
              <w:left w:val="nil"/>
              <w:bottom w:val="single" w:sz="4" w:space="0" w:color="auto"/>
              <w:right w:val="nil"/>
            </w:tcBorders>
            <w:shd w:val="clear" w:color="auto" w:fill="auto"/>
            <w:noWrap/>
            <w:vAlign w:val="bottom"/>
            <w:hideMark/>
          </w:tcPr>
          <w:p w14:paraId="1D9F3E26"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Gain</w:t>
            </w:r>
          </w:p>
        </w:tc>
      </w:tr>
      <w:tr w:rsidR="0075222A" w:rsidRPr="0051788B" w14:paraId="4CFFED38" w14:textId="77777777" w:rsidTr="00D706E2">
        <w:trPr>
          <w:trHeight w:val="255"/>
        </w:trPr>
        <w:tc>
          <w:tcPr>
            <w:tcW w:w="1660" w:type="dxa"/>
            <w:tcBorders>
              <w:top w:val="nil"/>
              <w:left w:val="nil"/>
              <w:bottom w:val="nil"/>
              <w:right w:val="nil"/>
            </w:tcBorders>
            <w:shd w:val="clear" w:color="auto" w:fill="auto"/>
            <w:noWrap/>
            <w:vAlign w:val="bottom"/>
            <w:hideMark/>
          </w:tcPr>
          <w:p w14:paraId="402A7F7C" w14:textId="77777777" w:rsidR="0075222A" w:rsidRPr="0051788B" w:rsidRDefault="0075222A" w:rsidP="00D706E2">
            <w:pPr>
              <w:spacing w:after="0" w:line="240" w:lineRule="auto"/>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Road Buffer 20</w:t>
            </w:r>
          </w:p>
        </w:tc>
        <w:tc>
          <w:tcPr>
            <w:tcW w:w="1200" w:type="dxa"/>
            <w:tcBorders>
              <w:top w:val="nil"/>
              <w:left w:val="nil"/>
              <w:bottom w:val="nil"/>
              <w:right w:val="nil"/>
            </w:tcBorders>
            <w:shd w:val="clear" w:color="auto" w:fill="auto"/>
            <w:noWrap/>
            <w:vAlign w:val="bottom"/>
            <w:hideMark/>
          </w:tcPr>
          <w:p w14:paraId="39698C58"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209527498</w:t>
            </w:r>
          </w:p>
        </w:tc>
        <w:tc>
          <w:tcPr>
            <w:tcW w:w="880" w:type="dxa"/>
            <w:tcBorders>
              <w:top w:val="nil"/>
              <w:left w:val="nil"/>
              <w:bottom w:val="nil"/>
              <w:right w:val="nil"/>
            </w:tcBorders>
            <w:shd w:val="clear" w:color="auto" w:fill="auto"/>
            <w:noWrap/>
            <w:vAlign w:val="bottom"/>
            <w:hideMark/>
          </w:tcPr>
          <w:p w14:paraId="2139D82C"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8.4</w:t>
            </w:r>
          </w:p>
        </w:tc>
        <w:tc>
          <w:tcPr>
            <w:tcW w:w="1080" w:type="dxa"/>
            <w:tcBorders>
              <w:top w:val="nil"/>
              <w:left w:val="nil"/>
              <w:bottom w:val="nil"/>
              <w:right w:val="nil"/>
            </w:tcBorders>
            <w:shd w:val="clear" w:color="auto" w:fill="auto"/>
            <w:noWrap/>
            <w:vAlign w:val="bottom"/>
            <w:hideMark/>
          </w:tcPr>
          <w:p w14:paraId="4326DF69"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2.5</w:t>
            </w:r>
          </w:p>
        </w:tc>
        <w:tc>
          <w:tcPr>
            <w:tcW w:w="1020" w:type="dxa"/>
            <w:tcBorders>
              <w:top w:val="nil"/>
              <w:left w:val="nil"/>
              <w:bottom w:val="nil"/>
              <w:right w:val="nil"/>
            </w:tcBorders>
            <w:shd w:val="clear" w:color="auto" w:fill="auto"/>
            <w:noWrap/>
            <w:vAlign w:val="bottom"/>
            <w:hideMark/>
          </w:tcPr>
          <w:p w14:paraId="4555874D"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99</w:t>
            </w:r>
          </w:p>
        </w:tc>
        <w:tc>
          <w:tcPr>
            <w:tcW w:w="820" w:type="dxa"/>
            <w:tcBorders>
              <w:top w:val="nil"/>
              <w:left w:val="nil"/>
              <w:bottom w:val="nil"/>
              <w:right w:val="nil"/>
            </w:tcBorders>
            <w:shd w:val="clear" w:color="auto" w:fill="auto"/>
            <w:noWrap/>
            <w:vAlign w:val="bottom"/>
            <w:hideMark/>
          </w:tcPr>
          <w:p w14:paraId="7D346BBC"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2.5</w:t>
            </w:r>
          </w:p>
        </w:tc>
        <w:tc>
          <w:tcPr>
            <w:tcW w:w="760" w:type="dxa"/>
            <w:tcBorders>
              <w:top w:val="nil"/>
              <w:left w:val="nil"/>
              <w:bottom w:val="nil"/>
              <w:right w:val="nil"/>
            </w:tcBorders>
            <w:shd w:val="clear" w:color="auto" w:fill="auto"/>
            <w:noWrap/>
            <w:vAlign w:val="bottom"/>
            <w:hideMark/>
          </w:tcPr>
          <w:p w14:paraId="5F161889" w14:textId="77777777" w:rsidR="0075222A" w:rsidRPr="0051788B" w:rsidRDefault="0075222A" w:rsidP="00D706E2">
            <w:pPr>
              <w:spacing w:after="0" w:line="240" w:lineRule="auto"/>
              <w:jc w:val="center"/>
              <w:rPr>
                <w:rFonts w:ascii="Times New Roman" w:eastAsia="Times New Roman" w:hAnsi="Times New Roman" w:cs="Times New Roman"/>
                <w:sz w:val="20"/>
                <w:szCs w:val="20"/>
              </w:rPr>
            </w:pPr>
            <w:r w:rsidRPr="0051788B">
              <w:rPr>
                <w:rFonts w:ascii="Times New Roman" w:eastAsia="Times New Roman" w:hAnsi="Times New Roman" w:cs="Times New Roman"/>
                <w:sz w:val="20"/>
                <w:szCs w:val="20"/>
              </w:rPr>
              <w:t>0.0</w:t>
            </w:r>
          </w:p>
        </w:tc>
        <w:tc>
          <w:tcPr>
            <w:tcW w:w="880" w:type="dxa"/>
            <w:tcBorders>
              <w:top w:val="nil"/>
              <w:left w:val="nil"/>
              <w:bottom w:val="nil"/>
              <w:right w:val="nil"/>
            </w:tcBorders>
            <w:shd w:val="clear" w:color="auto" w:fill="auto"/>
            <w:noWrap/>
            <w:vAlign w:val="bottom"/>
            <w:hideMark/>
          </w:tcPr>
          <w:p w14:paraId="6DB828BE"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-2.39</w:t>
            </w:r>
          </w:p>
        </w:tc>
      </w:tr>
      <w:tr w:rsidR="0075222A" w:rsidRPr="0051788B" w14:paraId="44991B10" w14:textId="77777777" w:rsidTr="00D706E2">
        <w:trPr>
          <w:trHeight w:val="255"/>
        </w:trPr>
        <w:tc>
          <w:tcPr>
            <w:tcW w:w="1660" w:type="dxa"/>
            <w:tcBorders>
              <w:top w:val="nil"/>
              <w:left w:val="nil"/>
              <w:bottom w:val="nil"/>
              <w:right w:val="nil"/>
            </w:tcBorders>
            <w:shd w:val="clear" w:color="auto" w:fill="auto"/>
            <w:noWrap/>
            <w:vAlign w:val="bottom"/>
            <w:hideMark/>
          </w:tcPr>
          <w:p w14:paraId="113C6246" w14:textId="77777777" w:rsidR="0075222A" w:rsidRPr="0051788B" w:rsidRDefault="0075222A" w:rsidP="00D706E2">
            <w:pPr>
              <w:spacing w:after="0" w:line="240" w:lineRule="auto"/>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Road Buffer 30</w:t>
            </w:r>
          </w:p>
        </w:tc>
        <w:tc>
          <w:tcPr>
            <w:tcW w:w="1200" w:type="dxa"/>
            <w:tcBorders>
              <w:top w:val="nil"/>
              <w:left w:val="nil"/>
              <w:bottom w:val="nil"/>
              <w:right w:val="nil"/>
            </w:tcBorders>
            <w:shd w:val="clear" w:color="auto" w:fill="auto"/>
            <w:noWrap/>
            <w:vAlign w:val="bottom"/>
            <w:hideMark/>
          </w:tcPr>
          <w:p w14:paraId="5492E49B"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311049157</w:t>
            </w:r>
          </w:p>
        </w:tc>
        <w:tc>
          <w:tcPr>
            <w:tcW w:w="880" w:type="dxa"/>
            <w:tcBorders>
              <w:top w:val="nil"/>
              <w:left w:val="nil"/>
              <w:bottom w:val="nil"/>
              <w:right w:val="nil"/>
            </w:tcBorders>
            <w:shd w:val="clear" w:color="auto" w:fill="auto"/>
            <w:noWrap/>
            <w:vAlign w:val="bottom"/>
            <w:hideMark/>
          </w:tcPr>
          <w:p w14:paraId="2258EB99"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12.5</w:t>
            </w:r>
          </w:p>
        </w:tc>
        <w:tc>
          <w:tcPr>
            <w:tcW w:w="1080" w:type="dxa"/>
            <w:tcBorders>
              <w:top w:val="nil"/>
              <w:left w:val="nil"/>
              <w:bottom w:val="nil"/>
              <w:right w:val="nil"/>
            </w:tcBorders>
            <w:shd w:val="clear" w:color="auto" w:fill="auto"/>
            <w:noWrap/>
            <w:vAlign w:val="bottom"/>
            <w:hideMark/>
          </w:tcPr>
          <w:p w14:paraId="48530587"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2.5</w:t>
            </w:r>
          </w:p>
        </w:tc>
        <w:tc>
          <w:tcPr>
            <w:tcW w:w="1020" w:type="dxa"/>
            <w:tcBorders>
              <w:top w:val="nil"/>
              <w:left w:val="nil"/>
              <w:bottom w:val="nil"/>
              <w:right w:val="nil"/>
            </w:tcBorders>
            <w:shd w:val="clear" w:color="auto" w:fill="auto"/>
            <w:noWrap/>
            <w:vAlign w:val="bottom"/>
            <w:hideMark/>
          </w:tcPr>
          <w:p w14:paraId="3407E7AE"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99</w:t>
            </w:r>
          </w:p>
        </w:tc>
        <w:tc>
          <w:tcPr>
            <w:tcW w:w="820" w:type="dxa"/>
            <w:tcBorders>
              <w:top w:val="nil"/>
              <w:left w:val="nil"/>
              <w:bottom w:val="nil"/>
              <w:right w:val="nil"/>
            </w:tcBorders>
            <w:shd w:val="clear" w:color="auto" w:fill="auto"/>
            <w:noWrap/>
            <w:vAlign w:val="bottom"/>
            <w:hideMark/>
          </w:tcPr>
          <w:p w14:paraId="2E4FDDAC"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2.5</w:t>
            </w:r>
          </w:p>
        </w:tc>
        <w:tc>
          <w:tcPr>
            <w:tcW w:w="760" w:type="dxa"/>
            <w:tcBorders>
              <w:top w:val="nil"/>
              <w:left w:val="nil"/>
              <w:bottom w:val="nil"/>
              <w:right w:val="nil"/>
            </w:tcBorders>
            <w:shd w:val="clear" w:color="auto" w:fill="auto"/>
            <w:noWrap/>
            <w:vAlign w:val="bottom"/>
            <w:hideMark/>
          </w:tcPr>
          <w:p w14:paraId="48F7D2B2" w14:textId="77777777" w:rsidR="0075222A" w:rsidRPr="0051788B" w:rsidRDefault="0075222A" w:rsidP="00D706E2">
            <w:pPr>
              <w:spacing w:after="0" w:line="240" w:lineRule="auto"/>
              <w:jc w:val="center"/>
              <w:rPr>
                <w:rFonts w:ascii="Times New Roman" w:eastAsia="Times New Roman" w:hAnsi="Times New Roman" w:cs="Times New Roman"/>
                <w:sz w:val="20"/>
                <w:szCs w:val="20"/>
              </w:rPr>
            </w:pPr>
            <w:r w:rsidRPr="0051788B">
              <w:rPr>
                <w:rFonts w:ascii="Times New Roman" w:eastAsia="Times New Roman" w:hAnsi="Times New Roman" w:cs="Times New Roman"/>
                <w:sz w:val="20"/>
                <w:szCs w:val="20"/>
              </w:rPr>
              <w:t>0.0</w:t>
            </w:r>
          </w:p>
        </w:tc>
        <w:tc>
          <w:tcPr>
            <w:tcW w:w="880" w:type="dxa"/>
            <w:tcBorders>
              <w:top w:val="nil"/>
              <w:left w:val="nil"/>
              <w:bottom w:val="nil"/>
              <w:right w:val="nil"/>
            </w:tcBorders>
            <w:shd w:val="clear" w:color="auto" w:fill="auto"/>
            <w:noWrap/>
            <w:vAlign w:val="bottom"/>
            <w:hideMark/>
          </w:tcPr>
          <w:p w14:paraId="665ACDE1"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-4.04</w:t>
            </w:r>
          </w:p>
        </w:tc>
      </w:tr>
      <w:tr w:rsidR="0075222A" w:rsidRPr="0051788B" w14:paraId="33601788" w14:textId="77777777" w:rsidTr="00D706E2">
        <w:trPr>
          <w:trHeight w:val="255"/>
        </w:trPr>
        <w:tc>
          <w:tcPr>
            <w:tcW w:w="1660" w:type="dxa"/>
            <w:tcBorders>
              <w:top w:val="nil"/>
              <w:left w:val="nil"/>
              <w:bottom w:val="nil"/>
              <w:right w:val="nil"/>
            </w:tcBorders>
            <w:shd w:val="clear" w:color="auto" w:fill="auto"/>
            <w:noWrap/>
            <w:vAlign w:val="bottom"/>
            <w:hideMark/>
          </w:tcPr>
          <w:p w14:paraId="40B004FC" w14:textId="77777777" w:rsidR="0075222A" w:rsidRPr="0051788B" w:rsidRDefault="0075222A" w:rsidP="00D706E2">
            <w:pPr>
              <w:spacing w:after="0" w:line="240" w:lineRule="auto"/>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Road Buffer 40</w:t>
            </w:r>
          </w:p>
        </w:tc>
        <w:tc>
          <w:tcPr>
            <w:tcW w:w="1200" w:type="dxa"/>
            <w:tcBorders>
              <w:top w:val="nil"/>
              <w:left w:val="nil"/>
              <w:bottom w:val="nil"/>
              <w:right w:val="nil"/>
            </w:tcBorders>
            <w:shd w:val="clear" w:color="auto" w:fill="auto"/>
            <w:noWrap/>
            <w:vAlign w:val="bottom"/>
            <w:hideMark/>
          </w:tcPr>
          <w:p w14:paraId="3BBC1F06"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410318406</w:t>
            </w:r>
          </w:p>
        </w:tc>
        <w:tc>
          <w:tcPr>
            <w:tcW w:w="880" w:type="dxa"/>
            <w:tcBorders>
              <w:top w:val="nil"/>
              <w:left w:val="nil"/>
              <w:bottom w:val="nil"/>
              <w:right w:val="nil"/>
            </w:tcBorders>
            <w:shd w:val="clear" w:color="auto" w:fill="auto"/>
            <w:noWrap/>
            <w:vAlign w:val="bottom"/>
            <w:hideMark/>
          </w:tcPr>
          <w:p w14:paraId="3AFEFD1A"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16.5</w:t>
            </w:r>
          </w:p>
        </w:tc>
        <w:tc>
          <w:tcPr>
            <w:tcW w:w="1080" w:type="dxa"/>
            <w:tcBorders>
              <w:top w:val="nil"/>
              <w:left w:val="nil"/>
              <w:bottom w:val="nil"/>
              <w:right w:val="nil"/>
            </w:tcBorders>
            <w:shd w:val="clear" w:color="auto" w:fill="auto"/>
            <w:noWrap/>
            <w:vAlign w:val="bottom"/>
            <w:hideMark/>
          </w:tcPr>
          <w:p w14:paraId="634092B4"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2.5</w:t>
            </w:r>
          </w:p>
        </w:tc>
        <w:tc>
          <w:tcPr>
            <w:tcW w:w="1020" w:type="dxa"/>
            <w:tcBorders>
              <w:top w:val="nil"/>
              <w:left w:val="nil"/>
              <w:bottom w:val="nil"/>
              <w:right w:val="nil"/>
            </w:tcBorders>
            <w:shd w:val="clear" w:color="auto" w:fill="auto"/>
            <w:noWrap/>
            <w:vAlign w:val="bottom"/>
            <w:hideMark/>
          </w:tcPr>
          <w:p w14:paraId="3F48EF70"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99</w:t>
            </w:r>
          </w:p>
        </w:tc>
        <w:tc>
          <w:tcPr>
            <w:tcW w:w="820" w:type="dxa"/>
            <w:tcBorders>
              <w:top w:val="nil"/>
              <w:left w:val="nil"/>
              <w:bottom w:val="nil"/>
              <w:right w:val="nil"/>
            </w:tcBorders>
            <w:shd w:val="clear" w:color="auto" w:fill="auto"/>
            <w:noWrap/>
            <w:vAlign w:val="bottom"/>
            <w:hideMark/>
          </w:tcPr>
          <w:p w14:paraId="6C1672AD"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2.5</w:t>
            </w:r>
          </w:p>
        </w:tc>
        <w:tc>
          <w:tcPr>
            <w:tcW w:w="760" w:type="dxa"/>
            <w:tcBorders>
              <w:top w:val="nil"/>
              <w:left w:val="nil"/>
              <w:bottom w:val="nil"/>
              <w:right w:val="nil"/>
            </w:tcBorders>
            <w:shd w:val="clear" w:color="auto" w:fill="auto"/>
            <w:noWrap/>
            <w:vAlign w:val="bottom"/>
            <w:hideMark/>
          </w:tcPr>
          <w:p w14:paraId="343A52A1" w14:textId="77777777" w:rsidR="0075222A" w:rsidRPr="0051788B" w:rsidRDefault="0075222A" w:rsidP="00D706E2">
            <w:pPr>
              <w:spacing w:after="0" w:line="240" w:lineRule="auto"/>
              <w:jc w:val="center"/>
              <w:rPr>
                <w:rFonts w:ascii="Times New Roman" w:eastAsia="Times New Roman" w:hAnsi="Times New Roman" w:cs="Times New Roman"/>
                <w:sz w:val="20"/>
                <w:szCs w:val="20"/>
              </w:rPr>
            </w:pPr>
            <w:r w:rsidRPr="0051788B">
              <w:rPr>
                <w:rFonts w:ascii="Times New Roman" w:eastAsia="Times New Roman" w:hAnsi="Times New Roman" w:cs="Times New Roman"/>
                <w:sz w:val="20"/>
                <w:szCs w:val="20"/>
              </w:rPr>
              <w:t>0.0</w:t>
            </w:r>
          </w:p>
        </w:tc>
        <w:tc>
          <w:tcPr>
            <w:tcW w:w="880" w:type="dxa"/>
            <w:tcBorders>
              <w:top w:val="nil"/>
              <w:left w:val="nil"/>
              <w:bottom w:val="nil"/>
              <w:right w:val="nil"/>
            </w:tcBorders>
            <w:shd w:val="clear" w:color="auto" w:fill="auto"/>
            <w:noWrap/>
            <w:vAlign w:val="bottom"/>
            <w:hideMark/>
          </w:tcPr>
          <w:p w14:paraId="3C80C706"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-5.64</w:t>
            </w:r>
          </w:p>
        </w:tc>
      </w:tr>
      <w:tr w:rsidR="0075222A" w:rsidRPr="0051788B" w14:paraId="08E811AA" w14:textId="77777777" w:rsidTr="00D706E2">
        <w:trPr>
          <w:trHeight w:val="255"/>
        </w:trPr>
        <w:tc>
          <w:tcPr>
            <w:tcW w:w="1660" w:type="dxa"/>
            <w:tcBorders>
              <w:top w:val="nil"/>
              <w:left w:val="nil"/>
              <w:bottom w:val="nil"/>
              <w:right w:val="nil"/>
            </w:tcBorders>
            <w:shd w:val="clear" w:color="auto" w:fill="auto"/>
            <w:noWrap/>
            <w:vAlign w:val="bottom"/>
            <w:hideMark/>
          </w:tcPr>
          <w:p w14:paraId="08739AE5" w14:textId="77777777" w:rsidR="0075222A" w:rsidRPr="0051788B" w:rsidRDefault="0075222A" w:rsidP="00D706E2">
            <w:pPr>
              <w:spacing w:after="0" w:line="240" w:lineRule="auto"/>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Road Buffer 50</w:t>
            </w:r>
          </w:p>
        </w:tc>
        <w:tc>
          <w:tcPr>
            <w:tcW w:w="1200" w:type="dxa"/>
            <w:tcBorders>
              <w:top w:val="nil"/>
              <w:left w:val="nil"/>
              <w:bottom w:val="nil"/>
              <w:right w:val="nil"/>
            </w:tcBorders>
            <w:shd w:val="clear" w:color="auto" w:fill="auto"/>
            <w:noWrap/>
            <w:vAlign w:val="bottom"/>
            <w:hideMark/>
          </w:tcPr>
          <w:p w14:paraId="5609F88A"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507419340</w:t>
            </w:r>
          </w:p>
        </w:tc>
        <w:tc>
          <w:tcPr>
            <w:tcW w:w="880" w:type="dxa"/>
            <w:tcBorders>
              <w:top w:val="nil"/>
              <w:left w:val="nil"/>
              <w:bottom w:val="nil"/>
              <w:right w:val="nil"/>
            </w:tcBorders>
            <w:shd w:val="clear" w:color="auto" w:fill="auto"/>
            <w:noWrap/>
            <w:vAlign w:val="bottom"/>
            <w:hideMark/>
          </w:tcPr>
          <w:p w14:paraId="5790AC8F"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20.4</w:t>
            </w:r>
          </w:p>
        </w:tc>
        <w:tc>
          <w:tcPr>
            <w:tcW w:w="1080" w:type="dxa"/>
            <w:tcBorders>
              <w:top w:val="nil"/>
              <w:left w:val="nil"/>
              <w:bottom w:val="nil"/>
              <w:right w:val="nil"/>
            </w:tcBorders>
            <w:shd w:val="clear" w:color="auto" w:fill="auto"/>
            <w:noWrap/>
            <w:vAlign w:val="bottom"/>
            <w:hideMark/>
          </w:tcPr>
          <w:p w14:paraId="6438CF66"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2.5</w:t>
            </w:r>
          </w:p>
        </w:tc>
        <w:tc>
          <w:tcPr>
            <w:tcW w:w="1020" w:type="dxa"/>
            <w:tcBorders>
              <w:top w:val="nil"/>
              <w:left w:val="nil"/>
              <w:bottom w:val="nil"/>
              <w:right w:val="nil"/>
            </w:tcBorders>
            <w:shd w:val="clear" w:color="auto" w:fill="auto"/>
            <w:noWrap/>
            <w:vAlign w:val="bottom"/>
            <w:hideMark/>
          </w:tcPr>
          <w:p w14:paraId="72797A02"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99</w:t>
            </w:r>
          </w:p>
        </w:tc>
        <w:tc>
          <w:tcPr>
            <w:tcW w:w="820" w:type="dxa"/>
            <w:tcBorders>
              <w:top w:val="nil"/>
              <w:left w:val="nil"/>
              <w:bottom w:val="nil"/>
              <w:right w:val="nil"/>
            </w:tcBorders>
            <w:shd w:val="clear" w:color="auto" w:fill="auto"/>
            <w:noWrap/>
            <w:vAlign w:val="bottom"/>
            <w:hideMark/>
          </w:tcPr>
          <w:p w14:paraId="394A8587"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2.5</w:t>
            </w:r>
          </w:p>
        </w:tc>
        <w:tc>
          <w:tcPr>
            <w:tcW w:w="760" w:type="dxa"/>
            <w:tcBorders>
              <w:top w:val="nil"/>
              <w:left w:val="nil"/>
              <w:bottom w:val="nil"/>
              <w:right w:val="nil"/>
            </w:tcBorders>
            <w:shd w:val="clear" w:color="auto" w:fill="auto"/>
            <w:noWrap/>
            <w:vAlign w:val="bottom"/>
            <w:hideMark/>
          </w:tcPr>
          <w:p w14:paraId="7AF16DF9" w14:textId="77777777" w:rsidR="0075222A" w:rsidRPr="0051788B" w:rsidRDefault="0075222A" w:rsidP="00D706E2">
            <w:pPr>
              <w:spacing w:after="0" w:line="240" w:lineRule="auto"/>
              <w:jc w:val="center"/>
              <w:rPr>
                <w:rFonts w:ascii="Times New Roman" w:eastAsia="Times New Roman" w:hAnsi="Times New Roman" w:cs="Times New Roman"/>
                <w:sz w:val="20"/>
                <w:szCs w:val="20"/>
              </w:rPr>
            </w:pPr>
            <w:r w:rsidRPr="0051788B">
              <w:rPr>
                <w:rFonts w:ascii="Times New Roman" w:eastAsia="Times New Roman" w:hAnsi="Times New Roman" w:cs="Times New Roman"/>
                <w:sz w:val="20"/>
                <w:szCs w:val="20"/>
              </w:rPr>
              <w:t>0.0</w:t>
            </w:r>
          </w:p>
        </w:tc>
        <w:tc>
          <w:tcPr>
            <w:tcW w:w="880" w:type="dxa"/>
            <w:tcBorders>
              <w:top w:val="nil"/>
              <w:left w:val="nil"/>
              <w:bottom w:val="nil"/>
              <w:right w:val="nil"/>
            </w:tcBorders>
            <w:shd w:val="clear" w:color="auto" w:fill="auto"/>
            <w:noWrap/>
            <w:vAlign w:val="bottom"/>
            <w:hideMark/>
          </w:tcPr>
          <w:p w14:paraId="1B14D2CF"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-7.21</w:t>
            </w:r>
          </w:p>
        </w:tc>
      </w:tr>
      <w:tr w:rsidR="0075222A" w:rsidRPr="0051788B" w14:paraId="70E51A3A" w14:textId="77777777" w:rsidTr="00D706E2">
        <w:trPr>
          <w:trHeight w:val="255"/>
        </w:trPr>
        <w:tc>
          <w:tcPr>
            <w:tcW w:w="1660" w:type="dxa"/>
            <w:tcBorders>
              <w:top w:val="nil"/>
              <w:left w:val="nil"/>
              <w:bottom w:val="nil"/>
              <w:right w:val="nil"/>
            </w:tcBorders>
            <w:shd w:val="clear" w:color="auto" w:fill="auto"/>
            <w:noWrap/>
            <w:vAlign w:val="bottom"/>
            <w:hideMark/>
          </w:tcPr>
          <w:p w14:paraId="49FA5EA7" w14:textId="77777777" w:rsidR="0075222A" w:rsidRPr="0051788B" w:rsidRDefault="0075222A" w:rsidP="00D706E2">
            <w:pPr>
              <w:spacing w:after="0" w:line="240" w:lineRule="auto"/>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Road Buffer 60</w:t>
            </w:r>
          </w:p>
        </w:tc>
        <w:tc>
          <w:tcPr>
            <w:tcW w:w="1200" w:type="dxa"/>
            <w:tcBorders>
              <w:top w:val="nil"/>
              <w:left w:val="nil"/>
              <w:bottom w:val="nil"/>
              <w:right w:val="nil"/>
            </w:tcBorders>
            <w:shd w:val="clear" w:color="auto" w:fill="auto"/>
            <w:noWrap/>
            <w:vAlign w:val="bottom"/>
            <w:hideMark/>
          </w:tcPr>
          <w:p w14:paraId="250E19D7"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602340962</w:t>
            </w:r>
          </w:p>
        </w:tc>
        <w:tc>
          <w:tcPr>
            <w:tcW w:w="880" w:type="dxa"/>
            <w:tcBorders>
              <w:top w:val="nil"/>
              <w:left w:val="nil"/>
              <w:bottom w:val="nil"/>
              <w:right w:val="nil"/>
            </w:tcBorders>
            <w:shd w:val="clear" w:color="auto" w:fill="auto"/>
            <w:noWrap/>
            <w:vAlign w:val="bottom"/>
            <w:hideMark/>
          </w:tcPr>
          <w:p w14:paraId="29021989"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24.2</w:t>
            </w:r>
          </w:p>
        </w:tc>
        <w:tc>
          <w:tcPr>
            <w:tcW w:w="1080" w:type="dxa"/>
            <w:tcBorders>
              <w:top w:val="nil"/>
              <w:left w:val="nil"/>
              <w:bottom w:val="nil"/>
              <w:right w:val="nil"/>
            </w:tcBorders>
            <w:shd w:val="clear" w:color="auto" w:fill="auto"/>
            <w:noWrap/>
            <w:vAlign w:val="bottom"/>
            <w:hideMark/>
          </w:tcPr>
          <w:p w14:paraId="509A5ABC"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2.5</w:t>
            </w:r>
          </w:p>
        </w:tc>
        <w:tc>
          <w:tcPr>
            <w:tcW w:w="1020" w:type="dxa"/>
            <w:tcBorders>
              <w:top w:val="nil"/>
              <w:left w:val="nil"/>
              <w:bottom w:val="nil"/>
              <w:right w:val="nil"/>
            </w:tcBorders>
            <w:shd w:val="clear" w:color="auto" w:fill="auto"/>
            <w:noWrap/>
            <w:vAlign w:val="bottom"/>
            <w:hideMark/>
          </w:tcPr>
          <w:p w14:paraId="4C97C074"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99</w:t>
            </w:r>
          </w:p>
        </w:tc>
        <w:tc>
          <w:tcPr>
            <w:tcW w:w="820" w:type="dxa"/>
            <w:tcBorders>
              <w:top w:val="nil"/>
              <w:left w:val="nil"/>
              <w:bottom w:val="nil"/>
              <w:right w:val="nil"/>
            </w:tcBorders>
            <w:shd w:val="clear" w:color="auto" w:fill="auto"/>
            <w:noWrap/>
            <w:vAlign w:val="bottom"/>
            <w:hideMark/>
          </w:tcPr>
          <w:p w14:paraId="74BEFA07"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2.5</w:t>
            </w:r>
          </w:p>
        </w:tc>
        <w:tc>
          <w:tcPr>
            <w:tcW w:w="760" w:type="dxa"/>
            <w:tcBorders>
              <w:top w:val="nil"/>
              <w:left w:val="nil"/>
              <w:bottom w:val="nil"/>
              <w:right w:val="nil"/>
            </w:tcBorders>
            <w:shd w:val="clear" w:color="auto" w:fill="auto"/>
            <w:noWrap/>
            <w:vAlign w:val="bottom"/>
            <w:hideMark/>
          </w:tcPr>
          <w:p w14:paraId="5D8AE137" w14:textId="77777777" w:rsidR="0075222A" w:rsidRPr="0051788B" w:rsidRDefault="0075222A" w:rsidP="00D706E2">
            <w:pPr>
              <w:spacing w:after="0" w:line="240" w:lineRule="auto"/>
              <w:jc w:val="center"/>
              <w:rPr>
                <w:rFonts w:ascii="Times New Roman" w:eastAsia="Times New Roman" w:hAnsi="Times New Roman" w:cs="Times New Roman"/>
                <w:sz w:val="20"/>
                <w:szCs w:val="20"/>
              </w:rPr>
            </w:pPr>
            <w:r w:rsidRPr="0051788B">
              <w:rPr>
                <w:rFonts w:ascii="Times New Roman" w:eastAsia="Times New Roman" w:hAnsi="Times New Roman" w:cs="Times New Roman"/>
                <w:sz w:val="20"/>
                <w:szCs w:val="20"/>
              </w:rPr>
              <w:t>0.0</w:t>
            </w:r>
          </w:p>
        </w:tc>
        <w:tc>
          <w:tcPr>
            <w:tcW w:w="880" w:type="dxa"/>
            <w:tcBorders>
              <w:top w:val="nil"/>
              <w:left w:val="nil"/>
              <w:bottom w:val="nil"/>
              <w:right w:val="nil"/>
            </w:tcBorders>
            <w:shd w:val="clear" w:color="auto" w:fill="auto"/>
            <w:noWrap/>
            <w:vAlign w:val="bottom"/>
            <w:hideMark/>
          </w:tcPr>
          <w:p w14:paraId="33EEF2CB"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-8.75</w:t>
            </w:r>
          </w:p>
        </w:tc>
      </w:tr>
      <w:tr w:rsidR="0075222A" w:rsidRPr="0051788B" w14:paraId="6396AA59" w14:textId="77777777" w:rsidTr="00D706E2">
        <w:trPr>
          <w:trHeight w:val="255"/>
        </w:trPr>
        <w:tc>
          <w:tcPr>
            <w:tcW w:w="1660" w:type="dxa"/>
            <w:tcBorders>
              <w:top w:val="nil"/>
              <w:left w:val="nil"/>
              <w:bottom w:val="nil"/>
              <w:right w:val="nil"/>
            </w:tcBorders>
            <w:shd w:val="clear" w:color="auto" w:fill="auto"/>
            <w:noWrap/>
            <w:vAlign w:val="bottom"/>
            <w:hideMark/>
          </w:tcPr>
          <w:p w14:paraId="202C2406" w14:textId="77777777" w:rsidR="0075222A" w:rsidRPr="0051788B" w:rsidRDefault="0075222A" w:rsidP="00D706E2">
            <w:pPr>
              <w:spacing w:after="0" w:line="240" w:lineRule="auto"/>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Road Buffer 75</w:t>
            </w:r>
          </w:p>
        </w:tc>
        <w:tc>
          <w:tcPr>
            <w:tcW w:w="1200" w:type="dxa"/>
            <w:tcBorders>
              <w:top w:val="nil"/>
              <w:left w:val="nil"/>
              <w:bottom w:val="nil"/>
              <w:right w:val="nil"/>
            </w:tcBorders>
            <w:shd w:val="clear" w:color="auto" w:fill="auto"/>
            <w:noWrap/>
            <w:vAlign w:val="bottom"/>
            <w:hideMark/>
          </w:tcPr>
          <w:p w14:paraId="586EC4E2"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740418475</w:t>
            </w:r>
          </w:p>
        </w:tc>
        <w:tc>
          <w:tcPr>
            <w:tcW w:w="880" w:type="dxa"/>
            <w:tcBorders>
              <w:top w:val="nil"/>
              <w:left w:val="nil"/>
              <w:bottom w:val="nil"/>
              <w:right w:val="nil"/>
            </w:tcBorders>
            <w:shd w:val="clear" w:color="auto" w:fill="auto"/>
            <w:noWrap/>
            <w:vAlign w:val="bottom"/>
            <w:hideMark/>
          </w:tcPr>
          <w:p w14:paraId="2C83EF9D"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29.8</w:t>
            </w:r>
          </w:p>
        </w:tc>
        <w:tc>
          <w:tcPr>
            <w:tcW w:w="1080" w:type="dxa"/>
            <w:tcBorders>
              <w:top w:val="nil"/>
              <w:left w:val="nil"/>
              <w:bottom w:val="nil"/>
              <w:right w:val="nil"/>
            </w:tcBorders>
            <w:shd w:val="clear" w:color="auto" w:fill="auto"/>
            <w:noWrap/>
            <w:vAlign w:val="bottom"/>
            <w:hideMark/>
          </w:tcPr>
          <w:p w14:paraId="5C8C27E2"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4.2</w:t>
            </w:r>
          </w:p>
        </w:tc>
        <w:tc>
          <w:tcPr>
            <w:tcW w:w="1020" w:type="dxa"/>
            <w:tcBorders>
              <w:top w:val="nil"/>
              <w:left w:val="nil"/>
              <w:bottom w:val="nil"/>
              <w:right w:val="nil"/>
            </w:tcBorders>
            <w:shd w:val="clear" w:color="auto" w:fill="auto"/>
            <w:noWrap/>
            <w:vAlign w:val="bottom"/>
            <w:hideMark/>
          </w:tcPr>
          <w:p w14:paraId="07E2FEBE"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129</w:t>
            </w:r>
          </w:p>
        </w:tc>
        <w:tc>
          <w:tcPr>
            <w:tcW w:w="820" w:type="dxa"/>
            <w:tcBorders>
              <w:top w:val="nil"/>
              <w:left w:val="nil"/>
              <w:bottom w:val="nil"/>
              <w:right w:val="nil"/>
            </w:tcBorders>
            <w:shd w:val="clear" w:color="auto" w:fill="auto"/>
            <w:noWrap/>
            <w:vAlign w:val="bottom"/>
            <w:hideMark/>
          </w:tcPr>
          <w:p w14:paraId="2A53793F"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3.2</w:t>
            </w:r>
          </w:p>
        </w:tc>
        <w:tc>
          <w:tcPr>
            <w:tcW w:w="760" w:type="dxa"/>
            <w:tcBorders>
              <w:top w:val="nil"/>
              <w:left w:val="nil"/>
              <w:bottom w:val="nil"/>
              <w:right w:val="nil"/>
            </w:tcBorders>
            <w:shd w:val="clear" w:color="auto" w:fill="auto"/>
            <w:noWrap/>
            <w:vAlign w:val="bottom"/>
            <w:hideMark/>
          </w:tcPr>
          <w:p w14:paraId="5F5F1E88" w14:textId="77777777" w:rsidR="0075222A" w:rsidRPr="0051788B" w:rsidRDefault="0075222A" w:rsidP="00D706E2">
            <w:pPr>
              <w:spacing w:after="0" w:line="240" w:lineRule="auto"/>
              <w:jc w:val="center"/>
              <w:rPr>
                <w:rFonts w:ascii="Times New Roman" w:eastAsia="Times New Roman" w:hAnsi="Times New Roman" w:cs="Times New Roman"/>
                <w:sz w:val="20"/>
                <w:szCs w:val="20"/>
              </w:rPr>
            </w:pPr>
            <w:r w:rsidRPr="0051788B">
              <w:rPr>
                <w:rFonts w:ascii="Times New Roman" w:eastAsia="Times New Roman" w:hAnsi="Times New Roman" w:cs="Times New Roman"/>
                <w:sz w:val="20"/>
                <w:szCs w:val="20"/>
              </w:rPr>
              <w:t>0.2</w:t>
            </w:r>
          </w:p>
        </w:tc>
        <w:tc>
          <w:tcPr>
            <w:tcW w:w="880" w:type="dxa"/>
            <w:tcBorders>
              <w:top w:val="nil"/>
              <w:left w:val="nil"/>
              <w:bottom w:val="nil"/>
              <w:right w:val="nil"/>
            </w:tcBorders>
            <w:shd w:val="clear" w:color="auto" w:fill="auto"/>
            <w:noWrap/>
            <w:vAlign w:val="bottom"/>
            <w:hideMark/>
          </w:tcPr>
          <w:p w14:paraId="5F232D88"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-8.20</w:t>
            </w:r>
          </w:p>
        </w:tc>
      </w:tr>
      <w:tr w:rsidR="0075222A" w:rsidRPr="0051788B" w14:paraId="1DE7BFB0" w14:textId="77777777" w:rsidTr="00D706E2">
        <w:trPr>
          <w:trHeight w:val="255"/>
        </w:trPr>
        <w:tc>
          <w:tcPr>
            <w:tcW w:w="1660" w:type="dxa"/>
            <w:tcBorders>
              <w:top w:val="nil"/>
              <w:left w:val="nil"/>
              <w:bottom w:val="single" w:sz="4" w:space="0" w:color="auto"/>
              <w:right w:val="nil"/>
            </w:tcBorders>
            <w:shd w:val="clear" w:color="auto" w:fill="auto"/>
            <w:noWrap/>
            <w:vAlign w:val="bottom"/>
            <w:hideMark/>
          </w:tcPr>
          <w:p w14:paraId="26120069" w14:textId="77777777" w:rsidR="0075222A" w:rsidRPr="0051788B" w:rsidRDefault="0075222A" w:rsidP="00D706E2">
            <w:pPr>
              <w:spacing w:after="0" w:line="240" w:lineRule="auto"/>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Road Buffer 100</w:t>
            </w:r>
          </w:p>
        </w:tc>
        <w:tc>
          <w:tcPr>
            <w:tcW w:w="1200" w:type="dxa"/>
            <w:tcBorders>
              <w:top w:val="nil"/>
              <w:left w:val="nil"/>
              <w:bottom w:val="single" w:sz="4" w:space="0" w:color="auto"/>
              <w:right w:val="nil"/>
            </w:tcBorders>
            <w:shd w:val="clear" w:color="auto" w:fill="auto"/>
            <w:noWrap/>
            <w:vAlign w:val="bottom"/>
            <w:hideMark/>
          </w:tcPr>
          <w:p w14:paraId="1BA67B16"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958857109</w:t>
            </w:r>
          </w:p>
        </w:tc>
        <w:tc>
          <w:tcPr>
            <w:tcW w:w="880" w:type="dxa"/>
            <w:tcBorders>
              <w:top w:val="nil"/>
              <w:left w:val="nil"/>
              <w:bottom w:val="single" w:sz="4" w:space="0" w:color="auto"/>
              <w:right w:val="nil"/>
            </w:tcBorders>
            <w:shd w:val="clear" w:color="auto" w:fill="auto"/>
            <w:noWrap/>
            <w:vAlign w:val="bottom"/>
            <w:hideMark/>
          </w:tcPr>
          <w:p w14:paraId="5CCCC4A5"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38.6</w:t>
            </w:r>
          </w:p>
        </w:tc>
        <w:tc>
          <w:tcPr>
            <w:tcW w:w="1080" w:type="dxa"/>
            <w:tcBorders>
              <w:top w:val="nil"/>
              <w:left w:val="nil"/>
              <w:bottom w:val="single" w:sz="4" w:space="0" w:color="auto"/>
              <w:right w:val="nil"/>
            </w:tcBorders>
            <w:shd w:val="clear" w:color="auto" w:fill="auto"/>
            <w:noWrap/>
            <w:vAlign w:val="bottom"/>
            <w:hideMark/>
          </w:tcPr>
          <w:p w14:paraId="36A0DCFC"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5.8</w:t>
            </w:r>
          </w:p>
        </w:tc>
        <w:tc>
          <w:tcPr>
            <w:tcW w:w="1020" w:type="dxa"/>
            <w:tcBorders>
              <w:top w:val="nil"/>
              <w:left w:val="nil"/>
              <w:bottom w:val="single" w:sz="4" w:space="0" w:color="auto"/>
              <w:right w:val="nil"/>
            </w:tcBorders>
            <w:shd w:val="clear" w:color="auto" w:fill="auto"/>
            <w:noWrap/>
            <w:vAlign w:val="bottom"/>
            <w:hideMark/>
          </w:tcPr>
          <w:p w14:paraId="544A90BA"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152</w:t>
            </w:r>
          </w:p>
        </w:tc>
        <w:tc>
          <w:tcPr>
            <w:tcW w:w="820" w:type="dxa"/>
            <w:tcBorders>
              <w:top w:val="nil"/>
              <w:left w:val="nil"/>
              <w:bottom w:val="single" w:sz="4" w:space="0" w:color="auto"/>
              <w:right w:val="nil"/>
            </w:tcBorders>
            <w:shd w:val="clear" w:color="auto" w:fill="auto"/>
            <w:noWrap/>
            <w:vAlign w:val="bottom"/>
            <w:hideMark/>
          </w:tcPr>
          <w:p w14:paraId="4B9F1FF6"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3.8</w:t>
            </w:r>
          </w:p>
        </w:tc>
        <w:tc>
          <w:tcPr>
            <w:tcW w:w="760" w:type="dxa"/>
            <w:tcBorders>
              <w:top w:val="nil"/>
              <w:left w:val="nil"/>
              <w:bottom w:val="single" w:sz="4" w:space="0" w:color="auto"/>
              <w:right w:val="nil"/>
            </w:tcBorders>
            <w:shd w:val="clear" w:color="auto" w:fill="auto"/>
            <w:noWrap/>
            <w:vAlign w:val="bottom"/>
            <w:hideMark/>
          </w:tcPr>
          <w:p w14:paraId="329A0BE4" w14:textId="77777777" w:rsidR="0075222A" w:rsidRPr="0051788B" w:rsidRDefault="0075222A" w:rsidP="00D706E2">
            <w:pPr>
              <w:spacing w:after="0" w:line="240" w:lineRule="auto"/>
              <w:jc w:val="center"/>
              <w:rPr>
                <w:rFonts w:ascii="Times New Roman" w:eastAsia="Times New Roman" w:hAnsi="Times New Roman" w:cs="Times New Roman"/>
                <w:sz w:val="20"/>
                <w:szCs w:val="20"/>
              </w:rPr>
            </w:pPr>
            <w:r w:rsidRPr="0051788B">
              <w:rPr>
                <w:rFonts w:ascii="Times New Roman" w:eastAsia="Times New Roman" w:hAnsi="Times New Roman" w:cs="Times New Roman"/>
                <w:sz w:val="20"/>
                <w:szCs w:val="20"/>
              </w:rPr>
              <w:t>0.7</w:t>
            </w:r>
          </w:p>
        </w:tc>
        <w:tc>
          <w:tcPr>
            <w:tcW w:w="880" w:type="dxa"/>
            <w:tcBorders>
              <w:top w:val="nil"/>
              <w:left w:val="nil"/>
              <w:bottom w:val="single" w:sz="4" w:space="0" w:color="auto"/>
              <w:right w:val="nil"/>
            </w:tcBorders>
            <w:shd w:val="clear" w:color="auto" w:fill="auto"/>
            <w:noWrap/>
            <w:vAlign w:val="bottom"/>
            <w:hideMark/>
          </w:tcPr>
          <w:p w14:paraId="5AC6F667"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r w:rsidRPr="0051788B">
              <w:rPr>
                <w:rFonts w:ascii="Times New Roman" w:eastAsia="Times New Roman" w:hAnsi="Times New Roman" w:cs="Times New Roman"/>
                <w:color w:val="000000"/>
                <w:sz w:val="20"/>
                <w:szCs w:val="20"/>
              </w:rPr>
              <w:t>-9.11</w:t>
            </w:r>
          </w:p>
        </w:tc>
      </w:tr>
      <w:tr w:rsidR="0075222A" w:rsidRPr="0051788B" w14:paraId="5C194706" w14:textId="77777777" w:rsidTr="00D706E2">
        <w:trPr>
          <w:trHeight w:val="255"/>
        </w:trPr>
        <w:tc>
          <w:tcPr>
            <w:tcW w:w="2860" w:type="dxa"/>
            <w:gridSpan w:val="2"/>
            <w:tcBorders>
              <w:top w:val="nil"/>
              <w:left w:val="nil"/>
              <w:bottom w:val="nil"/>
              <w:right w:val="nil"/>
            </w:tcBorders>
            <w:shd w:val="clear" w:color="auto" w:fill="auto"/>
            <w:noWrap/>
            <w:vAlign w:val="bottom"/>
            <w:hideMark/>
          </w:tcPr>
          <w:p w14:paraId="5EB1767D" w14:textId="77777777" w:rsidR="0075222A" w:rsidRPr="0051788B" w:rsidRDefault="0075222A" w:rsidP="00D706E2">
            <w:pPr>
              <w:spacing w:after="0" w:line="240" w:lineRule="auto"/>
              <w:rPr>
                <w:rFonts w:ascii="Times New Roman" w:eastAsia="Times New Roman" w:hAnsi="Times New Roman" w:cs="Times New Roman"/>
                <w:color w:val="000000"/>
                <w:sz w:val="20"/>
                <w:szCs w:val="20"/>
              </w:rPr>
            </w:pPr>
            <w:proofErr w:type="spellStart"/>
            <w:proofErr w:type="gramStart"/>
            <w:r w:rsidRPr="0051788B">
              <w:rPr>
                <w:rFonts w:ascii="Times New Roman" w:eastAsia="Times New Roman" w:hAnsi="Times New Roman" w:cs="Times New Roman"/>
                <w:color w:val="000000"/>
                <w:sz w:val="20"/>
                <w:szCs w:val="20"/>
              </w:rPr>
              <w:t>df</w:t>
            </w:r>
            <w:proofErr w:type="spellEnd"/>
            <w:proofErr w:type="gramEnd"/>
            <w:r w:rsidRPr="0051788B">
              <w:rPr>
                <w:rFonts w:ascii="Times New Roman" w:eastAsia="Times New Roman" w:hAnsi="Times New Roman" w:cs="Times New Roman"/>
                <w:color w:val="000000"/>
                <w:sz w:val="20"/>
                <w:szCs w:val="20"/>
              </w:rPr>
              <w:t xml:space="preserve"> = 6, α = .05, sig of χ2 ≥ 12.59</w:t>
            </w:r>
          </w:p>
        </w:tc>
        <w:tc>
          <w:tcPr>
            <w:tcW w:w="880" w:type="dxa"/>
            <w:tcBorders>
              <w:top w:val="nil"/>
              <w:left w:val="nil"/>
              <w:bottom w:val="nil"/>
              <w:right w:val="nil"/>
            </w:tcBorders>
            <w:shd w:val="clear" w:color="auto" w:fill="auto"/>
            <w:noWrap/>
            <w:vAlign w:val="bottom"/>
            <w:hideMark/>
          </w:tcPr>
          <w:p w14:paraId="591B720D"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p>
        </w:tc>
        <w:tc>
          <w:tcPr>
            <w:tcW w:w="1080" w:type="dxa"/>
            <w:tcBorders>
              <w:top w:val="nil"/>
              <w:left w:val="nil"/>
              <w:bottom w:val="nil"/>
              <w:right w:val="nil"/>
            </w:tcBorders>
            <w:shd w:val="clear" w:color="auto" w:fill="auto"/>
            <w:noWrap/>
            <w:vAlign w:val="bottom"/>
            <w:hideMark/>
          </w:tcPr>
          <w:p w14:paraId="0CF331FF"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bottom"/>
            <w:hideMark/>
          </w:tcPr>
          <w:p w14:paraId="68D1ABDF"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p>
        </w:tc>
        <w:tc>
          <w:tcPr>
            <w:tcW w:w="820" w:type="dxa"/>
            <w:tcBorders>
              <w:top w:val="nil"/>
              <w:left w:val="nil"/>
              <w:bottom w:val="nil"/>
              <w:right w:val="nil"/>
            </w:tcBorders>
            <w:shd w:val="clear" w:color="auto" w:fill="auto"/>
            <w:noWrap/>
            <w:vAlign w:val="bottom"/>
            <w:hideMark/>
          </w:tcPr>
          <w:p w14:paraId="4EBB789B"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p>
        </w:tc>
        <w:tc>
          <w:tcPr>
            <w:tcW w:w="760" w:type="dxa"/>
            <w:tcBorders>
              <w:top w:val="nil"/>
              <w:left w:val="nil"/>
              <w:bottom w:val="nil"/>
              <w:right w:val="nil"/>
            </w:tcBorders>
            <w:shd w:val="clear" w:color="auto" w:fill="auto"/>
            <w:noWrap/>
            <w:vAlign w:val="bottom"/>
            <w:hideMark/>
          </w:tcPr>
          <w:p w14:paraId="090EB00C"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p>
        </w:tc>
        <w:tc>
          <w:tcPr>
            <w:tcW w:w="880" w:type="dxa"/>
            <w:tcBorders>
              <w:top w:val="nil"/>
              <w:left w:val="nil"/>
              <w:bottom w:val="nil"/>
              <w:right w:val="nil"/>
            </w:tcBorders>
            <w:shd w:val="clear" w:color="auto" w:fill="auto"/>
            <w:noWrap/>
            <w:vAlign w:val="bottom"/>
            <w:hideMark/>
          </w:tcPr>
          <w:p w14:paraId="138478C1" w14:textId="77777777" w:rsidR="0075222A" w:rsidRPr="0051788B" w:rsidRDefault="0075222A" w:rsidP="00D706E2">
            <w:pPr>
              <w:spacing w:after="0" w:line="240" w:lineRule="auto"/>
              <w:jc w:val="center"/>
              <w:rPr>
                <w:rFonts w:ascii="Times New Roman" w:eastAsia="Times New Roman" w:hAnsi="Times New Roman" w:cs="Times New Roman"/>
                <w:color w:val="000000"/>
                <w:sz w:val="20"/>
                <w:szCs w:val="20"/>
              </w:rPr>
            </w:pPr>
          </w:p>
        </w:tc>
      </w:tr>
    </w:tbl>
    <w:p w14:paraId="50C692E3" w14:textId="77777777" w:rsidR="0075222A" w:rsidRDefault="0075222A" w:rsidP="0075222A">
      <w:pPr>
        <w:spacing w:line="480" w:lineRule="auto"/>
        <w:rPr>
          <w:rFonts w:ascii="Times New Roman" w:hAnsi="Times New Roman" w:cs="Times New Roman"/>
          <w:sz w:val="24"/>
          <w:szCs w:val="24"/>
        </w:rPr>
      </w:pPr>
    </w:p>
    <w:p w14:paraId="6CFDE2E8" w14:textId="77777777" w:rsidR="0075222A" w:rsidRDefault="0075222A" w:rsidP="00976D86">
      <w:pPr>
        <w:spacing w:line="480" w:lineRule="auto"/>
        <w:ind w:firstLine="720"/>
        <w:rPr>
          <w:rFonts w:ascii="Times New Roman" w:hAnsi="Times New Roman" w:cs="Times New Roman"/>
          <w:sz w:val="24"/>
          <w:szCs w:val="24"/>
        </w:rPr>
      </w:pPr>
    </w:p>
    <w:p w14:paraId="39E28243" w14:textId="3215C024" w:rsidR="0051788B" w:rsidRDefault="0092394A" w:rsidP="0075222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two primary environmental variables considered for the model development include distance to frequently flooded soils and distance to permanent streams as these </w:t>
      </w:r>
      <w:r w:rsidR="00D1568D">
        <w:rPr>
          <w:rFonts w:ascii="Times New Roman" w:hAnsi="Times New Roman" w:cs="Times New Roman"/>
          <w:sz w:val="24"/>
          <w:szCs w:val="24"/>
        </w:rPr>
        <w:t>proved to be</w:t>
      </w:r>
      <w:r>
        <w:rPr>
          <w:rFonts w:ascii="Times New Roman" w:hAnsi="Times New Roman" w:cs="Times New Roman"/>
          <w:sz w:val="24"/>
          <w:szCs w:val="24"/>
        </w:rPr>
        <w:t xml:space="preserve"> extremely significant factors for the location of archaeological sites</w:t>
      </w:r>
      <w:r w:rsidR="009C3A55">
        <w:rPr>
          <w:rFonts w:ascii="Times New Roman" w:hAnsi="Times New Roman" w:cs="Times New Roman"/>
          <w:sz w:val="24"/>
          <w:szCs w:val="24"/>
        </w:rPr>
        <w:t>, especially when compared</w:t>
      </w:r>
      <w:r>
        <w:rPr>
          <w:rFonts w:ascii="Times New Roman" w:hAnsi="Times New Roman" w:cs="Times New Roman"/>
          <w:sz w:val="24"/>
          <w:szCs w:val="24"/>
        </w:rPr>
        <w:t xml:space="preserve"> to randomly sampled background points.</w:t>
      </w:r>
      <w:r w:rsidR="00E2034A">
        <w:rPr>
          <w:rFonts w:ascii="Times New Roman" w:hAnsi="Times New Roman" w:cs="Times New Roman"/>
          <w:sz w:val="24"/>
          <w:szCs w:val="24"/>
        </w:rPr>
        <w:t xml:space="preserve">  The soil intersection between frequently and non-frequently flooded soils was explored with the buffering of the intersection in increasing</w:t>
      </w:r>
      <w:r w:rsidR="00C84797">
        <w:rPr>
          <w:rFonts w:ascii="Times New Roman" w:hAnsi="Times New Roman" w:cs="Times New Roman"/>
          <w:sz w:val="24"/>
          <w:szCs w:val="24"/>
        </w:rPr>
        <w:t xml:space="preserve"> 10-m</w:t>
      </w:r>
      <w:r w:rsidR="00E2034A">
        <w:rPr>
          <w:rFonts w:ascii="Times New Roman" w:hAnsi="Times New Roman" w:cs="Times New Roman"/>
          <w:sz w:val="24"/>
          <w:szCs w:val="24"/>
        </w:rPr>
        <w:t xml:space="preserve"> increments both internally (towards the flooded soils) and externally (towards non-flooded soils), each conducted independently of the other.</w:t>
      </w:r>
      <w:r w:rsidR="00D55F2D">
        <w:rPr>
          <w:rFonts w:ascii="Times New Roman" w:hAnsi="Times New Roman" w:cs="Times New Roman"/>
          <w:sz w:val="24"/>
          <w:szCs w:val="24"/>
        </w:rPr>
        <w:t xml:space="preserve">  </w:t>
      </w:r>
      <w:r w:rsidR="00F42371">
        <w:rPr>
          <w:rFonts w:ascii="Times New Roman" w:hAnsi="Times New Roman" w:cs="Times New Roman"/>
          <w:sz w:val="24"/>
          <w:szCs w:val="24"/>
        </w:rPr>
        <w:t xml:space="preserve">A similar buffering technique was utilized for </w:t>
      </w:r>
      <w:r w:rsidR="00F42371">
        <w:rPr>
          <w:rFonts w:ascii="Times New Roman" w:hAnsi="Times New Roman" w:cs="Times New Roman"/>
          <w:sz w:val="24"/>
          <w:szCs w:val="24"/>
        </w:rPr>
        <w:lastRenderedPageBreak/>
        <w:t xml:space="preserve">the permanent streams in the study area while being conscious of the need to use datasets extending beyond the study area so as to receive the full buffering of any variable and not a truncated buffer due to a modern abstract boundary.  </w:t>
      </w:r>
      <w:r w:rsidR="00F71EF0">
        <w:rPr>
          <w:rFonts w:ascii="Times New Roman" w:hAnsi="Times New Roman" w:cs="Times New Roman"/>
          <w:sz w:val="24"/>
          <w:szCs w:val="24"/>
        </w:rPr>
        <w:t xml:space="preserve">The </w:t>
      </w:r>
      <w:r w:rsidR="00F42371">
        <w:rPr>
          <w:rFonts w:ascii="Times New Roman" w:hAnsi="Times New Roman" w:cs="Times New Roman"/>
          <w:sz w:val="24"/>
          <w:szCs w:val="24"/>
        </w:rPr>
        <w:t>areas with the highest gain statistic were selected for use within the model.</w:t>
      </w:r>
      <w:r w:rsidR="00BB1A55">
        <w:rPr>
          <w:rFonts w:ascii="Times New Roman" w:hAnsi="Times New Roman" w:cs="Times New Roman"/>
          <w:sz w:val="24"/>
          <w:szCs w:val="24"/>
        </w:rPr>
        <w:t xml:space="preserve">  After selection of the high probability zone, additional buffers were conducted radiating from the zone</w:t>
      </w:r>
      <w:r w:rsidR="00356169">
        <w:rPr>
          <w:rFonts w:ascii="Times New Roman" w:hAnsi="Times New Roman" w:cs="Times New Roman"/>
          <w:sz w:val="24"/>
          <w:szCs w:val="24"/>
        </w:rPr>
        <w:t xml:space="preserve"> </w:t>
      </w:r>
      <w:r w:rsidR="005F12F5">
        <w:rPr>
          <w:rFonts w:ascii="Times New Roman" w:hAnsi="Times New Roman" w:cs="Times New Roman"/>
          <w:sz w:val="24"/>
          <w:szCs w:val="24"/>
        </w:rPr>
        <w:t>to delimit medium probability zones</w:t>
      </w:r>
      <w:r w:rsidR="00BB1A55">
        <w:rPr>
          <w:rFonts w:ascii="Times New Roman" w:hAnsi="Times New Roman" w:cs="Times New Roman"/>
          <w:sz w:val="24"/>
          <w:szCs w:val="24"/>
        </w:rPr>
        <w:t>.</w:t>
      </w:r>
    </w:p>
    <w:p w14:paraId="41AC1470" w14:textId="08FB95F3" w:rsidR="00396B89" w:rsidRDefault="00396B89" w:rsidP="004F59DD">
      <w:pPr>
        <w:spacing w:line="480" w:lineRule="auto"/>
        <w:rPr>
          <w:rFonts w:ascii="Times New Roman" w:hAnsi="Times New Roman" w:cs="Times New Roman"/>
          <w:sz w:val="24"/>
          <w:szCs w:val="24"/>
        </w:rPr>
      </w:pPr>
      <w:r>
        <w:rPr>
          <w:rFonts w:ascii="Times New Roman" w:hAnsi="Times New Roman" w:cs="Times New Roman"/>
          <w:sz w:val="24"/>
          <w:szCs w:val="24"/>
        </w:rPr>
        <w:tab/>
      </w:r>
      <w:r w:rsidR="00D706E2">
        <w:rPr>
          <w:rFonts w:ascii="Times New Roman" w:hAnsi="Times New Roman" w:cs="Times New Roman"/>
          <w:sz w:val="24"/>
          <w:szCs w:val="24"/>
        </w:rPr>
        <w:t>The high probability z</w:t>
      </w:r>
      <w:r w:rsidR="007D3816">
        <w:rPr>
          <w:rFonts w:ascii="Times New Roman" w:hAnsi="Times New Roman" w:cs="Times New Roman"/>
          <w:sz w:val="24"/>
          <w:szCs w:val="24"/>
        </w:rPr>
        <w:t>one</w:t>
      </w:r>
      <w:r w:rsidR="00D706E2">
        <w:rPr>
          <w:rFonts w:ascii="Times New Roman" w:hAnsi="Times New Roman" w:cs="Times New Roman"/>
          <w:sz w:val="24"/>
          <w:szCs w:val="24"/>
        </w:rPr>
        <w:t>,</w:t>
      </w:r>
      <w:r w:rsidR="007D3816">
        <w:rPr>
          <w:rFonts w:ascii="Times New Roman" w:hAnsi="Times New Roman" w:cs="Times New Roman"/>
          <w:sz w:val="24"/>
          <w:szCs w:val="24"/>
        </w:rPr>
        <w:t xml:space="preserve"> area</w:t>
      </w:r>
      <w:r w:rsidR="00D706E2">
        <w:rPr>
          <w:rFonts w:ascii="Times New Roman" w:hAnsi="Times New Roman" w:cs="Times New Roman"/>
          <w:sz w:val="24"/>
          <w:szCs w:val="24"/>
        </w:rPr>
        <w:t>s of non-frequently flooded</w:t>
      </w:r>
      <w:r w:rsidR="007D3816">
        <w:rPr>
          <w:rFonts w:ascii="Times New Roman" w:hAnsi="Times New Roman" w:cs="Times New Roman"/>
          <w:sz w:val="24"/>
          <w:szCs w:val="24"/>
        </w:rPr>
        <w:t xml:space="preserve"> </w:t>
      </w:r>
      <w:r w:rsidR="00D706E2">
        <w:rPr>
          <w:rFonts w:ascii="Times New Roman" w:hAnsi="Times New Roman" w:cs="Times New Roman"/>
          <w:sz w:val="24"/>
          <w:szCs w:val="24"/>
        </w:rPr>
        <w:t xml:space="preserve">soils located within 100-m of frequently flooded soils, </w:t>
      </w:r>
      <w:r w:rsidR="007D3816">
        <w:rPr>
          <w:rFonts w:ascii="Times New Roman" w:hAnsi="Times New Roman" w:cs="Times New Roman"/>
          <w:sz w:val="24"/>
          <w:szCs w:val="24"/>
        </w:rPr>
        <w:t xml:space="preserve">represents a small </w:t>
      </w:r>
      <w:r w:rsidR="00D706E2">
        <w:rPr>
          <w:rFonts w:ascii="Times New Roman" w:hAnsi="Times New Roman" w:cs="Times New Roman"/>
          <w:sz w:val="24"/>
          <w:szCs w:val="24"/>
        </w:rPr>
        <w:t xml:space="preserve">land </w:t>
      </w:r>
      <w:r w:rsidR="007D3816">
        <w:rPr>
          <w:rFonts w:ascii="Times New Roman" w:hAnsi="Times New Roman" w:cs="Times New Roman"/>
          <w:sz w:val="24"/>
          <w:szCs w:val="24"/>
        </w:rPr>
        <w:t xml:space="preserve">area with an abnormally high density of recorded archaeological sites </w:t>
      </w:r>
      <w:r w:rsidR="00A42341">
        <w:rPr>
          <w:rFonts w:ascii="Times New Roman" w:hAnsi="Times New Roman" w:cs="Times New Roman"/>
          <w:sz w:val="24"/>
          <w:szCs w:val="24"/>
        </w:rPr>
        <w:t>contrasts the large h</w:t>
      </w:r>
      <w:r w:rsidR="00356169">
        <w:rPr>
          <w:rFonts w:ascii="Times New Roman" w:hAnsi="Times New Roman" w:cs="Times New Roman"/>
          <w:sz w:val="24"/>
          <w:szCs w:val="24"/>
        </w:rPr>
        <w:t xml:space="preserve">igh zone size of the </w:t>
      </w:r>
      <w:r w:rsidR="00A42341">
        <w:rPr>
          <w:rFonts w:ascii="Times New Roman" w:hAnsi="Times New Roman" w:cs="Times New Roman"/>
          <w:sz w:val="24"/>
          <w:szCs w:val="24"/>
        </w:rPr>
        <w:t>active US Forest Service Model (</w:t>
      </w:r>
      <w:r w:rsidR="00356169">
        <w:rPr>
          <w:rFonts w:ascii="Times New Roman" w:hAnsi="Times New Roman" w:cs="Times New Roman"/>
          <w:sz w:val="24"/>
          <w:szCs w:val="24"/>
        </w:rPr>
        <w:t>1995 F</w:t>
      </w:r>
      <w:r w:rsidR="00A42341">
        <w:rPr>
          <w:rFonts w:ascii="Times New Roman" w:hAnsi="Times New Roman" w:cs="Times New Roman"/>
          <w:sz w:val="24"/>
          <w:szCs w:val="24"/>
        </w:rPr>
        <w:t>PPM)</w:t>
      </w:r>
      <w:r w:rsidR="007D3816">
        <w:rPr>
          <w:rFonts w:ascii="Times New Roman" w:hAnsi="Times New Roman" w:cs="Times New Roman"/>
          <w:sz w:val="24"/>
          <w:szCs w:val="24"/>
        </w:rPr>
        <w:t xml:space="preserve">.  </w:t>
      </w:r>
      <w:r w:rsidR="00A42341">
        <w:rPr>
          <w:rFonts w:ascii="Times New Roman" w:hAnsi="Times New Roman" w:cs="Times New Roman"/>
          <w:sz w:val="24"/>
          <w:szCs w:val="24"/>
        </w:rPr>
        <w:t>A 100-m</w:t>
      </w:r>
      <w:r w:rsidR="00EF5413">
        <w:rPr>
          <w:rFonts w:ascii="Times New Roman" w:hAnsi="Times New Roman" w:cs="Times New Roman"/>
          <w:sz w:val="24"/>
          <w:szCs w:val="24"/>
        </w:rPr>
        <w:t xml:space="preserve"> </w:t>
      </w:r>
      <w:r w:rsidR="007D3816">
        <w:rPr>
          <w:rFonts w:ascii="Times New Roman" w:hAnsi="Times New Roman" w:cs="Times New Roman"/>
          <w:sz w:val="24"/>
          <w:szCs w:val="24"/>
        </w:rPr>
        <w:t xml:space="preserve">buffer </w:t>
      </w:r>
      <w:r w:rsidR="00EF5413">
        <w:rPr>
          <w:rFonts w:ascii="Times New Roman" w:hAnsi="Times New Roman" w:cs="Times New Roman"/>
          <w:sz w:val="24"/>
          <w:szCs w:val="24"/>
        </w:rPr>
        <w:t xml:space="preserve">extending from the intersection of frequently and non-frequently flooded soils in the direction of well drained soils </w:t>
      </w:r>
      <w:r w:rsidR="007D3816">
        <w:rPr>
          <w:rFonts w:ascii="Times New Roman" w:hAnsi="Times New Roman" w:cs="Times New Roman"/>
          <w:sz w:val="24"/>
          <w:szCs w:val="24"/>
        </w:rPr>
        <w:t>produce</w:t>
      </w:r>
      <w:r w:rsidR="00EF5413">
        <w:rPr>
          <w:rFonts w:ascii="Times New Roman" w:hAnsi="Times New Roman" w:cs="Times New Roman"/>
          <w:sz w:val="24"/>
          <w:szCs w:val="24"/>
        </w:rPr>
        <w:t>d</w:t>
      </w:r>
      <w:r w:rsidR="007D3816">
        <w:rPr>
          <w:rFonts w:ascii="Times New Roman" w:hAnsi="Times New Roman" w:cs="Times New Roman"/>
          <w:sz w:val="24"/>
          <w:szCs w:val="24"/>
        </w:rPr>
        <w:t xml:space="preserve"> a gain value of 0.51</w:t>
      </w:r>
      <w:r w:rsidR="00AA673D">
        <w:rPr>
          <w:rFonts w:ascii="Times New Roman" w:hAnsi="Times New Roman" w:cs="Times New Roman"/>
          <w:sz w:val="24"/>
          <w:szCs w:val="24"/>
        </w:rPr>
        <w:t>,</w:t>
      </w:r>
      <w:r w:rsidR="007D3816">
        <w:rPr>
          <w:rFonts w:ascii="Times New Roman" w:hAnsi="Times New Roman" w:cs="Times New Roman"/>
          <w:sz w:val="24"/>
          <w:szCs w:val="24"/>
        </w:rPr>
        <w:t xml:space="preserve"> suggesting its assignment as the high probability zone.  </w:t>
      </w:r>
      <w:r w:rsidR="00613D49">
        <w:rPr>
          <w:rFonts w:ascii="Times New Roman" w:hAnsi="Times New Roman" w:cs="Times New Roman"/>
          <w:sz w:val="24"/>
          <w:szCs w:val="24"/>
        </w:rPr>
        <w:t>The high probability zone covers 14.2 percent of the total study area while encompassing 29.0 percent of all archaeological sites.</w:t>
      </w:r>
      <w:r w:rsidR="00E00539">
        <w:rPr>
          <w:rFonts w:ascii="Times New Roman" w:hAnsi="Times New Roman" w:cs="Times New Roman"/>
          <w:sz w:val="24"/>
          <w:szCs w:val="24"/>
        </w:rPr>
        <w:t xml:space="preserve">  </w:t>
      </w:r>
      <w:r w:rsidR="00AB2256">
        <w:rPr>
          <w:rFonts w:ascii="Times New Roman" w:hAnsi="Times New Roman" w:cs="Times New Roman"/>
          <w:sz w:val="24"/>
          <w:szCs w:val="24"/>
        </w:rPr>
        <w:t>This buffered area represents a landscape in non-frequently</w:t>
      </w:r>
      <w:r w:rsidR="00AA673D">
        <w:rPr>
          <w:rFonts w:ascii="Times New Roman" w:hAnsi="Times New Roman" w:cs="Times New Roman"/>
          <w:sz w:val="24"/>
          <w:szCs w:val="24"/>
        </w:rPr>
        <w:t xml:space="preserve"> flooded soils within 100-m</w:t>
      </w:r>
      <w:r w:rsidR="00AB2256">
        <w:rPr>
          <w:rFonts w:ascii="Times New Roman" w:hAnsi="Times New Roman" w:cs="Times New Roman"/>
          <w:sz w:val="24"/>
          <w:szCs w:val="24"/>
        </w:rPr>
        <w:t xml:space="preserve"> of frequently flooded soils</w:t>
      </w:r>
      <w:r w:rsidR="00AA673D">
        <w:rPr>
          <w:rFonts w:ascii="Times New Roman" w:hAnsi="Times New Roman" w:cs="Times New Roman"/>
          <w:sz w:val="24"/>
          <w:szCs w:val="24"/>
        </w:rPr>
        <w:t>,</w:t>
      </w:r>
      <w:r w:rsidR="00AB2256">
        <w:rPr>
          <w:rFonts w:ascii="Times New Roman" w:hAnsi="Times New Roman" w:cs="Times New Roman"/>
          <w:sz w:val="24"/>
          <w:szCs w:val="24"/>
        </w:rPr>
        <w:t xml:space="preserve"> allowing for efficient foraging activities within a close proximity to available water.</w:t>
      </w:r>
      <w:r w:rsidR="000A7C4C">
        <w:rPr>
          <w:rFonts w:ascii="Times New Roman" w:hAnsi="Times New Roman" w:cs="Times New Roman"/>
          <w:sz w:val="24"/>
          <w:szCs w:val="24"/>
        </w:rPr>
        <w:t xml:space="preserve">  A simple buffer promotes ease of field-use as opposed to a more segmented high probability zone offered by alternative modeling techniques</w:t>
      </w:r>
      <w:r w:rsidR="009813DC">
        <w:rPr>
          <w:rFonts w:ascii="Times New Roman" w:hAnsi="Times New Roman" w:cs="Times New Roman"/>
          <w:sz w:val="24"/>
          <w:szCs w:val="24"/>
        </w:rPr>
        <w:t xml:space="preserve"> </w:t>
      </w:r>
      <w:r w:rsidR="00CF42DC">
        <w:rPr>
          <w:rFonts w:ascii="Times New Roman" w:hAnsi="Times New Roman" w:cs="Times New Roman"/>
          <w:sz w:val="24"/>
          <w:szCs w:val="24"/>
        </w:rPr>
        <w:t>(</w:t>
      </w:r>
      <w:r w:rsidR="009813DC">
        <w:rPr>
          <w:rFonts w:ascii="Times New Roman" w:hAnsi="Times New Roman" w:cs="Times New Roman"/>
          <w:sz w:val="24"/>
          <w:szCs w:val="24"/>
        </w:rPr>
        <w:t xml:space="preserve">e.g., the </w:t>
      </w:r>
      <w:r w:rsidR="00CF42DC">
        <w:rPr>
          <w:rFonts w:ascii="Times New Roman" w:hAnsi="Times New Roman" w:cs="Times New Roman"/>
          <w:sz w:val="24"/>
          <w:szCs w:val="24"/>
        </w:rPr>
        <w:t>2010</w:t>
      </w:r>
      <w:r w:rsidR="009813DC">
        <w:rPr>
          <w:rFonts w:ascii="Times New Roman" w:hAnsi="Times New Roman" w:cs="Times New Roman"/>
          <w:sz w:val="24"/>
          <w:szCs w:val="24"/>
        </w:rPr>
        <w:t xml:space="preserve"> Fort Polk model</w:t>
      </w:r>
      <w:r w:rsidR="0087793E">
        <w:rPr>
          <w:rFonts w:ascii="Times New Roman" w:hAnsi="Times New Roman" w:cs="Times New Roman"/>
          <w:sz w:val="24"/>
          <w:szCs w:val="24"/>
        </w:rPr>
        <w:t>, Perez and Bundy 2010)</w:t>
      </w:r>
    </w:p>
    <w:p w14:paraId="0198ED33" w14:textId="77777777" w:rsidR="00742C20" w:rsidRDefault="00742C20" w:rsidP="00742C20">
      <w:pPr>
        <w:spacing w:line="240" w:lineRule="auto"/>
        <w:rPr>
          <w:rFonts w:ascii="Times New Roman" w:hAnsi="Times New Roman" w:cs="Times New Roman"/>
          <w:b/>
        </w:rPr>
      </w:pPr>
    </w:p>
    <w:p w14:paraId="36B441C0" w14:textId="77777777" w:rsidR="00AA673D" w:rsidRDefault="00AA673D" w:rsidP="00742C20">
      <w:pPr>
        <w:spacing w:line="240" w:lineRule="auto"/>
        <w:rPr>
          <w:rFonts w:ascii="Times New Roman" w:hAnsi="Times New Roman" w:cs="Times New Roman"/>
          <w:b/>
        </w:rPr>
      </w:pPr>
    </w:p>
    <w:p w14:paraId="3C4B3E9D" w14:textId="77777777" w:rsidR="00AA673D" w:rsidRDefault="00AA673D" w:rsidP="00742C20">
      <w:pPr>
        <w:spacing w:line="240" w:lineRule="auto"/>
        <w:rPr>
          <w:rFonts w:ascii="Times New Roman" w:hAnsi="Times New Roman" w:cs="Times New Roman"/>
          <w:b/>
        </w:rPr>
      </w:pPr>
    </w:p>
    <w:p w14:paraId="2DADDB09" w14:textId="77777777" w:rsidR="00AA673D" w:rsidRDefault="00AA673D" w:rsidP="00742C20">
      <w:pPr>
        <w:spacing w:line="240" w:lineRule="auto"/>
        <w:rPr>
          <w:rFonts w:ascii="Times New Roman" w:hAnsi="Times New Roman" w:cs="Times New Roman"/>
          <w:b/>
        </w:rPr>
      </w:pPr>
    </w:p>
    <w:p w14:paraId="18228CA6" w14:textId="77777777" w:rsidR="00297AAB" w:rsidRDefault="00742C20" w:rsidP="00297AAB">
      <w:pPr>
        <w:spacing w:line="240" w:lineRule="auto"/>
        <w:rPr>
          <w:rFonts w:ascii="Times New Roman" w:eastAsia="Times New Roman" w:hAnsi="Times New Roman" w:cs="Times New Roman"/>
          <w:color w:val="000000"/>
          <w:sz w:val="20"/>
          <w:szCs w:val="20"/>
        </w:rPr>
      </w:pPr>
      <w:r w:rsidRPr="00007D2A">
        <w:rPr>
          <w:rFonts w:ascii="Times New Roman" w:hAnsi="Times New Roman" w:cs="Times New Roman"/>
          <w:b/>
        </w:rPr>
        <w:lastRenderedPageBreak/>
        <w:t>Table 6.</w:t>
      </w:r>
      <w:r w:rsidR="00D67F8D">
        <w:rPr>
          <w:rFonts w:ascii="Times New Roman" w:hAnsi="Times New Roman" w:cs="Times New Roman"/>
          <w:b/>
        </w:rPr>
        <w:t>3</w:t>
      </w:r>
      <w:r w:rsidRPr="00007D2A">
        <w:rPr>
          <w:rFonts w:ascii="Times New Roman" w:hAnsi="Times New Roman" w:cs="Times New Roman"/>
          <w:b/>
        </w:rPr>
        <w:t>.</w:t>
      </w:r>
      <w:r w:rsidRPr="00007D2A">
        <w:rPr>
          <w:rFonts w:ascii="Times New Roman" w:hAnsi="Times New Roman" w:cs="Times New Roman"/>
        </w:rPr>
        <w:t xml:space="preserve">  </w:t>
      </w:r>
      <w:r w:rsidR="00D67F8D">
        <w:rPr>
          <w:rFonts w:ascii="Times New Roman" w:hAnsi="Times New Roman" w:cs="Times New Roman"/>
        </w:rPr>
        <w:t xml:space="preserve">Test Statistics for the Probability Zones of the </w:t>
      </w:r>
      <w:r w:rsidR="008D6B20">
        <w:rPr>
          <w:rFonts w:ascii="Times New Roman" w:hAnsi="Times New Roman" w:cs="Times New Roman"/>
        </w:rPr>
        <w:t xml:space="preserve">Proposed </w:t>
      </w:r>
      <w:r w:rsidR="00D67F8D">
        <w:rPr>
          <w:rFonts w:ascii="Times New Roman" w:hAnsi="Times New Roman" w:cs="Times New Roman"/>
        </w:rPr>
        <w:t>2011 Kisatchie National Forest Model for the Entire Study Area and All Archaeological Sites</w:t>
      </w:r>
      <w:r w:rsidRPr="00007D2A">
        <w:rPr>
          <w:rFonts w:ascii="Times New Roman" w:hAnsi="Times New Roman" w:cs="Times New Roman"/>
        </w:rPr>
        <w:t>.</w:t>
      </w:r>
    </w:p>
    <w:tbl>
      <w:tblPr>
        <w:tblW w:w="8860" w:type="dxa"/>
        <w:tblInd w:w="93" w:type="dxa"/>
        <w:tblLook w:val="04A0" w:firstRow="1" w:lastRow="0" w:firstColumn="1" w:lastColumn="0" w:noHBand="0" w:noVBand="1"/>
      </w:tblPr>
      <w:tblGrid>
        <w:gridCol w:w="1700"/>
        <w:gridCol w:w="1340"/>
        <w:gridCol w:w="920"/>
        <w:gridCol w:w="1260"/>
        <w:gridCol w:w="983"/>
        <w:gridCol w:w="900"/>
        <w:gridCol w:w="880"/>
        <w:gridCol w:w="900"/>
      </w:tblGrid>
      <w:tr w:rsidR="00297AAB" w:rsidRPr="00297AAB" w14:paraId="131D0902" w14:textId="77777777" w:rsidTr="00297AAB">
        <w:trPr>
          <w:trHeight w:val="280"/>
        </w:trPr>
        <w:tc>
          <w:tcPr>
            <w:tcW w:w="1700" w:type="dxa"/>
            <w:tcBorders>
              <w:top w:val="single" w:sz="4" w:space="0" w:color="auto"/>
              <w:left w:val="nil"/>
              <w:bottom w:val="single" w:sz="4" w:space="0" w:color="auto"/>
              <w:right w:val="nil"/>
            </w:tcBorders>
            <w:shd w:val="clear" w:color="auto" w:fill="auto"/>
            <w:noWrap/>
            <w:vAlign w:val="bottom"/>
            <w:hideMark/>
          </w:tcPr>
          <w:p w14:paraId="007A6C57" w14:textId="77777777" w:rsidR="00297AAB" w:rsidRPr="00297AAB" w:rsidRDefault="00297AAB" w:rsidP="00297AAB">
            <w:pPr>
              <w:spacing w:after="0" w:line="240" w:lineRule="auto"/>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Probability Zone</w:t>
            </w:r>
          </w:p>
        </w:tc>
        <w:tc>
          <w:tcPr>
            <w:tcW w:w="1340" w:type="dxa"/>
            <w:tcBorders>
              <w:top w:val="single" w:sz="4" w:space="0" w:color="auto"/>
              <w:left w:val="nil"/>
              <w:bottom w:val="single" w:sz="4" w:space="0" w:color="auto"/>
              <w:right w:val="nil"/>
            </w:tcBorders>
            <w:shd w:val="clear" w:color="auto" w:fill="auto"/>
            <w:noWrap/>
            <w:vAlign w:val="bottom"/>
            <w:hideMark/>
          </w:tcPr>
          <w:p w14:paraId="739AE346"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Area (m</w:t>
            </w:r>
            <w:r w:rsidRPr="00297AAB">
              <w:rPr>
                <w:rFonts w:ascii="Times New Roman" w:eastAsia="Times New Roman" w:hAnsi="Times New Roman" w:cs="Times New Roman"/>
                <w:color w:val="000000"/>
                <w:sz w:val="20"/>
                <w:szCs w:val="20"/>
                <w:vertAlign w:val="superscript"/>
              </w:rPr>
              <w:t>2</w:t>
            </w:r>
            <w:r w:rsidRPr="00297AAB">
              <w:rPr>
                <w:rFonts w:ascii="Times New Roman" w:eastAsia="Times New Roman" w:hAnsi="Times New Roman" w:cs="Times New Roman"/>
                <w:color w:val="000000"/>
                <w:sz w:val="20"/>
                <w:szCs w:val="20"/>
              </w:rPr>
              <w:t>)</w:t>
            </w:r>
          </w:p>
        </w:tc>
        <w:tc>
          <w:tcPr>
            <w:tcW w:w="920" w:type="dxa"/>
            <w:tcBorders>
              <w:top w:val="single" w:sz="4" w:space="0" w:color="auto"/>
              <w:left w:val="nil"/>
              <w:bottom w:val="single" w:sz="4" w:space="0" w:color="auto"/>
              <w:right w:val="nil"/>
            </w:tcBorders>
            <w:shd w:val="clear" w:color="auto" w:fill="auto"/>
            <w:noWrap/>
            <w:vAlign w:val="bottom"/>
            <w:hideMark/>
          </w:tcPr>
          <w:p w14:paraId="180DF1F0"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 xml:space="preserve">% </w:t>
            </w:r>
            <w:proofErr w:type="gramStart"/>
            <w:r w:rsidRPr="00297AAB">
              <w:rPr>
                <w:rFonts w:ascii="Times New Roman" w:eastAsia="Times New Roman" w:hAnsi="Times New Roman" w:cs="Times New Roman"/>
                <w:color w:val="000000"/>
                <w:sz w:val="20"/>
                <w:szCs w:val="20"/>
              </w:rPr>
              <w:t>of</w:t>
            </w:r>
            <w:proofErr w:type="gramEnd"/>
            <w:r w:rsidRPr="00297AAB">
              <w:rPr>
                <w:rFonts w:ascii="Times New Roman" w:eastAsia="Times New Roman" w:hAnsi="Times New Roman" w:cs="Times New Roman"/>
                <w:color w:val="000000"/>
                <w:sz w:val="20"/>
                <w:szCs w:val="20"/>
              </w:rPr>
              <w:t xml:space="preserve"> Area</w:t>
            </w:r>
          </w:p>
        </w:tc>
        <w:tc>
          <w:tcPr>
            <w:tcW w:w="1260" w:type="dxa"/>
            <w:tcBorders>
              <w:top w:val="single" w:sz="4" w:space="0" w:color="auto"/>
              <w:left w:val="nil"/>
              <w:bottom w:val="single" w:sz="4" w:space="0" w:color="auto"/>
              <w:right w:val="nil"/>
            </w:tcBorders>
            <w:shd w:val="clear" w:color="auto" w:fill="auto"/>
            <w:noWrap/>
            <w:vAlign w:val="bottom"/>
            <w:hideMark/>
          </w:tcPr>
          <w:p w14:paraId="6A074CCA"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Expected Sites</w:t>
            </w:r>
          </w:p>
        </w:tc>
        <w:tc>
          <w:tcPr>
            <w:tcW w:w="960" w:type="dxa"/>
            <w:tcBorders>
              <w:top w:val="single" w:sz="4" w:space="0" w:color="auto"/>
              <w:left w:val="nil"/>
              <w:bottom w:val="single" w:sz="4" w:space="0" w:color="auto"/>
              <w:right w:val="nil"/>
            </w:tcBorders>
            <w:shd w:val="clear" w:color="auto" w:fill="auto"/>
            <w:noWrap/>
            <w:vAlign w:val="bottom"/>
            <w:hideMark/>
          </w:tcPr>
          <w:p w14:paraId="3519E1F6"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Observed Sites</w:t>
            </w:r>
          </w:p>
        </w:tc>
        <w:tc>
          <w:tcPr>
            <w:tcW w:w="900" w:type="dxa"/>
            <w:tcBorders>
              <w:top w:val="single" w:sz="4" w:space="0" w:color="auto"/>
              <w:left w:val="nil"/>
              <w:bottom w:val="single" w:sz="4" w:space="0" w:color="auto"/>
              <w:right w:val="nil"/>
            </w:tcBorders>
            <w:shd w:val="clear" w:color="auto" w:fill="auto"/>
            <w:noWrap/>
            <w:vAlign w:val="bottom"/>
            <w:hideMark/>
          </w:tcPr>
          <w:p w14:paraId="3CFE6885"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 Sites</w:t>
            </w:r>
          </w:p>
        </w:tc>
        <w:tc>
          <w:tcPr>
            <w:tcW w:w="880" w:type="dxa"/>
            <w:tcBorders>
              <w:top w:val="single" w:sz="4" w:space="0" w:color="auto"/>
              <w:left w:val="nil"/>
              <w:bottom w:val="single" w:sz="4" w:space="0" w:color="auto"/>
              <w:right w:val="nil"/>
            </w:tcBorders>
            <w:shd w:val="clear" w:color="auto" w:fill="auto"/>
            <w:noWrap/>
            <w:vAlign w:val="bottom"/>
            <w:hideMark/>
          </w:tcPr>
          <w:p w14:paraId="06FC7B1B"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χ2</w:t>
            </w:r>
          </w:p>
        </w:tc>
        <w:tc>
          <w:tcPr>
            <w:tcW w:w="900" w:type="dxa"/>
            <w:tcBorders>
              <w:top w:val="single" w:sz="4" w:space="0" w:color="auto"/>
              <w:left w:val="nil"/>
              <w:bottom w:val="single" w:sz="4" w:space="0" w:color="auto"/>
              <w:right w:val="nil"/>
            </w:tcBorders>
            <w:shd w:val="clear" w:color="auto" w:fill="auto"/>
            <w:noWrap/>
            <w:vAlign w:val="bottom"/>
            <w:hideMark/>
          </w:tcPr>
          <w:p w14:paraId="1F0B648C"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Gain</w:t>
            </w:r>
          </w:p>
        </w:tc>
      </w:tr>
      <w:tr w:rsidR="00297AAB" w:rsidRPr="00297AAB" w14:paraId="10D472C4" w14:textId="77777777" w:rsidTr="00297AAB">
        <w:trPr>
          <w:trHeight w:val="280"/>
        </w:trPr>
        <w:tc>
          <w:tcPr>
            <w:tcW w:w="1700" w:type="dxa"/>
            <w:tcBorders>
              <w:top w:val="nil"/>
              <w:left w:val="nil"/>
              <w:bottom w:val="nil"/>
              <w:right w:val="nil"/>
            </w:tcBorders>
            <w:shd w:val="clear" w:color="auto" w:fill="auto"/>
            <w:noWrap/>
            <w:vAlign w:val="bottom"/>
            <w:hideMark/>
          </w:tcPr>
          <w:p w14:paraId="5BEF4367" w14:textId="77777777" w:rsidR="00297AAB" w:rsidRPr="00297AAB" w:rsidRDefault="00297AAB" w:rsidP="00297AAB">
            <w:pPr>
              <w:spacing w:after="0" w:line="240" w:lineRule="auto"/>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Zone 1 (High)</w:t>
            </w:r>
          </w:p>
        </w:tc>
        <w:tc>
          <w:tcPr>
            <w:tcW w:w="1340" w:type="dxa"/>
            <w:tcBorders>
              <w:top w:val="nil"/>
              <w:left w:val="nil"/>
              <w:bottom w:val="nil"/>
              <w:right w:val="nil"/>
            </w:tcBorders>
            <w:shd w:val="clear" w:color="auto" w:fill="auto"/>
            <w:noWrap/>
            <w:vAlign w:val="bottom"/>
            <w:hideMark/>
          </w:tcPr>
          <w:p w14:paraId="04F9B0AC"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353127618</w:t>
            </w:r>
          </w:p>
        </w:tc>
        <w:tc>
          <w:tcPr>
            <w:tcW w:w="920" w:type="dxa"/>
            <w:tcBorders>
              <w:top w:val="nil"/>
              <w:left w:val="nil"/>
              <w:bottom w:val="nil"/>
              <w:right w:val="nil"/>
            </w:tcBorders>
            <w:shd w:val="clear" w:color="auto" w:fill="auto"/>
            <w:noWrap/>
            <w:vAlign w:val="bottom"/>
            <w:hideMark/>
          </w:tcPr>
          <w:p w14:paraId="79FB5953"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14.2</w:t>
            </w:r>
          </w:p>
        </w:tc>
        <w:tc>
          <w:tcPr>
            <w:tcW w:w="1260" w:type="dxa"/>
            <w:tcBorders>
              <w:top w:val="nil"/>
              <w:left w:val="nil"/>
              <w:bottom w:val="nil"/>
              <w:right w:val="nil"/>
            </w:tcBorders>
            <w:shd w:val="clear" w:color="auto" w:fill="auto"/>
            <w:noWrap/>
            <w:vAlign w:val="bottom"/>
            <w:hideMark/>
          </w:tcPr>
          <w:p w14:paraId="3A9EB0C0"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565.9</w:t>
            </w:r>
          </w:p>
        </w:tc>
        <w:tc>
          <w:tcPr>
            <w:tcW w:w="960" w:type="dxa"/>
            <w:tcBorders>
              <w:top w:val="nil"/>
              <w:left w:val="nil"/>
              <w:bottom w:val="nil"/>
              <w:right w:val="nil"/>
            </w:tcBorders>
            <w:shd w:val="clear" w:color="auto" w:fill="auto"/>
            <w:noWrap/>
            <w:vAlign w:val="bottom"/>
            <w:hideMark/>
          </w:tcPr>
          <w:p w14:paraId="74EF894B"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1156</w:t>
            </w:r>
          </w:p>
        </w:tc>
        <w:tc>
          <w:tcPr>
            <w:tcW w:w="900" w:type="dxa"/>
            <w:tcBorders>
              <w:top w:val="nil"/>
              <w:left w:val="nil"/>
              <w:bottom w:val="nil"/>
              <w:right w:val="nil"/>
            </w:tcBorders>
            <w:shd w:val="clear" w:color="auto" w:fill="auto"/>
            <w:noWrap/>
            <w:vAlign w:val="bottom"/>
            <w:hideMark/>
          </w:tcPr>
          <w:p w14:paraId="2472F065"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29.0</w:t>
            </w:r>
          </w:p>
        </w:tc>
        <w:tc>
          <w:tcPr>
            <w:tcW w:w="880" w:type="dxa"/>
            <w:tcBorders>
              <w:top w:val="nil"/>
              <w:left w:val="nil"/>
              <w:bottom w:val="nil"/>
              <w:right w:val="nil"/>
            </w:tcBorders>
            <w:shd w:val="clear" w:color="auto" w:fill="auto"/>
            <w:noWrap/>
            <w:vAlign w:val="bottom"/>
            <w:hideMark/>
          </w:tcPr>
          <w:p w14:paraId="687D06C4" w14:textId="77777777" w:rsidR="00297AAB" w:rsidRPr="00297AAB" w:rsidRDefault="00297AAB" w:rsidP="00297AAB">
            <w:pPr>
              <w:spacing w:after="0" w:line="240" w:lineRule="auto"/>
              <w:jc w:val="center"/>
              <w:rPr>
                <w:rFonts w:ascii="Times New Roman" w:eastAsia="Times New Roman" w:hAnsi="Times New Roman" w:cs="Times New Roman"/>
                <w:sz w:val="20"/>
                <w:szCs w:val="20"/>
              </w:rPr>
            </w:pPr>
            <w:r w:rsidRPr="00297AAB">
              <w:rPr>
                <w:rFonts w:ascii="Times New Roman" w:eastAsia="Times New Roman" w:hAnsi="Times New Roman" w:cs="Times New Roman"/>
                <w:sz w:val="20"/>
                <w:szCs w:val="20"/>
              </w:rPr>
              <w:t>615.2</w:t>
            </w:r>
          </w:p>
        </w:tc>
        <w:tc>
          <w:tcPr>
            <w:tcW w:w="900" w:type="dxa"/>
            <w:tcBorders>
              <w:top w:val="nil"/>
              <w:left w:val="nil"/>
              <w:bottom w:val="nil"/>
              <w:right w:val="nil"/>
            </w:tcBorders>
            <w:shd w:val="clear" w:color="auto" w:fill="auto"/>
            <w:noWrap/>
            <w:vAlign w:val="bottom"/>
            <w:hideMark/>
          </w:tcPr>
          <w:p w14:paraId="1F797043"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0.51</w:t>
            </w:r>
          </w:p>
        </w:tc>
      </w:tr>
      <w:tr w:rsidR="00297AAB" w:rsidRPr="00297AAB" w14:paraId="6371C31A" w14:textId="77777777" w:rsidTr="00297AAB">
        <w:trPr>
          <w:trHeight w:val="280"/>
        </w:trPr>
        <w:tc>
          <w:tcPr>
            <w:tcW w:w="1700" w:type="dxa"/>
            <w:tcBorders>
              <w:top w:val="nil"/>
              <w:left w:val="nil"/>
              <w:bottom w:val="nil"/>
              <w:right w:val="nil"/>
            </w:tcBorders>
            <w:shd w:val="clear" w:color="auto" w:fill="auto"/>
            <w:noWrap/>
            <w:vAlign w:val="bottom"/>
            <w:hideMark/>
          </w:tcPr>
          <w:p w14:paraId="41437410" w14:textId="77777777" w:rsidR="00297AAB" w:rsidRPr="00297AAB" w:rsidRDefault="00297AAB" w:rsidP="00297AAB">
            <w:pPr>
              <w:spacing w:after="0" w:line="240" w:lineRule="auto"/>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Zone 2 (Medium)</w:t>
            </w:r>
          </w:p>
        </w:tc>
        <w:tc>
          <w:tcPr>
            <w:tcW w:w="1340" w:type="dxa"/>
            <w:tcBorders>
              <w:top w:val="nil"/>
              <w:left w:val="nil"/>
              <w:bottom w:val="nil"/>
              <w:right w:val="nil"/>
            </w:tcBorders>
            <w:shd w:val="clear" w:color="auto" w:fill="auto"/>
            <w:noWrap/>
            <w:vAlign w:val="bottom"/>
            <w:hideMark/>
          </w:tcPr>
          <w:p w14:paraId="53C85FC1"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1000159583</w:t>
            </w:r>
          </w:p>
        </w:tc>
        <w:tc>
          <w:tcPr>
            <w:tcW w:w="920" w:type="dxa"/>
            <w:tcBorders>
              <w:top w:val="nil"/>
              <w:left w:val="nil"/>
              <w:bottom w:val="nil"/>
              <w:right w:val="nil"/>
            </w:tcBorders>
            <w:shd w:val="clear" w:color="auto" w:fill="auto"/>
            <w:noWrap/>
            <w:vAlign w:val="bottom"/>
            <w:hideMark/>
          </w:tcPr>
          <w:p w14:paraId="490E5611"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40.2</w:t>
            </w:r>
          </w:p>
        </w:tc>
        <w:tc>
          <w:tcPr>
            <w:tcW w:w="1260" w:type="dxa"/>
            <w:tcBorders>
              <w:top w:val="nil"/>
              <w:left w:val="nil"/>
              <w:bottom w:val="nil"/>
              <w:right w:val="nil"/>
            </w:tcBorders>
            <w:shd w:val="clear" w:color="auto" w:fill="auto"/>
            <w:noWrap/>
            <w:vAlign w:val="bottom"/>
            <w:hideMark/>
          </w:tcPr>
          <w:p w14:paraId="460893AE"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1602.9</w:t>
            </w:r>
          </w:p>
        </w:tc>
        <w:tc>
          <w:tcPr>
            <w:tcW w:w="960" w:type="dxa"/>
            <w:tcBorders>
              <w:top w:val="nil"/>
              <w:left w:val="nil"/>
              <w:bottom w:val="nil"/>
              <w:right w:val="nil"/>
            </w:tcBorders>
            <w:shd w:val="clear" w:color="auto" w:fill="auto"/>
            <w:noWrap/>
            <w:vAlign w:val="bottom"/>
            <w:hideMark/>
          </w:tcPr>
          <w:p w14:paraId="52165B51"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1889</w:t>
            </w:r>
          </w:p>
        </w:tc>
        <w:tc>
          <w:tcPr>
            <w:tcW w:w="900" w:type="dxa"/>
            <w:tcBorders>
              <w:top w:val="nil"/>
              <w:left w:val="nil"/>
              <w:bottom w:val="nil"/>
              <w:right w:val="nil"/>
            </w:tcBorders>
            <w:shd w:val="clear" w:color="auto" w:fill="auto"/>
            <w:noWrap/>
            <w:vAlign w:val="bottom"/>
            <w:hideMark/>
          </w:tcPr>
          <w:p w14:paraId="3EBA1BDA"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47.4</w:t>
            </w:r>
          </w:p>
        </w:tc>
        <w:tc>
          <w:tcPr>
            <w:tcW w:w="880" w:type="dxa"/>
            <w:tcBorders>
              <w:top w:val="nil"/>
              <w:left w:val="nil"/>
              <w:bottom w:val="nil"/>
              <w:right w:val="nil"/>
            </w:tcBorders>
            <w:shd w:val="clear" w:color="auto" w:fill="auto"/>
            <w:noWrap/>
            <w:vAlign w:val="bottom"/>
            <w:hideMark/>
          </w:tcPr>
          <w:p w14:paraId="04CB437B" w14:textId="77777777" w:rsidR="00297AAB" w:rsidRPr="00297AAB" w:rsidRDefault="00297AAB" w:rsidP="00297AAB">
            <w:pPr>
              <w:spacing w:after="0" w:line="240" w:lineRule="auto"/>
              <w:jc w:val="center"/>
              <w:rPr>
                <w:rFonts w:ascii="Times New Roman" w:eastAsia="Times New Roman" w:hAnsi="Times New Roman" w:cs="Times New Roman"/>
                <w:sz w:val="20"/>
                <w:szCs w:val="20"/>
              </w:rPr>
            </w:pPr>
            <w:r w:rsidRPr="00297AAB">
              <w:rPr>
                <w:rFonts w:ascii="Times New Roman" w:eastAsia="Times New Roman" w:hAnsi="Times New Roman" w:cs="Times New Roman"/>
                <w:sz w:val="20"/>
                <w:szCs w:val="20"/>
              </w:rPr>
              <w:t>51.1</w:t>
            </w:r>
          </w:p>
        </w:tc>
        <w:tc>
          <w:tcPr>
            <w:tcW w:w="900" w:type="dxa"/>
            <w:tcBorders>
              <w:top w:val="nil"/>
              <w:left w:val="nil"/>
              <w:bottom w:val="nil"/>
              <w:right w:val="nil"/>
            </w:tcBorders>
            <w:shd w:val="clear" w:color="auto" w:fill="auto"/>
            <w:noWrap/>
            <w:vAlign w:val="bottom"/>
            <w:hideMark/>
          </w:tcPr>
          <w:p w14:paraId="04E86B87"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0.15</w:t>
            </w:r>
          </w:p>
        </w:tc>
      </w:tr>
      <w:tr w:rsidR="00297AAB" w:rsidRPr="00297AAB" w14:paraId="343BE384" w14:textId="77777777" w:rsidTr="00297AAB">
        <w:trPr>
          <w:trHeight w:val="280"/>
        </w:trPr>
        <w:tc>
          <w:tcPr>
            <w:tcW w:w="1700" w:type="dxa"/>
            <w:tcBorders>
              <w:top w:val="nil"/>
              <w:left w:val="nil"/>
              <w:bottom w:val="nil"/>
              <w:right w:val="nil"/>
            </w:tcBorders>
            <w:shd w:val="clear" w:color="auto" w:fill="auto"/>
            <w:noWrap/>
            <w:vAlign w:val="bottom"/>
            <w:hideMark/>
          </w:tcPr>
          <w:p w14:paraId="1E56AAF8" w14:textId="77777777" w:rsidR="00297AAB" w:rsidRPr="00297AAB" w:rsidRDefault="00297AAB" w:rsidP="00297AAB">
            <w:pPr>
              <w:spacing w:after="0" w:line="240" w:lineRule="auto"/>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Zone 2 (Low)</w:t>
            </w:r>
          </w:p>
        </w:tc>
        <w:tc>
          <w:tcPr>
            <w:tcW w:w="1340" w:type="dxa"/>
            <w:tcBorders>
              <w:top w:val="nil"/>
              <w:left w:val="nil"/>
              <w:bottom w:val="nil"/>
              <w:right w:val="nil"/>
            </w:tcBorders>
            <w:shd w:val="clear" w:color="auto" w:fill="auto"/>
            <w:noWrap/>
            <w:vAlign w:val="bottom"/>
            <w:hideMark/>
          </w:tcPr>
          <w:p w14:paraId="7DE99C7E"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1133802258</w:t>
            </w:r>
          </w:p>
        </w:tc>
        <w:tc>
          <w:tcPr>
            <w:tcW w:w="920" w:type="dxa"/>
            <w:tcBorders>
              <w:top w:val="nil"/>
              <w:left w:val="nil"/>
              <w:bottom w:val="nil"/>
              <w:right w:val="nil"/>
            </w:tcBorders>
            <w:shd w:val="clear" w:color="auto" w:fill="auto"/>
            <w:noWrap/>
            <w:vAlign w:val="bottom"/>
            <w:hideMark/>
          </w:tcPr>
          <w:p w14:paraId="06259B04"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45.6</w:t>
            </w:r>
          </w:p>
        </w:tc>
        <w:tc>
          <w:tcPr>
            <w:tcW w:w="1260" w:type="dxa"/>
            <w:tcBorders>
              <w:top w:val="nil"/>
              <w:left w:val="nil"/>
              <w:bottom w:val="nil"/>
              <w:right w:val="nil"/>
            </w:tcBorders>
            <w:shd w:val="clear" w:color="auto" w:fill="auto"/>
            <w:noWrap/>
            <w:vAlign w:val="bottom"/>
            <w:hideMark/>
          </w:tcPr>
          <w:p w14:paraId="6BB8AB10"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1817.1</w:t>
            </w:r>
          </w:p>
        </w:tc>
        <w:tc>
          <w:tcPr>
            <w:tcW w:w="960" w:type="dxa"/>
            <w:tcBorders>
              <w:top w:val="nil"/>
              <w:left w:val="nil"/>
              <w:bottom w:val="nil"/>
              <w:right w:val="nil"/>
            </w:tcBorders>
            <w:shd w:val="clear" w:color="auto" w:fill="auto"/>
            <w:noWrap/>
            <w:vAlign w:val="bottom"/>
            <w:hideMark/>
          </w:tcPr>
          <w:p w14:paraId="26877103"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941</w:t>
            </w:r>
          </w:p>
        </w:tc>
        <w:tc>
          <w:tcPr>
            <w:tcW w:w="900" w:type="dxa"/>
            <w:tcBorders>
              <w:top w:val="nil"/>
              <w:left w:val="nil"/>
              <w:bottom w:val="nil"/>
              <w:right w:val="nil"/>
            </w:tcBorders>
            <w:shd w:val="clear" w:color="auto" w:fill="auto"/>
            <w:noWrap/>
            <w:vAlign w:val="bottom"/>
            <w:hideMark/>
          </w:tcPr>
          <w:p w14:paraId="35073EA8"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23.6</w:t>
            </w:r>
          </w:p>
        </w:tc>
        <w:tc>
          <w:tcPr>
            <w:tcW w:w="880" w:type="dxa"/>
            <w:tcBorders>
              <w:top w:val="nil"/>
              <w:left w:val="nil"/>
              <w:bottom w:val="nil"/>
              <w:right w:val="nil"/>
            </w:tcBorders>
            <w:shd w:val="clear" w:color="auto" w:fill="auto"/>
            <w:noWrap/>
            <w:vAlign w:val="bottom"/>
            <w:hideMark/>
          </w:tcPr>
          <w:p w14:paraId="71FB8034" w14:textId="77777777" w:rsidR="00297AAB" w:rsidRPr="00297AAB" w:rsidRDefault="00297AAB" w:rsidP="00297AAB">
            <w:pPr>
              <w:spacing w:after="0" w:line="240" w:lineRule="auto"/>
              <w:jc w:val="center"/>
              <w:rPr>
                <w:rFonts w:ascii="Times New Roman" w:eastAsia="Times New Roman" w:hAnsi="Times New Roman" w:cs="Times New Roman"/>
                <w:sz w:val="20"/>
                <w:szCs w:val="20"/>
              </w:rPr>
            </w:pPr>
            <w:r w:rsidRPr="00297AAB">
              <w:rPr>
                <w:rFonts w:ascii="Times New Roman" w:eastAsia="Times New Roman" w:hAnsi="Times New Roman" w:cs="Times New Roman"/>
                <w:sz w:val="20"/>
                <w:szCs w:val="20"/>
              </w:rPr>
              <w:t>422.4</w:t>
            </w:r>
          </w:p>
        </w:tc>
        <w:tc>
          <w:tcPr>
            <w:tcW w:w="900" w:type="dxa"/>
            <w:tcBorders>
              <w:top w:val="nil"/>
              <w:left w:val="nil"/>
              <w:bottom w:val="nil"/>
              <w:right w:val="nil"/>
            </w:tcBorders>
            <w:shd w:val="clear" w:color="auto" w:fill="auto"/>
            <w:noWrap/>
            <w:vAlign w:val="bottom"/>
            <w:hideMark/>
          </w:tcPr>
          <w:p w14:paraId="58724E8A"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-0.93</w:t>
            </w:r>
          </w:p>
        </w:tc>
      </w:tr>
      <w:tr w:rsidR="00297AAB" w:rsidRPr="00297AAB" w14:paraId="09366A99" w14:textId="77777777" w:rsidTr="00297AAB">
        <w:trPr>
          <w:trHeight w:val="280"/>
        </w:trPr>
        <w:tc>
          <w:tcPr>
            <w:tcW w:w="1700" w:type="dxa"/>
            <w:tcBorders>
              <w:top w:val="single" w:sz="4" w:space="0" w:color="auto"/>
              <w:left w:val="nil"/>
              <w:bottom w:val="single" w:sz="4" w:space="0" w:color="auto"/>
              <w:right w:val="nil"/>
            </w:tcBorders>
            <w:shd w:val="clear" w:color="auto" w:fill="auto"/>
            <w:noWrap/>
            <w:vAlign w:val="bottom"/>
            <w:hideMark/>
          </w:tcPr>
          <w:p w14:paraId="7894218E" w14:textId="77777777" w:rsidR="00297AAB" w:rsidRPr="00297AAB" w:rsidRDefault="00297AAB" w:rsidP="00297AAB">
            <w:pPr>
              <w:spacing w:after="0" w:line="240" w:lineRule="auto"/>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Total</w:t>
            </w:r>
          </w:p>
        </w:tc>
        <w:tc>
          <w:tcPr>
            <w:tcW w:w="1340" w:type="dxa"/>
            <w:tcBorders>
              <w:top w:val="single" w:sz="4" w:space="0" w:color="auto"/>
              <w:left w:val="nil"/>
              <w:bottom w:val="single" w:sz="4" w:space="0" w:color="auto"/>
              <w:right w:val="nil"/>
            </w:tcBorders>
            <w:shd w:val="clear" w:color="auto" w:fill="auto"/>
            <w:noWrap/>
            <w:vAlign w:val="bottom"/>
            <w:hideMark/>
          </w:tcPr>
          <w:p w14:paraId="65D84649"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2487089459</w:t>
            </w:r>
          </w:p>
        </w:tc>
        <w:tc>
          <w:tcPr>
            <w:tcW w:w="920" w:type="dxa"/>
            <w:tcBorders>
              <w:top w:val="single" w:sz="4" w:space="0" w:color="auto"/>
              <w:left w:val="nil"/>
              <w:bottom w:val="single" w:sz="4" w:space="0" w:color="auto"/>
              <w:right w:val="nil"/>
            </w:tcBorders>
            <w:shd w:val="clear" w:color="auto" w:fill="auto"/>
            <w:noWrap/>
            <w:vAlign w:val="bottom"/>
            <w:hideMark/>
          </w:tcPr>
          <w:p w14:paraId="350D488B"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100.0</w:t>
            </w:r>
          </w:p>
        </w:tc>
        <w:tc>
          <w:tcPr>
            <w:tcW w:w="1260" w:type="dxa"/>
            <w:tcBorders>
              <w:top w:val="single" w:sz="4" w:space="0" w:color="auto"/>
              <w:left w:val="nil"/>
              <w:bottom w:val="single" w:sz="4" w:space="0" w:color="auto"/>
              <w:right w:val="nil"/>
            </w:tcBorders>
            <w:shd w:val="clear" w:color="auto" w:fill="auto"/>
            <w:noWrap/>
            <w:vAlign w:val="bottom"/>
            <w:hideMark/>
          </w:tcPr>
          <w:p w14:paraId="59A4D728"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3986.0</w:t>
            </w:r>
          </w:p>
        </w:tc>
        <w:tc>
          <w:tcPr>
            <w:tcW w:w="960" w:type="dxa"/>
            <w:tcBorders>
              <w:top w:val="single" w:sz="4" w:space="0" w:color="auto"/>
              <w:left w:val="nil"/>
              <w:bottom w:val="single" w:sz="4" w:space="0" w:color="auto"/>
              <w:right w:val="nil"/>
            </w:tcBorders>
            <w:shd w:val="clear" w:color="auto" w:fill="auto"/>
            <w:noWrap/>
            <w:vAlign w:val="bottom"/>
            <w:hideMark/>
          </w:tcPr>
          <w:p w14:paraId="23DF117E"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3986</w:t>
            </w:r>
          </w:p>
        </w:tc>
        <w:tc>
          <w:tcPr>
            <w:tcW w:w="900" w:type="dxa"/>
            <w:tcBorders>
              <w:top w:val="single" w:sz="4" w:space="0" w:color="auto"/>
              <w:left w:val="nil"/>
              <w:bottom w:val="single" w:sz="4" w:space="0" w:color="auto"/>
              <w:right w:val="nil"/>
            </w:tcBorders>
            <w:shd w:val="clear" w:color="auto" w:fill="auto"/>
            <w:noWrap/>
            <w:vAlign w:val="bottom"/>
            <w:hideMark/>
          </w:tcPr>
          <w:p w14:paraId="3FAEE132"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100.0</w:t>
            </w:r>
          </w:p>
        </w:tc>
        <w:tc>
          <w:tcPr>
            <w:tcW w:w="880" w:type="dxa"/>
            <w:tcBorders>
              <w:top w:val="single" w:sz="4" w:space="0" w:color="auto"/>
              <w:left w:val="nil"/>
              <w:bottom w:val="single" w:sz="4" w:space="0" w:color="auto"/>
              <w:right w:val="nil"/>
            </w:tcBorders>
            <w:shd w:val="clear" w:color="auto" w:fill="auto"/>
            <w:noWrap/>
            <w:vAlign w:val="bottom"/>
            <w:hideMark/>
          </w:tcPr>
          <w:p w14:paraId="33020D83" w14:textId="77777777" w:rsidR="00297AAB" w:rsidRPr="00297AAB" w:rsidRDefault="00297AAB" w:rsidP="00297AAB">
            <w:pPr>
              <w:spacing w:after="0" w:line="240" w:lineRule="auto"/>
              <w:jc w:val="center"/>
              <w:rPr>
                <w:rFonts w:ascii="Times New Roman" w:eastAsia="Times New Roman" w:hAnsi="Times New Roman" w:cs="Times New Roman"/>
                <w:sz w:val="20"/>
                <w:szCs w:val="20"/>
              </w:rPr>
            </w:pPr>
            <w:r w:rsidRPr="00297AAB">
              <w:rPr>
                <w:rFonts w:ascii="Times New Roman" w:eastAsia="Times New Roman" w:hAnsi="Times New Roman" w:cs="Times New Roman"/>
                <w:sz w:val="20"/>
                <w:szCs w:val="20"/>
              </w:rPr>
              <w:t>1088.6</w:t>
            </w:r>
          </w:p>
        </w:tc>
        <w:tc>
          <w:tcPr>
            <w:tcW w:w="900" w:type="dxa"/>
            <w:tcBorders>
              <w:top w:val="single" w:sz="4" w:space="0" w:color="auto"/>
              <w:left w:val="nil"/>
              <w:bottom w:val="single" w:sz="4" w:space="0" w:color="auto"/>
              <w:right w:val="nil"/>
            </w:tcBorders>
            <w:shd w:val="clear" w:color="auto" w:fill="auto"/>
            <w:noWrap/>
            <w:vAlign w:val="bottom"/>
            <w:hideMark/>
          </w:tcPr>
          <w:p w14:paraId="70CD25F7"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w:t>
            </w:r>
          </w:p>
        </w:tc>
      </w:tr>
      <w:tr w:rsidR="00297AAB" w:rsidRPr="00297AAB" w14:paraId="5B4D2D72" w14:textId="77777777" w:rsidTr="00297AAB">
        <w:trPr>
          <w:trHeight w:val="280"/>
        </w:trPr>
        <w:tc>
          <w:tcPr>
            <w:tcW w:w="3040" w:type="dxa"/>
            <w:gridSpan w:val="2"/>
            <w:tcBorders>
              <w:top w:val="nil"/>
              <w:left w:val="nil"/>
              <w:bottom w:val="nil"/>
              <w:right w:val="nil"/>
            </w:tcBorders>
            <w:shd w:val="clear" w:color="auto" w:fill="auto"/>
            <w:noWrap/>
            <w:vAlign w:val="bottom"/>
            <w:hideMark/>
          </w:tcPr>
          <w:p w14:paraId="07A4186C" w14:textId="77777777" w:rsidR="00297AAB" w:rsidRPr="00297AAB" w:rsidRDefault="00297AAB" w:rsidP="00297AAB">
            <w:pPr>
              <w:spacing w:after="0" w:line="240" w:lineRule="auto"/>
              <w:rPr>
                <w:rFonts w:ascii="Times New Roman" w:eastAsia="Times New Roman" w:hAnsi="Times New Roman" w:cs="Times New Roman"/>
                <w:color w:val="000000"/>
                <w:sz w:val="20"/>
                <w:szCs w:val="20"/>
              </w:rPr>
            </w:pPr>
            <w:proofErr w:type="spellStart"/>
            <w:proofErr w:type="gramStart"/>
            <w:r w:rsidRPr="00297AAB">
              <w:rPr>
                <w:rFonts w:ascii="Times New Roman" w:eastAsia="Times New Roman" w:hAnsi="Times New Roman" w:cs="Times New Roman"/>
                <w:color w:val="000000"/>
                <w:sz w:val="20"/>
                <w:szCs w:val="20"/>
              </w:rPr>
              <w:t>df</w:t>
            </w:r>
            <w:proofErr w:type="spellEnd"/>
            <w:proofErr w:type="gramEnd"/>
            <w:r w:rsidRPr="00297AAB">
              <w:rPr>
                <w:rFonts w:ascii="Times New Roman" w:eastAsia="Times New Roman" w:hAnsi="Times New Roman" w:cs="Times New Roman"/>
                <w:color w:val="000000"/>
                <w:sz w:val="20"/>
                <w:szCs w:val="20"/>
              </w:rPr>
              <w:t xml:space="preserve"> = 2, α = .05, sig of χ2 ≥ 5.99</w:t>
            </w:r>
          </w:p>
        </w:tc>
        <w:tc>
          <w:tcPr>
            <w:tcW w:w="920" w:type="dxa"/>
            <w:tcBorders>
              <w:top w:val="nil"/>
              <w:left w:val="nil"/>
              <w:bottom w:val="nil"/>
              <w:right w:val="nil"/>
            </w:tcBorders>
            <w:shd w:val="clear" w:color="auto" w:fill="auto"/>
            <w:noWrap/>
            <w:vAlign w:val="bottom"/>
            <w:hideMark/>
          </w:tcPr>
          <w:p w14:paraId="3D499A7C"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p>
        </w:tc>
        <w:tc>
          <w:tcPr>
            <w:tcW w:w="1260" w:type="dxa"/>
            <w:tcBorders>
              <w:top w:val="nil"/>
              <w:left w:val="nil"/>
              <w:bottom w:val="nil"/>
              <w:right w:val="nil"/>
            </w:tcBorders>
            <w:shd w:val="clear" w:color="auto" w:fill="auto"/>
            <w:noWrap/>
            <w:vAlign w:val="bottom"/>
            <w:hideMark/>
          </w:tcPr>
          <w:p w14:paraId="4BB86A2D"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7CCE2619"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p>
        </w:tc>
        <w:tc>
          <w:tcPr>
            <w:tcW w:w="900" w:type="dxa"/>
            <w:tcBorders>
              <w:top w:val="nil"/>
              <w:left w:val="nil"/>
              <w:bottom w:val="nil"/>
              <w:right w:val="nil"/>
            </w:tcBorders>
            <w:shd w:val="clear" w:color="auto" w:fill="auto"/>
            <w:noWrap/>
            <w:vAlign w:val="bottom"/>
            <w:hideMark/>
          </w:tcPr>
          <w:p w14:paraId="0B98808D"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p>
        </w:tc>
        <w:tc>
          <w:tcPr>
            <w:tcW w:w="880" w:type="dxa"/>
            <w:tcBorders>
              <w:top w:val="nil"/>
              <w:left w:val="nil"/>
              <w:bottom w:val="nil"/>
              <w:right w:val="nil"/>
            </w:tcBorders>
            <w:shd w:val="clear" w:color="auto" w:fill="auto"/>
            <w:noWrap/>
            <w:vAlign w:val="bottom"/>
            <w:hideMark/>
          </w:tcPr>
          <w:p w14:paraId="74885140" w14:textId="77777777" w:rsidR="00297AAB" w:rsidRPr="00297AAB" w:rsidRDefault="00297AAB" w:rsidP="00297AAB">
            <w:pPr>
              <w:spacing w:after="0"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shd w:val="clear" w:color="auto" w:fill="auto"/>
            <w:noWrap/>
            <w:vAlign w:val="bottom"/>
            <w:hideMark/>
          </w:tcPr>
          <w:p w14:paraId="2CA1EEA6"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p>
        </w:tc>
      </w:tr>
    </w:tbl>
    <w:p w14:paraId="6DFF0EE7" w14:textId="09803FF7" w:rsidR="00A00D22" w:rsidRDefault="00A00D22" w:rsidP="00297AAB">
      <w:pPr>
        <w:spacing w:line="240" w:lineRule="auto"/>
        <w:rPr>
          <w:rFonts w:ascii="Times New Roman" w:eastAsia="Times New Roman" w:hAnsi="Times New Roman" w:cs="Times New Roman"/>
          <w:color w:val="000000"/>
          <w:sz w:val="20"/>
          <w:szCs w:val="20"/>
        </w:rPr>
      </w:pPr>
    </w:p>
    <w:p w14:paraId="6CEBA954" w14:textId="77777777" w:rsidR="00A00D22" w:rsidRDefault="00A00D22" w:rsidP="00A00D22">
      <w:pPr>
        <w:spacing w:line="240" w:lineRule="auto"/>
        <w:rPr>
          <w:rFonts w:ascii="Times New Roman" w:eastAsia="Times New Roman" w:hAnsi="Times New Roman" w:cs="Times New Roman"/>
          <w:color w:val="000000"/>
          <w:sz w:val="20"/>
          <w:szCs w:val="20"/>
        </w:rPr>
      </w:pPr>
    </w:p>
    <w:p w14:paraId="27CBEDA2" w14:textId="77777777" w:rsidR="00B70F57" w:rsidRDefault="00B70F57" w:rsidP="00A00D22">
      <w:pPr>
        <w:spacing w:line="240" w:lineRule="auto"/>
        <w:rPr>
          <w:rFonts w:ascii="Times New Roman" w:hAnsi="Times New Roman" w:cs="Times New Roman"/>
        </w:rPr>
      </w:pPr>
      <w:r w:rsidRPr="00007D2A">
        <w:rPr>
          <w:rFonts w:ascii="Times New Roman" w:hAnsi="Times New Roman" w:cs="Times New Roman"/>
          <w:b/>
        </w:rPr>
        <w:t>Table 6.</w:t>
      </w:r>
      <w:r>
        <w:rPr>
          <w:rFonts w:ascii="Times New Roman" w:hAnsi="Times New Roman" w:cs="Times New Roman"/>
          <w:b/>
        </w:rPr>
        <w:t>4</w:t>
      </w:r>
      <w:r w:rsidRPr="00007D2A">
        <w:rPr>
          <w:rFonts w:ascii="Times New Roman" w:hAnsi="Times New Roman" w:cs="Times New Roman"/>
          <w:b/>
        </w:rPr>
        <w:t>.</w:t>
      </w:r>
      <w:r w:rsidRPr="00007D2A">
        <w:rPr>
          <w:rFonts w:ascii="Times New Roman" w:hAnsi="Times New Roman" w:cs="Times New Roman"/>
        </w:rPr>
        <w:t xml:space="preserve">  </w:t>
      </w:r>
      <w:r>
        <w:rPr>
          <w:rFonts w:ascii="Times New Roman" w:hAnsi="Times New Roman" w:cs="Times New Roman"/>
        </w:rPr>
        <w:t>Test Statistics for the Probability Zones of the Active U.S. Forest Service Predictive Model for the Entire Study Area and All Archaeological Sites</w:t>
      </w:r>
      <w:r w:rsidRPr="00007D2A">
        <w:rPr>
          <w:rFonts w:ascii="Times New Roman" w:hAnsi="Times New Roman" w:cs="Times New Roman"/>
        </w:rPr>
        <w:t>.</w:t>
      </w:r>
    </w:p>
    <w:tbl>
      <w:tblPr>
        <w:tblW w:w="8750" w:type="dxa"/>
        <w:tblInd w:w="93" w:type="dxa"/>
        <w:tblLook w:val="04A0" w:firstRow="1" w:lastRow="0" w:firstColumn="1" w:lastColumn="0" w:noHBand="0" w:noVBand="1"/>
      </w:tblPr>
      <w:tblGrid>
        <w:gridCol w:w="1640"/>
        <w:gridCol w:w="1216"/>
        <w:gridCol w:w="920"/>
        <w:gridCol w:w="1260"/>
        <w:gridCol w:w="1320"/>
        <w:gridCol w:w="1180"/>
        <w:gridCol w:w="800"/>
        <w:gridCol w:w="605"/>
      </w:tblGrid>
      <w:tr w:rsidR="00A00D22" w:rsidRPr="00A00D22" w14:paraId="100839F2" w14:textId="77777777" w:rsidTr="00A00D22">
        <w:trPr>
          <w:trHeight w:val="330"/>
        </w:trPr>
        <w:tc>
          <w:tcPr>
            <w:tcW w:w="1640" w:type="dxa"/>
            <w:tcBorders>
              <w:top w:val="single" w:sz="4" w:space="0" w:color="auto"/>
              <w:left w:val="nil"/>
              <w:bottom w:val="single" w:sz="4" w:space="0" w:color="auto"/>
              <w:right w:val="nil"/>
            </w:tcBorders>
            <w:shd w:val="clear" w:color="auto" w:fill="auto"/>
            <w:noWrap/>
            <w:vAlign w:val="bottom"/>
            <w:hideMark/>
          </w:tcPr>
          <w:p w14:paraId="55682BE7" w14:textId="77777777" w:rsidR="00A00D22" w:rsidRPr="00A00D22" w:rsidRDefault="00A00D22" w:rsidP="00A00D22">
            <w:pPr>
              <w:spacing w:after="0" w:line="240" w:lineRule="auto"/>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Probability Zone</w:t>
            </w:r>
          </w:p>
        </w:tc>
        <w:tc>
          <w:tcPr>
            <w:tcW w:w="1030" w:type="dxa"/>
            <w:tcBorders>
              <w:top w:val="single" w:sz="4" w:space="0" w:color="auto"/>
              <w:left w:val="nil"/>
              <w:bottom w:val="single" w:sz="4" w:space="0" w:color="auto"/>
              <w:right w:val="nil"/>
            </w:tcBorders>
            <w:shd w:val="clear" w:color="auto" w:fill="auto"/>
            <w:noWrap/>
            <w:vAlign w:val="bottom"/>
            <w:hideMark/>
          </w:tcPr>
          <w:p w14:paraId="186924C5"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Area (m</w:t>
            </w:r>
            <w:r w:rsidRPr="00A00D22">
              <w:rPr>
                <w:rFonts w:ascii="Times New Roman" w:eastAsia="Times New Roman" w:hAnsi="Times New Roman" w:cs="Times New Roman"/>
                <w:color w:val="000000"/>
                <w:sz w:val="20"/>
                <w:szCs w:val="20"/>
                <w:vertAlign w:val="superscript"/>
              </w:rPr>
              <w:t>2</w:t>
            </w:r>
            <w:r w:rsidRPr="00A00D22">
              <w:rPr>
                <w:rFonts w:ascii="Times New Roman" w:eastAsia="Times New Roman" w:hAnsi="Times New Roman" w:cs="Times New Roman"/>
                <w:color w:val="000000"/>
                <w:sz w:val="20"/>
                <w:szCs w:val="20"/>
              </w:rPr>
              <w:t>)</w:t>
            </w:r>
          </w:p>
        </w:tc>
        <w:tc>
          <w:tcPr>
            <w:tcW w:w="920" w:type="dxa"/>
            <w:tcBorders>
              <w:top w:val="single" w:sz="4" w:space="0" w:color="auto"/>
              <w:left w:val="nil"/>
              <w:bottom w:val="single" w:sz="4" w:space="0" w:color="auto"/>
              <w:right w:val="nil"/>
            </w:tcBorders>
            <w:shd w:val="clear" w:color="auto" w:fill="auto"/>
            <w:noWrap/>
            <w:vAlign w:val="bottom"/>
            <w:hideMark/>
          </w:tcPr>
          <w:p w14:paraId="14B469F8"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 xml:space="preserve">% </w:t>
            </w:r>
            <w:proofErr w:type="gramStart"/>
            <w:r w:rsidRPr="00A00D22">
              <w:rPr>
                <w:rFonts w:ascii="Times New Roman" w:eastAsia="Times New Roman" w:hAnsi="Times New Roman" w:cs="Times New Roman"/>
                <w:color w:val="000000"/>
                <w:sz w:val="20"/>
                <w:szCs w:val="20"/>
              </w:rPr>
              <w:t>of</w:t>
            </w:r>
            <w:proofErr w:type="gramEnd"/>
            <w:r w:rsidRPr="00A00D22">
              <w:rPr>
                <w:rFonts w:ascii="Times New Roman" w:eastAsia="Times New Roman" w:hAnsi="Times New Roman" w:cs="Times New Roman"/>
                <w:color w:val="000000"/>
                <w:sz w:val="20"/>
                <w:szCs w:val="20"/>
              </w:rPr>
              <w:t xml:space="preserve"> Area</w:t>
            </w:r>
          </w:p>
        </w:tc>
        <w:tc>
          <w:tcPr>
            <w:tcW w:w="1260" w:type="dxa"/>
            <w:tcBorders>
              <w:top w:val="single" w:sz="4" w:space="0" w:color="auto"/>
              <w:left w:val="nil"/>
              <w:bottom w:val="single" w:sz="4" w:space="0" w:color="auto"/>
              <w:right w:val="nil"/>
            </w:tcBorders>
            <w:shd w:val="clear" w:color="auto" w:fill="auto"/>
            <w:noWrap/>
            <w:vAlign w:val="bottom"/>
            <w:hideMark/>
          </w:tcPr>
          <w:p w14:paraId="6851FEBF"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Expected Sites</w:t>
            </w:r>
          </w:p>
        </w:tc>
        <w:tc>
          <w:tcPr>
            <w:tcW w:w="1320" w:type="dxa"/>
            <w:tcBorders>
              <w:top w:val="single" w:sz="4" w:space="0" w:color="auto"/>
              <w:left w:val="nil"/>
              <w:bottom w:val="single" w:sz="4" w:space="0" w:color="auto"/>
              <w:right w:val="nil"/>
            </w:tcBorders>
            <w:shd w:val="clear" w:color="auto" w:fill="auto"/>
            <w:noWrap/>
            <w:vAlign w:val="bottom"/>
            <w:hideMark/>
          </w:tcPr>
          <w:p w14:paraId="2CA6D34F"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Observed Sites</w:t>
            </w:r>
          </w:p>
        </w:tc>
        <w:tc>
          <w:tcPr>
            <w:tcW w:w="1180" w:type="dxa"/>
            <w:tcBorders>
              <w:top w:val="single" w:sz="4" w:space="0" w:color="auto"/>
              <w:left w:val="nil"/>
              <w:bottom w:val="single" w:sz="4" w:space="0" w:color="auto"/>
              <w:right w:val="nil"/>
            </w:tcBorders>
            <w:shd w:val="clear" w:color="auto" w:fill="auto"/>
            <w:noWrap/>
            <w:vAlign w:val="bottom"/>
            <w:hideMark/>
          </w:tcPr>
          <w:p w14:paraId="17054316"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 xml:space="preserve">% </w:t>
            </w:r>
            <w:proofErr w:type="gramStart"/>
            <w:r w:rsidRPr="00A00D22">
              <w:rPr>
                <w:rFonts w:ascii="Times New Roman" w:eastAsia="Times New Roman" w:hAnsi="Times New Roman" w:cs="Times New Roman"/>
                <w:color w:val="000000"/>
                <w:sz w:val="20"/>
                <w:szCs w:val="20"/>
              </w:rPr>
              <w:t>of</w:t>
            </w:r>
            <w:proofErr w:type="gramEnd"/>
            <w:r w:rsidRPr="00A00D22">
              <w:rPr>
                <w:rFonts w:ascii="Times New Roman" w:eastAsia="Times New Roman" w:hAnsi="Times New Roman" w:cs="Times New Roman"/>
                <w:color w:val="000000"/>
                <w:sz w:val="20"/>
                <w:szCs w:val="20"/>
              </w:rPr>
              <w:t xml:space="preserve"> Sites</w:t>
            </w:r>
          </w:p>
        </w:tc>
        <w:tc>
          <w:tcPr>
            <w:tcW w:w="800" w:type="dxa"/>
            <w:tcBorders>
              <w:top w:val="single" w:sz="4" w:space="0" w:color="auto"/>
              <w:left w:val="nil"/>
              <w:bottom w:val="single" w:sz="4" w:space="0" w:color="auto"/>
              <w:right w:val="nil"/>
            </w:tcBorders>
            <w:shd w:val="clear" w:color="auto" w:fill="auto"/>
            <w:noWrap/>
            <w:vAlign w:val="bottom"/>
            <w:hideMark/>
          </w:tcPr>
          <w:p w14:paraId="3FEB5E1C"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χ2</w:t>
            </w:r>
          </w:p>
        </w:tc>
        <w:tc>
          <w:tcPr>
            <w:tcW w:w="600" w:type="dxa"/>
            <w:tcBorders>
              <w:top w:val="single" w:sz="4" w:space="0" w:color="auto"/>
              <w:left w:val="nil"/>
              <w:bottom w:val="single" w:sz="4" w:space="0" w:color="auto"/>
              <w:right w:val="nil"/>
            </w:tcBorders>
            <w:shd w:val="clear" w:color="auto" w:fill="auto"/>
            <w:noWrap/>
            <w:vAlign w:val="bottom"/>
            <w:hideMark/>
          </w:tcPr>
          <w:p w14:paraId="43863E13"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Gain</w:t>
            </w:r>
          </w:p>
        </w:tc>
      </w:tr>
      <w:tr w:rsidR="00A00D22" w:rsidRPr="00A00D22" w14:paraId="74DD584B" w14:textId="77777777" w:rsidTr="00A00D22">
        <w:trPr>
          <w:trHeight w:val="300"/>
        </w:trPr>
        <w:tc>
          <w:tcPr>
            <w:tcW w:w="1640" w:type="dxa"/>
            <w:tcBorders>
              <w:top w:val="nil"/>
              <w:left w:val="nil"/>
              <w:bottom w:val="nil"/>
              <w:right w:val="nil"/>
            </w:tcBorders>
            <w:shd w:val="clear" w:color="auto" w:fill="auto"/>
            <w:noWrap/>
            <w:vAlign w:val="bottom"/>
            <w:hideMark/>
          </w:tcPr>
          <w:p w14:paraId="26A3A0A1" w14:textId="77777777" w:rsidR="00A00D22" w:rsidRPr="00A00D22" w:rsidRDefault="00A00D22" w:rsidP="00A00D22">
            <w:pPr>
              <w:spacing w:after="0" w:line="240" w:lineRule="auto"/>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Zone 1 (Medium)</w:t>
            </w:r>
          </w:p>
        </w:tc>
        <w:tc>
          <w:tcPr>
            <w:tcW w:w="1030" w:type="dxa"/>
            <w:tcBorders>
              <w:top w:val="nil"/>
              <w:left w:val="nil"/>
              <w:bottom w:val="nil"/>
              <w:right w:val="nil"/>
            </w:tcBorders>
            <w:shd w:val="clear" w:color="auto" w:fill="auto"/>
            <w:noWrap/>
            <w:vAlign w:val="bottom"/>
            <w:hideMark/>
          </w:tcPr>
          <w:p w14:paraId="6E55FE4D"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338508668</w:t>
            </w:r>
          </w:p>
        </w:tc>
        <w:tc>
          <w:tcPr>
            <w:tcW w:w="920" w:type="dxa"/>
            <w:tcBorders>
              <w:top w:val="nil"/>
              <w:left w:val="nil"/>
              <w:bottom w:val="nil"/>
              <w:right w:val="nil"/>
            </w:tcBorders>
            <w:shd w:val="clear" w:color="auto" w:fill="auto"/>
            <w:noWrap/>
            <w:vAlign w:val="bottom"/>
            <w:hideMark/>
          </w:tcPr>
          <w:p w14:paraId="7409CA8D"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13.6</w:t>
            </w:r>
          </w:p>
        </w:tc>
        <w:tc>
          <w:tcPr>
            <w:tcW w:w="1260" w:type="dxa"/>
            <w:tcBorders>
              <w:top w:val="nil"/>
              <w:left w:val="nil"/>
              <w:bottom w:val="nil"/>
              <w:right w:val="nil"/>
            </w:tcBorders>
            <w:shd w:val="clear" w:color="auto" w:fill="auto"/>
            <w:noWrap/>
            <w:vAlign w:val="bottom"/>
            <w:hideMark/>
          </w:tcPr>
          <w:p w14:paraId="36AC89B8"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542.1</w:t>
            </w:r>
          </w:p>
        </w:tc>
        <w:tc>
          <w:tcPr>
            <w:tcW w:w="1320" w:type="dxa"/>
            <w:tcBorders>
              <w:top w:val="nil"/>
              <w:left w:val="nil"/>
              <w:bottom w:val="nil"/>
              <w:right w:val="nil"/>
            </w:tcBorders>
            <w:shd w:val="clear" w:color="auto" w:fill="auto"/>
            <w:noWrap/>
            <w:vAlign w:val="bottom"/>
            <w:hideMark/>
          </w:tcPr>
          <w:p w14:paraId="142C337C"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670</w:t>
            </w:r>
          </w:p>
        </w:tc>
        <w:tc>
          <w:tcPr>
            <w:tcW w:w="1180" w:type="dxa"/>
            <w:tcBorders>
              <w:top w:val="nil"/>
              <w:left w:val="nil"/>
              <w:bottom w:val="nil"/>
              <w:right w:val="nil"/>
            </w:tcBorders>
            <w:shd w:val="clear" w:color="auto" w:fill="auto"/>
            <w:noWrap/>
            <w:vAlign w:val="bottom"/>
            <w:hideMark/>
          </w:tcPr>
          <w:p w14:paraId="7EBFD524"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16.8</w:t>
            </w:r>
          </w:p>
        </w:tc>
        <w:tc>
          <w:tcPr>
            <w:tcW w:w="800" w:type="dxa"/>
            <w:tcBorders>
              <w:top w:val="nil"/>
              <w:left w:val="nil"/>
              <w:bottom w:val="nil"/>
              <w:right w:val="nil"/>
            </w:tcBorders>
            <w:shd w:val="clear" w:color="auto" w:fill="auto"/>
            <w:noWrap/>
            <w:vAlign w:val="bottom"/>
            <w:hideMark/>
          </w:tcPr>
          <w:p w14:paraId="2060AFA8" w14:textId="77777777" w:rsidR="00A00D22" w:rsidRPr="00A00D22" w:rsidRDefault="00A00D22" w:rsidP="00A00D22">
            <w:pPr>
              <w:spacing w:after="0" w:line="240" w:lineRule="auto"/>
              <w:jc w:val="center"/>
              <w:rPr>
                <w:rFonts w:ascii="Times New Roman" w:eastAsia="Times New Roman" w:hAnsi="Times New Roman" w:cs="Times New Roman"/>
                <w:sz w:val="20"/>
                <w:szCs w:val="20"/>
              </w:rPr>
            </w:pPr>
            <w:r w:rsidRPr="00A00D22">
              <w:rPr>
                <w:rFonts w:ascii="Times New Roman" w:eastAsia="Times New Roman" w:hAnsi="Times New Roman" w:cs="Times New Roman"/>
                <w:sz w:val="20"/>
                <w:szCs w:val="20"/>
              </w:rPr>
              <w:t>30.2</w:t>
            </w:r>
          </w:p>
        </w:tc>
        <w:tc>
          <w:tcPr>
            <w:tcW w:w="600" w:type="dxa"/>
            <w:tcBorders>
              <w:top w:val="nil"/>
              <w:left w:val="nil"/>
              <w:bottom w:val="nil"/>
              <w:right w:val="nil"/>
            </w:tcBorders>
            <w:shd w:val="clear" w:color="auto" w:fill="auto"/>
            <w:noWrap/>
            <w:vAlign w:val="bottom"/>
            <w:hideMark/>
          </w:tcPr>
          <w:p w14:paraId="383F70F6"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0.19</w:t>
            </w:r>
          </w:p>
        </w:tc>
      </w:tr>
      <w:tr w:rsidR="00A00D22" w:rsidRPr="00A00D22" w14:paraId="310255C3" w14:textId="77777777" w:rsidTr="00A00D22">
        <w:trPr>
          <w:trHeight w:val="300"/>
        </w:trPr>
        <w:tc>
          <w:tcPr>
            <w:tcW w:w="1640" w:type="dxa"/>
            <w:tcBorders>
              <w:top w:val="nil"/>
              <w:left w:val="nil"/>
              <w:bottom w:val="nil"/>
              <w:right w:val="nil"/>
            </w:tcBorders>
            <w:shd w:val="clear" w:color="auto" w:fill="auto"/>
            <w:noWrap/>
            <w:vAlign w:val="bottom"/>
            <w:hideMark/>
          </w:tcPr>
          <w:p w14:paraId="6A9127A9" w14:textId="77777777" w:rsidR="00A00D22" w:rsidRPr="00A00D22" w:rsidRDefault="00A00D22" w:rsidP="00A00D22">
            <w:pPr>
              <w:spacing w:after="0" w:line="240" w:lineRule="auto"/>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Zone 2 (High)</w:t>
            </w:r>
          </w:p>
        </w:tc>
        <w:tc>
          <w:tcPr>
            <w:tcW w:w="1030" w:type="dxa"/>
            <w:tcBorders>
              <w:top w:val="nil"/>
              <w:left w:val="nil"/>
              <w:bottom w:val="nil"/>
              <w:right w:val="nil"/>
            </w:tcBorders>
            <w:shd w:val="clear" w:color="auto" w:fill="auto"/>
            <w:noWrap/>
            <w:vAlign w:val="bottom"/>
            <w:hideMark/>
          </w:tcPr>
          <w:p w14:paraId="5DAB6652"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1363591761</w:t>
            </w:r>
          </w:p>
        </w:tc>
        <w:tc>
          <w:tcPr>
            <w:tcW w:w="920" w:type="dxa"/>
            <w:tcBorders>
              <w:top w:val="nil"/>
              <w:left w:val="nil"/>
              <w:bottom w:val="nil"/>
              <w:right w:val="nil"/>
            </w:tcBorders>
            <w:shd w:val="clear" w:color="auto" w:fill="auto"/>
            <w:noWrap/>
            <w:vAlign w:val="bottom"/>
            <w:hideMark/>
          </w:tcPr>
          <w:p w14:paraId="13812F29"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54.8</w:t>
            </w:r>
          </w:p>
        </w:tc>
        <w:tc>
          <w:tcPr>
            <w:tcW w:w="1260" w:type="dxa"/>
            <w:tcBorders>
              <w:top w:val="nil"/>
              <w:left w:val="nil"/>
              <w:bottom w:val="nil"/>
              <w:right w:val="nil"/>
            </w:tcBorders>
            <w:shd w:val="clear" w:color="auto" w:fill="auto"/>
            <w:noWrap/>
            <w:vAlign w:val="bottom"/>
            <w:hideMark/>
          </w:tcPr>
          <w:p w14:paraId="5DFAE36D"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2183.9</w:t>
            </w:r>
          </w:p>
        </w:tc>
        <w:tc>
          <w:tcPr>
            <w:tcW w:w="1320" w:type="dxa"/>
            <w:tcBorders>
              <w:top w:val="nil"/>
              <w:left w:val="nil"/>
              <w:bottom w:val="nil"/>
              <w:right w:val="nil"/>
            </w:tcBorders>
            <w:shd w:val="clear" w:color="auto" w:fill="auto"/>
            <w:noWrap/>
            <w:vAlign w:val="bottom"/>
            <w:hideMark/>
          </w:tcPr>
          <w:p w14:paraId="7CF3BAE4"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2651</w:t>
            </w:r>
          </w:p>
        </w:tc>
        <w:tc>
          <w:tcPr>
            <w:tcW w:w="1180" w:type="dxa"/>
            <w:tcBorders>
              <w:top w:val="nil"/>
              <w:left w:val="nil"/>
              <w:bottom w:val="nil"/>
              <w:right w:val="nil"/>
            </w:tcBorders>
            <w:shd w:val="clear" w:color="auto" w:fill="auto"/>
            <w:noWrap/>
            <w:vAlign w:val="bottom"/>
            <w:hideMark/>
          </w:tcPr>
          <w:p w14:paraId="2D55A50E"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66.5</w:t>
            </w:r>
          </w:p>
        </w:tc>
        <w:tc>
          <w:tcPr>
            <w:tcW w:w="800" w:type="dxa"/>
            <w:tcBorders>
              <w:top w:val="nil"/>
              <w:left w:val="nil"/>
              <w:bottom w:val="nil"/>
              <w:right w:val="nil"/>
            </w:tcBorders>
            <w:shd w:val="clear" w:color="auto" w:fill="auto"/>
            <w:noWrap/>
            <w:vAlign w:val="bottom"/>
            <w:hideMark/>
          </w:tcPr>
          <w:p w14:paraId="49A9D709"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99.9</w:t>
            </w:r>
          </w:p>
        </w:tc>
        <w:tc>
          <w:tcPr>
            <w:tcW w:w="600" w:type="dxa"/>
            <w:tcBorders>
              <w:top w:val="nil"/>
              <w:left w:val="nil"/>
              <w:bottom w:val="nil"/>
              <w:right w:val="nil"/>
            </w:tcBorders>
            <w:shd w:val="clear" w:color="auto" w:fill="auto"/>
            <w:noWrap/>
            <w:vAlign w:val="bottom"/>
            <w:hideMark/>
          </w:tcPr>
          <w:p w14:paraId="13AB6304"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0.18</w:t>
            </w:r>
          </w:p>
        </w:tc>
      </w:tr>
      <w:tr w:rsidR="00A00D22" w:rsidRPr="00A00D22" w14:paraId="26A0E91C" w14:textId="77777777" w:rsidTr="00A00D22">
        <w:trPr>
          <w:trHeight w:val="300"/>
        </w:trPr>
        <w:tc>
          <w:tcPr>
            <w:tcW w:w="1640" w:type="dxa"/>
            <w:tcBorders>
              <w:top w:val="nil"/>
              <w:left w:val="nil"/>
              <w:bottom w:val="nil"/>
              <w:right w:val="nil"/>
            </w:tcBorders>
            <w:shd w:val="clear" w:color="auto" w:fill="auto"/>
            <w:noWrap/>
            <w:vAlign w:val="bottom"/>
            <w:hideMark/>
          </w:tcPr>
          <w:p w14:paraId="41A0F45A" w14:textId="77777777" w:rsidR="00A00D22" w:rsidRPr="00A00D22" w:rsidRDefault="00A00D22" w:rsidP="00A00D22">
            <w:pPr>
              <w:spacing w:after="0" w:line="240" w:lineRule="auto"/>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Zone 3 (Low)</w:t>
            </w:r>
          </w:p>
        </w:tc>
        <w:tc>
          <w:tcPr>
            <w:tcW w:w="1030" w:type="dxa"/>
            <w:tcBorders>
              <w:top w:val="nil"/>
              <w:left w:val="nil"/>
              <w:bottom w:val="nil"/>
              <w:right w:val="nil"/>
            </w:tcBorders>
            <w:shd w:val="clear" w:color="auto" w:fill="auto"/>
            <w:noWrap/>
            <w:vAlign w:val="bottom"/>
            <w:hideMark/>
          </w:tcPr>
          <w:p w14:paraId="56CB0AB8"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786732525</w:t>
            </w:r>
          </w:p>
        </w:tc>
        <w:tc>
          <w:tcPr>
            <w:tcW w:w="920" w:type="dxa"/>
            <w:tcBorders>
              <w:top w:val="nil"/>
              <w:left w:val="nil"/>
              <w:bottom w:val="nil"/>
              <w:right w:val="nil"/>
            </w:tcBorders>
            <w:shd w:val="clear" w:color="auto" w:fill="auto"/>
            <w:noWrap/>
            <w:vAlign w:val="bottom"/>
            <w:hideMark/>
          </w:tcPr>
          <w:p w14:paraId="46670F82"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31.6</w:t>
            </w:r>
          </w:p>
        </w:tc>
        <w:tc>
          <w:tcPr>
            <w:tcW w:w="1260" w:type="dxa"/>
            <w:tcBorders>
              <w:top w:val="nil"/>
              <w:left w:val="nil"/>
              <w:bottom w:val="nil"/>
              <w:right w:val="nil"/>
            </w:tcBorders>
            <w:shd w:val="clear" w:color="auto" w:fill="auto"/>
            <w:noWrap/>
            <w:vAlign w:val="bottom"/>
            <w:hideMark/>
          </w:tcPr>
          <w:p w14:paraId="7ACABFD2"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1260.0</w:t>
            </w:r>
          </w:p>
        </w:tc>
        <w:tc>
          <w:tcPr>
            <w:tcW w:w="1320" w:type="dxa"/>
            <w:tcBorders>
              <w:top w:val="nil"/>
              <w:left w:val="nil"/>
              <w:bottom w:val="nil"/>
              <w:right w:val="nil"/>
            </w:tcBorders>
            <w:shd w:val="clear" w:color="auto" w:fill="auto"/>
            <w:noWrap/>
            <w:vAlign w:val="bottom"/>
            <w:hideMark/>
          </w:tcPr>
          <w:p w14:paraId="4F2DD413"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665</w:t>
            </w:r>
          </w:p>
        </w:tc>
        <w:tc>
          <w:tcPr>
            <w:tcW w:w="1180" w:type="dxa"/>
            <w:tcBorders>
              <w:top w:val="nil"/>
              <w:left w:val="nil"/>
              <w:bottom w:val="nil"/>
              <w:right w:val="nil"/>
            </w:tcBorders>
            <w:shd w:val="clear" w:color="auto" w:fill="auto"/>
            <w:noWrap/>
            <w:vAlign w:val="bottom"/>
            <w:hideMark/>
          </w:tcPr>
          <w:p w14:paraId="2C2DAF40"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16.7</w:t>
            </w:r>
          </w:p>
        </w:tc>
        <w:tc>
          <w:tcPr>
            <w:tcW w:w="800" w:type="dxa"/>
            <w:tcBorders>
              <w:top w:val="nil"/>
              <w:left w:val="nil"/>
              <w:bottom w:val="nil"/>
              <w:right w:val="nil"/>
            </w:tcBorders>
            <w:shd w:val="clear" w:color="auto" w:fill="auto"/>
            <w:noWrap/>
            <w:vAlign w:val="bottom"/>
            <w:hideMark/>
          </w:tcPr>
          <w:p w14:paraId="6FA8F5A0"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281.0</w:t>
            </w:r>
          </w:p>
        </w:tc>
        <w:tc>
          <w:tcPr>
            <w:tcW w:w="600" w:type="dxa"/>
            <w:tcBorders>
              <w:top w:val="nil"/>
              <w:left w:val="nil"/>
              <w:bottom w:val="nil"/>
              <w:right w:val="nil"/>
            </w:tcBorders>
            <w:shd w:val="clear" w:color="auto" w:fill="auto"/>
            <w:noWrap/>
            <w:vAlign w:val="bottom"/>
            <w:hideMark/>
          </w:tcPr>
          <w:p w14:paraId="3FE3F0FD"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-0.89</w:t>
            </w:r>
          </w:p>
        </w:tc>
      </w:tr>
      <w:tr w:rsidR="00A00D22" w:rsidRPr="00A00D22" w14:paraId="519073BB" w14:textId="77777777" w:rsidTr="00A00D22">
        <w:trPr>
          <w:trHeight w:val="300"/>
        </w:trPr>
        <w:tc>
          <w:tcPr>
            <w:tcW w:w="1640" w:type="dxa"/>
            <w:tcBorders>
              <w:top w:val="single" w:sz="4" w:space="0" w:color="auto"/>
              <w:left w:val="nil"/>
              <w:bottom w:val="single" w:sz="4" w:space="0" w:color="auto"/>
              <w:right w:val="nil"/>
            </w:tcBorders>
            <w:shd w:val="clear" w:color="auto" w:fill="auto"/>
            <w:noWrap/>
            <w:vAlign w:val="bottom"/>
            <w:hideMark/>
          </w:tcPr>
          <w:p w14:paraId="061BB0CA" w14:textId="77777777" w:rsidR="00A00D22" w:rsidRPr="00A00D22" w:rsidRDefault="00A00D22" w:rsidP="00A00D22">
            <w:pPr>
              <w:spacing w:after="0" w:line="240" w:lineRule="auto"/>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Total</w:t>
            </w:r>
          </w:p>
        </w:tc>
        <w:tc>
          <w:tcPr>
            <w:tcW w:w="1030" w:type="dxa"/>
            <w:tcBorders>
              <w:top w:val="single" w:sz="4" w:space="0" w:color="auto"/>
              <w:left w:val="nil"/>
              <w:bottom w:val="single" w:sz="4" w:space="0" w:color="auto"/>
              <w:right w:val="nil"/>
            </w:tcBorders>
            <w:shd w:val="clear" w:color="auto" w:fill="auto"/>
            <w:noWrap/>
            <w:vAlign w:val="bottom"/>
            <w:hideMark/>
          </w:tcPr>
          <w:p w14:paraId="6F59F226"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2488832954</w:t>
            </w:r>
          </w:p>
        </w:tc>
        <w:tc>
          <w:tcPr>
            <w:tcW w:w="920" w:type="dxa"/>
            <w:tcBorders>
              <w:top w:val="single" w:sz="4" w:space="0" w:color="auto"/>
              <w:left w:val="nil"/>
              <w:bottom w:val="single" w:sz="4" w:space="0" w:color="auto"/>
              <w:right w:val="nil"/>
            </w:tcBorders>
            <w:shd w:val="clear" w:color="auto" w:fill="auto"/>
            <w:noWrap/>
            <w:vAlign w:val="bottom"/>
            <w:hideMark/>
          </w:tcPr>
          <w:p w14:paraId="68AB818E"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100.0</w:t>
            </w:r>
          </w:p>
        </w:tc>
        <w:tc>
          <w:tcPr>
            <w:tcW w:w="1260" w:type="dxa"/>
            <w:tcBorders>
              <w:top w:val="single" w:sz="4" w:space="0" w:color="auto"/>
              <w:left w:val="nil"/>
              <w:bottom w:val="single" w:sz="4" w:space="0" w:color="auto"/>
              <w:right w:val="nil"/>
            </w:tcBorders>
            <w:shd w:val="clear" w:color="auto" w:fill="auto"/>
            <w:noWrap/>
            <w:vAlign w:val="bottom"/>
            <w:hideMark/>
          </w:tcPr>
          <w:p w14:paraId="16961834"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3986.0</w:t>
            </w:r>
          </w:p>
        </w:tc>
        <w:tc>
          <w:tcPr>
            <w:tcW w:w="1320" w:type="dxa"/>
            <w:tcBorders>
              <w:top w:val="single" w:sz="4" w:space="0" w:color="auto"/>
              <w:left w:val="nil"/>
              <w:bottom w:val="single" w:sz="4" w:space="0" w:color="auto"/>
              <w:right w:val="nil"/>
            </w:tcBorders>
            <w:shd w:val="clear" w:color="auto" w:fill="auto"/>
            <w:noWrap/>
            <w:vAlign w:val="bottom"/>
            <w:hideMark/>
          </w:tcPr>
          <w:p w14:paraId="172B40C9"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3986</w:t>
            </w:r>
          </w:p>
        </w:tc>
        <w:tc>
          <w:tcPr>
            <w:tcW w:w="1180" w:type="dxa"/>
            <w:tcBorders>
              <w:top w:val="single" w:sz="4" w:space="0" w:color="auto"/>
              <w:left w:val="nil"/>
              <w:bottom w:val="single" w:sz="4" w:space="0" w:color="auto"/>
              <w:right w:val="nil"/>
            </w:tcBorders>
            <w:shd w:val="clear" w:color="auto" w:fill="auto"/>
            <w:noWrap/>
            <w:vAlign w:val="bottom"/>
            <w:hideMark/>
          </w:tcPr>
          <w:p w14:paraId="716113D7"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100.0</w:t>
            </w:r>
          </w:p>
        </w:tc>
        <w:tc>
          <w:tcPr>
            <w:tcW w:w="800" w:type="dxa"/>
            <w:tcBorders>
              <w:top w:val="single" w:sz="4" w:space="0" w:color="auto"/>
              <w:left w:val="nil"/>
              <w:bottom w:val="single" w:sz="4" w:space="0" w:color="auto"/>
              <w:right w:val="nil"/>
            </w:tcBorders>
            <w:shd w:val="clear" w:color="auto" w:fill="auto"/>
            <w:noWrap/>
            <w:vAlign w:val="bottom"/>
            <w:hideMark/>
          </w:tcPr>
          <w:p w14:paraId="3443217B"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411.0</w:t>
            </w:r>
          </w:p>
        </w:tc>
        <w:tc>
          <w:tcPr>
            <w:tcW w:w="600" w:type="dxa"/>
            <w:tcBorders>
              <w:top w:val="single" w:sz="4" w:space="0" w:color="auto"/>
              <w:left w:val="nil"/>
              <w:bottom w:val="single" w:sz="4" w:space="0" w:color="auto"/>
              <w:right w:val="nil"/>
            </w:tcBorders>
            <w:shd w:val="clear" w:color="auto" w:fill="auto"/>
            <w:noWrap/>
            <w:vAlign w:val="bottom"/>
            <w:hideMark/>
          </w:tcPr>
          <w:p w14:paraId="0E6847A0" w14:textId="77777777" w:rsidR="00A00D22" w:rsidRPr="00A00D22" w:rsidRDefault="00A00D22" w:rsidP="00A00D22">
            <w:pPr>
              <w:spacing w:after="0" w:line="240" w:lineRule="auto"/>
              <w:jc w:val="center"/>
              <w:rPr>
                <w:rFonts w:ascii="Times New Roman" w:eastAsia="Times New Roman" w:hAnsi="Times New Roman" w:cs="Times New Roman"/>
                <w:color w:val="000000"/>
                <w:sz w:val="20"/>
                <w:szCs w:val="20"/>
              </w:rPr>
            </w:pPr>
            <w:r w:rsidRPr="00A00D22">
              <w:rPr>
                <w:rFonts w:ascii="Times New Roman" w:eastAsia="Times New Roman" w:hAnsi="Times New Roman" w:cs="Times New Roman"/>
                <w:color w:val="000000"/>
                <w:sz w:val="20"/>
                <w:szCs w:val="20"/>
              </w:rPr>
              <w:t>-</w:t>
            </w:r>
          </w:p>
        </w:tc>
      </w:tr>
      <w:tr w:rsidR="00A00D22" w:rsidRPr="00A00D22" w14:paraId="71E29E4E" w14:textId="77777777" w:rsidTr="00A00D22">
        <w:trPr>
          <w:trHeight w:val="300"/>
        </w:trPr>
        <w:tc>
          <w:tcPr>
            <w:tcW w:w="2670" w:type="dxa"/>
            <w:gridSpan w:val="2"/>
            <w:tcBorders>
              <w:top w:val="nil"/>
              <w:left w:val="nil"/>
              <w:bottom w:val="nil"/>
              <w:right w:val="nil"/>
            </w:tcBorders>
            <w:shd w:val="clear" w:color="auto" w:fill="auto"/>
            <w:noWrap/>
            <w:vAlign w:val="bottom"/>
            <w:hideMark/>
          </w:tcPr>
          <w:p w14:paraId="2DB4A606" w14:textId="77777777" w:rsidR="00A00D22" w:rsidRPr="00A00D22" w:rsidRDefault="00A00D22" w:rsidP="00A00D22">
            <w:pPr>
              <w:spacing w:after="0" w:line="240" w:lineRule="auto"/>
              <w:rPr>
                <w:rFonts w:ascii="Times New Roman" w:eastAsia="Times New Roman" w:hAnsi="Times New Roman" w:cs="Times New Roman"/>
                <w:color w:val="000000"/>
                <w:sz w:val="20"/>
                <w:szCs w:val="20"/>
              </w:rPr>
            </w:pPr>
            <w:proofErr w:type="spellStart"/>
            <w:proofErr w:type="gramStart"/>
            <w:r w:rsidRPr="00A00D22">
              <w:rPr>
                <w:rFonts w:ascii="Times New Roman" w:eastAsia="Times New Roman" w:hAnsi="Times New Roman" w:cs="Times New Roman"/>
                <w:color w:val="000000"/>
                <w:sz w:val="20"/>
                <w:szCs w:val="20"/>
              </w:rPr>
              <w:t>df</w:t>
            </w:r>
            <w:proofErr w:type="spellEnd"/>
            <w:proofErr w:type="gramEnd"/>
            <w:r w:rsidRPr="00A00D22">
              <w:rPr>
                <w:rFonts w:ascii="Times New Roman" w:eastAsia="Times New Roman" w:hAnsi="Times New Roman" w:cs="Times New Roman"/>
                <w:color w:val="000000"/>
                <w:sz w:val="20"/>
                <w:szCs w:val="20"/>
              </w:rPr>
              <w:t xml:space="preserve"> = 2, α = .05, sig of χ2 ≥ 5.99</w:t>
            </w:r>
          </w:p>
        </w:tc>
        <w:tc>
          <w:tcPr>
            <w:tcW w:w="920" w:type="dxa"/>
            <w:tcBorders>
              <w:top w:val="nil"/>
              <w:left w:val="nil"/>
              <w:bottom w:val="nil"/>
              <w:right w:val="nil"/>
            </w:tcBorders>
            <w:shd w:val="clear" w:color="auto" w:fill="auto"/>
            <w:noWrap/>
            <w:vAlign w:val="bottom"/>
            <w:hideMark/>
          </w:tcPr>
          <w:p w14:paraId="06520CE6" w14:textId="77777777" w:rsidR="00A00D22" w:rsidRPr="00A00D22" w:rsidRDefault="00A00D22" w:rsidP="00A00D22">
            <w:pPr>
              <w:spacing w:after="0" w:line="240" w:lineRule="auto"/>
              <w:rPr>
                <w:rFonts w:ascii="Times New Roman" w:eastAsia="Times New Roman" w:hAnsi="Times New Roman" w:cs="Times New Roman"/>
                <w:color w:val="000000"/>
                <w:sz w:val="20"/>
                <w:szCs w:val="20"/>
              </w:rPr>
            </w:pPr>
          </w:p>
        </w:tc>
        <w:tc>
          <w:tcPr>
            <w:tcW w:w="1260" w:type="dxa"/>
            <w:tcBorders>
              <w:top w:val="nil"/>
              <w:left w:val="nil"/>
              <w:bottom w:val="nil"/>
              <w:right w:val="nil"/>
            </w:tcBorders>
            <w:shd w:val="clear" w:color="auto" w:fill="auto"/>
            <w:noWrap/>
            <w:vAlign w:val="bottom"/>
            <w:hideMark/>
          </w:tcPr>
          <w:p w14:paraId="14C5896E" w14:textId="77777777" w:rsidR="00A00D22" w:rsidRPr="00A00D22" w:rsidRDefault="00A00D22" w:rsidP="00A00D22">
            <w:pPr>
              <w:spacing w:after="0" w:line="240" w:lineRule="auto"/>
              <w:rPr>
                <w:rFonts w:ascii="Times New Roman" w:eastAsia="Times New Roman" w:hAnsi="Times New Roman" w:cs="Times New Roman"/>
                <w:color w:val="000000"/>
                <w:sz w:val="20"/>
                <w:szCs w:val="20"/>
              </w:rPr>
            </w:pPr>
          </w:p>
        </w:tc>
        <w:tc>
          <w:tcPr>
            <w:tcW w:w="1320" w:type="dxa"/>
            <w:tcBorders>
              <w:top w:val="nil"/>
              <w:left w:val="nil"/>
              <w:bottom w:val="nil"/>
              <w:right w:val="nil"/>
            </w:tcBorders>
            <w:shd w:val="clear" w:color="auto" w:fill="auto"/>
            <w:noWrap/>
            <w:vAlign w:val="bottom"/>
            <w:hideMark/>
          </w:tcPr>
          <w:p w14:paraId="79360B70" w14:textId="77777777" w:rsidR="00A00D22" w:rsidRPr="00A00D22" w:rsidRDefault="00A00D22" w:rsidP="00A00D22">
            <w:pPr>
              <w:spacing w:after="0" w:line="240" w:lineRule="auto"/>
              <w:rPr>
                <w:rFonts w:ascii="Times New Roman" w:eastAsia="Times New Roman" w:hAnsi="Times New Roman" w:cs="Times New Roman"/>
                <w:color w:val="000000"/>
                <w:sz w:val="20"/>
                <w:szCs w:val="20"/>
              </w:rPr>
            </w:pPr>
          </w:p>
        </w:tc>
        <w:tc>
          <w:tcPr>
            <w:tcW w:w="1180" w:type="dxa"/>
            <w:tcBorders>
              <w:top w:val="nil"/>
              <w:left w:val="nil"/>
              <w:bottom w:val="nil"/>
              <w:right w:val="nil"/>
            </w:tcBorders>
            <w:shd w:val="clear" w:color="auto" w:fill="auto"/>
            <w:noWrap/>
            <w:vAlign w:val="bottom"/>
            <w:hideMark/>
          </w:tcPr>
          <w:p w14:paraId="2961B6A8" w14:textId="77777777" w:rsidR="00A00D22" w:rsidRPr="00A00D22" w:rsidRDefault="00A00D22" w:rsidP="00A00D22">
            <w:pPr>
              <w:spacing w:after="0" w:line="240" w:lineRule="auto"/>
              <w:rPr>
                <w:rFonts w:ascii="Times New Roman" w:eastAsia="Times New Roman" w:hAnsi="Times New Roman" w:cs="Times New Roman"/>
                <w:color w:val="000000"/>
                <w:sz w:val="20"/>
                <w:szCs w:val="20"/>
              </w:rPr>
            </w:pPr>
          </w:p>
        </w:tc>
        <w:tc>
          <w:tcPr>
            <w:tcW w:w="800" w:type="dxa"/>
            <w:tcBorders>
              <w:top w:val="nil"/>
              <w:left w:val="nil"/>
              <w:bottom w:val="nil"/>
              <w:right w:val="nil"/>
            </w:tcBorders>
            <w:shd w:val="clear" w:color="auto" w:fill="auto"/>
            <w:noWrap/>
            <w:vAlign w:val="bottom"/>
            <w:hideMark/>
          </w:tcPr>
          <w:p w14:paraId="24A92552" w14:textId="77777777" w:rsidR="00A00D22" w:rsidRPr="00A00D22" w:rsidRDefault="00A00D22" w:rsidP="00A00D22">
            <w:pPr>
              <w:spacing w:after="0" w:line="240" w:lineRule="auto"/>
              <w:rPr>
                <w:rFonts w:ascii="Times New Roman" w:eastAsia="Times New Roman" w:hAnsi="Times New Roman" w:cs="Times New Roman"/>
                <w:color w:val="000000"/>
                <w:sz w:val="20"/>
                <w:szCs w:val="20"/>
              </w:rPr>
            </w:pPr>
          </w:p>
        </w:tc>
        <w:tc>
          <w:tcPr>
            <w:tcW w:w="600" w:type="dxa"/>
            <w:tcBorders>
              <w:top w:val="nil"/>
              <w:left w:val="nil"/>
              <w:bottom w:val="nil"/>
              <w:right w:val="nil"/>
            </w:tcBorders>
            <w:shd w:val="clear" w:color="auto" w:fill="auto"/>
            <w:noWrap/>
            <w:vAlign w:val="bottom"/>
            <w:hideMark/>
          </w:tcPr>
          <w:p w14:paraId="08098FE9" w14:textId="77777777" w:rsidR="00A00D22" w:rsidRPr="00A00D22" w:rsidRDefault="00A00D22" w:rsidP="00A00D22">
            <w:pPr>
              <w:spacing w:after="0" w:line="240" w:lineRule="auto"/>
              <w:rPr>
                <w:rFonts w:ascii="Times New Roman" w:eastAsia="Times New Roman" w:hAnsi="Times New Roman" w:cs="Times New Roman"/>
                <w:color w:val="000000"/>
                <w:sz w:val="20"/>
                <w:szCs w:val="20"/>
              </w:rPr>
            </w:pPr>
          </w:p>
        </w:tc>
      </w:tr>
    </w:tbl>
    <w:p w14:paraId="1DE00D2D" w14:textId="77777777" w:rsidR="00742C20" w:rsidRPr="00007D2A" w:rsidRDefault="00742C20" w:rsidP="00742C20">
      <w:pPr>
        <w:spacing w:line="240" w:lineRule="auto"/>
        <w:rPr>
          <w:rFonts w:ascii="Times New Roman" w:hAnsi="Times New Roman" w:cs="Times New Roman"/>
        </w:rPr>
      </w:pPr>
    </w:p>
    <w:p w14:paraId="37662E1F" w14:textId="77777777" w:rsidR="00007D2A" w:rsidRDefault="00007D2A" w:rsidP="004F59DD">
      <w:pPr>
        <w:spacing w:line="480" w:lineRule="auto"/>
        <w:rPr>
          <w:rFonts w:ascii="Times New Roman" w:hAnsi="Times New Roman" w:cs="Times New Roman"/>
          <w:sz w:val="24"/>
          <w:szCs w:val="24"/>
        </w:rPr>
      </w:pPr>
    </w:p>
    <w:p w14:paraId="66042CA2" w14:textId="7CD9C16B" w:rsidR="000A7C4C" w:rsidRDefault="00AA673D" w:rsidP="004F59DD">
      <w:pPr>
        <w:spacing w:line="480" w:lineRule="auto"/>
        <w:rPr>
          <w:rFonts w:ascii="Times New Roman" w:hAnsi="Times New Roman" w:cs="Times New Roman"/>
          <w:sz w:val="24"/>
          <w:szCs w:val="24"/>
        </w:rPr>
      </w:pPr>
      <w:r>
        <w:rPr>
          <w:rFonts w:ascii="Times New Roman" w:hAnsi="Times New Roman" w:cs="Times New Roman"/>
          <w:sz w:val="24"/>
          <w:szCs w:val="24"/>
        </w:rPr>
        <w:tab/>
        <w:t>The medium probability z</w:t>
      </w:r>
      <w:r w:rsidR="000A7C4C">
        <w:rPr>
          <w:rFonts w:ascii="Times New Roman" w:hAnsi="Times New Roman" w:cs="Times New Roman"/>
          <w:sz w:val="24"/>
          <w:szCs w:val="24"/>
        </w:rPr>
        <w:t xml:space="preserve">one area is comprised of a multitude of factors </w:t>
      </w:r>
      <w:r>
        <w:rPr>
          <w:rFonts w:ascii="Times New Roman" w:hAnsi="Times New Roman" w:cs="Times New Roman"/>
          <w:sz w:val="24"/>
          <w:szCs w:val="24"/>
        </w:rPr>
        <w:t xml:space="preserve">relating to </w:t>
      </w:r>
      <w:r w:rsidR="00C742F2">
        <w:rPr>
          <w:rFonts w:ascii="Times New Roman" w:hAnsi="Times New Roman" w:cs="Times New Roman"/>
          <w:sz w:val="24"/>
          <w:szCs w:val="24"/>
        </w:rPr>
        <w:t xml:space="preserve">proximity to </w:t>
      </w:r>
      <w:r w:rsidR="009C4B11">
        <w:rPr>
          <w:rFonts w:ascii="Times New Roman" w:hAnsi="Times New Roman" w:cs="Times New Roman"/>
          <w:sz w:val="24"/>
          <w:szCs w:val="24"/>
        </w:rPr>
        <w:t>both the</w:t>
      </w:r>
      <w:r w:rsidR="00C742F2">
        <w:rPr>
          <w:rFonts w:ascii="Times New Roman" w:hAnsi="Times New Roman" w:cs="Times New Roman"/>
          <w:sz w:val="24"/>
          <w:szCs w:val="24"/>
        </w:rPr>
        <w:t xml:space="preserve"> high probability zone and permanent streams.</w:t>
      </w:r>
      <w:r>
        <w:rPr>
          <w:rFonts w:ascii="Times New Roman" w:hAnsi="Times New Roman" w:cs="Times New Roman"/>
          <w:sz w:val="24"/>
          <w:szCs w:val="24"/>
        </w:rPr>
        <w:t xml:space="preserve">  A 100-m</w:t>
      </w:r>
      <w:r w:rsidR="00D4443B">
        <w:rPr>
          <w:rFonts w:ascii="Times New Roman" w:hAnsi="Times New Roman" w:cs="Times New Roman"/>
          <w:sz w:val="24"/>
          <w:szCs w:val="24"/>
        </w:rPr>
        <w:t xml:space="preserve"> buffer into non-frequently flooded soils from the hi</w:t>
      </w:r>
      <w:r>
        <w:rPr>
          <w:rFonts w:ascii="Times New Roman" w:hAnsi="Times New Roman" w:cs="Times New Roman"/>
          <w:sz w:val="24"/>
          <w:szCs w:val="24"/>
        </w:rPr>
        <w:t>gh probability zone, a 200-m</w:t>
      </w:r>
      <w:r w:rsidR="00D4443B">
        <w:rPr>
          <w:rFonts w:ascii="Times New Roman" w:hAnsi="Times New Roman" w:cs="Times New Roman"/>
          <w:sz w:val="24"/>
          <w:szCs w:val="24"/>
        </w:rPr>
        <w:t xml:space="preserve"> buffer from the intersection of frequently and non-frequently flooded soils</w:t>
      </w:r>
      <w:r w:rsidR="001410F4">
        <w:rPr>
          <w:rFonts w:ascii="Times New Roman" w:hAnsi="Times New Roman" w:cs="Times New Roman"/>
          <w:sz w:val="24"/>
          <w:szCs w:val="24"/>
        </w:rPr>
        <w:t xml:space="preserve"> towards frequentl</w:t>
      </w:r>
      <w:r>
        <w:rPr>
          <w:rFonts w:ascii="Times New Roman" w:hAnsi="Times New Roman" w:cs="Times New Roman"/>
          <w:sz w:val="24"/>
          <w:szCs w:val="24"/>
        </w:rPr>
        <w:t>y flooded soils, and a 300-m</w:t>
      </w:r>
      <w:r w:rsidR="001410F4">
        <w:rPr>
          <w:rFonts w:ascii="Times New Roman" w:hAnsi="Times New Roman" w:cs="Times New Roman"/>
          <w:sz w:val="24"/>
          <w:szCs w:val="24"/>
        </w:rPr>
        <w:t xml:space="preserve"> buffer of permanent streams clipping frequently flooded soils, were UNIONED and then DISSOLVED within ArcGIS to form the medium probability zone.  </w:t>
      </w:r>
      <w:r w:rsidR="003A53F9">
        <w:rPr>
          <w:rFonts w:ascii="Times New Roman" w:hAnsi="Times New Roman" w:cs="Times New Roman"/>
          <w:sz w:val="24"/>
          <w:szCs w:val="24"/>
        </w:rPr>
        <w:t>This zone covers 40.2 percent of the total study area while encompassing 47.4 percent of all archaeological sites</w:t>
      </w:r>
      <w:r w:rsidR="001A1153">
        <w:rPr>
          <w:rFonts w:ascii="Times New Roman" w:hAnsi="Times New Roman" w:cs="Times New Roman"/>
          <w:sz w:val="24"/>
          <w:szCs w:val="24"/>
        </w:rPr>
        <w:t>, resulting in a</w:t>
      </w:r>
      <w:r w:rsidR="003A53F9">
        <w:rPr>
          <w:rFonts w:ascii="Times New Roman" w:hAnsi="Times New Roman" w:cs="Times New Roman"/>
          <w:sz w:val="24"/>
          <w:szCs w:val="24"/>
        </w:rPr>
        <w:t xml:space="preserve"> gain statistic of 0.15. </w:t>
      </w:r>
      <w:r w:rsidR="004E4ABC">
        <w:rPr>
          <w:rFonts w:ascii="Times New Roman" w:hAnsi="Times New Roman" w:cs="Times New Roman"/>
          <w:sz w:val="24"/>
          <w:szCs w:val="24"/>
        </w:rPr>
        <w:t xml:space="preserve"> The medium probability zone represents an exploitable landscape slightly less attractive to intense human settlement or activities, but still more utilized than</w:t>
      </w:r>
      <w:r w:rsidR="004D47BA">
        <w:rPr>
          <w:rFonts w:ascii="Times New Roman" w:hAnsi="Times New Roman" w:cs="Times New Roman"/>
          <w:sz w:val="24"/>
          <w:szCs w:val="24"/>
        </w:rPr>
        <w:t xml:space="preserve"> low </w:t>
      </w:r>
      <w:r w:rsidR="004D47BA">
        <w:rPr>
          <w:rFonts w:ascii="Times New Roman" w:hAnsi="Times New Roman" w:cs="Times New Roman"/>
          <w:sz w:val="24"/>
          <w:szCs w:val="24"/>
        </w:rPr>
        <w:lastRenderedPageBreak/>
        <w:t>probability zones</w:t>
      </w:r>
      <w:r w:rsidR="004E4ABC">
        <w:rPr>
          <w:rFonts w:ascii="Times New Roman" w:hAnsi="Times New Roman" w:cs="Times New Roman"/>
          <w:sz w:val="24"/>
          <w:szCs w:val="24"/>
        </w:rPr>
        <w:t>.  The area contains a significantly higher density of sites per the landscape than expected by chance alone.</w:t>
      </w:r>
    </w:p>
    <w:p w14:paraId="493126BB" w14:textId="54B9CC77" w:rsidR="00AD150B" w:rsidRDefault="00440A44" w:rsidP="004F59DD">
      <w:pPr>
        <w:spacing w:line="480" w:lineRule="auto"/>
        <w:rPr>
          <w:rFonts w:ascii="Times New Roman" w:hAnsi="Times New Roman" w:cs="Times New Roman"/>
          <w:sz w:val="24"/>
          <w:szCs w:val="24"/>
        </w:rPr>
      </w:pPr>
      <w:r>
        <w:rPr>
          <w:rFonts w:ascii="Times New Roman" w:hAnsi="Times New Roman" w:cs="Times New Roman"/>
          <w:sz w:val="24"/>
          <w:szCs w:val="24"/>
        </w:rPr>
        <w:tab/>
        <w:t>The low probability z</w:t>
      </w:r>
      <w:r w:rsidR="00AD150B">
        <w:rPr>
          <w:rFonts w:ascii="Times New Roman" w:hAnsi="Times New Roman" w:cs="Times New Roman"/>
          <w:sz w:val="24"/>
          <w:szCs w:val="24"/>
        </w:rPr>
        <w:t xml:space="preserve">one is the remainder of the area and is expected to contain a modest number of archaeological sites with respect to the high and medium probability zones.  The Low Probability Zone covers the largest swath of land, 45.4 percent of the total study area, while encompassing the lowest percentage of all archaeological sites (23.6 %).  </w:t>
      </w:r>
      <w:r w:rsidR="000A238A">
        <w:rPr>
          <w:rFonts w:ascii="Times New Roman" w:hAnsi="Times New Roman" w:cs="Times New Roman"/>
          <w:sz w:val="24"/>
          <w:szCs w:val="24"/>
        </w:rPr>
        <w:t xml:space="preserve">The low probability zone exhibits significantly less archaeological sites than expected by chance alone with a gain of – 0.93.  </w:t>
      </w:r>
    </w:p>
    <w:p w14:paraId="5FB27BCD" w14:textId="7B17DD3E" w:rsidR="002869F0" w:rsidRPr="00035E5C" w:rsidRDefault="000A7618" w:rsidP="00035E5C">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B70F57">
        <w:rPr>
          <w:rFonts w:ascii="Times New Roman" w:hAnsi="Times New Roman" w:cs="Times New Roman"/>
          <w:sz w:val="24"/>
          <w:szCs w:val="24"/>
        </w:rPr>
        <w:t xml:space="preserve">he </w:t>
      </w:r>
      <w:r w:rsidR="002869F0">
        <w:rPr>
          <w:rFonts w:ascii="Times New Roman" w:hAnsi="Times New Roman" w:cs="Times New Roman"/>
          <w:sz w:val="24"/>
          <w:szCs w:val="24"/>
        </w:rPr>
        <w:t xml:space="preserve">proposed </w:t>
      </w:r>
      <w:r w:rsidR="00B70F57">
        <w:rPr>
          <w:rFonts w:ascii="Times New Roman" w:hAnsi="Times New Roman" w:cs="Times New Roman"/>
          <w:sz w:val="24"/>
          <w:szCs w:val="24"/>
        </w:rPr>
        <w:t xml:space="preserve">2011 Kisatchie National Forest Predictive Model is recommended for use </w:t>
      </w:r>
      <w:r w:rsidR="00096538">
        <w:rPr>
          <w:rFonts w:ascii="Times New Roman" w:hAnsi="Times New Roman" w:cs="Times New Roman"/>
          <w:sz w:val="24"/>
          <w:szCs w:val="24"/>
        </w:rPr>
        <w:t>as a</w:t>
      </w:r>
      <w:r w:rsidR="00B70F57">
        <w:rPr>
          <w:rFonts w:ascii="Times New Roman" w:hAnsi="Times New Roman" w:cs="Times New Roman"/>
          <w:sz w:val="24"/>
          <w:szCs w:val="24"/>
        </w:rPr>
        <w:t xml:space="preserve"> </w:t>
      </w:r>
      <w:r w:rsidR="00096538">
        <w:rPr>
          <w:rFonts w:ascii="Times New Roman" w:hAnsi="Times New Roman" w:cs="Times New Roman"/>
          <w:sz w:val="24"/>
          <w:szCs w:val="24"/>
        </w:rPr>
        <w:t xml:space="preserve">singular model for </w:t>
      </w:r>
      <w:r>
        <w:rPr>
          <w:rFonts w:ascii="Times New Roman" w:hAnsi="Times New Roman" w:cs="Times New Roman"/>
          <w:sz w:val="24"/>
          <w:szCs w:val="24"/>
        </w:rPr>
        <w:t>all of the forest districts. Detailed evaluations</w:t>
      </w:r>
      <w:r w:rsidR="00B70F57">
        <w:rPr>
          <w:rFonts w:ascii="Times New Roman" w:hAnsi="Times New Roman" w:cs="Times New Roman"/>
          <w:sz w:val="24"/>
          <w:szCs w:val="24"/>
        </w:rPr>
        <w:t xml:space="preserve"> </w:t>
      </w:r>
      <w:r>
        <w:rPr>
          <w:rFonts w:ascii="Times New Roman" w:hAnsi="Times New Roman" w:cs="Times New Roman"/>
          <w:sz w:val="24"/>
          <w:szCs w:val="24"/>
        </w:rPr>
        <w:t xml:space="preserve">show </w:t>
      </w:r>
      <w:r w:rsidR="00B70F57">
        <w:rPr>
          <w:rFonts w:ascii="Times New Roman" w:hAnsi="Times New Roman" w:cs="Times New Roman"/>
          <w:sz w:val="24"/>
          <w:szCs w:val="24"/>
        </w:rPr>
        <w:t>the probability zones prove effective within the Caney District as well</w:t>
      </w:r>
      <w:r w:rsidR="00A67711">
        <w:rPr>
          <w:rFonts w:ascii="Times New Roman" w:hAnsi="Times New Roman" w:cs="Times New Roman"/>
          <w:sz w:val="24"/>
          <w:szCs w:val="24"/>
        </w:rPr>
        <w:t xml:space="preserve"> as </w:t>
      </w:r>
      <w:r>
        <w:rPr>
          <w:rFonts w:ascii="Times New Roman" w:hAnsi="Times New Roman" w:cs="Times New Roman"/>
          <w:sz w:val="24"/>
          <w:szCs w:val="24"/>
        </w:rPr>
        <w:t xml:space="preserve">within </w:t>
      </w:r>
      <w:r w:rsidR="00A67711">
        <w:rPr>
          <w:rFonts w:ascii="Times New Roman" w:hAnsi="Times New Roman" w:cs="Times New Roman"/>
          <w:sz w:val="24"/>
          <w:szCs w:val="24"/>
        </w:rPr>
        <w:t>the central cluster area</w:t>
      </w:r>
      <w:r w:rsidR="00096538">
        <w:rPr>
          <w:rFonts w:ascii="Times New Roman" w:hAnsi="Times New Roman" w:cs="Times New Roman"/>
          <w:sz w:val="24"/>
          <w:szCs w:val="24"/>
        </w:rPr>
        <w:t xml:space="preserve"> (</w:t>
      </w:r>
      <w:r>
        <w:rPr>
          <w:rFonts w:ascii="Times New Roman" w:hAnsi="Times New Roman" w:cs="Times New Roman"/>
          <w:sz w:val="24"/>
          <w:szCs w:val="24"/>
        </w:rPr>
        <w:t>Tables 6.5 to 6.8</w:t>
      </w:r>
      <w:r w:rsidR="00440A44">
        <w:rPr>
          <w:rFonts w:ascii="Times New Roman" w:hAnsi="Times New Roman" w:cs="Times New Roman"/>
          <w:sz w:val="24"/>
          <w:szCs w:val="24"/>
        </w:rPr>
        <w:t>).</w:t>
      </w:r>
      <w:r w:rsidR="005A6662">
        <w:rPr>
          <w:rFonts w:ascii="Times New Roman" w:hAnsi="Times New Roman" w:cs="Times New Roman"/>
          <w:sz w:val="24"/>
          <w:szCs w:val="24"/>
        </w:rPr>
        <w:t xml:space="preserve">  The results of the model performance for each ranger district within the central cluster area </w:t>
      </w:r>
      <w:r w:rsidR="007D6A3E">
        <w:rPr>
          <w:rFonts w:ascii="Times New Roman" w:hAnsi="Times New Roman" w:cs="Times New Roman"/>
          <w:sz w:val="24"/>
          <w:szCs w:val="24"/>
        </w:rPr>
        <w:t>indicate</w:t>
      </w:r>
      <w:r w:rsidR="005A6662">
        <w:rPr>
          <w:rFonts w:ascii="Times New Roman" w:hAnsi="Times New Roman" w:cs="Times New Roman"/>
          <w:sz w:val="24"/>
          <w:szCs w:val="24"/>
        </w:rPr>
        <w:t xml:space="preserve"> </w:t>
      </w:r>
      <w:r w:rsidR="007D6A3E">
        <w:rPr>
          <w:rFonts w:ascii="Times New Roman" w:hAnsi="Times New Roman" w:cs="Times New Roman"/>
          <w:sz w:val="24"/>
          <w:szCs w:val="24"/>
        </w:rPr>
        <w:t xml:space="preserve">effective modeling zones with all maintain an ideal gain progression </w:t>
      </w:r>
      <w:r w:rsidR="005A6662">
        <w:rPr>
          <w:rFonts w:ascii="Times New Roman" w:hAnsi="Times New Roman" w:cs="Times New Roman"/>
          <w:sz w:val="24"/>
          <w:szCs w:val="24"/>
        </w:rPr>
        <w:t>(Appendix C)</w:t>
      </w:r>
      <w:r w:rsidR="00443574">
        <w:rPr>
          <w:rFonts w:ascii="Times New Roman" w:hAnsi="Times New Roman" w:cs="Times New Roman"/>
          <w:sz w:val="24"/>
          <w:szCs w:val="24"/>
        </w:rPr>
        <w:t xml:space="preserve">. </w:t>
      </w:r>
      <w:r w:rsidR="00096538">
        <w:rPr>
          <w:rFonts w:ascii="Times New Roman" w:hAnsi="Times New Roman" w:cs="Times New Roman"/>
          <w:sz w:val="24"/>
          <w:szCs w:val="24"/>
        </w:rPr>
        <w:t xml:space="preserve"> </w:t>
      </w:r>
      <w:r w:rsidR="00AA43B0">
        <w:rPr>
          <w:rFonts w:ascii="Times New Roman" w:hAnsi="Times New Roman" w:cs="Times New Roman"/>
          <w:sz w:val="24"/>
          <w:szCs w:val="24"/>
        </w:rPr>
        <w:t xml:space="preserve"> In comparison with the model it is replacing, the </w:t>
      </w:r>
      <w:r w:rsidR="002869F0">
        <w:rPr>
          <w:rFonts w:ascii="Times New Roman" w:hAnsi="Times New Roman" w:cs="Times New Roman"/>
          <w:sz w:val="24"/>
          <w:szCs w:val="24"/>
        </w:rPr>
        <w:t xml:space="preserve">proposed </w:t>
      </w:r>
      <w:r w:rsidR="00AA43B0">
        <w:rPr>
          <w:rFonts w:ascii="Times New Roman" w:hAnsi="Times New Roman" w:cs="Times New Roman"/>
          <w:sz w:val="24"/>
          <w:szCs w:val="24"/>
        </w:rPr>
        <w:t xml:space="preserve">2011 </w:t>
      </w:r>
      <w:proofErr w:type="spellStart"/>
      <w:r w:rsidR="00AA43B0">
        <w:rPr>
          <w:rFonts w:ascii="Times New Roman" w:hAnsi="Times New Roman" w:cs="Times New Roman"/>
          <w:sz w:val="24"/>
          <w:szCs w:val="24"/>
        </w:rPr>
        <w:t>K</w:t>
      </w:r>
      <w:r w:rsidR="00035E5C">
        <w:rPr>
          <w:rFonts w:ascii="Times New Roman" w:hAnsi="Times New Roman" w:cs="Times New Roman"/>
          <w:sz w:val="24"/>
          <w:szCs w:val="24"/>
        </w:rPr>
        <w:t>isatche</w:t>
      </w:r>
      <w:proofErr w:type="spellEnd"/>
      <w:r w:rsidR="00035E5C">
        <w:rPr>
          <w:rFonts w:ascii="Times New Roman" w:hAnsi="Times New Roman" w:cs="Times New Roman"/>
          <w:sz w:val="24"/>
          <w:szCs w:val="24"/>
        </w:rPr>
        <w:t xml:space="preserve"> </w:t>
      </w:r>
      <w:r w:rsidR="00AA43B0">
        <w:rPr>
          <w:rFonts w:ascii="Times New Roman" w:hAnsi="Times New Roman" w:cs="Times New Roman"/>
          <w:sz w:val="24"/>
          <w:szCs w:val="24"/>
        </w:rPr>
        <w:t>N</w:t>
      </w:r>
      <w:r w:rsidR="00035E5C">
        <w:rPr>
          <w:rFonts w:ascii="Times New Roman" w:hAnsi="Times New Roman" w:cs="Times New Roman"/>
          <w:sz w:val="24"/>
          <w:szCs w:val="24"/>
        </w:rPr>
        <w:t xml:space="preserve">ational </w:t>
      </w:r>
      <w:r w:rsidR="00AA43B0">
        <w:rPr>
          <w:rFonts w:ascii="Times New Roman" w:hAnsi="Times New Roman" w:cs="Times New Roman"/>
          <w:sz w:val="24"/>
          <w:szCs w:val="24"/>
        </w:rPr>
        <w:t>F</w:t>
      </w:r>
      <w:r w:rsidR="00035E5C">
        <w:rPr>
          <w:rFonts w:ascii="Times New Roman" w:hAnsi="Times New Roman" w:cs="Times New Roman"/>
          <w:sz w:val="24"/>
          <w:szCs w:val="24"/>
        </w:rPr>
        <w:t>orest</w:t>
      </w:r>
      <w:r w:rsidR="00AA43B0">
        <w:rPr>
          <w:rFonts w:ascii="Times New Roman" w:hAnsi="Times New Roman" w:cs="Times New Roman"/>
          <w:sz w:val="24"/>
          <w:szCs w:val="24"/>
        </w:rPr>
        <w:t xml:space="preserve"> Predictive Model </w:t>
      </w:r>
      <w:r>
        <w:rPr>
          <w:rFonts w:ascii="Times New Roman" w:hAnsi="Times New Roman" w:cs="Times New Roman"/>
          <w:sz w:val="24"/>
          <w:szCs w:val="24"/>
        </w:rPr>
        <w:t xml:space="preserve">greatly </w:t>
      </w:r>
      <w:r w:rsidR="00AA43B0">
        <w:rPr>
          <w:rFonts w:ascii="Times New Roman" w:hAnsi="Times New Roman" w:cs="Times New Roman"/>
          <w:sz w:val="24"/>
          <w:szCs w:val="24"/>
        </w:rPr>
        <w:t>exceeds the gains of the active U.S. Forest Service predictive model when considering the ideal distribution and appropriateness of gains.</w:t>
      </w:r>
    </w:p>
    <w:p w14:paraId="0633BF7A" w14:textId="77777777" w:rsidR="00297AAB" w:rsidRDefault="003F4633" w:rsidP="00297AAB">
      <w:pPr>
        <w:spacing w:line="240" w:lineRule="auto"/>
        <w:rPr>
          <w:rFonts w:ascii="Times New Roman" w:hAnsi="Times New Roman" w:cs="Times New Roman"/>
          <w:b/>
        </w:rPr>
      </w:pPr>
      <w:r w:rsidRPr="00007D2A">
        <w:rPr>
          <w:rFonts w:ascii="Times New Roman" w:hAnsi="Times New Roman" w:cs="Times New Roman"/>
          <w:b/>
        </w:rPr>
        <w:t>Table 6.</w:t>
      </w:r>
      <w:r w:rsidR="00B436A1">
        <w:rPr>
          <w:rFonts w:ascii="Times New Roman" w:hAnsi="Times New Roman" w:cs="Times New Roman"/>
          <w:b/>
        </w:rPr>
        <w:t>5</w:t>
      </w:r>
      <w:r w:rsidRPr="00007D2A">
        <w:rPr>
          <w:rFonts w:ascii="Times New Roman" w:hAnsi="Times New Roman" w:cs="Times New Roman"/>
          <w:b/>
        </w:rPr>
        <w:t>.</w:t>
      </w:r>
      <w:r w:rsidRPr="00007D2A">
        <w:rPr>
          <w:rFonts w:ascii="Times New Roman" w:hAnsi="Times New Roman" w:cs="Times New Roman"/>
        </w:rPr>
        <w:t xml:space="preserve">  </w:t>
      </w:r>
      <w:r>
        <w:rPr>
          <w:rFonts w:ascii="Times New Roman" w:hAnsi="Times New Roman" w:cs="Times New Roman"/>
        </w:rPr>
        <w:t xml:space="preserve">Test Statistics for the Probability Zones of the </w:t>
      </w:r>
      <w:r w:rsidR="002869F0">
        <w:rPr>
          <w:rFonts w:ascii="Times New Roman" w:hAnsi="Times New Roman" w:cs="Times New Roman"/>
        </w:rPr>
        <w:t xml:space="preserve">Proposed </w:t>
      </w:r>
      <w:r>
        <w:rPr>
          <w:rFonts w:ascii="Times New Roman" w:hAnsi="Times New Roman" w:cs="Times New Roman"/>
        </w:rPr>
        <w:t>2011 Kisatchie National Forest Model for the Central Cluster Study Area and All Archaeological Sites</w:t>
      </w:r>
      <w:r w:rsidRPr="00007D2A">
        <w:rPr>
          <w:rFonts w:ascii="Times New Roman" w:hAnsi="Times New Roman" w:cs="Times New Roman"/>
        </w:rPr>
        <w:t>.</w:t>
      </w:r>
    </w:p>
    <w:tbl>
      <w:tblPr>
        <w:tblW w:w="8860" w:type="dxa"/>
        <w:tblInd w:w="93" w:type="dxa"/>
        <w:tblLook w:val="04A0" w:firstRow="1" w:lastRow="0" w:firstColumn="1" w:lastColumn="0" w:noHBand="0" w:noVBand="1"/>
      </w:tblPr>
      <w:tblGrid>
        <w:gridCol w:w="1700"/>
        <w:gridCol w:w="1340"/>
        <w:gridCol w:w="920"/>
        <w:gridCol w:w="1260"/>
        <w:gridCol w:w="983"/>
        <w:gridCol w:w="900"/>
        <w:gridCol w:w="880"/>
        <w:gridCol w:w="900"/>
      </w:tblGrid>
      <w:tr w:rsidR="00297AAB" w:rsidRPr="00297AAB" w14:paraId="2D518EC4" w14:textId="77777777" w:rsidTr="00297AAB">
        <w:trPr>
          <w:trHeight w:val="280"/>
        </w:trPr>
        <w:tc>
          <w:tcPr>
            <w:tcW w:w="1700" w:type="dxa"/>
            <w:tcBorders>
              <w:top w:val="single" w:sz="4" w:space="0" w:color="auto"/>
              <w:left w:val="nil"/>
              <w:bottom w:val="single" w:sz="4" w:space="0" w:color="auto"/>
              <w:right w:val="nil"/>
            </w:tcBorders>
            <w:shd w:val="clear" w:color="auto" w:fill="auto"/>
            <w:noWrap/>
            <w:vAlign w:val="bottom"/>
            <w:hideMark/>
          </w:tcPr>
          <w:p w14:paraId="0A455D4D" w14:textId="77777777" w:rsidR="00297AAB" w:rsidRPr="00297AAB" w:rsidRDefault="00297AAB" w:rsidP="00297AAB">
            <w:pPr>
              <w:spacing w:after="0" w:line="240" w:lineRule="auto"/>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Probability Zone</w:t>
            </w:r>
          </w:p>
        </w:tc>
        <w:tc>
          <w:tcPr>
            <w:tcW w:w="1340" w:type="dxa"/>
            <w:tcBorders>
              <w:top w:val="single" w:sz="4" w:space="0" w:color="auto"/>
              <w:left w:val="nil"/>
              <w:bottom w:val="single" w:sz="4" w:space="0" w:color="auto"/>
              <w:right w:val="nil"/>
            </w:tcBorders>
            <w:shd w:val="clear" w:color="auto" w:fill="auto"/>
            <w:noWrap/>
            <w:vAlign w:val="bottom"/>
            <w:hideMark/>
          </w:tcPr>
          <w:p w14:paraId="22190C5F"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Area (m</w:t>
            </w:r>
            <w:r w:rsidRPr="00297AAB">
              <w:rPr>
                <w:rFonts w:ascii="Times New Roman" w:eastAsia="Times New Roman" w:hAnsi="Times New Roman" w:cs="Times New Roman"/>
                <w:color w:val="000000"/>
                <w:sz w:val="20"/>
                <w:szCs w:val="20"/>
                <w:vertAlign w:val="superscript"/>
              </w:rPr>
              <w:t>2</w:t>
            </w:r>
            <w:r w:rsidRPr="00297AAB">
              <w:rPr>
                <w:rFonts w:ascii="Times New Roman" w:eastAsia="Times New Roman" w:hAnsi="Times New Roman" w:cs="Times New Roman"/>
                <w:color w:val="000000"/>
                <w:sz w:val="20"/>
                <w:szCs w:val="20"/>
              </w:rPr>
              <w:t>)</w:t>
            </w:r>
          </w:p>
        </w:tc>
        <w:tc>
          <w:tcPr>
            <w:tcW w:w="920" w:type="dxa"/>
            <w:tcBorders>
              <w:top w:val="single" w:sz="4" w:space="0" w:color="auto"/>
              <w:left w:val="nil"/>
              <w:bottom w:val="single" w:sz="4" w:space="0" w:color="auto"/>
              <w:right w:val="nil"/>
            </w:tcBorders>
            <w:shd w:val="clear" w:color="auto" w:fill="auto"/>
            <w:noWrap/>
            <w:vAlign w:val="bottom"/>
            <w:hideMark/>
          </w:tcPr>
          <w:p w14:paraId="35FC513C"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 xml:space="preserve">% </w:t>
            </w:r>
            <w:proofErr w:type="gramStart"/>
            <w:r w:rsidRPr="00297AAB">
              <w:rPr>
                <w:rFonts w:ascii="Times New Roman" w:eastAsia="Times New Roman" w:hAnsi="Times New Roman" w:cs="Times New Roman"/>
                <w:color w:val="000000"/>
                <w:sz w:val="20"/>
                <w:szCs w:val="20"/>
              </w:rPr>
              <w:t>of</w:t>
            </w:r>
            <w:proofErr w:type="gramEnd"/>
            <w:r w:rsidRPr="00297AAB">
              <w:rPr>
                <w:rFonts w:ascii="Times New Roman" w:eastAsia="Times New Roman" w:hAnsi="Times New Roman" w:cs="Times New Roman"/>
                <w:color w:val="000000"/>
                <w:sz w:val="20"/>
                <w:szCs w:val="20"/>
              </w:rPr>
              <w:t xml:space="preserve"> Area</w:t>
            </w:r>
          </w:p>
        </w:tc>
        <w:tc>
          <w:tcPr>
            <w:tcW w:w="1260" w:type="dxa"/>
            <w:tcBorders>
              <w:top w:val="single" w:sz="4" w:space="0" w:color="auto"/>
              <w:left w:val="nil"/>
              <w:bottom w:val="single" w:sz="4" w:space="0" w:color="auto"/>
              <w:right w:val="nil"/>
            </w:tcBorders>
            <w:shd w:val="clear" w:color="auto" w:fill="auto"/>
            <w:noWrap/>
            <w:vAlign w:val="bottom"/>
            <w:hideMark/>
          </w:tcPr>
          <w:p w14:paraId="2BC53188"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Expected Sites</w:t>
            </w:r>
          </w:p>
        </w:tc>
        <w:tc>
          <w:tcPr>
            <w:tcW w:w="960" w:type="dxa"/>
            <w:tcBorders>
              <w:top w:val="single" w:sz="4" w:space="0" w:color="auto"/>
              <w:left w:val="nil"/>
              <w:bottom w:val="single" w:sz="4" w:space="0" w:color="auto"/>
              <w:right w:val="nil"/>
            </w:tcBorders>
            <w:shd w:val="clear" w:color="auto" w:fill="auto"/>
            <w:noWrap/>
            <w:vAlign w:val="bottom"/>
            <w:hideMark/>
          </w:tcPr>
          <w:p w14:paraId="4709F3DD"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Observed Sites</w:t>
            </w:r>
          </w:p>
        </w:tc>
        <w:tc>
          <w:tcPr>
            <w:tcW w:w="900" w:type="dxa"/>
            <w:tcBorders>
              <w:top w:val="single" w:sz="4" w:space="0" w:color="auto"/>
              <w:left w:val="nil"/>
              <w:bottom w:val="single" w:sz="4" w:space="0" w:color="auto"/>
              <w:right w:val="nil"/>
            </w:tcBorders>
            <w:shd w:val="clear" w:color="auto" w:fill="auto"/>
            <w:noWrap/>
            <w:vAlign w:val="bottom"/>
            <w:hideMark/>
          </w:tcPr>
          <w:p w14:paraId="63DD4DBC"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 Sites</w:t>
            </w:r>
          </w:p>
        </w:tc>
        <w:tc>
          <w:tcPr>
            <w:tcW w:w="880" w:type="dxa"/>
            <w:tcBorders>
              <w:top w:val="single" w:sz="4" w:space="0" w:color="auto"/>
              <w:left w:val="nil"/>
              <w:bottom w:val="single" w:sz="4" w:space="0" w:color="auto"/>
              <w:right w:val="nil"/>
            </w:tcBorders>
            <w:shd w:val="clear" w:color="auto" w:fill="auto"/>
            <w:noWrap/>
            <w:vAlign w:val="bottom"/>
            <w:hideMark/>
          </w:tcPr>
          <w:p w14:paraId="3BFC0714"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χ2</w:t>
            </w:r>
          </w:p>
        </w:tc>
        <w:tc>
          <w:tcPr>
            <w:tcW w:w="900" w:type="dxa"/>
            <w:tcBorders>
              <w:top w:val="single" w:sz="4" w:space="0" w:color="auto"/>
              <w:left w:val="nil"/>
              <w:bottom w:val="single" w:sz="4" w:space="0" w:color="auto"/>
              <w:right w:val="nil"/>
            </w:tcBorders>
            <w:shd w:val="clear" w:color="auto" w:fill="auto"/>
            <w:noWrap/>
            <w:vAlign w:val="bottom"/>
            <w:hideMark/>
          </w:tcPr>
          <w:p w14:paraId="4EA865AD"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Gain</w:t>
            </w:r>
          </w:p>
        </w:tc>
      </w:tr>
      <w:tr w:rsidR="00297AAB" w:rsidRPr="00297AAB" w14:paraId="6AF8480A" w14:textId="77777777" w:rsidTr="00297AAB">
        <w:trPr>
          <w:trHeight w:val="280"/>
        </w:trPr>
        <w:tc>
          <w:tcPr>
            <w:tcW w:w="1700" w:type="dxa"/>
            <w:tcBorders>
              <w:top w:val="nil"/>
              <w:left w:val="nil"/>
              <w:bottom w:val="nil"/>
              <w:right w:val="nil"/>
            </w:tcBorders>
            <w:shd w:val="clear" w:color="auto" w:fill="auto"/>
            <w:noWrap/>
            <w:vAlign w:val="bottom"/>
            <w:hideMark/>
          </w:tcPr>
          <w:p w14:paraId="2CDEC4C7" w14:textId="77777777" w:rsidR="00297AAB" w:rsidRPr="00297AAB" w:rsidRDefault="00297AAB" w:rsidP="00297AAB">
            <w:pPr>
              <w:spacing w:after="0" w:line="240" w:lineRule="auto"/>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Zone 1 (High)</w:t>
            </w:r>
          </w:p>
        </w:tc>
        <w:tc>
          <w:tcPr>
            <w:tcW w:w="1340" w:type="dxa"/>
            <w:tcBorders>
              <w:top w:val="nil"/>
              <w:left w:val="nil"/>
              <w:bottom w:val="nil"/>
              <w:right w:val="nil"/>
            </w:tcBorders>
            <w:shd w:val="clear" w:color="auto" w:fill="auto"/>
            <w:noWrap/>
            <w:vAlign w:val="bottom"/>
            <w:hideMark/>
          </w:tcPr>
          <w:p w14:paraId="792FDC62"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331002554</w:t>
            </w:r>
          </w:p>
        </w:tc>
        <w:tc>
          <w:tcPr>
            <w:tcW w:w="920" w:type="dxa"/>
            <w:tcBorders>
              <w:top w:val="nil"/>
              <w:left w:val="nil"/>
              <w:bottom w:val="nil"/>
              <w:right w:val="nil"/>
            </w:tcBorders>
            <w:shd w:val="clear" w:color="auto" w:fill="auto"/>
            <w:noWrap/>
            <w:vAlign w:val="bottom"/>
            <w:hideMark/>
          </w:tcPr>
          <w:p w14:paraId="3C26907E"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14.1</w:t>
            </w:r>
          </w:p>
        </w:tc>
        <w:tc>
          <w:tcPr>
            <w:tcW w:w="1260" w:type="dxa"/>
            <w:tcBorders>
              <w:top w:val="nil"/>
              <w:left w:val="nil"/>
              <w:bottom w:val="nil"/>
              <w:right w:val="nil"/>
            </w:tcBorders>
            <w:shd w:val="clear" w:color="auto" w:fill="auto"/>
            <w:noWrap/>
            <w:vAlign w:val="bottom"/>
            <w:hideMark/>
          </w:tcPr>
          <w:p w14:paraId="2E81F30A"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537.5</w:t>
            </w:r>
          </w:p>
        </w:tc>
        <w:tc>
          <w:tcPr>
            <w:tcW w:w="960" w:type="dxa"/>
            <w:tcBorders>
              <w:top w:val="nil"/>
              <w:left w:val="nil"/>
              <w:bottom w:val="nil"/>
              <w:right w:val="nil"/>
            </w:tcBorders>
            <w:shd w:val="clear" w:color="auto" w:fill="auto"/>
            <w:noWrap/>
            <w:vAlign w:val="bottom"/>
            <w:hideMark/>
          </w:tcPr>
          <w:p w14:paraId="4A558220"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1114</w:t>
            </w:r>
          </w:p>
        </w:tc>
        <w:tc>
          <w:tcPr>
            <w:tcW w:w="900" w:type="dxa"/>
            <w:tcBorders>
              <w:top w:val="nil"/>
              <w:left w:val="nil"/>
              <w:bottom w:val="nil"/>
              <w:right w:val="nil"/>
            </w:tcBorders>
            <w:shd w:val="clear" w:color="auto" w:fill="auto"/>
            <w:noWrap/>
            <w:vAlign w:val="bottom"/>
            <w:hideMark/>
          </w:tcPr>
          <w:p w14:paraId="4D6DE801"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29.1</w:t>
            </w:r>
          </w:p>
        </w:tc>
        <w:tc>
          <w:tcPr>
            <w:tcW w:w="880" w:type="dxa"/>
            <w:tcBorders>
              <w:top w:val="nil"/>
              <w:left w:val="nil"/>
              <w:bottom w:val="nil"/>
              <w:right w:val="nil"/>
            </w:tcBorders>
            <w:shd w:val="clear" w:color="auto" w:fill="auto"/>
            <w:noWrap/>
            <w:vAlign w:val="bottom"/>
            <w:hideMark/>
          </w:tcPr>
          <w:p w14:paraId="0C6A5B2A" w14:textId="77777777" w:rsidR="00297AAB" w:rsidRPr="00297AAB" w:rsidRDefault="00297AAB" w:rsidP="00297AAB">
            <w:pPr>
              <w:spacing w:after="0" w:line="240" w:lineRule="auto"/>
              <w:jc w:val="center"/>
              <w:rPr>
                <w:rFonts w:ascii="Times New Roman" w:eastAsia="Times New Roman" w:hAnsi="Times New Roman" w:cs="Times New Roman"/>
                <w:sz w:val="20"/>
                <w:szCs w:val="20"/>
              </w:rPr>
            </w:pPr>
            <w:r w:rsidRPr="00297AAB">
              <w:rPr>
                <w:rFonts w:ascii="Times New Roman" w:eastAsia="Times New Roman" w:hAnsi="Times New Roman" w:cs="Times New Roman"/>
                <w:sz w:val="20"/>
                <w:szCs w:val="20"/>
              </w:rPr>
              <w:t>618.4</w:t>
            </w:r>
          </w:p>
        </w:tc>
        <w:tc>
          <w:tcPr>
            <w:tcW w:w="900" w:type="dxa"/>
            <w:tcBorders>
              <w:top w:val="nil"/>
              <w:left w:val="nil"/>
              <w:bottom w:val="nil"/>
              <w:right w:val="nil"/>
            </w:tcBorders>
            <w:shd w:val="clear" w:color="auto" w:fill="auto"/>
            <w:noWrap/>
            <w:vAlign w:val="bottom"/>
            <w:hideMark/>
          </w:tcPr>
          <w:p w14:paraId="673803D7"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0.52</w:t>
            </w:r>
          </w:p>
        </w:tc>
      </w:tr>
      <w:tr w:rsidR="00297AAB" w:rsidRPr="00297AAB" w14:paraId="07E02910" w14:textId="77777777" w:rsidTr="00297AAB">
        <w:trPr>
          <w:trHeight w:val="280"/>
        </w:trPr>
        <w:tc>
          <w:tcPr>
            <w:tcW w:w="1700" w:type="dxa"/>
            <w:tcBorders>
              <w:top w:val="nil"/>
              <w:left w:val="nil"/>
              <w:bottom w:val="nil"/>
              <w:right w:val="nil"/>
            </w:tcBorders>
            <w:shd w:val="clear" w:color="auto" w:fill="auto"/>
            <w:noWrap/>
            <w:vAlign w:val="bottom"/>
            <w:hideMark/>
          </w:tcPr>
          <w:p w14:paraId="51F087EA" w14:textId="77777777" w:rsidR="00297AAB" w:rsidRPr="00297AAB" w:rsidRDefault="00297AAB" w:rsidP="00297AAB">
            <w:pPr>
              <w:spacing w:after="0" w:line="240" w:lineRule="auto"/>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Zone 2 (Medium)</w:t>
            </w:r>
          </w:p>
        </w:tc>
        <w:tc>
          <w:tcPr>
            <w:tcW w:w="1340" w:type="dxa"/>
            <w:tcBorders>
              <w:top w:val="nil"/>
              <w:left w:val="nil"/>
              <w:bottom w:val="nil"/>
              <w:right w:val="nil"/>
            </w:tcBorders>
            <w:shd w:val="clear" w:color="auto" w:fill="auto"/>
            <w:noWrap/>
            <w:vAlign w:val="bottom"/>
            <w:hideMark/>
          </w:tcPr>
          <w:p w14:paraId="139B0596"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951287513</w:t>
            </w:r>
          </w:p>
        </w:tc>
        <w:tc>
          <w:tcPr>
            <w:tcW w:w="920" w:type="dxa"/>
            <w:tcBorders>
              <w:top w:val="nil"/>
              <w:left w:val="nil"/>
              <w:bottom w:val="nil"/>
              <w:right w:val="nil"/>
            </w:tcBorders>
            <w:shd w:val="clear" w:color="auto" w:fill="auto"/>
            <w:noWrap/>
            <w:vAlign w:val="bottom"/>
            <w:hideMark/>
          </w:tcPr>
          <w:p w14:paraId="3D31FC59"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40.4</w:t>
            </w:r>
          </w:p>
        </w:tc>
        <w:tc>
          <w:tcPr>
            <w:tcW w:w="1260" w:type="dxa"/>
            <w:tcBorders>
              <w:top w:val="nil"/>
              <w:left w:val="nil"/>
              <w:bottom w:val="nil"/>
              <w:right w:val="nil"/>
            </w:tcBorders>
            <w:shd w:val="clear" w:color="auto" w:fill="auto"/>
            <w:noWrap/>
            <w:vAlign w:val="bottom"/>
            <w:hideMark/>
          </w:tcPr>
          <w:p w14:paraId="41AAA64B"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1544.7</w:t>
            </w:r>
          </w:p>
        </w:tc>
        <w:tc>
          <w:tcPr>
            <w:tcW w:w="960" w:type="dxa"/>
            <w:tcBorders>
              <w:top w:val="nil"/>
              <w:left w:val="nil"/>
              <w:bottom w:val="nil"/>
              <w:right w:val="nil"/>
            </w:tcBorders>
            <w:shd w:val="clear" w:color="auto" w:fill="auto"/>
            <w:noWrap/>
            <w:vAlign w:val="bottom"/>
            <w:hideMark/>
          </w:tcPr>
          <w:p w14:paraId="4ABA5B6B"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1815</w:t>
            </w:r>
          </w:p>
        </w:tc>
        <w:tc>
          <w:tcPr>
            <w:tcW w:w="900" w:type="dxa"/>
            <w:tcBorders>
              <w:top w:val="nil"/>
              <w:left w:val="nil"/>
              <w:bottom w:val="nil"/>
              <w:right w:val="nil"/>
            </w:tcBorders>
            <w:shd w:val="clear" w:color="auto" w:fill="auto"/>
            <w:noWrap/>
            <w:vAlign w:val="bottom"/>
            <w:hideMark/>
          </w:tcPr>
          <w:p w14:paraId="6A51FF58"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47.5</w:t>
            </w:r>
          </w:p>
        </w:tc>
        <w:tc>
          <w:tcPr>
            <w:tcW w:w="880" w:type="dxa"/>
            <w:tcBorders>
              <w:top w:val="nil"/>
              <w:left w:val="nil"/>
              <w:bottom w:val="nil"/>
              <w:right w:val="nil"/>
            </w:tcBorders>
            <w:shd w:val="clear" w:color="auto" w:fill="auto"/>
            <w:noWrap/>
            <w:vAlign w:val="bottom"/>
            <w:hideMark/>
          </w:tcPr>
          <w:p w14:paraId="66BDCD40" w14:textId="77777777" w:rsidR="00297AAB" w:rsidRPr="00297AAB" w:rsidRDefault="00297AAB" w:rsidP="00297AAB">
            <w:pPr>
              <w:spacing w:after="0" w:line="240" w:lineRule="auto"/>
              <w:jc w:val="center"/>
              <w:rPr>
                <w:rFonts w:ascii="Times New Roman" w:eastAsia="Times New Roman" w:hAnsi="Times New Roman" w:cs="Times New Roman"/>
                <w:sz w:val="20"/>
                <w:szCs w:val="20"/>
              </w:rPr>
            </w:pPr>
            <w:r w:rsidRPr="00297AAB">
              <w:rPr>
                <w:rFonts w:ascii="Times New Roman" w:eastAsia="Times New Roman" w:hAnsi="Times New Roman" w:cs="Times New Roman"/>
                <w:sz w:val="20"/>
                <w:szCs w:val="20"/>
              </w:rPr>
              <w:t>47.3</w:t>
            </w:r>
          </w:p>
        </w:tc>
        <w:tc>
          <w:tcPr>
            <w:tcW w:w="900" w:type="dxa"/>
            <w:tcBorders>
              <w:top w:val="nil"/>
              <w:left w:val="nil"/>
              <w:bottom w:val="nil"/>
              <w:right w:val="nil"/>
            </w:tcBorders>
            <w:shd w:val="clear" w:color="auto" w:fill="auto"/>
            <w:noWrap/>
            <w:vAlign w:val="bottom"/>
            <w:hideMark/>
          </w:tcPr>
          <w:p w14:paraId="1A77FAE0"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0.15</w:t>
            </w:r>
          </w:p>
        </w:tc>
      </w:tr>
      <w:tr w:rsidR="00297AAB" w:rsidRPr="00297AAB" w14:paraId="0F02478E" w14:textId="77777777" w:rsidTr="00297AAB">
        <w:trPr>
          <w:trHeight w:val="280"/>
        </w:trPr>
        <w:tc>
          <w:tcPr>
            <w:tcW w:w="1700" w:type="dxa"/>
            <w:tcBorders>
              <w:top w:val="nil"/>
              <w:left w:val="nil"/>
              <w:bottom w:val="nil"/>
              <w:right w:val="nil"/>
            </w:tcBorders>
            <w:shd w:val="clear" w:color="auto" w:fill="auto"/>
            <w:noWrap/>
            <w:vAlign w:val="bottom"/>
            <w:hideMark/>
          </w:tcPr>
          <w:p w14:paraId="3D93FB71" w14:textId="77777777" w:rsidR="00297AAB" w:rsidRPr="00297AAB" w:rsidRDefault="00297AAB" w:rsidP="00297AAB">
            <w:pPr>
              <w:spacing w:after="0" w:line="240" w:lineRule="auto"/>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Zone 2 (Low)</w:t>
            </w:r>
          </w:p>
        </w:tc>
        <w:tc>
          <w:tcPr>
            <w:tcW w:w="1340" w:type="dxa"/>
            <w:tcBorders>
              <w:top w:val="nil"/>
              <w:left w:val="nil"/>
              <w:bottom w:val="nil"/>
              <w:right w:val="nil"/>
            </w:tcBorders>
            <w:shd w:val="clear" w:color="auto" w:fill="auto"/>
            <w:noWrap/>
            <w:vAlign w:val="bottom"/>
            <w:hideMark/>
          </w:tcPr>
          <w:p w14:paraId="7121F377"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1073313185</w:t>
            </w:r>
          </w:p>
        </w:tc>
        <w:tc>
          <w:tcPr>
            <w:tcW w:w="920" w:type="dxa"/>
            <w:tcBorders>
              <w:top w:val="nil"/>
              <w:left w:val="nil"/>
              <w:bottom w:val="nil"/>
              <w:right w:val="nil"/>
            </w:tcBorders>
            <w:shd w:val="clear" w:color="auto" w:fill="auto"/>
            <w:noWrap/>
            <w:vAlign w:val="bottom"/>
            <w:hideMark/>
          </w:tcPr>
          <w:p w14:paraId="3E861F21"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45.6</w:t>
            </w:r>
          </w:p>
        </w:tc>
        <w:tc>
          <w:tcPr>
            <w:tcW w:w="1260" w:type="dxa"/>
            <w:tcBorders>
              <w:top w:val="nil"/>
              <w:left w:val="nil"/>
              <w:bottom w:val="nil"/>
              <w:right w:val="nil"/>
            </w:tcBorders>
            <w:shd w:val="clear" w:color="auto" w:fill="auto"/>
            <w:noWrap/>
            <w:vAlign w:val="bottom"/>
            <w:hideMark/>
          </w:tcPr>
          <w:p w14:paraId="3A651B6A"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1742.8</w:t>
            </w:r>
          </w:p>
        </w:tc>
        <w:tc>
          <w:tcPr>
            <w:tcW w:w="960" w:type="dxa"/>
            <w:tcBorders>
              <w:top w:val="nil"/>
              <w:left w:val="nil"/>
              <w:bottom w:val="nil"/>
              <w:right w:val="nil"/>
            </w:tcBorders>
            <w:shd w:val="clear" w:color="auto" w:fill="auto"/>
            <w:noWrap/>
            <w:vAlign w:val="bottom"/>
            <w:hideMark/>
          </w:tcPr>
          <w:p w14:paraId="53D996F6"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896</w:t>
            </w:r>
          </w:p>
        </w:tc>
        <w:tc>
          <w:tcPr>
            <w:tcW w:w="900" w:type="dxa"/>
            <w:tcBorders>
              <w:top w:val="nil"/>
              <w:left w:val="nil"/>
              <w:bottom w:val="nil"/>
              <w:right w:val="nil"/>
            </w:tcBorders>
            <w:shd w:val="clear" w:color="auto" w:fill="auto"/>
            <w:noWrap/>
            <w:vAlign w:val="bottom"/>
            <w:hideMark/>
          </w:tcPr>
          <w:p w14:paraId="5D8132F5"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23.4</w:t>
            </w:r>
          </w:p>
        </w:tc>
        <w:tc>
          <w:tcPr>
            <w:tcW w:w="880" w:type="dxa"/>
            <w:tcBorders>
              <w:top w:val="nil"/>
              <w:left w:val="nil"/>
              <w:bottom w:val="nil"/>
              <w:right w:val="nil"/>
            </w:tcBorders>
            <w:shd w:val="clear" w:color="auto" w:fill="auto"/>
            <w:noWrap/>
            <w:vAlign w:val="bottom"/>
            <w:hideMark/>
          </w:tcPr>
          <w:p w14:paraId="408CC7CE" w14:textId="77777777" w:rsidR="00297AAB" w:rsidRPr="00297AAB" w:rsidRDefault="00297AAB" w:rsidP="00297AAB">
            <w:pPr>
              <w:spacing w:after="0" w:line="240" w:lineRule="auto"/>
              <w:jc w:val="center"/>
              <w:rPr>
                <w:rFonts w:ascii="Times New Roman" w:eastAsia="Times New Roman" w:hAnsi="Times New Roman" w:cs="Times New Roman"/>
                <w:sz w:val="20"/>
                <w:szCs w:val="20"/>
              </w:rPr>
            </w:pPr>
            <w:r w:rsidRPr="00297AAB">
              <w:rPr>
                <w:rFonts w:ascii="Times New Roman" w:eastAsia="Times New Roman" w:hAnsi="Times New Roman" w:cs="Times New Roman"/>
                <w:sz w:val="20"/>
                <w:szCs w:val="20"/>
              </w:rPr>
              <w:t>411.5</w:t>
            </w:r>
          </w:p>
        </w:tc>
        <w:tc>
          <w:tcPr>
            <w:tcW w:w="900" w:type="dxa"/>
            <w:tcBorders>
              <w:top w:val="nil"/>
              <w:left w:val="nil"/>
              <w:bottom w:val="nil"/>
              <w:right w:val="nil"/>
            </w:tcBorders>
            <w:shd w:val="clear" w:color="auto" w:fill="auto"/>
            <w:noWrap/>
            <w:vAlign w:val="bottom"/>
            <w:hideMark/>
          </w:tcPr>
          <w:p w14:paraId="73DA0BC4"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-0.95</w:t>
            </w:r>
          </w:p>
        </w:tc>
      </w:tr>
      <w:tr w:rsidR="00297AAB" w:rsidRPr="00297AAB" w14:paraId="2F0D9EF6" w14:textId="77777777" w:rsidTr="00297AAB">
        <w:trPr>
          <w:trHeight w:val="280"/>
        </w:trPr>
        <w:tc>
          <w:tcPr>
            <w:tcW w:w="1700" w:type="dxa"/>
            <w:tcBorders>
              <w:top w:val="single" w:sz="4" w:space="0" w:color="auto"/>
              <w:left w:val="nil"/>
              <w:bottom w:val="single" w:sz="4" w:space="0" w:color="auto"/>
              <w:right w:val="nil"/>
            </w:tcBorders>
            <w:shd w:val="clear" w:color="auto" w:fill="auto"/>
            <w:noWrap/>
            <w:vAlign w:val="bottom"/>
            <w:hideMark/>
          </w:tcPr>
          <w:p w14:paraId="657FD50C" w14:textId="77777777" w:rsidR="00297AAB" w:rsidRPr="00297AAB" w:rsidRDefault="00297AAB" w:rsidP="00297AAB">
            <w:pPr>
              <w:spacing w:after="0" w:line="240" w:lineRule="auto"/>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Total</w:t>
            </w:r>
          </w:p>
        </w:tc>
        <w:tc>
          <w:tcPr>
            <w:tcW w:w="1340" w:type="dxa"/>
            <w:tcBorders>
              <w:top w:val="single" w:sz="4" w:space="0" w:color="auto"/>
              <w:left w:val="nil"/>
              <w:bottom w:val="single" w:sz="4" w:space="0" w:color="auto"/>
              <w:right w:val="nil"/>
            </w:tcBorders>
            <w:shd w:val="clear" w:color="auto" w:fill="auto"/>
            <w:noWrap/>
            <w:vAlign w:val="bottom"/>
            <w:hideMark/>
          </w:tcPr>
          <w:p w14:paraId="741D0B9E"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2355603252</w:t>
            </w:r>
          </w:p>
        </w:tc>
        <w:tc>
          <w:tcPr>
            <w:tcW w:w="920" w:type="dxa"/>
            <w:tcBorders>
              <w:top w:val="single" w:sz="4" w:space="0" w:color="auto"/>
              <w:left w:val="nil"/>
              <w:bottom w:val="single" w:sz="4" w:space="0" w:color="auto"/>
              <w:right w:val="nil"/>
            </w:tcBorders>
            <w:shd w:val="clear" w:color="auto" w:fill="auto"/>
            <w:noWrap/>
            <w:vAlign w:val="bottom"/>
            <w:hideMark/>
          </w:tcPr>
          <w:p w14:paraId="19539992"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100.0</w:t>
            </w:r>
          </w:p>
        </w:tc>
        <w:tc>
          <w:tcPr>
            <w:tcW w:w="1260" w:type="dxa"/>
            <w:tcBorders>
              <w:top w:val="single" w:sz="4" w:space="0" w:color="auto"/>
              <w:left w:val="nil"/>
              <w:bottom w:val="single" w:sz="4" w:space="0" w:color="auto"/>
              <w:right w:val="nil"/>
            </w:tcBorders>
            <w:shd w:val="clear" w:color="auto" w:fill="auto"/>
            <w:noWrap/>
            <w:vAlign w:val="bottom"/>
            <w:hideMark/>
          </w:tcPr>
          <w:p w14:paraId="3737428B"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3825.0</w:t>
            </w:r>
          </w:p>
        </w:tc>
        <w:tc>
          <w:tcPr>
            <w:tcW w:w="960" w:type="dxa"/>
            <w:tcBorders>
              <w:top w:val="single" w:sz="4" w:space="0" w:color="auto"/>
              <w:left w:val="nil"/>
              <w:bottom w:val="single" w:sz="4" w:space="0" w:color="auto"/>
              <w:right w:val="nil"/>
            </w:tcBorders>
            <w:shd w:val="clear" w:color="auto" w:fill="auto"/>
            <w:noWrap/>
            <w:vAlign w:val="bottom"/>
            <w:hideMark/>
          </w:tcPr>
          <w:p w14:paraId="5E00936E"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3825</w:t>
            </w:r>
          </w:p>
        </w:tc>
        <w:tc>
          <w:tcPr>
            <w:tcW w:w="900" w:type="dxa"/>
            <w:tcBorders>
              <w:top w:val="single" w:sz="4" w:space="0" w:color="auto"/>
              <w:left w:val="nil"/>
              <w:bottom w:val="single" w:sz="4" w:space="0" w:color="auto"/>
              <w:right w:val="nil"/>
            </w:tcBorders>
            <w:shd w:val="clear" w:color="auto" w:fill="auto"/>
            <w:noWrap/>
            <w:vAlign w:val="bottom"/>
            <w:hideMark/>
          </w:tcPr>
          <w:p w14:paraId="5724C0FF"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100.0</w:t>
            </w:r>
          </w:p>
        </w:tc>
        <w:tc>
          <w:tcPr>
            <w:tcW w:w="880" w:type="dxa"/>
            <w:tcBorders>
              <w:top w:val="single" w:sz="4" w:space="0" w:color="auto"/>
              <w:left w:val="nil"/>
              <w:bottom w:val="single" w:sz="4" w:space="0" w:color="auto"/>
              <w:right w:val="nil"/>
            </w:tcBorders>
            <w:shd w:val="clear" w:color="auto" w:fill="auto"/>
            <w:noWrap/>
            <w:vAlign w:val="bottom"/>
            <w:hideMark/>
          </w:tcPr>
          <w:p w14:paraId="380CCEE7" w14:textId="77777777" w:rsidR="00297AAB" w:rsidRPr="00297AAB" w:rsidRDefault="00297AAB" w:rsidP="00297AAB">
            <w:pPr>
              <w:spacing w:after="0" w:line="240" w:lineRule="auto"/>
              <w:jc w:val="center"/>
              <w:rPr>
                <w:rFonts w:ascii="Times New Roman" w:eastAsia="Times New Roman" w:hAnsi="Times New Roman" w:cs="Times New Roman"/>
                <w:sz w:val="20"/>
                <w:szCs w:val="20"/>
              </w:rPr>
            </w:pPr>
            <w:r w:rsidRPr="00297AAB">
              <w:rPr>
                <w:rFonts w:ascii="Times New Roman" w:eastAsia="Times New Roman" w:hAnsi="Times New Roman" w:cs="Times New Roman"/>
                <w:sz w:val="20"/>
                <w:szCs w:val="20"/>
              </w:rPr>
              <w:t>1077.2</w:t>
            </w:r>
          </w:p>
        </w:tc>
        <w:tc>
          <w:tcPr>
            <w:tcW w:w="900" w:type="dxa"/>
            <w:tcBorders>
              <w:top w:val="single" w:sz="4" w:space="0" w:color="auto"/>
              <w:left w:val="nil"/>
              <w:bottom w:val="single" w:sz="4" w:space="0" w:color="auto"/>
              <w:right w:val="nil"/>
            </w:tcBorders>
            <w:shd w:val="clear" w:color="auto" w:fill="auto"/>
            <w:noWrap/>
            <w:vAlign w:val="bottom"/>
            <w:hideMark/>
          </w:tcPr>
          <w:p w14:paraId="5E6A4CB5"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w:t>
            </w:r>
          </w:p>
        </w:tc>
      </w:tr>
      <w:tr w:rsidR="00297AAB" w:rsidRPr="00297AAB" w14:paraId="3948B7A3" w14:textId="77777777" w:rsidTr="00297AAB">
        <w:trPr>
          <w:trHeight w:val="280"/>
        </w:trPr>
        <w:tc>
          <w:tcPr>
            <w:tcW w:w="3040" w:type="dxa"/>
            <w:gridSpan w:val="2"/>
            <w:tcBorders>
              <w:top w:val="nil"/>
              <w:left w:val="nil"/>
              <w:bottom w:val="nil"/>
              <w:right w:val="nil"/>
            </w:tcBorders>
            <w:shd w:val="clear" w:color="auto" w:fill="auto"/>
            <w:noWrap/>
            <w:vAlign w:val="bottom"/>
            <w:hideMark/>
          </w:tcPr>
          <w:p w14:paraId="389809BA" w14:textId="77777777" w:rsidR="00297AAB" w:rsidRPr="00297AAB" w:rsidRDefault="00297AAB" w:rsidP="00297AAB">
            <w:pPr>
              <w:spacing w:after="0" w:line="240" w:lineRule="auto"/>
              <w:rPr>
                <w:rFonts w:ascii="Times New Roman" w:eastAsia="Times New Roman" w:hAnsi="Times New Roman" w:cs="Times New Roman"/>
                <w:color w:val="000000"/>
                <w:sz w:val="20"/>
                <w:szCs w:val="20"/>
              </w:rPr>
            </w:pPr>
            <w:proofErr w:type="spellStart"/>
            <w:proofErr w:type="gramStart"/>
            <w:r w:rsidRPr="00297AAB">
              <w:rPr>
                <w:rFonts w:ascii="Times New Roman" w:eastAsia="Times New Roman" w:hAnsi="Times New Roman" w:cs="Times New Roman"/>
                <w:color w:val="000000"/>
                <w:sz w:val="20"/>
                <w:szCs w:val="20"/>
              </w:rPr>
              <w:lastRenderedPageBreak/>
              <w:t>df</w:t>
            </w:r>
            <w:proofErr w:type="spellEnd"/>
            <w:proofErr w:type="gramEnd"/>
            <w:r w:rsidRPr="00297AAB">
              <w:rPr>
                <w:rFonts w:ascii="Times New Roman" w:eastAsia="Times New Roman" w:hAnsi="Times New Roman" w:cs="Times New Roman"/>
                <w:color w:val="000000"/>
                <w:sz w:val="20"/>
                <w:szCs w:val="20"/>
              </w:rPr>
              <w:t xml:space="preserve"> = 2, α = .05, sig of χ2 ≥ 5.99</w:t>
            </w:r>
          </w:p>
        </w:tc>
        <w:tc>
          <w:tcPr>
            <w:tcW w:w="920" w:type="dxa"/>
            <w:tcBorders>
              <w:top w:val="nil"/>
              <w:left w:val="nil"/>
              <w:bottom w:val="nil"/>
              <w:right w:val="nil"/>
            </w:tcBorders>
            <w:shd w:val="clear" w:color="auto" w:fill="auto"/>
            <w:noWrap/>
            <w:vAlign w:val="bottom"/>
            <w:hideMark/>
          </w:tcPr>
          <w:p w14:paraId="3BB9ED8D"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p>
        </w:tc>
        <w:tc>
          <w:tcPr>
            <w:tcW w:w="1260" w:type="dxa"/>
            <w:tcBorders>
              <w:top w:val="nil"/>
              <w:left w:val="nil"/>
              <w:bottom w:val="nil"/>
              <w:right w:val="nil"/>
            </w:tcBorders>
            <w:shd w:val="clear" w:color="auto" w:fill="auto"/>
            <w:noWrap/>
            <w:vAlign w:val="bottom"/>
            <w:hideMark/>
          </w:tcPr>
          <w:p w14:paraId="66DB10EA"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7D24C0EA"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p>
        </w:tc>
        <w:tc>
          <w:tcPr>
            <w:tcW w:w="900" w:type="dxa"/>
            <w:tcBorders>
              <w:top w:val="nil"/>
              <w:left w:val="nil"/>
              <w:bottom w:val="nil"/>
              <w:right w:val="nil"/>
            </w:tcBorders>
            <w:shd w:val="clear" w:color="auto" w:fill="auto"/>
            <w:noWrap/>
            <w:vAlign w:val="bottom"/>
            <w:hideMark/>
          </w:tcPr>
          <w:p w14:paraId="0609BE08"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p>
        </w:tc>
        <w:tc>
          <w:tcPr>
            <w:tcW w:w="880" w:type="dxa"/>
            <w:tcBorders>
              <w:top w:val="nil"/>
              <w:left w:val="nil"/>
              <w:bottom w:val="nil"/>
              <w:right w:val="nil"/>
            </w:tcBorders>
            <w:shd w:val="clear" w:color="auto" w:fill="auto"/>
            <w:noWrap/>
            <w:vAlign w:val="bottom"/>
            <w:hideMark/>
          </w:tcPr>
          <w:p w14:paraId="3ECBF779"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p>
        </w:tc>
        <w:tc>
          <w:tcPr>
            <w:tcW w:w="900" w:type="dxa"/>
            <w:tcBorders>
              <w:top w:val="nil"/>
              <w:left w:val="nil"/>
              <w:bottom w:val="nil"/>
              <w:right w:val="nil"/>
            </w:tcBorders>
            <w:shd w:val="clear" w:color="auto" w:fill="auto"/>
            <w:noWrap/>
            <w:vAlign w:val="bottom"/>
            <w:hideMark/>
          </w:tcPr>
          <w:p w14:paraId="31E1AA22"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p>
        </w:tc>
      </w:tr>
    </w:tbl>
    <w:p w14:paraId="44F36392" w14:textId="336D611F" w:rsidR="003F4633" w:rsidRDefault="003F4633" w:rsidP="00297AAB">
      <w:pPr>
        <w:spacing w:line="240" w:lineRule="auto"/>
        <w:rPr>
          <w:rFonts w:ascii="Times New Roman" w:hAnsi="Times New Roman" w:cs="Times New Roman"/>
          <w:b/>
        </w:rPr>
      </w:pPr>
    </w:p>
    <w:p w14:paraId="40730B0A" w14:textId="77777777" w:rsidR="002869F0" w:rsidRDefault="002869F0" w:rsidP="003F4633">
      <w:pPr>
        <w:spacing w:line="240" w:lineRule="auto"/>
        <w:rPr>
          <w:rFonts w:ascii="Times New Roman" w:hAnsi="Times New Roman" w:cs="Times New Roman"/>
          <w:b/>
        </w:rPr>
      </w:pPr>
    </w:p>
    <w:p w14:paraId="4D13C7DE" w14:textId="77777777" w:rsidR="003F4633" w:rsidRDefault="003F4633" w:rsidP="003F4633">
      <w:pPr>
        <w:spacing w:line="240" w:lineRule="auto"/>
        <w:rPr>
          <w:rFonts w:ascii="Times New Roman" w:hAnsi="Times New Roman" w:cs="Times New Roman"/>
        </w:rPr>
      </w:pPr>
      <w:r w:rsidRPr="00007D2A">
        <w:rPr>
          <w:rFonts w:ascii="Times New Roman" w:hAnsi="Times New Roman" w:cs="Times New Roman"/>
          <w:b/>
        </w:rPr>
        <w:t>Table 6.</w:t>
      </w:r>
      <w:r w:rsidR="00B436A1">
        <w:rPr>
          <w:rFonts w:ascii="Times New Roman" w:hAnsi="Times New Roman" w:cs="Times New Roman"/>
          <w:b/>
        </w:rPr>
        <w:t>6</w:t>
      </w:r>
      <w:r w:rsidRPr="00007D2A">
        <w:rPr>
          <w:rFonts w:ascii="Times New Roman" w:hAnsi="Times New Roman" w:cs="Times New Roman"/>
          <w:b/>
        </w:rPr>
        <w:t>.</w:t>
      </w:r>
      <w:r w:rsidRPr="00007D2A">
        <w:rPr>
          <w:rFonts w:ascii="Times New Roman" w:hAnsi="Times New Roman" w:cs="Times New Roman"/>
        </w:rPr>
        <w:t xml:space="preserve">  </w:t>
      </w:r>
      <w:r>
        <w:rPr>
          <w:rFonts w:ascii="Times New Roman" w:hAnsi="Times New Roman" w:cs="Times New Roman"/>
        </w:rPr>
        <w:t>Test Statistics for the Probability Zones of the Active U.S. Forest Service Predictive Model for the Central Cluster Study Area and All Archaeological Sites</w:t>
      </w:r>
      <w:r w:rsidRPr="00007D2A">
        <w:rPr>
          <w:rFonts w:ascii="Times New Roman" w:hAnsi="Times New Roman" w:cs="Times New Roman"/>
        </w:rPr>
        <w:t>.</w:t>
      </w:r>
    </w:p>
    <w:tbl>
      <w:tblPr>
        <w:tblW w:w="8630" w:type="dxa"/>
        <w:tblInd w:w="93" w:type="dxa"/>
        <w:tblLook w:val="04A0" w:firstRow="1" w:lastRow="0" w:firstColumn="1" w:lastColumn="0" w:noHBand="0" w:noVBand="1"/>
      </w:tblPr>
      <w:tblGrid>
        <w:gridCol w:w="1640"/>
        <w:gridCol w:w="1216"/>
        <w:gridCol w:w="920"/>
        <w:gridCol w:w="1260"/>
        <w:gridCol w:w="1320"/>
        <w:gridCol w:w="1180"/>
        <w:gridCol w:w="680"/>
        <w:gridCol w:w="605"/>
      </w:tblGrid>
      <w:tr w:rsidR="00090BBE" w:rsidRPr="00090BBE" w14:paraId="31A4118B" w14:textId="77777777" w:rsidTr="00090BBE">
        <w:trPr>
          <w:trHeight w:val="330"/>
        </w:trPr>
        <w:tc>
          <w:tcPr>
            <w:tcW w:w="1640" w:type="dxa"/>
            <w:tcBorders>
              <w:top w:val="single" w:sz="4" w:space="0" w:color="auto"/>
              <w:left w:val="nil"/>
              <w:bottom w:val="single" w:sz="4" w:space="0" w:color="auto"/>
              <w:right w:val="nil"/>
            </w:tcBorders>
            <w:shd w:val="clear" w:color="auto" w:fill="auto"/>
            <w:noWrap/>
            <w:vAlign w:val="bottom"/>
            <w:hideMark/>
          </w:tcPr>
          <w:p w14:paraId="0AE77C4C"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Probability Zone</w:t>
            </w:r>
          </w:p>
        </w:tc>
        <w:tc>
          <w:tcPr>
            <w:tcW w:w="1030" w:type="dxa"/>
            <w:tcBorders>
              <w:top w:val="single" w:sz="4" w:space="0" w:color="auto"/>
              <w:left w:val="nil"/>
              <w:bottom w:val="single" w:sz="4" w:space="0" w:color="auto"/>
              <w:right w:val="nil"/>
            </w:tcBorders>
            <w:shd w:val="clear" w:color="auto" w:fill="auto"/>
            <w:noWrap/>
            <w:vAlign w:val="bottom"/>
            <w:hideMark/>
          </w:tcPr>
          <w:p w14:paraId="6D98319E"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Area (m</w:t>
            </w:r>
            <w:r w:rsidRPr="00090BBE">
              <w:rPr>
                <w:rFonts w:ascii="Times New Roman" w:eastAsia="Times New Roman" w:hAnsi="Times New Roman" w:cs="Times New Roman"/>
                <w:color w:val="000000"/>
                <w:sz w:val="20"/>
                <w:szCs w:val="20"/>
                <w:vertAlign w:val="superscript"/>
              </w:rPr>
              <w:t>2</w:t>
            </w:r>
            <w:r w:rsidRPr="00090BBE">
              <w:rPr>
                <w:rFonts w:ascii="Times New Roman" w:eastAsia="Times New Roman" w:hAnsi="Times New Roman" w:cs="Times New Roman"/>
                <w:color w:val="000000"/>
                <w:sz w:val="20"/>
                <w:szCs w:val="20"/>
              </w:rPr>
              <w:t>)</w:t>
            </w:r>
          </w:p>
        </w:tc>
        <w:tc>
          <w:tcPr>
            <w:tcW w:w="920" w:type="dxa"/>
            <w:tcBorders>
              <w:top w:val="single" w:sz="4" w:space="0" w:color="auto"/>
              <w:left w:val="nil"/>
              <w:bottom w:val="single" w:sz="4" w:space="0" w:color="auto"/>
              <w:right w:val="nil"/>
            </w:tcBorders>
            <w:shd w:val="clear" w:color="auto" w:fill="auto"/>
            <w:noWrap/>
            <w:vAlign w:val="bottom"/>
            <w:hideMark/>
          </w:tcPr>
          <w:p w14:paraId="02B47B94"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 xml:space="preserve">% </w:t>
            </w:r>
            <w:proofErr w:type="gramStart"/>
            <w:r w:rsidRPr="00090BBE">
              <w:rPr>
                <w:rFonts w:ascii="Times New Roman" w:eastAsia="Times New Roman" w:hAnsi="Times New Roman" w:cs="Times New Roman"/>
                <w:color w:val="000000"/>
                <w:sz w:val="20"/>
                <w:szCs w:val="20"/>
              </w:rPr>
              <w:t>of</w:t>
            </w:r>
            <w:proofErr w:type="gramEnd"/>
            <w:r w:rsidRPr="00090BBE">
              <w:rPr>
                <w:rFonts w:ascii="Times New Roman" w:eastAsia="Times New Roman" w:hAnsi="Times New Roman" w:cs="Times New Roman"/>
                <w:color w:val="000000"/>
                <w:sz w:val="20"/>
                <w:szCs w:val="20"/>
              </w:rPr>
              <w:t xml:space="preserve"> Area</w:t>
            </w:r>
          </w:p>
        </w:tc>
        <w:tc>
          <w:tcPr>
            <w:tcW w:w="1260" w:type="dxa"/>
            <w:tcBorders>
              <w:top w:val="single" w:sz="4" w:space="0" w:color="auto"/>
              <w:left w:val="nil"/>
              <w:bottom w:val="single" w:sz="4" w:space="0" w:color="auto"/>
              <w:right w:val="nil"/>
            </w:tcBorders>
            <w:shd w:val="clear" w:color="auto" w:fill="auto"/>
            <w:noWrap/>
            <w:vAlign w:val="bottom"/>
            <w:hideMark/>
          </w:tcPr>
          <w:p w14:paraId="60F595EF"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Expected Sites</w:t>
            </w:r>
          </w:p>
        </w:tc>
        <w:tc>
          <w:tcPr>
            <w:tcW w:w="1320" w:type="dxa"/>
            <w:tcBorders>
              <w:top w:val="single" w:sz="4" w:space="0" w:color="auto"/>
              <w:left w:val="nil"/>
              <w:bottom w:val="single" w:sz="4" w:space="0" w:color="auto"/>
              <w:right w:val="nil"/>
            </w:tcBorders>
            <w:shd w:val="clear" w:color="auto" w:fill="auto"/>
            <w:noWrap/>
            <w:vAlign w:val="bottom"/>
            <w:hideMark/>
          </w:tcPr>
          <w:p w14:paraId="4885E25E"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Observed Sites</w:t>
            </w:r>
          </w:p>
        </w:tc>
        <w:tc>
          <w:tcPr>
            <w:tcW w:w="1180" w:type="dxa"/>
            <w:tcBorders>
              <w:top w:val="single" w:sz="4" w:space="0" w:color="auto"/>
              <w:left w:val="nil"/>
              <w:bottom w:val="single" w:sz="4" w:space="0" w:color="auto"/>
              <w:right w:val="nil"/>
            </w:tcBorders>
            <w:shd w:val="clear" w:color="auto" w:fill="auto"/>
            <w:noWrap/>
            <w:vAlign w:val="bottom"/>
            <w:hideMark/>
          </w:tcPr>
          <w:p w14:paraId="534A1A3F"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 xml:space="preserve">% </w:t>
            </w:r>
            <w:proofErr w:type="gramStart"/>
            <w:r w:rsidRPr="00090BBE">
              <w:rPr>
                <w:rFonts w:ascii="Times New Roman" w:eastAsia="Times New Roman" w:hAnsi="Times New Roman" w:cs="Times New Roman"/>
                <w:color w:val="000000"/>
                <w:sz w:val="20"/>
                <w:szCs w:val="20"/>
              </w:rPr>
              <w:t>of</w:t>
            </w:r>
            <w:proofErr w:type="gramEnd"/>
            <w:r w:rsidRPr="00090BBE">
              <w:rPr>
                <w:rFonts w:ascii="Times New Roman" w:eastAsia="Times New Roman" w:hAnsi="Times New Roman" w:cs="Times New Roman"/>
                <w:color w:val="000000"/>
                <w:sz w:val="20"/>
                <w:szCs w:val="20"/>
              </w:rPr>
              <w:t xml:space="preserve"> Sites</w:t>
            </w:r>
          </w:p>
        </w:tc>
        <w:tc>
          <w:tcPr>
            <w:tcW w:w="680" w:type="dxa"/>
            <w:tcBorders>
              <w:top w:val="single" w:sz="4" w:space="0" w:color="auto"/>
              <w:left w:val="nil"/>
              <w:bottom w:val="single" w:sz="4" w:space="0" w:color="auto"/>
              <w:right w:val="nil"/>
            </w:tcBorders>
            <w:shd w:val="clear" w:color="auto" w:fill="auto"/>
            <w:noWrap/>
            <w:vAlign w:val="bottom"/>
            <w:hideMark/>
          </w:tcPr>
          <w:p w14:paraId="5CDDC484"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χ2</w:t>
            </w:r>
          </w:p>
        </w:tc>
        <w:tc>
          <w:tcPr>
            <w:tcW w:w="600" w:type="dxa"/>
            <w:tcBorders>
              <w:top w:val="single" w:sz="4" w:space="0" w:color="auto"/>
              <w:left w:val="nil"/>
              <w:bottom w:val="single" w:sz="4" w:space="0" w:color="auto"/>
              <w:right w:val="nil"/>
            </w:tcBorders>
            <w:shd w:val="clear" w:color="auto" w:fill="auto"/>
            <w:noWrap/>
            <w:vAlign w:val="bottom"/>
            <w:hideMark/>
          </w:tcPr>
          <w:p w14:paraId="42C8EFCB"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Gain</w:t>
            </w:r>
          </w:p>
        </w:tc>
      </w:tr>
      <w:tr w:rsidR="00090BBE" w:rsidRPr="00090BBE" w14:paraId="0F2BF142" w14:textId="77777777" w:rsidTr="00090BBE">
        <w:trPr>
          <w:trHeight w:val="300"/>
        </w:trPr>
        <w:tc>
          <w:tcPr>
            <w:tcW w:w="1640" w:type="dxa"/>
            <w:tcBorders>
              <w:top w:val="nil"/>
              <w:left w:val="nil"/>
              <w:bottom w:val="nil"/>
              <w:right w:val="nil"/>
            </w:tcBorders>
            <w:shd w:val="clear" w:color="auto" w:fill="auto"/>
            <w:noWrap/>
            <w:vAlign w:val="bottom"/>
            <w:hideMark/>
          </w:tcPr>
          <w:p w14:paraId="7E41D051"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Zone 1 (Medium)</w:t>
            </w:r>
          </w:p>
        </w:tc>
        <w:tc>
          <w:tcPr>
            <w:tcW w:w="1030" w:type="dxa"/>
            <w:tcBorders>
              <w:top w:val="nil"/>
              <w:left w:val="nil"/>
              <w:bottom w:val="nil"/>
              <w:right w:val="nil"/>
            </w:tcBorders>
            <w:shd w:val="clear" w:color="auto" w:fill="auto"/>
            <w:noWrap/>
            <w:vAlign w:val="bottom"/>
            <w:hideMark/>
          </w:tcPr>
          <w:p w14:paraId="3DE1B6ED"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300112869</w:t>
            </w:r>
          </w:p>
        </w:tc>
        <w:tc>
          <w:tcPr>
            <w:tcW w:w="920" w:type="dxa"/>
            <w:tcBorders>
              <w:top w:val="nil"/>
              <w:left w:val="nil"/>
              <w:bottom w:val="nil"/>
              <w:right w:val="nil"/>
            </w:tcBorders>
            <w:shd w:val="clear" w:color="auto" w:fill="auto"/>
            <w:noWrap/>
            <w:vAlign w:val="bottom"/>
            <w:hideMark/>
          </w:tcPr>
          <w:p w14:paraId="1733738C"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12.7</w:t>
            </w:r>
          </w:p>
        </w:tc>
        <w:tc>
          <w:tcPr>
            <w:tcW w:w="1260" w:type="dxa"/>
            <w:tcBorders>
              <w:top w:val="nil"/>
              <w:left w:val="nil"/>
              <w:bottom w:val="nil"/>
              <w:right w:val="nil"/>
            </w:tcBorders>
            <w:shd w:val="clear" w:color="auto" w:fill="auto"/>
            <w:noWrap/>
            <w:vAlign w:val="bottom"/>
            <w:hideMark/>
          </w:tcPr>
          <w:p w14:paraId="2BE48658"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487.0</w:t>
            </w:r>
          </w:p>
        </w:tc>
        <w:tc>
          <w:tcPr>
            <w:tcW w:w="1320" w:type="dxa"/>
            <w:tcBorders>
              <w:top w:val="nil"/>
              <w:left w:val="nil"/>
              <w:bottom w:val="nil"/>
              <w:right w:val="nil"/>
            </w:tcBorders>
            <w:shd w:val="clear" w:color="auto" w:fill="auto"/>
            <w:noWrap/>
            <w:vAlign w:val="bottom"/>
            <w:hideMark/>
          </w:tcPr>
          <w:p w14:paraId="7902B88E"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638</w:t>
            </w:r>
          </w:p>
        </w:tc>
        <w:tc>
          <w:tcPr>
            <w:tcW w:w="1180" w:type="dxa"/>
            <w:tcBorders>
              <w:top w:val="nil"/>
              <w:left w:val="nil"/>
              <w:bottom w:val="nil"/>
              <w:right w:val="nil"/>
            </w:tcBorders>
            <w:shd w:val="clear" w:color="auto" w:fill="auto"/>
            <w:noWrap/>
            <w:vAlign w:val="bottom"/>
            <w:hideMark/>
          </w:tcPr>
          <w:p w14:paraId="786F1093"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16.7</w:t>
            </w:r>
          </w:p>
        </w:tc>
        <w:tc>
          <w:tcPr>
            <w:tcW w:w="680" w:type="dxa"/>
            <w:tcBorders>
              <w:top w:val="nil"/>
              <w:left w:val="nil"/>
              <w:bottom w:val="nil"/>
              <w:right w:val="nil"/>
            </w:tcBorders>
            <w:shd w:val="clear" w:color="auto" w:fill="auto"/>
            <w:noWrap/>
            <w:vAlign w:val="bottom"/>
            <w:hideMark/>
          </w:tcPr>
          <w:p w14:paraId="57DBD44F" w14:textId="77777777" w:rsidR="00090BBE" w:rsidRPr="00090BBE" w:rsidRDefault="00090BBE" w:rsidP="00090BBE">
            <w:pPr>
              <w:spacing w:after="0" w:line="240" w:lineRule="auto"/>
              <w:jc w:val="center"/>
              <w:rPr>
                <w:rFonts w:ascii="Times New Roman" w:eastAsia="Times New Roman" w:hAnsi="Times New Roman" w:cs="Times New Roman"/>
                <w:sz w:val="20"/>
                <w:szCs w:val="20"/>
              </w:rPr>
            </w:pPr>
            <w:r w:rsidRPr="00090BBE">
              <w:rPr>
                <w:rFonts w:ascii="Times New Roman" w:eastAsia="Times New Roman" w:hAnsi="Times New Roman" w:cs="Times New Roman"/>
                <w:sz w:val="20"/>
                <w:szCs w:val="20"/>
              </w:rPr>
              <w:t>46.8</w:t>
            </w:r>
          </w:p>
        </w:tc>
        <w:tc>
          <w:tcPr>
            <w:tcW w:w="600" w:type="dxa"/>
            <w:tcBorders>
              <w:top w:val="nil"/>
              <w:left w:val="nil"/>
              <w:bottom w:val="nil"/>
              <w:right w:val="nil"/>
            </w:tcBorders>
            <w:shd w:val="clear" w:color="auto" w:fill="auto"/>
            <w:noWrap/>
            <w:vAlign w:val="bottom"/>
            <w:hideMark/>
          </w:tcPr>
          <w:p w14:paraId="276CACBF"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0.24</w:t>
            </w:r>
          </w:p>
        </w:tc>
      </w:tr>
      <w:tr w:rsidR="00090BBE" w:rsidRPr="00090BBE" w14:paraId="6B126FB4" w14:textId="77777777" w:rsidTr="00090BBE">
        <w:trPr>
          <w:trHeight w:val="300"/>
        </w:trPr>
        <w:tc>
          <w:tcPr>
            <w:tcW w:w="1640" w:type="dxa"/>
            <w:tcBorders>
              <w:top w:val="nil"/>
              <w:left w:val="nil"/>
              <w:bottom w:val="nil"/>
              <w:right w:val="nil"/>
            </w:tcBorders>
            <w:shd w:val="clear" w:color="auto" w:fill="auto"/>
            <w:noWrap/>
            <w:vAlign w:val="bottom"/>
            <w:hideMark/>
          </w:tcPr>
          <w:p w14:paraId="23D32A99"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Zone 2 (High)</w:t>
            </w:r>
          </w:p>
        </w:tc>
        <w:tc>
          <w:tcPr>
            <w:tcW w:w="1030" w:type="dxa"/>
            <w:tcBorders>
              <w:top w:val="nil"/>
              <w:left w:val="nil"/>
              <w:bottom w:val="nil"/>
              <w:right w:val="nil"/>
            </w:tcBorders>
            <w:shd w:val="clear" w:color="auto" w:fill="auto"/>
            <w:noWrap/>
            <w:vAlign w:val="bottom"/>
            <w:hideMark/>
          </w:tcPr>
          <w:p w14:paraId="7715FD34"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1300364015</w:t>
            </w:r>
          </w:p>
        </w:tc>
        <w:tc>
          <w:tcPr>
            <w:tcW w:w="920" w:type="dxa"/>
            <w:tcBorders>
              <w:top w:val="nil"/>
              <w:left w:val="nil"/>
              <w:bottom w:val="nil"/>
              <w:right w:val="nil"/>
            </w:tcBorders>
            <w:shd w:val="clear" w:color="auto" w:fill="auto"/>
            <w:noWrap/>
            <w:vAlign w:val="bottom"/>
            <w:hideMark/>
          </w:tcPr>
          <w:p w14:paraId="219FBAFD"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55.2</w:t>
            </w:r>
          </w:p>
        </w:tc>
        <w:tc>
          <w:tcPr>
            <w:tcW w:w="1260" w:type="dxa"/>
            <w:tcBorders>
              <w:top w:val="nil"/>
              <w:left w:val="nil"/>
              <w:bottom w:val="nil"/>
              <w:right w:val="nil"/>
            </w:tcBorders>
            <w:shd w:val="clear" w:color="auto" w:fill="auto"/>
            <w:noWrap/>
            <w:vAlign w:val="bottom"/>
            <w:hideMark/>
          </w:tcPr>
          <w:p w14:paraId="07D54292"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2110.1</w:t>
            </w:r>
          </w:p>
        </w:tc>
        <w:tc>
          <w:tcPr>
            <w:tcW w:w="1320" w:type="dxa"/>
            <w:tcBorders>
              <w:top w:val="nil"/>
              <w:left w:val="nil"/>
              <w:bottom w:val="nil"/>
              <w:right w:val="nil"/>
            </w:tcBorders>
            <w:shd w:val="clear" w:color="auto" w:fill="auto"/>
            <w:noWrap/>
            <w:vAlign w:val="bottom"/>
            <w:hideMark/>
          </w:tcPr>
          <w:p w14:paraId="1B679988"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2552</w:t>
            </w:r>
          </w:p>
        </w:tc>
        <w:tc>
          <w:tcPr>
            <w:tcW w:w="1180" w:type="dxa"/>
            <w:tcBorders>
              <w:top w:val="nil"/>
              <w:left w:val="nil"/>
              <w:bottom w:val="nil"/>
              <w:right w:val="nil"/>
            </w:tcBorders>
            <w:shd w:val="clear" w:color="auto" w:fill="auto"/>
            <w:noWrap/>
            <w:vAlign w:val="bottom"/>
            <w:hideMark/>
          </w:tcPr>
          <w:p w14:paraId="7079BC9D"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66.7</w:t>
            </w:r>
          </w:p>
        </w:tc>
        <w:tc>
          <w:tcPr>
            <w:tcW w:w="680" w:type="dxa"/>
            <w:tcBorders>
              <w:top w:val="nil"/>
              <w:left w:val="nil"/>
              <w:bottom w:val="nil"/>
              <w:right w:val="nil"/>
            </w:tcBorders>
            <w:shd w:val="clear" w:color="auto" w:fill="auto"/>
            <w:noWrap/>
            <w:vAlign w:val="bottom"/>
            <w:hideMark/>
          </w:tcPr>
          <w:p w14:paraId="0945B472"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92.6</w:t>
            </w:r>
          </w:p>
        </w:tc>
        <w:tc>
          <w:tcPr>
            <w:tcW w:w="600" w:type="dxa"/>
            <w:tcBorders>
              <w:top w:val="nil"/>
              <w:left w:val="nil"/>
              <w:bottom w:val="nil"/>
              <w:right w:val="nil"/>
            </w:tcBorders>
            <w:shd w:val="clear" w:color="auto" w:fill="auto"/>
            <w:noWrap/>
            <w:vAlign w:val="bottom"/>
            <w:hideMark/>
          </w:tcPr>
          <w:p w14:paraId="522831FC"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0.17</w:t>
            </w:r>
          </w:p>
        </w:tc>
      </w:tr>
      <w:tr w:rsidR="00090BBE" w:rsidRPr="00090BBE" w14:paraId="1066122D" w14:textId="77777777" w:rsidTr="00090BBE">
        <w:trPr>
          <w:trHeight w:val="300"/>
        </w:trPr>
        <w:tc>
          <w:tcPr>
            <w:tcW w:w="1640" w:type="dxa"/>
            <w:tcBorders>
              <w:top w:val="nil"/>
              <w:left w:val="nil"/>
              <w:bottom w:val="nil"/>
              <w:right w:val="nil"/>
            </w:tcBorders>
            <w:shd w:val="clear" w:color="auto" w:fill="auto"/>
            <w:noWrap/>
            <w:vAlign w:val="bottom"/>
            <w:hideMark/>
          </w:tcPr>
          <w:p w14:paraId="3D544074"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Zone 3 (Low)</w:t>
            </w:r>
          </w:p>
        </w:tc>
        <w:tc>
          <w:tcPr>
            <w:tcW w:w="1030" w:type="dxa"/>
            <w:tcBorders>
              <w:top w:val="nil"/>
              <w:left w:val="nil"/>
              <w:bottom w:val="nil"/>
              <w:right w:val="nil"/>
            </w:tcBorders>
            <w:shd w:val="clear" w:color="auto" w:fill="auto"/>
            <w:noWrap/>
            <w:vAlign w:val="bottom"/>
            <w:hideMark/>
          </w:tcPr>
          <w:p w14:paraId="643989EA"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756754669</w:t>
            </w:r>
          </w:p>
        </w:tc>
        <w:tc>
          <w:tcPr>
            <w:tcW w:w="920" w:type="dxa"/>
            <w:tcBorders>
              <w:top w:val="nil"/>
              <w:left w:val="nil"/>
              <w:bottom w:val="nil"/>
              <w:right w:val="nil"/>
            </w:tcBorders>
            <w:shd w:val="clear" w:color="auto" w:fill="auto"/>
            <w:noWrap/>
            <w:vAlign w:val="bottom"/>
            <w:hideMark/>
          </w:tcPr>
          <w:p w14:paraId="0E6CC5CE"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32.1</w:t>
            </w:r>
          </w:p>
        </w:tc>
        <w:tc>
          <w:tcPr>
            <w:tcW w:w="1260" w:type="dxa"/>
            <w:tcBorders>
              <w:top w:val="nil"/>
              <w:left w:val="nil"/>
              <w:bottom w:val="nil"/>
              <w:right w:val="nil"/>
            </w:tcBorders>
            <w:shd w:val="clear" w:color="auto" w:fill="auto"/>
            <w:noWrap/>
            <w:vAlign w:val="bottom"/>
            <w:hideMark/>
          </w:tcPr>
          <w:p w14:paraId="7DED239C"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1228.0</w:t>
            </w:r>
          </w:p>
        </w:tc>
        <w:tc>
          <w:tcPr>
            <w:tcW w:w="1320" w:type="dxa"/>
            <w:tcBorders>
              <w:top w:val="nil"/>
              <w:left w:val="nil"/>
              <w:bottom w:val="nil"/>
              <w:right w:val="nil"/>
            </w:tcBorders>
            <w:shd w:val="clear" w:color="auto" w:fill="auto"/>
            <w:noWrap/>
            <w:vAlign w:val="bottom"/>
            <w:hideMark/>
          </w:tcPr>
          <w:p w14:paraId="0D7C0538"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635</w:t>
            </w:r>
          </w:p>
        </w:tc>
        <w:tc>
          <w:tcPr>
            <w:tcW w:w="1180" w:type="dxa"/>
            <w:tcBorders>
              <w:top w:val="nil"/>
              <w:left w:val="nil"/>
              <w:bottom w:val="nil"/>
              <w:right w:val="nil"/>
            </w:tcBorders>
            <w:shd w:val="clear" w:color="auto" w:fill="auto"/>
            <w:noWrap/>
            <w:vAlign w:val="bottom"/>
            <w:hideMark/>
          </w:tcPr>
          <w:p w14:paraId="69E0FE66"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16.6</w:t>
            </w:r>
          </w:p>
        </w:tc>
        <w:tc>
          <w:tcPr>
            <w:tcW w:w="680" w:type="dxa"/>
            <w:tcBorders>
              <w:top w:val="nil"/>
              <w:left w:val="nil"/>
              <w:bottom w:val="nil"/>
              <w:right w:val="nil"/>
            </w:tcBorders>
            <w:shd w:val="clear" w:color="auto" w:fill="auto"/>
            <w:noWrap/>
            <w:vAlign w:val="bottom"/>
            <w:hideMark/>
          </w:tcPr>
          <w:p w14:paraId="778C6CB6"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286.3</w:t>
            </w:r>
          </w:p>
        </w:tc>
        <w:tc>
          <w:tcPr>
            <w:tcW w:w="600" w:type="dxa"/>
            <w:tcBorders>
              <w:top w:val="nil"/>
              <w:left w:val="nil"/>
              <w:bottom w:val="nil"/>
              <w:right w:val="nil"/>
            </w:tcBorders>
            <w:shd w:val="clear" w:color="auto" w:fill="auto"/>
            <w:noWrap/>
            <w:vAlign w:val="bottom"/>
            <w:hideMark/>
          </w:tcPr>
          <w:p w14:paraId="61338444"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-0.9</w:t>
            </w:r>
          </w:p>
        </w:tc>
      </w:tr>
      <w:tr w:rsidR="00090BBE" w:rsidRPr="00090BBE" w14:paraId="54A55110" w14:textId="77777777" w:rsidTr="00090BBE">
        <w:trPr>
          <w:trHeight w:val="300"/>
        </w:trPr>
        <w:tc>
          <w:tcPr>
            <w:tcW w:w="1640" w:type="dxa"/>
            <w:tcBorders>
              <w:top w:val="single" w:sz="4" w:space="0" w:color="auto"/>
              <w:left w:val="nil"/>
              <w:bottom w:val="single" w:sz="4" w:space="0" w:color="auto"/>
              <w:right w:val="nil"/>
            </w:tcBorders>
            <w:shd w:val="clear" w:color="auto" w:fill="auto"/>
            <w:noWrap/>
            <w:vAlign w:val="bottom"/>
            <w:hideMark/>
          </w:tcPr>
          <w:p w14:paraId="36D40A49"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Total</w:t>
            </w:r>
          </w:p>
        </w:tc>
        <w:tc>
          <w:tcPr>
            <w:tcW w:w="1030" w:type="dxa"/>
            <w:tcBorders>
              <w:top w:val="single" w:sz="4" w:space="0" w:color="auto"/>
              <w:left w:val="nil"/>
              <w:bottom w:val="single" w:sz="4" w:space="0" w:color="auto"/>
              <w:right w:val="nil"/>
            </w:tcBorders>
            <w:shd w:val="clear" w:color="auto" w:fill="auto"/>
            <w:noWrap/>
            <w:vAlign w:val="bottom"/>
            <w:hideMark/>
          </w:tcPr>
          <w:p w14:paraId="7F9B665C"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2357231553</w:t>
            </w:r>
          </w:p>
        </w:tc>
        <w:tc>
          <w:tcPr>
            <w:tcW w:w="920" w:type="dxa"/>
            <w:tcBorders>
              <w:top w:val="single" w:sz="4" w:space="0" w:color="auto"/>
              <w:left w:val="nil"/>
              <w:bottom w:val="single" w:sz="4" w:space="0" w:color="auto"/>
              <w:right w:val="nil"/>
            </w:tcBorders>
            <w:shd w:val="clear" w:color="auto" w:fill="auto"/>
            <w:noWrap/>
            <w:vAlign w:val="bottom"/>
            <w:hideMark/>
          </w:tcPr>
          <w:p w14:paraId="07B2E172"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100.0</w:t>
            </w:r>
          </w:p>
        </w:tc>
        <w:tc>
          <w:tcPr>
            <w:tcW w:w="1260" w:type="dxa"/>
            <w:tcBorders>
              <w:top w:val="single" w:sz="4" w:space="0" w:color="auto"/>
              <w:left w:val="nil"/>
              <w:bottom w:val="single" w:sz="4" w:space="0" w:color="auto"/>
              <w:right w:val="nil"/>
            </w:tcBorders>
            <w:shd w:val="clear" w:color="auto" w:fill="auto"/>
            <w:noWrap/>
            <w:vAlign w:val="bottom"/>
            <w:hideMark/>
          </w:tcPr>
          <w:p w14:paraId="747F7601"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3825.0</w:t>
            </w:r>
          </w:p>
        </w:tc>
        <w:tc>
          <w:tcPr>
            <w:tcW w:w="1320" w:type="dxa"/>
            <w:tcBorders>
              <w:top w:val="single" w:sz="4" w:space="0" w:color="auto"/>
              <w:left w:val="nil"/>
              <w:bottom w:val="single" w:sz="4" w:space="0" w:color="auto"/>
              <w:right w:val="nil"/>
            </w:tcBorders>
            <w:shd w:val="clear" w:color="auto" w:fill="auto"/>
            <w:noWrap/>
            <w:vAlign w:val="bottom"/>
            <w:hideMark/>
          </w:tcPr>
          <w:p w14:paraId="58DEE8EA"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3825</w:t>
            </w:r>
          </w:p>
        </w:tc>
        <w:tc>
          <w:tcPr>
            <w:tcW w:w="1180" w:type="dxa"/>
            <w:tcBorders>
              <w:top w:val="single" w:sz="4" w:space="0" w:color="auto"/>
              <w:left w:val="nil"/>
              <w:bottom w:val="single" w:sz="4" w:space="0" w:color="auto"/>
              <w:right w:val="nil"/>
            </w:tcBorders>
            <w:shd w:val="clear" w:color="auto" w:fill="auto"/>
            <w:noWrap/>
            <w:vAlign w:val="bottom"/>
            <w:hideMark/>
          </w:tcPr>
          <w:p w14:paraId="7A9A5037"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100.0</w:t>
            </w:r>
          </w:p>
        </w:tc>
        <w:tc>
          <w:tcPr>
            <w:tcW w:w="680" w:type="dxa"/>
            <w:tcBorders>
              <w:top w:val="single" w:sz="4" w:space="0" w:color="auto"/>
              <w:left w:val="nil"/>
              <w:bottom w:val="single" w:sz="4" w:space="0" w:color="auto"/>
              <w:right w:val="nil"/>
            </w:tcBorders>
            <w:shd w:val="clear" w:color="auto" w:fill="auto"/>
            <w:noWrap/>
            <w:vAlign w:val="bottom"/>
            <w:hideMark/>
          </w:tcPr>
          <w:p w14:paraId="0D044DD0"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425.7</w:t>
            </w:r>
          </w:p>
        </w:tc>
        <w:tc>
          <w:tcPr>
            <w:tcW w:w="600" w:type="dxa"/>
            <w:tcBorders>
              <w:top w:val="single" w:sz="4" w:space="0" w:color="auto"/>
              <w:left w:val="nil"/>
              <w:bottom w:val="single" w:sz="4" w:space="0" w:color="auto"/>
              <w:right w:val="nil"/>
            </w:tcBorders>
            <w:shd w:val="clear" w:color="auto" w:fill="auto"/>
            <w:noWrap/>
            <w:vAlign w:val="bottom"/>
            <w:hideMark/>
          </w:tcPr>
          <w:p w14:paraId="7929D38A"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w:t>
            </w:r>
          </w:p>
        </w:tc>
      </w:tr>
      <w:tr w:rsidR="00090BBE" w:rsidRPr="00090BBE" w14:paraId="685C2EE1" w14:textId="77777777" w:rsidTr="00090BBE">
        <w:trPr>
          <w:trHeight w:val="300"/>
        </w:trPr>
        <w:tc>
          <w:tcPr>
            <w:tcW w:w="2670" w:type="dxa"/>
            <w:gridSpan w:val="2"/>
            <w:tcBorders>
              <w:top w:val="nil"/>
              <w:left w:val="nil"/>
              <w:bottom w:val="nil"/>
              <w:right w:val="nil"/>
            </w:tcBorders>
            <w:shd w:val="clear" w:color="auto" w:fill="auto"/>
            <w:noWrap/>
            <w:vAlign w:val="bottom"/>
            <w:hideMark/>
          </w:tcPr>
          <w:p w14:paraId="6523BD6F"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proofErr w:type="spellStart"/>
            <w:proofErr w:type="gramStart"/>
            <w:r w:rsidRPr="00090BBE">
              <w:rPr>
                <w:rFonts w:ascii="Times New Roman" w:eastAsia="Times New Roman" w:hAnsi="Times New Roman" w:cs="Times New Roman"/>
                <w:color w:val="000000"/>
                <w:sz w:val="20"/>
                <w:szCs w:val="20"/>
              </w:rPr>
              <w:t>df</w:t>
            </w:r>
            <w:proofErr w:type="spellEnd"/>
            <w:proofErr w:type="gramEnd"/>
            <w:r w:rsidRPr="00090BBE">
              <w:rPr>
                <w:rFonts w:ascii="Times New Roman" w:eastAsia="Times New Roman" w:hAnsi="Times New Roman" w:cs="Times New Roman"/>
                <w:color w:val="000000"/>
                <w:sz w:val="20"/>
                <w:szCs w:val="20"/>
              </w:rPr>
              <w:t xml:space="preserve"> = 2, α = .05, sig of χ2 ≥ 5.99</w:t>
            </w:r>
          </w:p>
        </w:tc>
        <w:tc>
          <w:tcPr>
            <w:tcW w:w="920" w:type="dxa"/>
            <w:tcBorders>
              <w:top w:val="nil"/>
              <w:left w:val="nil"/>
              <w:bottom w:val="nil"/>
              <w:right w:val="nil"/>
            </w:tcBorders>
            <w:shd w:val="clear" w:color="auto" w:fill="auto"/>
            <w:noWrap/>
            <w:vAlign w:val="bottom"/>
            <w:hideMark/>
          </w:tcPr>
          <w:p w14:paraId="2727375F"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p>
        </w:tc>
        <w:tc>
          <w:tcPr>
            <w:tcW w:w="1260" w:type="dxa"/>
            <w:tcBorders>
              <w:top w:val="nil"/>
              <w:left w:val="nil"/>
              <w:bottom w:val="nil"/>
              <w:right w:val="nil"/>
            </w:tcBorders>
            <w:shd w:val="clear" w:color="auto" w:fill="auto"/>
            <w:noWrap/>
            <w:vAlign w:val="bottom"/>
            <w:hideMark/>
          </w:tcPr>
          <w:p w14:paraId="26840E81"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p>
        </w:tc>
        <w:tc>
          <w:tcPr>
            <w:tcW w:w="1320" w:type="dxa"/>
            <w:tcBorders>
              <w:top w:val="nil"/>
              <w:left w:val="nil"/>
              <w:bottom w:val="nil"/>
              <w:right w:val="nil"/>
            </w:tcBorders>
            <w:shd w:val="clear" w:color="auto" w:fill="auto"/>
            <w:noWrap/>
            <w:vAlign w:val="bottom"/>
            <w:hideMark/>
          </w:tcPr>
          <w:p w14:paraId="332D4048"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p>
        </w:tc>
        <w:tc>
          <w:tcPr>
            <w:tcW w:w="1180" w:type="dxa"/>
            <w:tcBorders>
              <w:top w:val="nil"/>
              <w:left w:val="nil"/>
              <w:bottom w:val="nil"/>
              <w:right w:val="nil"/>
            </w:tcBorders>
            <w:shd w:val="clear" w:color="auto" w:fill="auto"/>
            <w:noWrap/>
            <w:vAlign w:val="bottom"/>
            <w:hideMark/>
          </w:tcPr>
          <w:p w14:paraId="6A07E6B1"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p>
        </w:tc>
        <w:tc>
          <w:tcPr>
            <w:tcW w:w="680" w:type="dxa"/>
            <w:tcBorders>
              <w:top w:val="nil"/>
              <w:left w:val="nil"/>
              <w:bottom w:val="nil"/>
              <w:right w:val="nil"/>
            </w:tcBorders>
            <w:shd w:val="clear" w:color="auto" w:fill="auto"/>
            <w:noWrap/>
            <w:vAlign w:val="bottom"/>
            <w:hideMark/>
          </w:tcPr>
          <w:p w14:paraId="4C29FAA7"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p>
        </w:tc>
        <w:tc>
          <w:tcPr>
            <w:tcW w:w="600" w:type="dxa"/>
            <w:tcBorders>
              <w:top w:val="nil"/>
              <w:left w:val="nil"/>
              <w:bottom w:val="nil"/>
              <w:right w:val="nil"/>
            </w:tcBorders>
            <w:shd w:val="clear" w:color="auto" w:fill="auto"/>
            <w:noWrap/>
            <w:vAlign w:val="bottom"/>
            <w:hideMark/>
          </w:tcPr>
          <w:p w14:paraId="0181B728"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p>
        </w:tc>
      </w:tr>
    </w:tbl>
    <w:p w14:paraId="337F542B" w14:textId="77777777" w:rsidR="003F4633" w:rsidRDefault="003F4633" w:rsidP="003F4633">
      <w:pPr>
        <w:spacing w:line="240" w:lineRule="auto"/>
        <w:rPr>
          <w:rFonts w:ascii="Times New Roman" w:hAnsi="Times New Roman" w:cs="Times New Roman"/>
        </w:rPr>
      </w:pPr>
    </w:p>
    <w:p w14:paraId="36CCC02D" w14:textId="77777777" w:rsidR="00D10BAC" w:rsidRDefault="00D10BAC" w:rsidP="003F4633">
      <w:pPr>
        <w:spacing w:line="240" w:lineRule="auto"/>
        <w:rPr>
          <w:rFonts w:ascii="Times New Roman" w:hAnsi="Times New Roman" w:cs="Times New Roman"/>
        </w:rPr>
      </w:pPr>
    </w:p>
    <w:p w14:paraId="0A63E325" w14:textId="77777777" w:rsidR="00297AAB" w:rsidRDefault="003F4633" w:rsidP="00297AAB">
      <w:pPr>
        <w:spacing w:line="240" w:lineRule="auto"/>
        <w:rPr>
          <w:rFonts w:ascii="Times New Roman" w:hAnsi="Times New Roman" w:cs="Times New Roman"/>
          <w:b/>
        </w:rPr>
      </w:pPr>
      <w:r w:rsidRPr="00007D2A">
        <w:rPr>
          <w:rFonts w:ascii="Times New Roman" w:hAnsi="Times New Roman" w:cs="Times New Roman"/>
          <w:b/>
        </w:rPr>
        <w:t>Table 6.</w:t>
      </w:r>
      <w:r w:rsidR="00B436A1">
        <w:rPr>
          <w:rFonts w:ascii="Times New Roman" w:hAnsi="Times New Roman" w:cs="Times New Roman"/>
          <w:b/>
        </w:rPr>
        <w:t>7</w:t>
      </w:r>
      <w:r w:rsidRPr="00007D2A">
        <w:rPr>
          <w:rFonts w:ascii="Times New Roman" w:hAnsi="Times New Roman" w:cs="Times New Roman"/>
          <w:b/>
        </w:rPr>
        <w:t>.</w:t>
      </w:r>
      <w:r w:rsidRPr="00007D2A">
        <w:rPr>
          <w:rFonts w:ascii="Times New Roman" w:hAnsi="Times New Roman" w:cs="Times New Roman"/>
        </w:rPr>
        <w:t xml:space="preserve">  </w:t>
      </w:r>
      <w:r>
        <w:rPr>
          <w:rFonts w:ascii="Times New Roman" w:hAnsi="Times New Roman" w:cs="Times New Roman"/>
        </w:rPr>
        <w:t xml:space="preserve">Test Statistics for the Probability Zones of the </w:t>
      </w:r>
      <w:r w:rsidR="002869F0">
        <w:rPr>
          <w:rFonts w:ascii="Times New Roman" w:hAnsi="Times New Roman" w:cs="Times New Roman"/>
        </w:rPr>
        <w:t xml:space="preserve">Proposed </w:t>
      </w:r>
      <w:r>
        <w:rPr>
          <w:rFonts w:ascii="Times New Roman" w:hAnsi="Times New Roman" w:cs="Times New Roman"/>
        </w:rPr>
        <w:t>2011 Kisatchie National Forest Model for the Caney District Study Area and All Archaeological Sites</w:t>
      </w:r>
      <w:r w:rsidRPr="00007D2A">
        <w:rPr>
          <w:rFonts w:ascii="Times New Roman" w:hAnsi="Times New Roman" w:cs="Times New Roman"/>
        </w:rPr>
        <w:t>.</w:t>
      </w:r>
    </w:p>
    <w:tbl>
      <w:tblPr>
        <w:tblW w:w="8860" w:type="dxa"/>
        <w:tblInd w:w="93" w:type="dxa"/>
        <w:tblLook w:val="04A0" w:firstRow="1" w:lastRow="0" w:firstColumn="1" w:lastColumn="0" w:noHBand="0" w:noVBand="1"/>
      </w:tblPr>
      <w:tblGrid>
        <w:gridCol w:w="1700"/>
        <w:gridCol w:w="1340"/>
        <w:gridCol w:w="920"/>
        <w:gridCol w:w="1260"/>
        <w:gridCol w:w="983"/>
        <w:gridCol w:w="900"/>
        <w:gridCol w:w="880"/>
        <w:gridCol w:w="900"/>
      </w:tblGrid>
      <w:tr w:rsidR="00297AAB" w:rsidRPr="00297AAB" w14:paraId="369B510C" w14:textId="77777777" w:rsidTr="00297AAB">
        <w:trPr>
          <w:trHeight w:val="280"/>
        </w:trPr>
        <w:tc>
          <w:tcPr>
            <w:tcW w:w="1700" w:type="dxa"/>
            <w:tcBorders>
              <w:top w:val="single" w:sz="4" w:space="0" w:color="auto"/>
              <w:left w:val="nil"/>
              <w:bottom w:val="single" w:sz="4" w:space="0" w:color="auto"/>
              <w:right w:val="nil"/>
            </w:tcBorders>
            <w:shd w:val="clear" w:color="auto" w:fill="auto"/>
            <w:noWrap/>
            <w:vAlign w:val="bottom"/>
            <w:hideMark/>
          </w:tcPr>
          <w:p w14:paraId="350DC98D" w14:textId="77777777" w:rsidR="00297AAB" w:rsidRPr="00297AAB" w:rsidRDefault="00297AAB" w:rsidP="00297AAB">
            <w:pPr>
              <w:spacing w:after="0" w:line="240" w:lineRule="auto"/>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Probability Zone</w:t>
            </w:r>
          </w:p>
        </w:tc>
        <w:tc>
          <w:tcPr>
            <w:tcW w:w="1340" w:type="dxa"/>
            <w:tcBorders>
              <w:top w:val="single" w:sz="4" w:space="0" w:color="auto"/>
              <w:left w:val="nil"/>
              <w:bottom w:val="single" w:sz="4" w:space="0" w:color="auto"/>
              <w:right w:val="nil"/>
            </w:tcBorders>
            <w:shd w:val="clear" w:color="auto" w:fill="auto"/>
            <w:noWrap/>
            <w:vAlign w:val="bottom"/>
            <w:hideMark/>
          </w:tcPr>
          <w:p w14:paraId="6CF9E828"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Area (m</w:t>
            </w:r>
            <w:r w:rsidRPr="00297AAB">
              <w:rPr>
                <w:rFonts w:ascii="Times New Roman" w:eastAsia="Times New Roman" w:hAnsi="Times New Roman" w:cs="Times New Roman"/>
                <w:color w:val="000000"/>
                <w:sz w:val="20"/>
                <w:szCs w:val="20"/>
                <w:vertAlign w:val="superscript"/>
              </w:rPr>
              <w:t>2</w:t>
            </w:r>
            <w:r w:rsidRPr="00297AAB">
              <w:rPr>
                <w:rFonts w:ascii="Times New Roman" w:eastAsia="Times New Roman" w:hAnsi="Times New Roman" w:cs="Times New Roman"/>
                <w:color w:val="000000"/>
                <w:sz w:val="20"/>
                <w:szCs w:val="20"/>
              </w:rPr>
              <w:t>)</w:t>
            </w:r>
          </w:p>
        </w:tc>
        <w:tc>
          <w:tcPr>
            <w:tcW w:w="920" w:type="dxa"/>
            <w:tcBorders>
              <w:top w:val="single" w:sz="4" w:space="0" w:color="auto"/>
              <w:left w:val="nil"/>
              <w:bottom w:val="single" w:sz="4" w:space="0" w:color="auto"/>
              <w:right w:val="nil"/>
            </w:tcBorders>
            <w:shd w:val="clear" w:color="auto" w:fill="auto"/>
            <w:noWrap/>
            <w:vAlign w:val="bottom"/>
            <w:hideMark/>
          </w:tcPr>
          <w:p w14:paraId="4A4C40BD"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 xml:space="preserve">% </w:t>
            </w:r>
            <w:proofErr w:type="gramStart"/>
            <w:r w:rsidRPr="00297AAB">
              <w:rPr>
                <w:rFonts w:ascii="Times New Roman" w:eastAsia="Times New Roman" w:hAnsi="Times New Roman" w:cs="Times New Roman"/>
                <w:color w:val="000000"/>
                <w:sz w:val="20"/>
                <w:szCs w:val="20"/>
              </w:rPr>
              <w:t>of</w:t>
            </w:r>
            <w:proofErr w:type="gramEnd"/>
            <w:r w:rsidRPr="00297AAB">
              <w:rPr>
                <w:rFonts w:ascii="Times New Roman" w:eastAsia="Times New Roman" w:hAnsi="Times New Roman" w:cs="Times New Roman"/>
                <w:color w:val="000000"/>
                <w:sz w:val="20"/>
                <w:szCs w:val="20"/>
              </w:rPr>
              <w:t xml:space="preserve"> Area</w:t>
            </w:r>
          </w:p>
        </w:tc>
        <w:tc>
          <w:tcPr>
            <w:tcW w:w="1260" w:type="dxa"/>
            <w:tcBorders>
              <w:top w:val="single" w:sz="4" w:space="0" w:color="auto"/>
              <w:left w:val="nil"/>
              <w:bottom w:val="single" w:sz="4" w:space="0" w:color="auto"/>
              <w:right w:val="nil"/>
            </w:tcBorders>
            <w:shd w:val="clear" w:color="auto" w:fill="auto"/>
            <w:noWrap/>
            <w:vAlign w:val="bottom"/>
            <w:hideMark/>
          </w:tcPr>
          <w:p w14:paraId="6A5C7663"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Expected Sites</w:t>
            </w:r>
          </w:p>
        </w:tc>
        <w:tc>
          <w:tcPr>
            <w:tcW w:w="960" w:type="dxa"/>
            <w:tcBorders>
              <w:top w:val="single" w:sz="4" w:space="0" w:color="auto"/>
              <w:left w:val="nil"/>
              <w:bottom w:val="single" w:sz="4" w:space="0" w:color="auto"/>
              <w:right w:val="nil"/>
            </w:tcBorders>
            <w:shd w:val="clear" w:color="auto" w:fill="auto"/>
            <w:noWrap/>
            <w:vAlign w:val="bottom"/>
            <w:hideMark/>
          </w:tcPr>
          <w:p w14:paraId="7836AB19"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Observed Sites</w:t>
            </w:r>
          </w:p>
        </w:tc>
        <w:tc>
          <w:tcPr>
            <w:tcW w:w="900" w:type="dxa"/>
            <w:tcBorders>
              <w:top w:val="single" w:sz="4" w:space="0" w:color="auto"/>
              <w:left w:val="nil"/>
              <w:bottom w:val="single" w:sz="4" w:space="0" w:color="auto"/>
              <w:right w:val="nil"/>
            </w:tcBorders>
            <w:shd w:val="clear" w:color="auto" w:fill="auto"/>
            <w:noWrap/>
            <w:vAlign w:val="bottom"/>
            <w:hideMark/>
          </w:tcPr>
          <w:p w14:paraId="644ED6F1"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 Sites</w:t>
            </w:r>
          </w:p>
        </w:tc>
        <w:tc>
          <w:tcPr>
            <w:tcW w:w="880" w:type="dxa"/>
            <w:tcBorders>
              <w:top w:val="single" w:sz="4" w:space="0" w:color="auto"/>
              <w:left w:val="nil"/>
              <w:bottom w:val="single" w:sz="4" w:space="0" w:color="auto"/>
              <w:right w:val="nil"/>
            </w:tcBorders>
            <w:shd w:val="clear" w:color="auto" w:fill="auto"/>
            <w:noWrap/>
            <w:vAlign w:val="bottom"/>
            <w:hideMark/>
          </w:tcPr>
          <w:p w14:paraId="3F98B4F1"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χ2</w:t>
            </w:r>
          </w:p>
        </w:tc>
        <w:tc>
          <w:tcPr>
            <w:tcW w:w="900" w:type="dxa"/>
            <w:tcBorders>
              <w:top w:val="single" w:sz="4" w:space="0" w:color="auto"/>
              <w:left w:val="nil"/>
              <w:bottom w:val="single" w:sz="4" w:space="0" w:color="auto"/>
              <w:right w:val="nil"/>
            </w:tcBorders>
            <w:shd w:val="clear" w:color="auto" w:fill="auto"/>
            <w:noWrap/>
            <w:vAlign w:val="bottom"/>
            <w:hideMark/>
          </w:tcPr>
          <w:p w14:paraId="60624FC6"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Gain</w:t>
            </w:r>
          </w:p>
        </w:tc>
      </w:tr>
      <w:tr w:rsidR="00297AAB" w:rsidRPr="00297AAB" w14:paraId="4364DF42" w14:textId="77777777" w:rsidTr="00297AAB">
        <w:trPr>
          <w:trHeight w:val="280"/>
        </w:trPr>
        <w:tc>
          <w:tcPr>
            <w:tcW w:w="1700" w:type="dxa"/>
            <w:tcBorders>
              <w:top w:val="nil"/>
              <w:left w:val="nil"/>
              <w:bottom w:val="nil"/>
              <w:right w:val="nil"/>
            </w:tcBorders>
            <w:shd w:val="clear" w:color="auto" w:fill="auto"/>
            <w:noWrap/>
            <w:vAlign w:val="bottom"/>
            <w:hideMark/>
          </w:tcPr>
          <w:p w14:paraId="7F810555" w14:textId="77777777" w:rsidR="00297AAB" w:rsidRPr="00297AAB" w:rsidRDefault="00297AAB" w:rsidP="00297AAB">
            <w:pPr>
              <w:spacing w:after="0" w:line="240" w:lineRule="auto"/>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Zone 1 (High)</w:t>
            </w:r>
          </w:p>
        </w:tc>
        <w:tc>
          <w:tcPr>
            <w:tcW w:w="1340" w:type="dxa"/>
            <w:tcBorders>
              <w:top w:val="nil"/>
              <w:left w:val="nil"/>
              <w:bottom w:val="nil"/>
              <w:right w:val="nil"/>
            </w:tcBorders>
            <w:shd w:val="clear" w:color="auto" w:fill="auto"/>
            <w:noWrap/>
            <w:vAlign w:val="bottom"/>
            <w:hideMark/>
          </w:tcPr>
          <w:p w14:paraId="13B69521"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22125064</w:t>
            </w:r>
          </w:p>
        </w:tc>
        <w:tc>
          <w:tcPr>
            <w:tcW w:w="920" w:type="dxa"/>
            <w:tcBorders>
              <w:top w:val="nil"/>
              <w:left w:val="nil"/>
              <w:bottom w:val="nil"/>
              <w:right w:val="nil"/>
            </w:tcBorders>
            <w:shd w:val="clear" w:color="auto" w:fill="auto"/>
            <w:noWrap/>
            <w:vAlign w:val="bottom"/>
            <w:hideMark/>
          </w:tcPr>
          <w:p w14:paraId="5E83C138"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16.8</w:t>
            </w:r>
          </w:p>
        </w:tc>
        <w:tc>
          <w:tcPr>
            <w:tcW w:w="1260" w:type="dxa"/>
            <w:tcBorders>
              <w:top w:val="nil"/>
              <w:left w:val="nil"/>
              <w:bottom w:val="nil"/>
              <w:right w:val="nil"/>
            </w:tcBorders>
            <w:shd w:val="clear" w:color="auto" w:fill="auto"/>
            <w:noWrap/>
            <w:vAlign w:val="bottom"/>
            <w:hideMark/>
          </w:tcPr>
          <w:p w14:paraId="7F985DF4"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27.1</w:t>
            </w:r>
          </w:p>
        </w:tc>
        <w:tc>
          <w:tcPr>
            <w:tcW w:w="960" w:type="dxa"/>
            <w:tcBorders>
              <w:top w:val="nil"/>
              <w:left w:val="nil"/>
              <w:bottom w:val="nil"/>
              <w:right w:val="nil"/>
            </w:tcBorders>
            <w:shd w:val="clear" w:color="auto" w:fill="auto"/>
            <w:noWrap/>
            <w:vAlign w:val="bottom"/>
            <w:hideMark/>
          </w:tcPr>
          <w:p w14:paraId="135946F7"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42</w:t>
            </w:r>
          </w:p>
        </w:tc>
        <w:tc>
          <w:tcPr>
            <w:tcW w:w="900" w:type="dxa"/>
            <w:tcBorders>
              <w:top w:val="nil"/>
              <w:left w:val="nil"/>
              <w:bottom w:val="nil"/>
              <w:right w:val="nil"/>
            </w:tcBorders>
            <w:shd w:val="clear" w:color="auto" w:fill="auto"/>
            <w:noWrap/>
            <w:vAlign w:val="bottom"/>
            <w:hideMark/>
          </w:tcPr>
          <w:p w14:paraId="630425CE"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26.1</w:t>
            </w:r>
          </w:p>
        </w:tc>
        <w:tc>
          <w:tcPr>
            <w:tcW w:w="880" w:type="dxa"/>
            <w:tcBorders>
              <w:top w:val="nil"/>
              <w:left w:val="nil"/>
              <w:bottom w:val="nil"/>
              <w:right w:val="nil"/>
            </w:tcBorders>
            <w:shd w:val="clear" w:color="auto" w:fill="auto"/>
            <w:noWrap/>
            <w:vAlign w:val="bottom"/>
            <w:hideMark/>
          </w:tcPr>
          <w:p w14:paraId="312B32E4" w14:textId="77777777" w:rsidR="00297AAB" w:rsidRPr="00297AAB" w:rsidRDefault="00297AAB" w:rsidP="00297AAB">
            <w:pPr>
              <w:spacing w:after="0" w:line="240" w:lineRule="auto"/>
              <w:jc w:val="center"/>
              <w:rPr>
                <w:rFonts w:ascii="Times New Roman" w:eastAsia="Times New Roman" w:hAnsi="Times New Roman" w:cs="Times New Roman"/>
                <w:sz w:val="20"/>
                <w:szCs w:val="20"/>
              </w:rPr>
            </w:pPr>
            <w:r w:rsidRPr="00297AAB">
              <w:rPr>
                <w:rFonts w:ascii="Times New Roman" w:eastAsia="Times New Roman" w:hAnsi="Times New Roman" w:cs="Times New Roman"/>
                <w:sz w:val="20"/>
                <w:szCs w:val="20"/>
              </w:rPr>
              <w:t>8.2</w:t>
            </w:r>
          </w:p>
        </w:tc>
        <w:tc>
          <w:tcPr>
            <w:tcW w:w="900" w:type="dxa"/>
            <w:tcBorders>
              <w:top w:val="nil"/>
              <w:left w:val="nil"/>
              <w:bottom w:val="nil"/>
              <w:right w:val="nil"/>
            </w:tcBorders>
            <w:shd w:val="clear" w:color="auto" w:fill="auto"/>
            <w:noWrap/>
            <w:vAlign w:val="bottom"/>
            <w:hideMark/>
          </w:tcPr>
          <w:p w14:paraId="614C339C"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0.35</w:t>
            </w:r>
          </w:p>
        </w:tc>
      </w:tr>
      <w:tr w:rsidR="00297AAB" w:rsidRPr="00297AAB" w14:paraId="22F3B261" w14:textId="77777777" w:rsidTr="00297AAB">
        <w:trPr>
          <w:trHeight w:val="280"/>
        </w:trPr>
        <w:tc>
          <w:tcPr>
            <w:tcW w:w="1700" w:type="dxa"/>
            <w:tcBorders>
              <w:top w:val="nil"/>
              <w:left w:val="nil"/>
              <w:bottom w:val="nil"/>
              <w:right w:val="nil"/>
            </w:tcBorders>
            <w:shd w:val="clear" w:color="auto" w:fill="auto"/>
            <w:noWrap/>
            <w:vAlign w:val="bottom"/>
            <w:hideMark/>
          </w:tcPr>
          <w:p w14:paraId="0FD5BCEC" w14:textId="77777777" w:rsidR="00297AAB" w:rsidRPr="00297AAB" w:rsidRDefault="00297AAB" w:rsidP="00297AAB">
            <w:pPr>
              <w:spacing w:after="0" w:line="240" w:lineRule="auto"/>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Zone 2 (Medium)</w:t>
            </w:r>
          </w:p>
        </w:tc>
        <w:tc>
          <w:tcPr>
            <w:tcW w:w="1340" w:type="dxa"/>
            <w:tcBorders>
              <w:top w:val="nil"/>
              <w:left w:val="nil"/>
              <w:bottom w:val="nil"/>
              <w:right w:val="nil"/>
            </w:tcBorders>
            <w:shd w:val="clear" w:color="auto" w:fill="auto"/>
            <w:noWrap/>
            <w:vAlign w:val="bottom"/>
            <w:hideMark/>
          </w:tcPr>
          <w:p w14:paraId="15BD6A53"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48872069</w:t>
            </w:r>
          </w:p>
        </w:tc>
        <w:tc>
          <w:tcPr>
            <w:tcW w:w="920" w:type="dxa"/>
            <w:tcBorders>
              <w:top w:val="nil"/>
              <w:left w:val="nil"/>
              <w:bottom w:val="nil"/>
              <w:right w:val="nil"/>
            </w:tcBorders>
            <w:shd w:val="clear" w:color="auto" w:fill="auto"/>
            <w:noWrap/>
            <w:vAlign w:val="bottom"/>
            <w:hideMark/>
          </w:tcPr>
          <w:p w14:paraId="1EA4BBA9"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37.2</w:t>
            </w:r>
          </w:p>
        </w:tc>
        <w:tc>
          <w:tcPr>
            <w:tcW w:w="1260" w:type="dxa"/>
            <w:tcBorders>
              <w:top w:val="nil"/>
              <w:left w:val="nil"/>
              <w:bottom w:val="nil"/>
              <w:right w:val="nil"/>
            </w:tcBorders>
            <w:shd w:val="clear" w:color="auto" w:fill="auto"/>
            <w:noWrap/>
            <w:vAlign w:val="bottom"/>
            <w:hideMark/>
          </w:tcPr>
          <w:p w14:paraId="30BFFD24"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59.8</w:t>
            </w:r>
          </w:p>
        </w:tc>
        <w:tc>
          <w:tcPr>
            <w:tcW w:w="960" w:type="dxa"/>
            <w:tcBorders>
              <w:top w:val="nil"/>
              <w:left w:val="nil"/>
              <w:bottom w:val="nil"/>
              <w:right w:val="nil"/>
            </w:tcBorders>
            <w:shd w:val="clear" w:color="auto" w:fill="auto"/>
            <w:noWrap/>
            <w:vAlign w:val="bottom"/>
            <w:hideMark/>
          </w:tcPr>
          <w:p w14:paraId="505F1123"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74</w:t>
            </w:r>
          </w:p>
        </w:tc>
        <w:tc>
          <w:tcPr>
            <w:tcW w:w="900" w:type="dxa"/>
            <w:tcBorders>
              <w:top w:val="nil"/>
              <w:left w:val="nil"/>
              <w:bottom w:val="nil"/>
              <w:right w:val="nil"/>
            </w:tcBorders>
            <w:shd w:val="clear" w:color="auto" w:fill="auto"/>
            <w:noWrap/>
            <w:vAlign w:val="bottom"/>
            <w:hideMark/>
          </w:tcPr>
          <w:p w14:paraId="6A215B5B"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46.0</w:t>
            </w:r>
          </w:p>
        </w:tc>
        <w:tc>
          <w:tcPr>
            <w:tcW w:w="880" w:type="dxa"/>
            <w:tcBorders>
              <w:top w:val="nil"/>
              <w:left w:val="nil"/>
              <w:bottom w:val="nil"/>
              <w:right w:val="nil"/>
            </w:tcBorders>
            <w:shd w:val="clear" w:color="auto" w:fill="auto"/>
            <w:noWrap/>
            <w:vAlign w:val="bottom"/>
            <w:hideMark/>
          </w:tcPr>
          <w:p w14:paraId="1CBAA4A0" w14:textId="77777777" w:rsidR="00297AAB" w:rsidRPr="00297AAB" w:rsidRDefault="00297AAB" w:rsidP="00297AAB">
            <w:pPr>
              <w:spacing w:after="0" w:line="240" w:lineRule="auto"/>
              <w:jc w:val="center"/>
              <w:rPr>
                <w:rFonts w:ascii="Times New Roman" w:eastAsia="Times New Roman" w:hAnsi="Times New Roman" w:cs="Times New Roman"/>
                <w:sz w:val="20"/>
                <w:szCs w:val="20"/>
              </w:rPr>
            </w:pPr>
            <w:r w:rsidRPr="00297AAB">
              <w:rPr>
                <w:rFonts w:ascii="Times New Roman" w:eastAsia="Times New Roman" w:hAnsi="Times New Roman" w:cs="Times New Roman"/>
                <w:sz w:val="20"/>
                <w:szCs w:val="20"/>
              </w:rPr>
              <w:t>3.3</w:t>
            </w:r>
          </w:p>
        </w:tc>
        <w:tc>
          <w:tcPr>
            <w:tcW w:w="900" w:type="dxa"/>
            <w:tcBorders>
              <w:top w:val="nil"/>
              <w:left w:val="nil"/>
              <w:bottom w:val="nil"/>
              <w:right w:val="nil"/>
            </w:tcBorders>
            <w:shd w:val="clear" w:color="auto" w:fill="auto"/>
            <w:noWrap/>
            <w:vAlign w:val="bottom"/>
            <w:hideMark/>
          </w:tcPr>
          <w:p w14:paraId="3F4A5D8D"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0.19</w:t>
            </w:r>
          </w:p>
        </w:tc>
      </w:tr>
      <w:tr w:rsidR="00297AAB" w:rsidRPr="00297AAB" w14:paraId="70B2D071" w14:textId="77777777" w:rsidTr="00297AAB">
        <w:trPr>
          <w:trHeight w:val="280"/>
        </w:trPr>
        <w:tc>
          <w:tcPr>
            <w:tcW w:w="1700" w:type="dxa"/>
            <w:tcBorders>
              <w:top w:val="nil"/>
              <w:left w:val="nil"/>
              <w:bottom w:val="nil"/>
              <w:right w:val="nil"/>
            </w:tcBorders>
            <w:shd w:val="clear" w:color="auto" w:fill="auto"/>
            <w:noWrap/>
            <w:vAlign w:val="bottom"/>
            <w:hideMark/>
          </w:tcPr>
          <w:p w14:paraId="7A0F0A01" w14:textId="77777777" w:rsidR="00297AAB" w:rsidRPr="00297AAB" w:rsidRDefault="00297AAB" w:rsidP="00297AAB">
            <w:pPr>
              <w:spacing w:after="0" w:line="240" w:lineRule="auto"/>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Zone 2 (Low)</w:t>
            </w:r>
          </w:p>
        </w:tc>
        <w:tc>
          <w:tcPr>
            <w:tcW w:w="1340" w:type="dxa"/>
            <w:tcBorders>
              <w:top w:val="nil"/>
              <w:left w:val="nil"/>
              <w:bottom w:val="nil"/>
              <w:right w:val="nil"/>
            </w:tcBorders>
            <w:shd w:val="clear" w:color="auto" w:fill="auto"/>
            <w:noWrap/>
            <w:vAlign w:val="bottom"/>
            <w:hideMark/>
          </w:tcPr>
          <w:p w14:paraId="2DFFAF3E"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60489074</w:t>
            </w:r>
          </w:p>
        </w:tc>
        <w:tc>
          <w:tcPr>
            <w:tcW w:w="920" w:type="dxa"/>
            <w:tcBorders>
              <w:top w:val="nil"/>
              <w:left w:val="nil"/>
              <w:bottom w:val="nil"/>
              <w:right w:val="nil"/>
            </w:tcBorders>
            <w:shd w:val="clear" w:color="auto" w:fill="auto"/>
            <w:noWrap/>
            <w:vAlign w:val="bottom"/>
            <w:hideMark/>
          </w:tcPr>
          <w:p w14:paraId="44F2A022"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46.0</w:t>
            </w:r>
          </w:p>
        </w:tc>
        <w:tc>
          <w:tcPr>
            <w:tcW w:w="1260" w:type="dxa"/>
            <w:tcBorders>
              <w:top w:val="nil"/>
              <w:left w:val="nil"/>
              <w:bottom w:val="nil"/>
              <w:right w:val="nil"/>
            </w:tcBorders>
            <w:shd w:val="clear" w:color="auto" w:fill="auto"/>
            <w:noWrap/>
            <w:vAlign w:val="bottom"/>
            <w:hideMark/>
          </w:tcPr>
          <w:p w14:paraId="2AF6248D"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74.1</w:t>
            </w:r>
          </w:p>
        </w:tc>
        <w:tc>
          <w:tcPr>
            <w:tcW w:w="960" w:type="dxa"/>
            <w:tcBorders>
              <w:top w:val="nil"/>
              <w:left w:val="nil"/>
              <w:bottom w:val="nil"/>
              <w:right w:val="nil"/>
            </w:tcBorders>
            <w:shd w:val="clear" w:color="auto" w:fill="auto"/>
            <w:noWrap/>
            <w:vAlign w:val="bottom"/>
            <w:hideMark/>
          </w:tcPr>
          <w:p w14:paraId="3FE4F3CA"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45</w:t>
            </w:r>
          </w:p>
        </w:tc>
        <w:tc>
          <w:tcPr>
            <w:tcW w:w="900" w:type="dxa"/>
            <w:tcBorders>
              <w:top w:val="nil"/>
              <w:left w:val="nil"/>
              <w:bottom w:val="nil"/>
              <w:right w:val="nil"/>
            </w:tcBorders>
            <w:shd w:val="clear" w:color="auto" w:fill="auto"/>
            <w:noWrap/>
            <w:vAlign w:val="bottom"/>
            <w:hideMark/>
          </w:tcPr>
          <w:p w14:paraId="4D69598F"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28.0</w:t>
            </w:r>
          </w:p>
        </w:tc>
        <w:tc>
          <w:tcPr>
            <w:tcW w:w="880" w:type="dxa"/>
            <w:tcBorders>
              <w:top w:val="nil"/>
              <w:left w:val="nil"/>
              <w:bottom w:val="nil"/>
              <w:right w:val="nil"/>
            </w:tcBorders>
            <w:shd w:val="clear" w:color="auto" w:fill="auto"/>
            <w:noWrap/>
            <w:vAlign w:val="bottom"/>
            <w:hideMark/>
          </w:tcPr>
          <w:p w14:paraId="5D9DA03C" w14:textId="77777777" w:rsidR="00297AAB" w:rsidRPr="00297AAB" w:rsidRDefault="00297AAB" w:rsidP="00297AAB">
            <w:pPr>
              <w:spacing w:after="0" w:line="240" w:lineRule="auto"/>
              <w:jc w:val="center"/>
              <w:rPr>
                <w:rFonts w:ascii="Times New Roman" w:eastAsia="Times New Roman" w:hAnsi="Times New Roman" w:cs="Times New Roman"/>
                <w:sz w:val="20"/>
                <w:szCs w:val="20"/>
              </w:rPr>
            </w:pPr>
            <w:r w:rsidRPr="00297AAB">
              <w:rPr>
                <w:rFonts w:ascii="Times New Roman" w:eastAsia="Times New Roman" w:hAnsi="Times New Roman" w:cs="Times New Roman"/>
                <w:sz w:val="20"/>
                <w:szCs w:val="20"/>
              </w:rPr>
              <w:t>11.4</w:t>
            </w:r>
          </w:p>
        </w:tc>
        <w:tc>
          <w:tcPr>
            <w:tcW w:w="900" w:type="dxa"/>
            <w:tcBorders>
              <w:top w:val="nil"/>
              <w:left w:val="nil"/>
              <w:bottom w:val="nil"/>
              <w:right w:val="nil"/>
            </w:tcBorders>
            <w:shd w:val="clear" w:color="auto" w:fill="auto"/>
            <w:noWrap/>
            <w:vAlign w:val="bottom"/>
            <w:hideMark/>
          </w:tcPr>
          <w:p w14:paraId="0318FD1C"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-0.65</w:t>
            </w:r>
          </w:p>
        </w:tc>
      </w:tr>
      <w:tr w:rsidR="00297AAB" w:rsidRPr="00297AAB" w14:paraId="5F390374" w14:textId="77777777" w:rsidTr="00297AAB">
        <w:trPr>
          <w:trHeight w:val="280"/>
        </w:trPr>
        <w:tc>
          <w:tcPr>
            <w:tcW w:w="1700" w:type="dxa"/>
            <w:tcBorders>
              <w:top w:val="single" w:sz="4" w:space="0" w:color="auto"/>
              <w:left w:val="nil"/>
              <w:bottom w:val="single" w:sz="4" w:space="0" w:color="auto"/>
              <w:right w:val="nil"/>
            </w:tcBorders>
            <w:shd w:val="clear" w:color="auto" w:fill="auto"/>
            <w:noWrap/>
            <w:vAlign w:val="bottom"/>
            <w:hideMark/>
          </w:tcPr>
          <w:p w14:paraId="16F384E1" w14:textId="77777777" w:rsidR="00297AAB" w:rsidRPr="00297AAB" w:rsidRDefault="00297AAB" w:rsidP="00297AAB">
            <w:pPr>
              <w:spacing w:after="0" w:line="240" w:lineRule="auto"/>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Total</w:t>
            </w:r>
          </w:p>
        </w:tc>
        <w:tc>
          <w:tcPr>
            <w:tcW w:w="1340" w:type="dxa"/>
            <w:tcBorders>
              <w:top w:val="single" w:sz="4" w:space="0" w:color="auto"/>
              <w:left w:val="nil"/>
              <w:bottom w:val="single" w:sz="4" w:space="0" w:color="auto"/>
              <w:right w:val="nil"/>
            </w:tcBorders>
            <w:shd w:val="clear" w:color="auto" w:fill="auto"/>
            <w:noWrap/>
            <w:vAlign w:val="bottom"/>
            <w:hideMark/>
          </w:tcPr>
          <w:p w14:paraId="173D5FAB"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131486208</w:t>
            </w:r>
          </w:p>
        </w:tc>
        <w:tc>
          <w:tcPr>
            <w:tcW w:w="920" w:type="dxa"/>
            <w:tcBorders>
              <w:top w:val="single" w:sz="4" w:space="0" w:color="auto"/>
              <w:left w:val="nil"/>
              <w:bottom w:val="single" w:sz="4" w:space="0" w:color="auto"/>
              <w:right w:val="nil"/>
            </w:tcBorders>
            <w:shd w:val="clear" w:color="auto" w:fill="auto"/>
            <w:noWrap/>
            <w:vAlign w:val="bottom"/>
            <w:hideMark/>
          </w:tcPr>
          <w:p w14:paraId="288BD1E1"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100.0</w:t>
            </w:r>
          </w:p>
        </w:tc>
        <w:tc>
          <w:tcPr>
            <w:tcW w:w="1260" w:type="dxa"/>
            <w:tcBorders>
              <w:top w:val="single" w:sz="4" w:space="0" w:color="auto"/>
              <w:left w:val="nil"/>
              <w:bottom w:val="single" w:sz="4" w:space="0" w:color="auto"/>
              <w:right w:val="nil"/>
            </w:tcBorders>
            <w:shd w:val="clear" w:color="auto" w:fill="auto"/>
            <w:noWrap/>
            <w:vAlign w:val="bottom"/>
            <w:hideMark/>
          </w:tcPr>
          <w:p w14:paraId="16FF6567"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161.0</w:t>
            </w:r>
          </w:p>
        </w:tc>
        <w:tc>
          <w:tcPr>
            <w:tcW w:w="960" w:type="dxa"/>
            <w:tcBorders>
              <w:top w:val="single" w:sz="4" w:space="0" w:color="auto"/>
              <w:left w:val="nil"/>
              <w:bottom w:val="single" w:sz="4" w:space="0" w:color="auto"/>
              <w:right w:val="nil"/>
            </w:tcBorders>
            <w:shd w:val="clear" w:color="auto" w:fill="auto"/>
            <w:noWrap/>
            <w:vAlign w:val="bottom"/>
            <w:hideMark/>
          </w:tcPr>
          <w:p w14:paraId="5EE1F0E4"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161</w:t>
            </w:r>
          </w:p>
        </w:tc>
        <w:tc>
          <w:tcPr>
            <w:tcW w:w="900" w:type="dxa"/>
            <w:tcBorders>
              <w:top w:val="single" w:sz="4" w:space="0" w:color="auto"/>
              <w:left w:val="nil"/>
              <w:bottom w:val="single" w:sz="4" w:space="0" w:color="auto"/>
              <w:right w:val="nil"/>
            </w:tcBorders>
            <w:shd w:val="clear" w:color="auto" w:fill="auto"/>
            <w:noWrap/>
            <w:vAlign w:val="bottom"/>
            <w:hideMark/>
          </w:tcPr>
          <w:p w14:paraId="1CE337D1"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100.0</w:t>
            </w:r>
          </w:p>
        </w:tc>
        <w:tc>
          <w:tcPr>
            <w:tcW w:w="880" w:type="dxa"/>
            <w:tcBorders>
              <w:top w:val="single" w:sz="4" w:space="0" w:color="auto"/>
              <w:left w:val="nil"/>
              <w:bottom w:val="single" w:sz="4" w:space="0" w:color="auto"/>
              <w:right w:val="nil"/>
            </w:tcBorders>
            <w:shd w:val="clear" w:color="auto" w:fill="auto"/>
            <w:noWrap/>
            <w:vAlign w:val="bottom"/>
            <w:hideMark/>
          </w:tcPr>
          <w:p w14:paraId="53E1105C" w14:textId="77777777" w:rsidR="00297AAB" w:rsidRPr="00297AAB" w:rsidRDefault="00297AAB" w:rsidP="00297AAB">
            <w:pPr>
              <w:spacing w:after="0" w:line="240" w:lineRule="auto"/>
              <w:jc w:val="center"/>
              <w:rPr>
                <w:rFonts w:ascii="Times New Roman" w:eastAsia="Times New Roman" w:hAnsi="Times New Roman" w:cs="Times New Roman"/>
                <w:sz w:val="20"/>
                <w:szCs w:val="20"/>
              </w:rPr>
            </w:pPr>
            <w:r w:rsidRPr="00297AAB">
              <w:rPr>
                <w:rFonts w:ascii="Times New Roman" w:eastAsia="Times New Roman" w:hAnsi="Times New Roman" w:cs="Times New Roman"/>
                <w:sz w:val="20"/>
                <w:szCs w:val="20"/>
              </w:rPr>
              <w:t>23.0</w:t>
            </w:r>
          </w:p>
        </w:tc>
        <w:tc>
          <w:tcPr>
            <w:tcW w:w="900" w:type="dxa"/>
            <w:tcBorders>
              <w:top w:val="single" w:sz="4" w:space="0" w:color="auto"/>
              <w:left w:val="nil"/>
              <w:bottom w:val="single" w:sz="4" w:space="0" w:color="auto"/>
              <w:right w:val="nil"/>
            </w:tcBorders>
            <w:shd w:val="clear" w:color="auto" w:fill="auto"/>
            <w:noWrap/>
            <w:vAlign w:val="bottom"/>
            <w:hideMark/>
          </w:tcPr>
          <w:p w14:paraId="7C3D858A"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r w:rsidRPr="00297AAB">
              <w:rPr>
                <w:rFonts w:ascii="Times New Roman" w:eastAsia="Times New Roman" w:hAnsi="Times New Roman" w:cs="Times New Roman"/>
                <w:color w:val="000000"/>
                <w:sz w:val="20"/>
                <w:szCs w:val="20"/>
              </w:rPr>
              <w:t>-</w:t>
            </w:r>
          </w:p>
        </w:tc>
      </w:tr>
      <w:tr w:rsidR="00297AAB" w:rsidRPr="00297AAB" w14:paraId="694EA24F" w14:textId="77777777" w:rsidTr="00297AAB">
        <w:trPr>
          <w:trHeight w:val="280"/>
        </w:trPr>
        <w:tc>
          <w:tcPr>
            <w:tcW w:w="3040" w:type="dxa"/>
            <w:gridSpan w:val="2"/>
            <w:tcBorders>
              <w:top w:val="nil"/>
              <w:left w:val="nil"/>
              <w:bottom w:val="nil"/>
              <w:right w:val="nil"/>
            </w:tcBorders>
            <w:shd w:val="clear" w:color="auto" w:fill="auto"/>
            <w:noWrap/>
            <w:vAlign w:val="bottom"/>
            <w:hideMark/>
          </w:tcPr>
          <w:p w14:paraId="294670F4" w14:textId="77777777" w:rsidR="00297AAB" w:rsidRPr="00297AAB" w:rsidRDefault="00297AAB" w:rsidP="00297AAB">
            <w:pPr>
              <w:spacing w:after="0" w:line="240" w:lineRule="auto"/>
              <w:rPr>
                <w:rFonts w:ascii="Times New Roman" w:eastAsia="Times New Roman" w:hAnsi="Times New Roman" w:cs="Times New Roman"/>
                <w:color w:val="000000"/>
                <w:sz w:val="20"/>
                <w:szCs w:val="20"/>
              </w:rPr>
            </w:pPr>
            <w:proofErr w:type="spellStart"/>
            <w:proofErr w:type="gramStart"/>
            <w:r w:rsidRPr="00297AAB">
              <w:rPr>
                <w:rFonts w:ascii="Times New Roman" w:eastAsia="Times New Roman" w:hAnsi="Times New Roman" w:cs="Times New Roman"/>
                <w:color w:val="000000"/>
                <w:sz w:val="20"/>
                <w:szCs w:val="20"/>
              </w:rPr>
              <w:t>df</w:t>
            </w:r>
            <w:proofErr w:type="spellEnd"/>
            <w:proofErr w:type="gramEnd"/>
            <w:r w:rsidRPr="00297AAB">
              <w:rPr>
                <w:rFonts w:ascii="Times New Roman" w:eastAsia="Times New Roman" w:hAnsi="Times New Roman" w:cs="Times New Roman"/>
                <w:color w:val="000000"/>
                <w:sz w:val="20"/>
                <w:szCs w:val="20"/>
              </w:rPr>
              <w:t xml:space="preserve"> = 2, α = .05, sig of χ2 ≥ 5.99</w:t>
            </w:r>
          </w:p>
        </w:tc>
        <w:tc>
          <w:tcPr>
            <w:tcW w:w="920" w:type="dxa"/>
            <w:tcBorders>
              <w:top w:val="nil"/>
              <w:left w:val="nil"/>
              <w:bottom w:val="nil"/>
              <w:right w:val="nil"/>
            </w:tcBorders>
            <w:shd w:val="clear" w:color="auto" w:fill="auto"/>
            <w:noWrap/>
            <w:vAlign w:val="bottom"/>
            <w:hideMark/>
          </w:tcPr>
          <w:p w14:paraId="0E680521"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p>
        </w:tc>
        <w:tc>
          <w:tcPr>
            <w:tcW w:w="1260" w:type="dxa"/>
            <w:tcBorders>
              <w:top w:val="nil"/>
              <w:left w:val="nil"/>
              <w:bottom w:val="nil"/>
              <w:right w:val="nil"/>
            </w:tcBorders>
            <w:shd w:val="clear" w:color="auto" w:fill="auto"/>
            <w:noWrap/>
            <w:vAlign w:val="bottom"/>
            <w:hideMark/>
          </w:tcPr>
          <w:p w14:paraId="47997737"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657F439B"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p>
        </w:tc>
        <w:tc>
          <w:tcPr>
            <w:tcW w:w="900" w:type="dxa"/>
            <w:tcBorders>
              <w:top w:val="nil"/>
              <w:left w:val="nil"/>
              <w:bottom w:val="nil"/>
              <w:right w:val="nil"/>
            </w:tcBorders>
            <w:shd w:val="clear" w:color="auto" w:fill="auto"/>
            <w:noWrap/>
            <w:vAlign w:val="bottom"/>
            <w:hideMark/>
          </w:tcPr>
          <w:p w14:paraId="5E518E36"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p>
        </w:tc>
        <w:tc>
          <w:tcPr>
            <w:tcW w:w="880" w:type="dxa"/>
            <w:tcBorders>
              <w:top w:val="nil"/>
              <w:left w:val="nil"/>
              <w:bottom w:val="nil"/>
              <w:right w:val="nil"/>
            </w:tcBorders>
            <w:shd w:val="clear" w:color="auto" w:fill="auto"/>
            <w:noWrap/>
            <w:vAlign w:val="bottom"/>
            <w:hideMark/>
          </w:tcPr>
          <w:p w14:paraId="79C9A5F3" w14:textId="77777777" w:rsidR="00297AAB" w:rsidRPr="00297AAB" w:rsidRDefault="00297AAB" w:rsidP="00297AAB">
            <w:pPr>
              <w:spacing w:after="0"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shd w:val="clear" w:color="auto" w:fill="auto"/>
            <w:noWrap/>
            <w:vAlign w:val="bottom"/>
            <w:hideMark/>
          </w:tcPr>
          <w:p w14:paraId="47F0508A" w14:textId="77777777" w:rsidR="00297AAB" w:rsidRPr="00297AAB" w:rsidRDefault="00297AAB" w:rsidP="00297AAB">
            <w:pPr>
              <w:spacing w:after="0" w:line="240" w:lineRule="auto"/>
              <w:jc w:val="center"/>
              <w:rPr>
                <w:rFonts w:ascii="Times New Roman" w:eastAsia="Times New Roman" w:hAnsi="Times New Roman" w:cs="Times New Roman"/>
                <w:color w:val="000000"/>
                <w:sz w:val="20"/>
                <w:szCs w:val="20"/>
              </w:rPr>
            </w:pPr>
          </w:p>
        </w:tc>
      </w:tr>
    </w:tbl>
    <w:p w14:paraId="58255C37" w14:textId="4AC88A06" w:rsidR="00081014" w:rsidRDefault="00081014" w:rsidP="00297AAB">
      <w:pPr>
        <w:spacing w:line="240" w:lineRule="auto"/>
        <w:rPr>
          <w:rFonts w:ascii="Times New Roman" w:hAnsi="Times New Roman" w:cs="Times New Roman"/>
          <w:b/>
        </w:rPr>
      </w:pPr>
    </w:p>
    <w:p w14:paraId="0FDFE751" w14:textId="77777777" w:rsidR="002869F0" w:rsidRDefault="002869F0" w:rsidP="002869F0">
      <w:pPr>
        <w:spacing w:line="240" w:lineRule="auto"/>
        <w:rPr>
          <w:rFonts w:ascii="Times New Roman" w:hAnsi="Times New Roman" w:cs="Times New Roman"/>
          <w:b/>
        </w:rPr>
      </w:pPr>
    </w:p>
    <w:p w14:paraId="2C4F80F9" w14:textId="77777777" w:rsidR="003F4633" w:rsidRDefault="003F4633" w:rsidP="003F4633">
      <w:pPr>
        <w:spacing w:line="240" w:lineRule="auto"/>
        <w:rPr>
          <w:rFonts w:ascii="Times New Roman" w:hAnsi="Times New Roman" w:cs="Times New Roman"/>
        </w:rPr>
      </w:pPr>
      <w:r w:rsidRPr="00007D2A">
        <w:rPr>
          <w:rFonts w:ascii="Times New Roman" w:hAnsi="Times New Roman" w:cs="Times New Roman"/>
          <w:b/>
        </w:rPr>
        <w:t>Table 6.</w:t>
      </w:r>
      <w:r w:rsidR="00B436A1">
        <w:rPr>
          <w:rFonts w:ascii="Times New Roman" w:hAnsi="Times New Roman" w:cs="Times New Roman"/>
          <w:b/>
        </w:rPr>
        <w:t>8</w:t>
      </w:r>
      <w:r w:rsidRPr="00007D2A">
        <w:rPr>
          <w:rFonts w:ascii="Times New Roman" w:hAnsi="Times New Roman" w:cs="Times New Roman"/>
          <w:b/>
        </w:rPr>
        <w:t>.</w:t>
      </w:r>
      <w:r w:rsidRPr="00007D2A">
        <w:rPr>
          <w:rFonts w:ascii="Times New Roman" w:hAnsi="Times New Roman" w:cs="Times New Roman"/>
        </w:rPr>
        <w:t xml:space="preserve">  </w:t>
      </w:r>
      <w:r>
        <w:rPr>
          <w:rFonts w:ascii="Times New Roman" w:hAnsi="Times New Roman" w:cs="Times New Roman"/>
        </w:rPr>
        <w:t>Test Statistics for the Probability Zones of the Active U.S. Forest Service Predictive Model for the Caney District Study Area and All Archaeological Sites</w:t>
      </w:r>
      <w:r w:rsidRPr="00007D2A">
        <w:rPr>
          <w:rFonts w:ascii="Times New Roman" w:hAnsi="Times New Roman" w:cs="Times New Roman"/>
        </w:rPr>
        <w:t>.</w:t>
      </w:r>
    </w:p>
    <w:tbl>
      <w:tblPr>
        <w:tblW w:w="8600" w:type="dxa"/>
        <w:tblInd w:w="93" w:type="dxa"/>
        <w:tblLook w:val="04A0" w:firstRow="1" w:lastRow="0" w:firstColumn="1" w:lastColumn="0" w:noHBand="0" w:noVBand="1"/>
      </w:tblPr>
      <w:tblGrid>
        <w:gridCol w:w="1640"/>
        <w:gridCol w:w="1116"/>
        <w:gridCol w:w="920"/>
        <w:gridCol w:w="1260"/>
        <w:gridCol w:w="1320"/>
        <w:gridCol w:w="1180"/>
        <w:gridCol w:w="680"/>
        <w:gridCol w:w="605"/>
      </w:tblGrid>
      <w:tr w:rsidR="00090BBE" w:rsidRPr="00090BBE" w14:paraId="433A04D6" w14:textId="77777777" w:rsidTr="00090BBE">
        <w:trPr>
          <w:trHeight w:val="330"/>
        </w:trPr>
        <w:tc>
          <w:tcPr>
            <w:tcW w:w="1640" w:type="dxa"/>
            <w:tcBorders>
              <w:top w:val="single" w:sz="4" w:space="0" w:color="auto"/>
              <w:left w:val="nil"/>
              <w:bottom w:val="single" w:sz="4" w:space="0" w:color="auto"/>
              <w:right w:val="nil"/>
            </w:tcBorders>
            <w:shd w:val="clear" w:color="auto" w:fill="auto"/>
            <w:noWrap/>
            <w:vAlign w:val="bottom"/>
            <w:hideMark/>
          </w:tcPr>
          <w:p w14:paraId="0113A5E1"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Probability Zone</w:t>
            </w:r>
          </w:p>
        </w:tc>
        <w:tc>
          <w:tcPr>
            <w:tcW w:w="1000" w:type="dxa"/>
            <w:tcBorders>
              <w:top w:val="single" w:sz="4" w:space="0" w:color="auto"/>
              <w:left w:val="nil"/>
              <w:bottom w:val="single" w:sz="4" w:space="0" w:color="auto"/>
              <w:right w:val="nil"/>
            </w:tcBorders>
            <w:shd w:val="clear" w:color="auto" w:fill="auto"/>
            <w:noWrap/>
            <w:vAlign w:val="bottom"/>
            <w:hideMark/>
          </w:tcPr>
          <w:p w14:paraId="69CF5EE9"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Area (m</w:t>
            </w:r>
            <w:r w:rsidRPr="00090BBE">
              <w:rPr>
                <w:rFonts w:ascii="Times New Roman" w:eastAsia="Times New Roman" w:hAnsi="Times New Roman" w:cs="Times New Roman"/>
                <w:color w:val="000000"/>
                <w:sz w:val="20"/>
                <w:szCs w:val="20"/>
                <w:vertAlign w:val="superscript"/>
              </w:rPr>
              <w:t>2</w:t>
            </w:r>
            <w:r w:rsidRPr="00090BBE">
              <w:rPr>
                <w:rFonts w:ascii="Times New Roman" w:eastAsia="Times New Roman" w:hAnsi="Times New Roman" w:cs="Times New Roman"/>
                <w:color w:val="000000"/>
                <w:sz w:val="20"/>
                <w:szCs w:val="20"/>
              </w:rPr>
              <w:t>)</w:t>
            </w:r>
          </w:p>
        </w:tc>
        <w:tc>
          <w:tcPr>
            <w:tcW w:w="920" w:type="dxa"/>
            <w:tcBorders>
              <w:top w:val="single" w:sz="4" w:space="0" w:color="auto"/>
              <w:left w:val="nil"/>
              <w:bottom w:val="single" w:sz="4" w:space="0" w:color="auto"/>
              <w:right w:val="nil"/>
            </w:tcBorders>
            <w:shd w:val="clear" w:color="auto" w:fill="auto"/>
            <w:noWrap/>
            <w:vAlign w:val="bottom"/>
            <w:hideMark/>
          </w:tcPr>
          <w:p w14:paraId="5378F6FF"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 xml:space="preserve">% </w:t>
            </w:r>
            <w:proofErr w:type="gramStart"/>
            <w:r w:rsidRPr="00090BBE">
              <w:rPr>
                <w:rFonts w:ascii="Times New Roman" w:eastAsia="Times New Roman" w:hAnsi="Times New Roman" w:cs="Times New Roman"/>
                <w:color w:val="000000"/>
                <w:sz w:val="20"/>
                <w:szCs w:val="20"/>
              </w:rPr>
              <w:t>of</w:t>
            </w:r>
            <w:proofErr w:type="gramEnd"/>
            <w:r w:rsidRPr="00090BBE">
              <w:rPr>
                <w:rFonts w:ascii="Times New Roman" w:eastAsia="Times New Roman" w:hAnsi="Times New Roman" w:cs="Times New Roman"/>
                <w:color w:val="000000"/>
                <w:sz w:val="20"/>
                <w:szCs w:val="20"/>
              </w:rPr>
              <w:t xml:space="preserve"> Area</w:t>
            </w:r>
          </w:p>
        </w:tc>
        <w:tc>
          <w:tcPr>
            <w:tcW w:w="1260" w:type="dxa"/>
            <w:tcBorders>
              <w:top w:val="single" w:sz="4" w:space="0" w:color="auto"/>
              <w:left w:val="nil"/>
              <w:bottom w:val="single" w:sz="4" w:space="0" w:color="auto"/>
              <w:right w:val="nil"/>
            </w:tcBorders>
            <w:shd w:val="clear" w:color="auto" w:fill="auto"/>
            <w:noWrap/>
            <w:vAlign w:val="bottom"/>
            <w:hideMark/>
          </w:tcPr>
          <w:p w14:paraId="62A87E95"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Expected Sites</w:t>
            </w:r>
          </w:p>
        </w:tc>
        <w:tc>
          <w:tcPr>
            <w:tcW w:w="1320" w:type="dxa"/>
            <w:tcBorders>
              <w:top w:val="single" w:sz="4" w:space="0" w:color="auto"/>
              <w:left w:val="nil"/>
              <w:bottom w:val="single" w:sz="4" w:space="0" w:color="auto"/>
              <w:right w:val="nil"/>
            </w:tcBorders>
            <w:shd w:val="clear" w:color="auto" w:fill="auto"/>
            <w:noWrap/>
            <w:vAlign w:val="bottom"/>
            <w:hideMark/>
          </w:tcPr>
          <w:p w14:paraId="750D142F"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Observed Sites</w:t>
            </w:r>
          </w:p>
        </w:tc>
        <w:tc>
          <w:tcPr>
            <w:tcW w:w="1180" w:type="dxa"/>
            <w:tcBorders>
              <w:top w:val="single" w:sz="4" w:space="0" w:color="auto"/>
              <w:left w:val="nil"/>
              <w:bottom w:val="single" w:sz="4" w:space="0" w:color="auto"/>
              <w:right w:val="nil"/>
            </w:tcBorders>
            <w:shd w:val="clear" w:color="auto" w:fill="auto"/>
            <w:noWrap/>
            <w:vAlign w:val="bottom"/>
            <w:hideMark/>
          </w:tcPr>
          <w:p w14:paraId="11CC4B29"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 xml:space="preserve">% </w:t>
            </w:r>
            <w:proofErr w:type="gramStart"/>
            <w:r w:rsidRPr="00090BBE">
              <w:rPr>
                <w:rFonts w:ascii="Times New Roman" w:eastAsia="Times New Roman" w:hAnsi="Times New Roman" w:cs="Times New Roman"/>
                <w:color w:val="000000"/>
                <w:sz w:val="20"/>
                <w:szCs w:val="20"/>
              </w:rPr>
              <w:t>of</w:t>
            </w:r>
            <w:proofErr w:type="gramEnd"/>
            <w:r w:rsidRPr="00090BBE">
              <w:rPr>
                <w:rFonts w:ascii="Times New Roman" w:eastAsia="Times New Roman" w:hAnsi="Times New Roman" w:cs="Times New Roman"/>
                <w:color w:val="000000"/>
                <w:sz w:val="20"/>
                <w:szCs w:val="20"/>
              </w:rPr>
              <w:t xml:space="preserve"> Sites</w:t>
            </w:r>
          </w:p>
        </w:tc>
        <w:tc>
          <w:tcPr>
            <w:tcW w:w="680" w:type="dxa"/>
            <w:tcBorders>
              <w:top w:val="single" w:sz="4" w:space="0" w:color="auto"/>
              <w:left w:val="nil"/>
              <w:bottom w:val="single" w:sz="4" w:space="0" w:color="auto"/>
              <w:right w:val="nil"/>
            </w:tcBorders>
            <w:shd w:val="clear" w:color="auto" w:fill="auto"/>
            <w:noWrap/>
            <w:vAlign w:val="bottom"/>
            <w:hideMark/>
          </w:tcPr>
          <w:p w14:paraId="656C0F93"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χ2</w:t>
            </w:r>
          </w:p>
        </w:tc>
        <w:tc>
          <w:tcPr>
            <w:tcW w:w="600" w:type="dxa"/>
            <w:tcBorders>
              <w:top w:val="single" w:sz="4" w:space="0" w:color="auto"/>
              <w:left w:val="nil"/>
              <w:bottom w:val="single" w:sz="4" w:space="0" w:color="auto"/>
              <w:right w:val="nil"/>
            </w:tcBorders>
            <w:shd w:val="clear" w:color="auto" w:fill="auto"/>
            <w:noWrap/>
            <w:vAlign w:val="bottom"/>
            <w:hideMark/>
          </w:tcPr>
          <w:p w14:paraId="7D9E76A1"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Gain</w:t>
            </w:r>
          </w:p>
        </w:tc>
      </w:tr>
      <w:tr w:rsidR="00090BBE" w:rsidRPr="00090BBE" w14:paraId="64CB0DD4" w14:textId="77777777" w:rsidTr="00090BBE">
        <w:trPr>
          <w:trHeight w:val="300"/>
        </w:trPr>
        <w:tc>
          <w:tcPr>
            <w:tcW w:w="1640" w:type="dxa"/>
            <w:tcBorders>
              <w:top w:val="nil"/>
              <w:left w:val="nil"/>
              <w:bottom w:val="nil"/>
              <w:right w:val="nil"/>
            </w:tcBorders>
            <w:shd w:val="clear" w:color="auto" w:fill="auto"/>
            <w:noWrap/>
            <w:vAlign w:val="bottom"/>
            <w:hideMark/>
          </w:tcPr>
          <w:p w14:paraId="23D85372"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Zone 1 (Medium)</w:t>
            </w:r>
          </w:p>
        </w:tc>
        <w:tc>
          <w:tcPr>
            <w:tcW w:w="1000" w:type="dxa"/>
            <w:tcBorders>
              <w:top w:val="nil"/>
              <w:left w:val="nil"/>
              <w:bottom w:val="nil"/>
              <w:right w:val="nil"/>
            </w:tcBorders>
            <w:shd w:val="clear" w:color="auto" w:fill="auto"/>
            <w:noWrap/>
            <w:vAlign w:val="bottom"/>
            <w:hideMark/>
          </w:tcPr>
          <w:p w14:paraId="3D05FDC1"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38395797</w:t>
            </w:r>
          </w:p>
        </w:tc>
        <w:tc>
          <w:tcPr>
            <w:tcW w:w="920" w:type="dxa"/>
            <w:tcBorders>
              <w:top w:val="nil"/>
              <w:left w:val="nil"/>
              <w:bottom w:val="nil"/>
              <w:right w:val="nil"/>
            </w:tcBorders>
            <w:shd w:val="clear" w:color="auto" w:fill="auto"/>
            <w:noWrap/>
            <w:vAlign w:val="bottom"/>
            <w:hideMark/>
          </w:tcPr>
          <w:p w14:paraId="29E49794"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29.2</w:t>
            </w:r>
          </w:p>
        </w:tc>
        <w:tc>
          <w:tcPr>
            <w:tcW w:w="1260" w:type="dxa"/>
            <w:tcBorders>
              <w:top w:val="nil"/>
              <w:left w:val="nil"/>
              <w:bottom w:val="nil"/>
              <w:right w:val="nil"/>
            </w:tcBorders>
            <w:shd w:val="clear" w:color="auto" w:fill="auto"/>
            <w:noWrap/>
            <w:vAlign w:val="bottom"/>
            <w:hideMark/>
          </w:tcPr>
          <w:p w14:paraId="4197C0AA"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47.0</w:t>
            </w:r>
          </w:p>
        </w:tc>
        <w:tc>
          <w:tcPr>
            <w:tcW w:w="1320" w:type="dxa"/>
            <w:tcBorders>
              <w:top w:val="nil"/>
              <w:left w:val="nil"/>
              <w:bottom w:val="nil"/>
              <w:right w:val="nil"/>
            </w:tcBorders>
            <w:shd w:val="clear" w:color="auto" w:fill="auto"/>
            <w:noWrap/>
            <w:vAlign w:val="bottom"/>
            <w:hideMark/>
          </w:tcPr>
          <w:p w14:paraId="75C70090"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32</w:t>
            </w:r>
          </w:p>
        </w:tc>
        <w:tc>
          <w:tcPr>
            <w:tcW w:w="1180" w:type="dxa"/>
            <w:tcBorders>
              <w:top w:val="nil"/>
              <w:left w:val="nil"/>
              <w:bottom w:val="nil"/>
              <w:right w:val="nil"/>
            </w:tcBorders>
            <w:shd w:val="clear" w:color="auto" w:fill="auto"/>
            <w:noWrap/>
            <w:vAlign w:val="bottom"/>
            <w:hideMark/>
          </w:tcPr>
          <w:p w14:paraId="6E6D871A"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19.9</w:t>
            </w:r>
          </w:p>
        </w:tc>
        <w:tc>
          <w:tcPr>
            <w:tcW w:w="680" w:type="dxa"/>
            <w:tcBorders>
              <w:top w:val="nil"/>
              <w:left w:val="nil"/>
              <w:bottom w:val="nil"/>
              <w:right w:val="nil"/>
            </w:tcBorders>
            <w:shd w:val="clear" w:color="auto" w:fill="auto"/>
            <w:noWrap/>
            <w:vAlign w:val="bottom"/>
            <w:hideMark/>
          </w:tcPr>
          <w:p w14:paraId="7AE4D4C5" w14:textId="77777777" w:rsidR="00090BBE" w:rsidRPr="00090BBE" w:rsidRDefault="00090BBE" w:rsidP="00090BBE">
            <w:pPr>
              <w:spacing w:after="0" w:line="240" w:lineRule="auto"/>
              <w:jc w:val="center"/>
              <w:rPr>
                <w:rFonts w:ascii="Times New Roman" w:eastAsia="Times New Roman" w:hAnsi="Times New Roman" w:cs="Times New Roman"/>
                <w:sz w:val="20"/>
                <w:szCs w:val="20"/>
              </w:rPr>
            </w:pPr>
            <w:r w:rsidRPr="00090BBE">
              <w:rPr>
                <w:rFonts w:ascii="Times New Roman" w:eastAsia="Times New Roman" w:hAnsi="Times New Roman" w:cs="Times New Roman"/>
                <w:sz w:val="20"/>
                <w:szCs w:val="20"/>
              </w:rPr>
              <w:t>4.8</w:t>
            </w:r>
          </w:p>
        </w:tc>
        <w:tc>
          <w:tcPr>
            <w:tcW w:w="600" w:type="dxa"/>
            <w:tcBorders>
              <w:top w:val="nil"/>
              <w:left w:val="nil"/>
              <w:bottom w:val="nil"/>
              <w:right w:val="nil"/>
            </w:tcBorders>
            <w:shd w:val="clear" w:color="auto" w:fill="auto"/>
            <w:noWrap/>
            <w:vAlign w:val="bottom"/>
            <w:hideMark/>
          </w:tcPr>
          <w:p w14:paraId="37C39229"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-0.5</w:t>
            </w:r>
          </w:p>
        </w:tc>
      </w:tr>
      <w:tr w:rsidR="00090BBE" w:rsidRPr="00090BBE" w14:paraId="48802935" w14:textId="77777777" w:rsidTr="00090BBE">
        <w:trPr>
          <w:trHeight w:val="300"/>
        </w:trPr>
        <w:tc>
          <w:tcPr>
            <w:tcW w:w="1640" w:type="dxa"/>
            <w:tcBorders>
              <w:top w:val="nil"/>
              <w:left w:val="nil"/>
              <w:bottom w:val="nil"/>
              <w:right w:val="nil"/>
            </w:tcBorders>
            <w:shd w:val="clear" w:color="auto" w:fill="auto"/>
            <w:noWrap/>
            <w:vAlign w:val="bottom"/>
            <w:hideMark/>
          </w:tcPr>
          <w:p w14:paraId="5CDE5D2C"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Zone 2 (High)</w:t>
            </w:r>
          </w:p>
        </w:tc>
        <w:tc>
          <w:tcPr>
            <w:tcW w:w="1000" w:type="dxa"/>
            <w:tcBorders>
              <w:top w:val="nil"/>
              <w:left w:val="nil"/>
              <w:bottom w:val="nil"/>
              <w:right w:val="nil"/>
            </w:tcBorders>
            <w:shd w:val="clear" w:color="auto" w:fill="auto"/>
            <w:noWrap/>
            <w:vAlign w:val="bottom"/>
            <w:hideMark/>
          </w:tcPr>
          <w:p w14:paraId="59A9550C"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63227747</w:t>
            </w:r>
          </w:p>
        </w:tc>
        <w:tc>
          <w:tcPr>
            <w:tcW w:w="920" w:type="dxa"/>
            <w:tcBorders>
              <w:top w:val="nil"/>
              <w:left w:val="nil"/>
              <w:bottom w:val="nil"/>
              <w:right w:val="nil"/>
            </w:tcBorders>
            <w:shd w:val="clear" w:color="auto" w:fill="auto"/>
            <w:noWrap/>
            <w:vAlign w:val="bottom"/>
            <w:hideMark/>
          </w:tcPr>
          <w:p w14:paraId="5030950F"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48.0</w:t>
            </w:r>
          </w:p>
        </w:tc>
        <w:tc>
          <w:tcPr>
            <w:tcW w:w="1260" w:type="dxa"/>
            <w:tcBorders>
              <w:top w:val="nil"/>
              <w:left w:val="nil"/>
              <w:bottom w:val="nil"/>
              <w:right w:val="nil"/>
            </w:tcBorders>
            <w:shd w:val="clear" w:color="auto" w:fill="auto"/>
            <w:noWrap/>
            <w:vAlign w:val="bottom"/>
            <w:hideMark/>
          </w:tcPr>
          <w:p w14:paraId="72D34945"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77.4</w:t>
            </w:r>
          </w:p>
        </w:tc>
        <w:tc>
          <w:tcPr>
            <w:tcW w:w="1320" w:type="dxa"/>
            <w:tcBorders>
              <w:top w:val="nil"/>
              <w:left w:val="nil"/>
              <w:bottom w:val="nil"/>
              <w:right w:val="nil"/>
            </w:tcBorders>
            <w:shd w:val="clear" w:color="auto" w:fill="auto"/>
            <w:noWrap/>
            <w:vAlign w:val="bottom"/>
            <w:hideMark/>
          </w:tcPr>
          <w:p w14:paraId="2EAEE0B1"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99</w:t>
            </w:r>
          </w:p>
        </w:tc>
        <w:tc>
          <w:tcPr>
            <w:tcW w:w="1180" w:type="dxa"/>
            <w:tcBorders>
              <w:top w:val="nil"/>
              <w:left w:val="nil"/>
              <w:bottom w:val="nil"/>
              <w:right w:val="nil"/>
            </w:tcBorders>
            <w:shd w:val="clear" w:color="auto" w:fill="auto"/>
            <w:noWrap/>
            <w:vAlign w:val="bottom"/>
            <w:hideMark/>
          </w:tcPr>
          <w:p w14:paraId="05EEAD43"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61.5</w:t>
            </w:r>
          </w:p>
        </w:tc>
        <w:tc>
          <w:tcPr>
            <w:tcW w:w="680" w:type="dxa"/>
            <w:tcBorders>
              <w:top w:val="nil"/>
              <w:left w:val="nil"/>
              <w:bottom w:val="nil"/>
              <w:right w:val="nil"/>
            </w:tcBorders>
            <w:shd w:val="clear" w:color="auto" w:fill="auto"/>
            <w:noWrap/>
            <w:vAlign w:val="bottom"/>
            <w:hideMark/>
          </w:tcPr>
          <w:p w14:paraId="30799757"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6.1</w:t>
            </w:r>
          </w:p>
        </w:tc>
        <w:tc>
          <w:tcPr>
            <w:tcW w:w="600" w:type="dxa"/>
            <w:tcBorders>
              <w:top w:val="nil"/>
              <w:left w:val="nil"/>
              <w:bottom w:val="nil"/>
              <w:right w:val="nil"/>
            </w:tcBorders>
            <w:shd w:val="clear" w:color="auto" w:fill="auto"/>
            <w:noWrap/>
            <w:vAlign w:val="bottom"/>
            <w:hideMark/>
          </w:tcPr>
          <w:p w14:paraId="43AFC0B1"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0.2</w:t>
            </w:r>
          </w:p>
        </w:tc>
      </w:tr>
      <w:tr w:rsidR="00090BBE" w:rsidRPr="00090BBE" w14:paraId="14A8DC4B" w14:textId="77777777" w:rsidTr="00090BBE">
        <w:trPr>
          <w:trHeight w:val="300"/>
        </w:trPr>
        <w:tc>
          <w:tcPr>
            <w:tcW w:w="1640" w:type="dxa"/>
            <w:tcBorders>
              <w:top w:val="nil"/>
              <w:left w:val="nil"/>
              <w:bottom w:val="nil"/>
              <w:right w:val="nil"/>
            </w:tcBorders>
            <w:shd w:val="clear" w:color="auto" w:fill="auto"/>
            <w:noWrap/>
            <w:vAlign w:val="bottom"/>
            <w:hideMark/>
          </w:tcPr>
          <w:p w14:paraId="77B9A719"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Zone 3 (Low)</w:t>
            </w:r>
          </w:p>
        </w:tc>
        <w:tc>
          <w:tcPr>
            <w:tcW w:w="1000" w:type="dxa"/>
            <w:tcBorders>
              <w:top w:val="nil"/>
              <w:left w:val="nil"/>
              <w:bottom w:val="nil"/>
              <w:right w:val="nil"/>
            </w:tcBorders>
            <w:shd w:val="clear" w:color="auto" w:fill="auto"/>
            <w:noWrap/>
            <w:vAlign w:val="bottom"/>
            <w:hideMark/>
          </w:tcPr>
          <w:p w14:paraId="284C69E9"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29977856</w:t>
            </w:r>
          </w:p>
        </w:tc>
        <w:tc>
          <w:tcPr>
            <w:tcW w:w="920" w:type="dxa"/>
            <w:tcBorders>
              <w:top w:val="nil"/>
              <w:left w:val="nil"/>
              <w:bottom w:val="nil"/>
              <w:right w:val="nil"/>
            </w:tcBorders>
            <w:shd w:val="clear" w:color="auto" w:fill="auto"/>
            <w:noWrap/>
            <w:vAlign w:val="bottom"/>
            <w:hideMark/>
          </w:tcPr>
          <w:p w14:paraId="1687E4FE"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22.8</w:t>
            </w:r>
          </w:p>
        </w:tc>
        <w:tc>
          <w:tcPr>
            <w:tcW w:w="1260" w:type="dxa"/>
            <w:tcBorders>
              <w:top w:val="nil"/>
              <w:left w:val="nil"/>
              <w:bottom w:val="nil"/>
              <w:right w:val="nil"/>
            </w:tcBorders>
            <w:shd w:val="clear" w:color="auto" w:fill="auto"/>
            <w:noWrap/>
            <w:vAlign w:val="bottom"/>
            <w:hideMark/>
          </w:tcPr>
          <w:p w14:paraId="7668937A"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36.7</w:t>
            </w:r>
          </w:p>
        </w:tc>
        <w:tc>
          <w:tcPr>
            <w:tcW w:w="1320" w:type="dxa"/>
            <w:tcBorders>
              <w:top w:val="nil"/>
              <w:left w:val="nil"/>
              <w:bottom w:val="nil"/>
              <w:right w:val="nil"/>
            </w:tcBorders>
            <w:shd w:val="clear" w:color="auto" w:fill="auto"/>
            <w:noWrap/>
            <w:vAlign w:val="bottom"/>
            <w:hideMark/>
          </w:tcPr>
          <w:p w14:paraId="24EE99CC"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30</w:t>
            </w:r>
          </w:p>
        </w:tc>
        <w:tc>
          <w:tcPr>
            <w:tcW w:w="1180" w:type="dxa"/>
            <w:tcBorders>
              <w:top w:val="nil"/>
              <w:left w:val="nil"/>
              <w:bottom w:val="nil"/>
              <w:right w:val="nil"/>
            </w:tcBorders>
            <w:shd w:val="clear" w:color="auto" w:fill="auto"/>
            <w:noWrap/>
            <w:vAlign w:val="bottom"/>
            <w:hideMark/>
          </w:tcPr>
          <w:p w14:paraId="708EDEEE"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18.6</w:t>
            </w:r>
          </w:p>
        </w:tc>
        <w:tc>
          <w:tcPr>
            <w:tcW w:w="680" w:type="dxa"/>
            <w:tcBorders>
              <w:top w:val="nil"/>
              <w:left w:val="nil"/>
              <w:bottom w:val="nil"/>
              <w:right w:val="nil"/>
            </w:tcBorders>
            <w:shd w:val="clear" w:color="auto" w:fill="auto"/>
            <w:noWrap/>
            <w:vAlign w:val="bottom"/>
            <w:hideMark/>
          </w:tcPr>
          <w:p w14:paraId="340B36AA"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1.2</w:t>
            </w:r>
          </w:p>
        </w:tc>
        <w:tc>
          <w:tcPr>
            <w:tcW w:w="600" w:type="dxa"/>
            <w:tcBorders>
              <w:top w:val="nil"/>
              <w:left w:val="nil"/>
              <w:bottom w:val="nil"/>
              <w:right w:val="nil"/>
            </w:tcBorders>
            <w:shd w:val="clear" w:color="auto" w:fill="auto"/>
            <w:noWrap/>
            <w:vAlign w:val="bottom"/>
            <w:hideMark/>
          </w:tcPr>
          <w:p w14:paraId="2D3CE84F"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-0.2</w:t>
            </w:r>
          </w:p>
        </w:tc>
      </w:tr>
      <w:tr w:rsidR="00090BBE" w:rsidRPr="00090BBE" w14:paraId="0A823AED" w14:textId="77777777" w:rsidTr="00090BBE">
        <w:trPr>
          <w:trHeight w:val="300"/>
        </w:trPr>
        <w:tc>
          <w:tcPr>
            <w:tcW w:w="1640" w:type="dxa"/>
            <w:tcBorders>
              <w:top w:val="single" w:sz="4" w:space="0" w:color="auto"/>
              <w:left w:val="nil"/>
              <w:bottom w:val="single" w:sz="4" w:space="0" w:color="auto"/>
              <w:right w:val="nil"/>
            </w:tcBorders>
            <w:shd w:val="clear" w:color="auto" w:fill="auto"/>
            <w:noWrap/>
            <w:vAlign w:val="bottom"/>
            <w:hideMark/>
          </w:tcPr>
          <w:p w14:paraId="2D17E890"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Total</w:t>
            </w:r>
          </w:p>
        </w:tc>
        <w:tc>
          <w:tcPr>
            <w:tcW w:w="1000" w:type="dxa"/>
            <w:tcBorders>
              <w:top w:val="single" w:sz="4" w:space="0" w:color="auto"/>
              <w:left w:val="nil"/>
              <w:bottom w:val="single" w:sz="4" w:space="0" w:color="auto"/>
              <w:right w:val="nil"/>
            </w:tcBorders>
            <w:shd w:val="clear" w:color="auto" w:fill="auto"/>
            <w:noWrap/>
            <w:vAlign w:val="bottom"/>
            <w:hideMark/>
          </w:tcPr>
          <w:p w14:paraId="0941A273"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131601400</w:t>
            </w:r>
          </w:p>
        </w:tc>
        <w:tc>
          <w:tcPr>
            <w:tcW w:w="920" w:type="dxa"/>
            <w:tcBorders>
              <w:top w:val="single" w:sz="4" w:space="0" w:color="auto"/>
              <w:left w:val="nil"/>
              <w:bottom w:val="single" w:sz="4" w:space="0" w:color="auto"/>
              <w:right w:val="nil"/>
            </w:tcBorders>
            <w:shd w:val="clear" w:color="auto" w:fill="auto"/>
            <w:noWrap/>
            <w:vAlign w:val="bottom"/>
            <w:hideMark/>
          </w:tcPr>
          <w:p w14:paraId="3601C9DA"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100.0</w:t>
            </w:r>
          </w:p>
        </w:tc>
        <w:tc>
          <w:tcPr>
            <w:tcW w:w="1260" w:type="dxa"/>
            <w:tcBorders>
              <w:top w:val="single" w:sz="4" w:space="0" w:color="auto"/>
              <w:left w:val="nil"/>
              <w:bottom w:val="single" w:sz="4" w:space="0" w:color="auto"/>
              <w:right w:val="nil"/>
            </w:tcBorders>
            <w:shd w:val="clear" w:color="auto" w:fill="auto"/>
            <w:noWrap/>
            <w:vAlign w:val="bottom"/>
            <w:hideMark/>
          </w:tcPr>
          <w:p w14:paraId="7DA9933F"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161.0</w:t>
            </w:r>
          </w:p>
        </w:tc>
        <w:tc>
          <w:tcPr>
            <w:tcW w:w="1320" w:type="dxa"/>
            <w:tcBorders>
              <w:top w:val="single" w:sz="4" w:space="0" w:color="auto"/>
              <w:left w:val="nil"/>
              <w:bottom w:val="single" w:sz="4" w:space="0" w:color="auto"/>
              <w:right w:val="nil"/>
            </w:tcBorders>
            <w:shd w:val="clear" w:color="auto" w:fill="auto"/>
            <w:noWrap/>
            <w:vAlign w:val="bottom"/>
            <w:hideMark/>
          </w:tcPr>
          <w:p w14:paraId="6D82DD08"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161</w:t>
            </w:r>
          </w:p>
        </w:tc>
        <w:tc>
          <w:tcPr>
            <w:tcW w:w="1180" w:type="dxa"/>
            <w:tcBorders>
              <w:top w:val="single" w:sz="4" w:space="0" w:color="auto"/>
              <w:left w:val="nil"/>
              <w:bottom w:val="single" w:sz="4" w:space="0" w:color="auto"/>
              <w:right w:val="nil"/>
            </w:tcBorders>
            <w:shd w:val="clear" w:color="auto" w:fill="auto"/>
            <w:noWrap/>
            <w:vAlign w:val="bottom"/>
            <w:hideMark/>
          </w:tcPr>
          <w:p w14:paraId="50667391"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100.0</w:t>
            </w:r>
          </w:p>
        </w:tc>
        <w:tc>
          <w:tcPr>
            <w:tcW w:w="680" w:type="dxa"/>
            <w:tcBorders>
              <w:top w:val="single" w:sz="4" w:space="0" w:color="auto"/>
              <w:left w:val="nil"/>
              <w:bottom w:val="single" w:sz="4" w:space="0" w:color="auto"/>
              <w:right w:val="nil"/>
            </w:tcBorders>
            <w:shd w:val="clear" w:color="auto" w:fill="auto"/>
            <w:noWrap/>
            <w:vAlign w:val="bottom"/>
            <w:hideMark/>
          </w:tcPr>
          <w:p w14:paraId="056C5EAA"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12.0</w:t>
            </w:r>
          </w:p>
        </w:tc>
        <w:tc>
          <w:tcPr>
            <w:tcW w:w="600" w:type="dxa"/>
            <w:tcBorders>
              <w:top w:val="single" w:sz="4" w:space="0" w:color="auto"/>
              <w:left w:val="nil"/>
              <w:bottom w:val="single" w:sz="4" w:space="0" w:color="auto"/>
              <w:right w:val="nil"/>
            </w:tcBorders>
            <w:shd w:val="clear" w:color="auto" w:fill="auto"/>
            <w:noWrap/>
            <w:vAlign w:val="bottom"/>
            <w:hideMark/>
          </w:tcPr>
          <w:p w14:paraId="29786332" w14:textId="77777777" w:rsidR="00090BBE" w:rsidRPr="00090BBE" w:rsidRDefault="00090BBE" w:rsidP="00090BBE">
            <w:pPr>
              <w:spacing w:after="0" w:line="240" w:lineRule="auto"/>
              <w:jc w:val="center"/>
              <w:rPr>
                <w:rFonts w:ascii="Times New Roman" w:eastAsia="Times New Roman" w:hAnsi="Times New Roman" w:cs="Times New Roman"/>
                <w:color w:val="000000"/>
                <w:sz w:val="20"/>
                <w:szCs w:val="20"/>
              </w:rPr>
            </w:pPr>
            <w:r w:rsidRPr="00090BBE">
              <w:rPr>
                <w:rFonts w:ascii="Times New Roman" w:eastAsia="Times New Roman" w:hAnsi="Times New Roman" w:cs="Times New Roman"/>
                <w:color w:val="000000"/>
                <w:sz w:val="20"/>
                <w:szCs w:val="20"/>
              </w:rPr>
              <w:t>-</w:t>
            </w:r>
          </w:p>
        </w:tc>
      </w:tr>
      <w:tr w:rsidR="00090BBE" w:rsidRPr="00090BBE" w14:paraId="11C29A1C" w14:textId="77777777" w:rsidTr="00090BBE">
        <w:trPr>
          <w:trHeight w:val="300"/>
        </w:trPr>
        <w:tc>
          <w:tcPr>
            <w:tcW w:w="2640" w:type="dxa"/>
            <w:gridSpan w:val="2"/>
            <w:tcBorders>
              <w:top w:val="nil"/>
              <w:left w:val="nil"/>
              <w:bottom w:val="nil"/>
              <w:right w:val="nil"/>
            </w:tcBorders>
            <w:shd w:val="clear" w:color="auto" w:fill="auto"/>
            <w:noWrap/>
            <w:vAlign w:val="bottom"/>
            <w:hideMark/>
          </w:tcPr>
          <w:p w14:paraId="411B4DB2"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proofErr w:type="spellStart"/>
            <w:proofErr w:type="gramStart"/>
            <w:r w:rsidRPr="00090BBE">
              <w:rPr>
                <w:rFonts w:ascii="Times New Roman" w:eastAsia="Times New Roman" w:hAnsi="Times New Roman" w:cs="Times New Roman"/>
                <w:color w:val="000000"/>
                <w:sz w:val="20"/>
                <w:szCs w:val="20"/>
              </w:rPr>
              <w:t>df</w:t>
            </w:r>
            <w:proofErr w:type="spellEnd"/>
            <w:proofErr w:type="gramEnd"/>
            <w:r w:rsidRPr="00090BBE">
              <w:rPr>
                <w:rFonts w:ascii="Times New Roman" w:eastAsia="Times New Roman" w:hAnsi="Times New Roman" w:cs="Times New Roman"/>
                <w:color w:val="000000"/>
                <w:sz w:val="20"/>
                <w:szCs w:val="20"/>
              </w:rPr>
              <w:t xml:space="preserve"> = 2, α = .05, sig of χ2 ≥ 5.99</w:t>
            </w:r>
          </w:p>
        </w:tc>
        <w:tc>
          <w:tcPr>
            <w:tcW w:w="920" w:type="dxa"/>
            <w:tcBorders>
              <w:top w:val="nil"/>
              <w:left w:val="nil"/>
              <w:bottom w:val="nil"/>
              <w:right w:val="nil"/>
            </w:tcBorders>
            <w:shd w:val="clear" w:color="auto" w:fill="auto"/>
            <w:noWrap/>
            <w:vAlign w:val="bottom"/>
            <w:hideMark/>
          </w:tcPr>
          <w:p w14:paraId="4F8076F6"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p>
        </w:tc>
        <w:tc>
          <w:tcPr>
            <w:tcW w:w="1260" w:type="dxa"/>
            <w:tcBorders>
              <w:top w:val="nil"/>
              <w:left w:val="nil"/>
              <w:bottom w:val="nil"/>
              <w:right w:val="nil"/>
            </w:tcBorders>
            <w:shd w:val="clear" w:color="auto" w:fill="auto"/>
            <w:noWrap/>
            <w:vAlign w:val="bottom"/>
            <w:hideMark/>
          </w:tcPr>
          <w:p w14:paraId="0E609848"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p>
        </w:tc>
        <w:tc>
          <w:tcPr>
            <w:tcW w:w="1320" w:type="dxa"/>
            <w:tcBorders>
              <w:top w:val="nil"/>
              <w:left w:val="nil"/>
              <w:bottom w:val="nil"/>
              <w:right w:val="nil"/>
            </w:tcBorders>
            <w:shd w:val="clear" w:color="auto" w:fill="auto"/>
            <w:noWrap/>
            <w:vAlign w:val="bottom"/>
            <w:hideMark/>
          </w:tcPr>
          <w:p w14:paraId="2ABEBEA0"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p>
        </w:tc>
        <w:tc>
          <w:tcPr>
            <w:tcW w:w="1180" w:type="dxa"/>
            <w:tcBorders>
              <w:top w:val="nil"/>
              <w:left w:val="nil"/>
              <w:bottom w:val="nil"/>
              <w:right w:val="nil"/>
            </w:tcBorders>
            <w:shd w:val="clear" w:color="auto" w:fill="auto"/>
            <w:noWrap/>
            <w:vAlign w:val="bottom"/>
            <w:hideMark/>
          </w:tcPr>
          <w:p w14:paraId="72A3CA00"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p>
        </w:tc>
        <w:tc>
          <w:tcPr>
            <w:tcW w:w="680" w:type="dxa"/>
            <w:tcBorders>
              <w:top w:val="nil"/>
              <w:left w:val="nil"/>
              <w:bottom w:val="nil"/>
              <w:right w:val="nil"/>
            </w:tcBorders>
            <w:shd w:val="clear" w:color="auto" w:fill="auto"/>
            <w:noWrap/>
            <w:vAlign w:val="bottom"/>
            <w:hideMark/>
          </w:tcPr>
          <w:p w14:paraId="108965F4"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p>
        </w:tc>
        <w:tc>
          <w:tcPr>
            <w:tcW w:w="600" w:type="dxa"/>
            <w:tcBorders>
              <w:top w:val="nil"/>
              <w:left w:val="nil"/>
              <w:bottom w:val="nil"/>
              <w:right w:val="nil"/>
            </w:tcBorders>
            <w:shd w:val="clear" w:color="auto" w:fill="auto"/>
            <w:noWrap/>
            <w:vAlign w:val="bottom"/>
            <w:hideMark/>
          </w:tcPr>
          <w:p w14:paraId="0218F02D" w14:textId="77777777" w:rsidR="00090BBE" w:rsidRPr="00090BBE" w:rsidRDefault="00090BBE" w:rsidP="00090BBE">
            <w:pPr>
              <w:spacing w:after="0" w:line="240" w:lineRule="auto"/>
              <w:rPr>
                <w:rFonts w:ascii="Times New Roman" w:eastAsia="Times New Roman" w:hAnsi="Times New Roman" w:cs="Times New Roman"/>
                <w:color w:val="000000"/>
                <w:sz w:val="20"/>
                <w:szCs w:val="20"/>
              </w:rPr>
            </w:pPr>
          </w:p>
        </w:tc>
      </w:tr>
    </w:tbl>
    <w:p w14:paraId="719EDAA5" w14:textId="77777777" w:rsidR="003F4633" w:rsidRDefault="003F4633" w:rsidP="003F4633">
      <w:pPr>
        <w:spacing w:line="240" w:lineRule="auto"/>
        <w:rPr>
          <w:rFonts w:ascii="Times New Roman" w:hAnsi="Times New Roman" w:cs="Times New Roman"/>
        </w:rPr>
      </w:pPr>
    </w:p>
    <w:p w14:paraId="6523BD7B" w14:textId="77777777" w:rsidR="00B22B75" w:rsidRDefault="00B22B75" w:rsidP="003F4633">
      <w:pPr>
        <w:spacing w:line="480" w:lineRule="auto"/>
        <w:rPr>
          <w:rFonts w:ascii="Times New Roman" w:hAnsi="Times New Roman" w:cs="Times New Roman"/>
          <w:sz w:val="24"/>
          <w:szCs w:val="24"/>
        </w:rPr>
      </w:pPr>
    </w:p>
    <w:p w14:paraId="320E7036" w14:textId="13F4EF5F" w:rsidR="003F4633" w:rsidRDefault="001F5232" w:rsidP="001F5232">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new predictive model for the Kisatchie National Forest</w:t>
      </w:r>
      <w:r w:rsidR="0062797C">
        <w:rPr>
          <w:rFonts w:ascii="Times New Roman" w:hAnsi="Times New Roman" w:cs="Times New Roman"/>
          <w:sz w:val="24"/>
          <w:szCs w:val="24"/>
        </w:rPr>
        <w:t xml:space="preserve"> consists of three highly statistically significant zones with appropriate gains associated with each</w:t>
      </w:r>
      <w:r w:rsidR="00CE1EF7">
        <w:rPr>
          <w:rFonts w:ascii="Times New Roman" w:hAnsi="Times New Roman" w:cs="Times New Roman"/>
          <w:sz w:val="24"/>
          <w:szCs w:val="24"/>
        </w:rPr>
        <w:t xml:space="preserve"> (Figures 6.1 to 6.5)</w:t>
      </w:r>
      <w:r w:rsidR="0062797C">
        <w:rPr>
          <w:rFonts w:ascii="Times New Roman" w:hAnsi="Times New Roman" w:cs="Times New Roman"/>
          <w:sz w:val="24"/>
          <w:szCs w:val="24"/>
        </w:rPr>
        <w:t xml:space="preserve">.  The model is defined by the formative variables of distance to frequently flooded soils and distance to permanent stream. </w:t>
      </w:r>
      <w:r w:rsidR="00B436A1">
        <w:rPr>
          <w:rFonts w:ascii="Times New Roman" w:hAnsi="Times New Roman" w:cs="Times New Roman"/>
          <w:sz w:val="24"/>
          <w:szCs w:val="24"/>
        </w:rPr>
        <w:t xml:space="preserve"> </w:t>
      </w:r>
      <w:r w:rsidR="0062797C">
        <w:rPr>
          <w:rFonts w:ascii="Times New Roman" w:hAnsi="Times New Roman" w:cs="Times New Roman"/>
          <w:sz w:val="24"/>
          <w:szCs w:val="24"/>
        </w:rPr>
        <w:t>The high probability</w:t>
      </w:r>
      <w:r w:rsidR="00B436A1">
        <w:rPr>
          <w:rFonts w:ascii="Times New Roman" w:hAnsi="Times New Roman" w:cs="Times New Roman"/>
          <w:sz w:val="24"/>
          <w:szCs w:val="24"/>
        </w:rPr>
        <w:t xml:space="preserve"> zone</w:t>
      </w:r>
      <w:r w:rsidR="0062797C">
        <w:rPr>
          <w:rFonts w:ascii="Times New Roman" w:hAnsi="Times New Roman" w:cs="Times New Roman"/>
          <w:sz w:val="24"/>
          <w:szCs w:val="24"/>
        </w:rPr>
        <w:t xml:space="preserve"> is defined as:</w:t>
      </w:r>
    </w:p>
    <w:p w14:paraId="6EF38654" w14:textId="45EBB1FD" w:rsidR="0062797C" w:rsidRDefault="0062797C" w:rsidP="0062797C">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Areas of non-frequently flooded soils located within 10</w:t>
      </w:r>
      <w:r w:rsidR="00CE1EF7">
        <w:rPr>
          <w:rFonts w:ascii="Times New Roman" w:hAnsi="Times New Roman" w:cs="Times New Roman"/>
          <w:sz w:val="24"/>
          <w:szCs w:val="24"/>
        </w:rPr>
        <w:t>0-m</w:t>
      </w:r>
      <w:r>
        <w:rPr>
          <w:rFonts w:ascii="Times New Roman" w:hAnsi="Times New Roman" w:cs="Times New Roman"/>
          <w:sz w:val="24"/>
          <w:szCs w:val="24"/>
        </w:rPr>
        <w:t>s of frequently flooded soils, as defined by the NRCS.</w:t>
      </w:r>
    </w:p>
    <w:p w14:paraId="0F7545FF" w14:textId="77777777" w:rsidR="0062797C" w:rsidRDefault="0062797C" w:rsidP="0062797C">
      <w:pPr>
        <w:spacing w:line="480" w:lineRule="auto"/>
        <w:rPr>
          <w:rFonts w:ascii="Times New Roman" w:hAnsi="Times New Roman" w:cs="Times New Roman"/>
          <w:sz w:val="24"/>
          <w:szCs w:val="24"/>
        </w:rPr>
      </w:pPr>
      <w:r>
        <w:rPr>
          <w:rFonts w:ascii="Times New Roman" w:hAnsi="Times New Roman" w:cs="Times New Roman"/>
          <w:sz w:val="24"/>
          <w:szCs w:val="24"/>
        </w:rPr>
        <w:t>The medium probability zone is defined as:</w:t>
      </w:r>
    </w:p>
    <w:p w14:paraId="210AF652" w14:textId="7D80B952" w:rsidR="0062797C" w:rsidRDefault="0062797C" w:rsidP="0062797C">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Areas of non-frequently flooded soils located within 10</w:t>
      </w:r>
      <w:r w:rsidR="00CE1EF7">
        <w:rPr>
          <w:rFonts w:ascii="Times New Roman" w:hAnsi="Times New Roman" w:cs="Times New Roman"/>
          <w:sz w:val="24"/>
          <w:szCs w:val="24"/>
        </w:rPr>
        <w:t>0-m</w:t>
      </w:r>
      <w:r>
        <w:rPr>
          <w:rFonts w:ascii="Times New Roman" w:hAnsi="Times New Roman" w:cs="Times New Roman"/>
          <w:sz w:val="24"/>
          <w:szCs w:val="24"/>
        </w:rPr>
        <w:t>s of the high probability zone.</w:t>
      </w:r>
    </w:p>
    <w:p w14:paraId="3C98617C" w14:textId="4F7C9566" w:rsidR="0062797C" w:rsidRDefault="0062797C" w:rsidP="0062797C">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Areas of frequently flooded soils located within 20</w:t>
      </w:r>
      <w:r w:rsidR="00CE1EF7">
        <w:rPr>
          <w:rFonts w:ascii="Times New Roman" w:hAnsi="Times New Roman" w:cs="Times New Roman"/>
          <w:sz w:val="24"/>
          <w:szCs w:val="24"/>
        </w:rPr>
        <w:t>0-m</w:t>
      </w:r>
      <w:r>
        <w:rPr>
          <w:rFonts w:ascii="Times New Roman" w:hAnsi="Times New Roman" w:cs="Times New Roman"/>
          <w:sz w:val="24"/>
          <w:szCs w:val="24"/>
        </w:rPr>
        <w:t>s of non-frequently flooded soils.</w:t>
      </w:r>
    </w:p>
    <w:p w14:paraId="3CE0A6A4" w14:textId="2D8DADA7" w:rsidR="0062797C" w:rsidRDefault="0062797C" w:rsidP="0062797C">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Areas on non-frequently flooded soils located within 30</w:t>
      </w:r>
      <w:r w:rsidR="00CE1EF7">
        <w:rPr>
          <w:rFonts w:ascii="Times New Roman" w:hAnsi="Times New Roman" w:cs="Times New Roman"/>
          <w:sz w:val="24"/>
          <w:szCs w:val="24"/>
        </w:rPr>
        <w:t>0-m</w:t>
      </w:r>
      <w:r>
        <w:rPr>
          <w:rFonts w:ascii="Times New Roman" w:hAnsi="Times New Roman" w:cs="Times New Roman"/>
          <w:sz w:val="24"/>
          <w:szCs w:val="24"/>
        </w:rPr>
        <w:t xml:space="preserve">s of permanent watercourses. </w:t>
      </w:r>
    </w:p>
    <w:p w14:paraId="1165BE31" w14:textId="77777777" w:rsidR="0062797C" w:rsidRDefault="0062797C" w:rsidP="0062797C">
      <w:pPr>
        <w:spacing w:line="480" w:lineRule="auto"/>
        <w:rPr>
          <w:rFonts w:ascii="Times New Roman" w:hAnsi="Times New Roman" w:cs="Times New Roman"/>
          <w:sz w:val="24"/>
          <w:szCs w:val="24"/>
        </w:rPr>
      </w:pPr>
      <w:r>
        <w:rPr>
          <w:rFonts w:ascii="Times New Roman" w:hAnsi="Times New Roman" w:cs="Times New Roman"/>
          <w:sz w:val="24"/>
          <w:szCs w:val="24"/>
        </w:rPr>
        <w:t>The low probab</w:t>
      </w:r>
      <w:r w:rsidR="00B436A1">
        <w:rPr>
          <w:rFonts w:ascii="Times New Roman" w:hAnsi="Times New Roman" w:cs="Times New Roman"/>
          <w:sz w:val="24"/>
          <w:szCs w:val="24"/>
        </w:rPr>
        <w:t>ility zone consists of all other areas</w:t>
      </w:r>
      <w:r>
        <w:rPr>
          <w:rFonts w:ascii="Times New Roman" w:hAnsi="Times New Roman" w:cs="Times New Roman"/>
          <w:sz w:val="24"/>
          <w:szCs w:val="24"/>
        </w:rPr>
        <w:t xml:space="preserve"> defined as:</w:t>
      </w:r>
    </w:p>
    <w:p w14:paraId="073E24C3" w14:textId="03CB67ED" w:rsidR="0062797C" w:rsidRDefault="0062797C" w:rsidP="0062797C">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Areas of non-frequently flooded soils located more than 20</w:t>
      </w:r>
      <w:r w:rsidR="00CE1EF7">
        <w:rPr>
          <w:rFonts w:ascii="Times New Roman" w:hAnsi="Times New Roman" w:cs="Times New Roman"/>
          <w:sz w:val="24"/>
          <w:szCs w:val="24"/>
        </w:rPr>
        <w:t>0-m</w:t>
      </w:r>
      <w:r>
        <w:rPr>
          <w:rFonts w:ascii="Times New Roman" w:hAnsi="Times New Roman" w:cs="Times New Roman"/>
          <w:sz w:val="24"/>
          <w:szCs w:val="24"/>
        </w:rPr>
        <w:t>s from frequently flooded areas.</w:t>
      </w:r>
    </w:p>
    <w:p w14:paraId="761500D6" w14:textId="20174F87" w:rsidR="0062797C" w:rsidRDefault="0062797C" w:rsidP="0062797C">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Areas of non-frequently flooded soils located more than 30</w:t>
      </w:r>
      <w:r w:rsidR="00CE1EF7">
        <w:rPr>
          <w:rFonts w:ascii="Times New Roman" w:hAnsi="Times New Roman" w:cs="Times New Roman"/>
          <w:sz w:val="24"/>
          <w:szCs w:val="24"/>
        </w:rPr>
        <w:t>0-m</w:t>
      </w:r>
      <w:r>
        <w:rPr>
          <w:rFonts w:ascii="Times New Roman" w:hAnsi="Times New Roman" w:cs="Times New Roman"/>
          <w:sz w:val="24"/>
          <w:szCs w:val="24"/>
        </w:rPr>
        <w:t>s from permanent watercourses.</w:t>
      </w:r>
    </w:p>
    <w:p w14:paraId="1ECE1432" w14:textId="359D53DD" w:rsidR="0062797C" w:rsidRDefault="0062797C" w:rsidP="0062797C">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Areas of frequently flooded soils located more than 20</w:t>
      </w:r>
      <w:r w:rsidR="00CE1EF7">
        <w:rPr>
          <w:rFonts w:ascii="Times New Roman" w:hAnsi="Times New Roman" w:cs="Times New Roman"/>
          <w:sz w:val="24"/>
          <w:szCs w:val="24"/>
        </w:rPr>
        <w:t>0-m</w:t>
      </w:r>
      <w:r>
        <w:rPr>
          <w:rFonts w:ascii="Times New Roman" w:hAnsi="Times New Roman" w:cs="Times New Roman"/>
          <w:sz w:val="24"/>
          <w:szCs w:val="24"/>
        </w:rPr>
        <w:t>s from non-frequently flooded soils.</w:t>
      </w:r>
    </w:p>
    <w:p w14:paraId="62E97EC7" w14:textId="77777777" w:rsidR="00062F87" w:rsidRPr="0062797C" w:rsidRDefault="00062F87" w:rsidP="00062F87">
      <w:pPr>
        <w:pStyle w:val="ListParagraph"/>
        <w:spacing w:line="480" w:lineRule="auto"/>
        <w:ind w:left="1080"/>
        <w:rPr>
          <w:rFonts w:ascii="Times New Roman" w:hAnsi="Times New Roman" w:cs="Times New Roman"/>
          <w:sz w:val="24"/>
          <w:szCs w:val="24"/>
        </w:rPr>
      </w:pPr>
    </w:p>
    <w:p w14:paraId="5E68F89B" w14:textId="77777777" w:rsidR="00062F87" w:rsidRDefault="00062F87" w:rsidP="00062F87">
      <w:pPr>
        <w:spacing w:line="480" w:lineRule="auto"/>
        <w:rPr>
          <w:rFonts w:ascii="Times New Roman" w:hAnsi="Times New Roman" w:cs="Times New Roman"/>
          <w:sz w:val="24"/>
          <w:szCs w:val="24"/>
        </w:rPr>
      </w:pPr>
    </w:p>
    <w:p w14:paraId="7C16306A" w14:textId="77777777" w:rsidR="008E12AA" w:rsidRDefault="00062F87" w:rsidP="00062F87">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4BBFAB" wp14:editId="0104EAFA">
            <wp:extent cx="5257800" cy="6804025"/>
            <wp:effectExtent l="19050" t="0" r="0" b="0"/>
            <wp:docPr id="1" name="Picture 0" descr="KNF_2011_PModel_Zones_Calcasi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2011_PModel_Zones_Calcasieu.jpg"/>
                    <pic:cNvPicPr/>
                  </pic:nvPicPr>
                  <pic:blipFill>
                    <a:blip r:embed="rId9" cstate="print"/>
                    <a:stretch>
                      <a:fillRect/>
                    </a:stretch>
                  </pic:blipFill>
                  <pic:spPr>
                    <a:xfrm>
                      <a:off x="0" y="0"/>
                      <a:ext cx="5257800" cy="6804025"/>
                    </a:xfrm>
                    <a:prstGeom prst="rect">
                      <a:avLst/>
                    </a:prstGeom>
                  </pic:spPr>
                </pic:pic>
              </a:graphicData>
            </a:graphic>
          </wp:inline>
        </w:drawing>
      </w:r>
    </w:p>
    <w:p w14:paraId="7A4C581A" w14:textId="44D7F543" w:rsidR="00351BCE" w:rsidRDefault="00351BCE" w:rsidP="008E12AA">
      <w:pPr>
        <w:spacing w:line="240" w:lineRule="auto"/>
        <w:rPr>
          <w:rFonts w:ascii="Times New Roman" w:hAnsi="Times New Roman" w:cs="Times New Roman"/>
        </w:rPr>
      </w:pPr>
      <w:r w:rsidRPr="008E12AA">
        <w:rPr>
          <w:rFonts w:ascii="Times New Roman" w:hAnsi="Times New Roman" w:cs="Times New Roman"/>
          <w:b/>
        </w:rPr>
        <w:t>Figure 6.1</w:t>
      </w:r>
      <w:r w:rsidR="008E12AA" w:rsidRPr="008E12AA">
        <w:rPr>
          <w:rFonts w:ascii="Times New Roman" w:hAnsi="Times New Roman" w:cs="Times New Roman"/>
          <w:b/>
        </w:rPr>
        <w:t>.</w:t>
      </w:r>
      <w:r w:rsidR="008E12AA" w:rsidRPr="008E12AA">
        <w:rPr>
          <w:rFonts w:ascii="Times New Roman" w:hAnsi="Times New Roman" w:cs="Times New Roman"/>
        </w:rPr>
        <w:t xml:space="preserve">  </w:t>
      </w:r>
      <w:proofErr w:type="gramStart"/>
      <w:r w:rsidR="008D6B20">
        <w:rPr>
          <w:rFonts w:ascii="Times New Roman" w:hAnsi="Times New Roman" w:cs="Times New Roman"/>
        </w:rPr>
        <w:t xml:space="preserve">The proposed </w:t>
      </w:r>
      <w:r w:rsidR="008E12AA" w:rsidRPr="008E12AA">
        <w:rPr>
          <w:rFonts w:ascii="Times New Roman" w:hAnsi="Times New Roman" w:cs="Times New Roman"/>
        </w:rPr>
        <w:t>2011 Kisatchie Na</w:t>
      </w:r>
      <w:r w:rsidR="008D6B20">
        <w:rPr>
          <w:rFonts w:ascii="Times New Roman" w:hAnsi="Times New Roman" w:cs="Times New Roman"/>
        </w:rPr>
        <w:t>tional Forest predictive model p</w:t>
      </w:r>
      <w:r w:rsidR="008E12AA" w:rsidRPr="008E12AA">
        <w:rPr>
          <w:rFonts w:ascii="Times New Roman" w:hAnsi="Times New Roman" w:cs="Times New Roman"/>
        </w:rPr>
        <w:t>robability Zones for the Calcasieu District.</w:t>
      </w:r>
      <w:proofErr w:type="gramEnd"/>
    </w:p>
    <w:p w14:paraId="5DDCD88D" w14:textId="77777777" w:rsidR="00062F87" w:rsidRDefault="00062F87" w:rsidP="008E12AA">
      <w:pPr>
        <w:spacing w:line="240" w:lineRule="auto"/>
        <w:rPr>
          <w:rFonts w:ascii="Times New Roman" w:hAnsi="Times New Roman" w:cs="Times New Roman"/>
        </w:rPr>
      </w:pPr>
    </w:p>
    <w:p w14:paraId="7C6C83D8" w14:textId="77777777" w:rsidR="00062F87" w:rsidRDefault="00062F87" w:rsidP="008E12AA">
      <w:pPr>
        <w:spacing w:line="240" w:lineRule="auto"/>
        <w:rPr>
          <w:rFonts w:ascii="Times New Roman" w:hAnsi="Times New Roman" w:cs="Times New Roman"/>
        </w:rPr>
      </w:pPr>
    </w:p>
    <w:p w14:paraId="3E7A5C18" w14:textId="77777777" w:rsidR="00062F87" w:rsidRDefault="00062F87" w:rsidP="008E12AA">
      <w:pPr>
        <w:spacing w:line="240" w:lineRule="auto"/>
        <w:rPr>
          <w:rFonts w:ascii="Times New Roman" w:hAnsi="Times New Roman" w:cs="Times New Roman"/>
        </w:rPr>
      </w:pPr>
    </w:p>
    <w:p w14:paraId="772BE812" w14:textId="77777777" w:rsidR="00062F87" w:rsidRDefault="00062F87" w:rsidP="008E12AA">
      <w:pPr>
        <w:spacing w:line="240" w:lineRule="auto"/>
        <w:rPr>
          <w:rFonts w:ascii="Times New Roman" w:hAnsi="Times New Roman" w:cs="Times New Roman"/>
        </w:rPr>
      </w:pPr>
      <w:r>
        <w:rPr>
          <w:rFonts w:ascii="Times New Roman" w:hAnsi="Times New Roman" w:cs="Times New Roman"/>
          <w:noProof/>
        </w:rPr>
        <w:drawing>
          <wp:inline distT="0" distB="0" distL="0" distR="0" wp14:anchorId="34B72302" wp14:editId="70C6C151">
            <wp:extent cx="5257800" cy="6804025"/>
            <wp:effectExtent l="19050" t="0" r="0" b="0"/>
            <wp:docPr id="2" name="Picture 1" descr="KNF_2011_PModel_Zones_Can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2011_PModel_Zones_Caney.jpg"/>
                    <pic:cNvPicPr/>
                  </pic:nvPicPr>
                  <pic:blipFill>
                    <a:blip r:embed="rId10" cstate="print"/>
                    <a:stretch>
                      <a:fillRect/>
                    </a:stretch>
                  </pic:blipFill>
                  <pic:spPr>
                    <a:xfrm>
                      <a:off x="0" y="0"/>
                      <a:ext cx="5257800" cy="6804025"/>
                    </a:xfrm>
                    <a:prstGeom prst="rect">
                      <a:avLst/>
                    </a:prstGeom>
                  </pic:spPr>
                </pic:pic>
              </a:graphicData>
            </a:graphic>
          </wp:inline>
        </w:drawing>
      </w:r>
    </w:p>
    <w:p w14:paraId="6A72F532" w14:textId="052D0985" w:rsidR="00062F87" w:rsidRPr="008E12AA" w:rsidRDefault="00062F87" w:rsidP="00062F87">
      <w:pPr>
        <w:spacing w:line="240" w:lineRule="auto"/>
        <w:rPr>
          <w:rFonts w:ascii="Times New Roman" w:hAnsi="Times New Roman" w:cs="Times New Roman"/>
        </w:rPr>
      </w:pPr>
      <w:r w:rsidRPr="008E12AA">
        <w:rPr>
          <w:rFonts w:ascii="Times New Roman" w:hAnsi="Times New Roman" w:cs="Times New Roman"/>
          <w:b/>
        </w:rPr>
        <w:t>Figure 6.</w:t>
      </w:r>
      <w:r>
        <w:rPr>
          <w:rFonts w:ascii="Times New Roman" w:hAnsi="Times New Roman" w:cs="Times New Roman"/>
          <w:b/>
        </w:rPr>
        <w:t>2</w:t>
      </w:r>
      <w:r w:rsidRPr="008E12AA">
        <w:rPr>
          <w:rFonts w:ascii="Times New Roman" w:hAnsi="Times New Roman" w:cs="Times New Roman"/>
          <w:b/>
        </w:rPr>
        <w:t>.</w:t>
      </w:r>
      <w:r w:rsidRPr="008E12AA">
        <w:rPr>
          <w:rFonts w:ascii="Times New Roman" w:hAnsi="Times New Roman" w:cs="Times New Roman"/>
        </w:rPr>
        <w:t xml:space="preserve">  </w:t>
      </w:r>
      <w:proofErr w:type="gramStart"/>
      <w:r w:rsidR="008D6B20">
        <w:rPr>
          <w:rFonts w:ascii="Times New Roman" w:hAnsi="Times New Roman" w:cs="Times New Roman"/>
        </w:rPr>
        <w:t>The proposed 2011 Kisatchie National Forest predictive model probability z</w:t>
      </w:r>
      <w:r w:rsidRPr="008E12AA">
        <w:rPr>
          <w:rFonts w:ascii="Times New Roman" w:hAnsi="Times New Roman" w:cs="Times New Roman"/>
        </w:rPr>
        <w:t xml:space="preserve">ones for the </w:t>
      </w:r>
      <w:r>
        <w:rPr>
          <w:rFonts w:ascii="Times New Roman" w:hAnsi="Times New Roman" w:cs="Times New Roman"/>
        </w:rPr>
        <w:t>Caney</w:t>
      </w:r>
      <w:r w:rsidRPr="008E12AA">
        <w:rPr>
          <w:rFonts w:ascii="Times New Roman" w:hAnsi="Times New Roman" w:cs="Times New Roman"/>
        </w:rPr>
        <w:t xml:space="preserve"> District.</w:t>
      </w:r>
      <w:proofErr w:type="gramEnd"/>
    </w:p>
    <w:p w14:paraId="57356657" w14:textId="77777777" w:rsidR="00062F87" w:rsidRDefault="00062F87" w:rsidP="008E12AA">
      <w:pPr>
        <w:spacing w:line="240" w:lineRule="auto"/>
        <w:rPr>
          <w:rFonts w:ascii="Times New Roman" w:hAnsi="Times New Roman" w:cs="Times New Roman"/>
        </w:rPr>
      </w:pPr>
    </w:p>
    <w:p w14:paraId="4B21CC32" w14:textId="77777777" w:rsidR="00062F87" w:rsidRDefault="00062F87" w:rsidP="008E12AA">
      <w:pPr>
        <w:spacing w:line="240" w:lineRule="auto"/>
        <w:rPr>
          <w:rFonts w:ascii="Times New Roman" w:hAnsi="Times New Roman" w:cs="Times New Roman"/>
        </w:rPr>
      </w:pPr>
    </w:p>
    <w:p w14:paraId="6AA384B6" w14:textId="77777777" w:rsidR="00062F87" w:rsidRDefault="00062F87" w:rsidP="008E12AA">
      <w:pPr>
        <w:spacing w:line="240" w:lineRule="auto"/>
        <w:rPr>
          <w:rFonts w:ascii="Times New Roman" w:hAnsi="Times New Roman" w:cs="Times New Roman"/>
        </w:rPr>
      </w:pPr>
      <w:r>
        <w:rPr>
          <w:rFonts w:ascii="Times New Roman" w:hAnsi="Times New Roman" w:cs="Times New Roman"/>
          <w:noProof/>
        </w:rPr>
        <w:drawing>
          <wp:inline distT="0" distB="0" distL="0" distR="0" wp14:anchorId="13F3319C" wp14:editId="73C2DC33">
            <wp:extent cx="5257800" cy="6804025"/>
            <wp:effectExtent l="19050" t="0" r="0" b="0"/>
            <wp:docPr id="3" name="Picture 2" descr="KNF_2011_PModel_Zones_Cataho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2011_PModel_Zones_Catahoula.jpg"/>
                    <pic:cNvPicPr/>
                  </pic:nvPicPr>
                  <pic:blipFill>
                    <a:blip r:embed="rId11" cstate="print"/>
                    <a:stretch>
                      <a:fillRect/>
                    </a:stretch>
                  </pic:blipFill>
                  <pic:spPr>
                    <a:xfrm>
                      <a:off x="0" y="0"/>
                      <a:ext cx="5257800" cy="6804025"/>
                    </a:xfrm>
                    <a:prstGeom prst="rect">
                      <a:avLst/>
                    </a:prstGeom>
                  </pic:spPr>
                </pic:pic>
              </a:graphicData>
            </a:graphic>
          </wp:inline>
        </w:drawing>
      </w:r>
    </w:p>
    <w:p w14:paraId="1E271F33" w14:textId="262EF7CB" w:rsidR="00062F87" w:rsidRDefault="00062F87" w:rsidP="00062F87">
      <w:pPr>
        <w:spacing w:line="240" w:lineRule="auto"/>
        <w:rPr>
          <w:rFonts w:ascii="Times New Roman" w:hAnsi="Times New Roman" w:cs="Times New Roman"/>
        </w:rPr>
      </w:pPr>
      <w:r w:rsidRPr="008E12AA">
        <w:rPr>
          <w:rFonts w:ascii="Times New Roman" w:hAnsi="Times New Roman" w:cs="Times New Roman"/>
          <w:b/>
        </w:rPr>
        <w:t>Figure 6.</w:t>
      </w:r>
      <w:r>
        <w:rPr>
          <w:rFonts w:ascii="Times New Roman" w:hAnsi="Times New Roman" w:cs="Times New Roman"/>
          <w:b/>
        </w:rPr>
        <w:t>3</w:t>
      </w:r>
      <w:r w:rsidRPr="008E12AA">
        <w:rPr>
          <w:rFonts w:ascii="Times New Roman" w:hAnsi="Times New Roman" w:cs="Times New Roman"/>
          <w:b/>
        </w:rPr>
        <w:t>.</w:t>
      </w:r>
      <w:r w:rsidRPr="008E12AA">
        <w:rPr>
          <w:rFonts w:ascii="Times New Roman" w:hAnsi="Times New Roman" w:cs="Times New Roman"/>
        </w:rPr>
        <w:t xml:space="preserve">  </w:t>
      </w:r>
      <w:proofErr w:type="gramStart"/>
      <w:r w:rsidR="008D6B20">
        <w:rPr>
          <w:rFonts w:ascii="Times New Roman" w:hAnsi="Times New Roman" w:cs="Times New Roman"/>
        </w:rPr>
        <w:t xml:space="preserve">The proposed </w:t>
      </w:r>
      <w:r w:rsidRPr="008E12AA">
        <w:rPr>
          <w:rFonts w:ascii="Times New Roman" w:hAnsi="Times New Roman" w:cs="Times New Roman"/>
        </w:rPr>
        <w:t xml:space="preserve">2011 Kisatchie National </w:t>
      </w:r>
      <w:r w:rsidR="008D6B20">
        <w:rPr>
          <w:rFonts w:ascii="Times New Roman" w:hAnsi="Times New Roman" w:cs="Times New Roman"/>
        </w:rPr>
        <w:t>Forest predictive model probability z</w:t>
      </w:r>
      <w:r w:rsidRPr="008E12AA">
        <w:rPr>
          <w:rFonts w:ascii="Times New Roman" w:hAnsi="Times New Roman" w:cs="Times New Roman"/>
        </w:rPr>
        <w:t>ones for the Ca</w:t>
      </w:r>
      <w:r>
        <w:rPr>
          <w:rFonts w:ascii="Times New Roman" w:hAnsi="Times New Roman" w:cs="Times New Roman"/>
        </w:rPr>
        <w:t>tahoula</w:t>
      </w:r>
      <w:r w:rsidRPr="008E12AA">
        <w:rPr>
          <w:rFonts w:ascii="Times New Roman" w:hAnsi="Times New Roman" w:cs="Times New Roman"/>
        </w:rPr>
        <w:t xml:space="preserve"> District.</w:t>
      </w:r>
      <w:proofErr w:type="gramEnd"/>
    </w:p>
    <w:p w14:paraId="5DE49C46" w14:textId="77777777" w:rsidR="00062F87" w:rsidRDefault="00062F87" w:rsidP="00062F87">
      <w:pPr>
        <w:spacing w:line="240" w:lineRule="auto"/>
        <w:rPr>
          <w:rFonts w:ascii="Times New Roman" w:hAnsi="Times New Roman" w:cs="Times New Roman"/>
        </w:rPr>
      </w:pPr>
    </w:p>
    <w:p w14:paraId="264C24D7" w14:textId="77777777" w:rsidR="00062F87" w:rsidRDefault="00062F87" w:rsidP="00062F87">
      <w:pPr>
        <w:spacing w:line="240" w:lineRule="auto"/>
        <w:rPr>
          <w:rFonts w:ascii="Times New Roman" w:hAnsi="Times New Roman" w:cs="Times New Roman"/>
        </w:rPr>
      </w:pPr>
    </w:p>
    <w:p w14:paraId="522E05CD" w14:textId="77777777" w:rsidR="00062F87" w:rsidRDefault="00062F87" w:rsidP="00062F87">
      <w:pPr>
        <w:spacing w:line="240" w:lineRule="auto"/>
        <w:rPr>
          <w:rFonts w:ascii="Times New Roman" w:hAnsi="Times New Roman" w:cs="Times New Roman"/>
        </w:rPr>
      </w:pPr>
    </w:p>
    <w:p w14:paraId="4AA15E11" w14:textId="77777777" w:rsidR="00062F87" w:rsidRDefault="00062F87" w:rsidP="00062F87">
      <w:pPr>
        <w:spacing w:line="240" w:lineRule="auto"/>
        <w:rPr>
          <w:rFonts w:ascii="Times New Roman" w:hAnsi="Times New Roman" w:cs="Times New Roman"/>
        </w:rPr>
      </w:pPr>
      <w:r>
        <w:rPr>
          <w:rFonts w:ascii="Times New Roman" w:hAnsi="Times New Roman" w:cs="Times New Roman"/>
          <w:noProof/>
        </w:rPr>
        <w:drawing>
          <wp:inline distT="0" distB="0" distL="0" distR="0" wp14:anchorId="15868904" wp14:editId="654314ED">
            <wp:extent cx="5257800" cy="6804025"/>
            <wp:effectExtent l="19050" t="0" r="0" b="0"/>
            <wp:docPr id="4" name="Picture 3" descr="KNF_2011_PModel_Zones_Kisatch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2011_PModel_Zones_Kisatchie.jpg"/>
                    <pic:cNvPicPr/>
                  </pic:nvPicPr>
                  <pic:blipFill>
                    <a:blip r:embed="rId12" cstate="print"/>
                    <a:stretch>
                      <a:fillRect/>
                    </a:stretch>
                  </pic:blipFill>
                  <pic:spPr>
                    <a:xfrm>
                      <a:off x="0" y="0"/>
                      <a:ext cx="5257800" cy="6804025"/>
                    </a:xfrm>
                    <a:prstGeom prst="rect">
                      <a:avLst/>
                    </a:prstGeom>
                  </pic:spPr>
                </pic:pic>
              </a:graphicData>
            </a:graphic>
          </wp:inline>
        </w:drawing>
      </w:r>
    </w:p>
    <w:p w14:paraId="2BA28ECA" w14:textId="3E24DC8B" w:rsidR="00062F87" w:rsidRDefault="00062F87" w:rsidP="00062F87">
      <w:pPr>
        <w:spacing w:line="240" w:lineRule="auto"/>
        <w:rPr>
          <w:rFonts w:ascii="Times New Roman" w:hAnsi="Times New Roman" w:cs="Times New Roman"/>
        </w:rPr>
      </w:pPr>
      <w:r w:rsidRPr="008E12AA">
        <w:rPr>
          <w:rFonts w:ascii="Times New Roman" w:hAnsi="Times New Roman" w:cs="Times New Roman"/>
          <w:b/>
        </w:rPr>
        <w:t>Figure 6.</w:t>
      </w:r>
      <w:r>
        <w:rPr>
          <w:rFonts w:ascii="Times New Roman" w:hAnsi="Times New Roman" w:cs="Times New Roman"/>
          <w:b/>
        </w:rPr>
        <w:t>4</w:t>
      </w:r>
      <w:r w:rsidRPr="008E12AA">
        <w:rPr>
          <w:rFonts w:ascii="Times New Roman" w:hAnsi="Times New Roman" w:cs="Times New Roman"/>
          <w:b/>
        </w:rPr>
        <w:t>.</w:t>
      </w:r>
      <w:r w:rsidRPr="008E12AA">
        <w:rPr>
          <w:rFonts w:ascii="Times New Roman" w:hAnsi="Times New Roman" w:cs="Times New Roman"/>
        </w:rPr>
        <w:t xml:space="preserve">  </w:t>
      </w:r>
      <w:proofErr w:type="gramStart"/>
      <w:r w:rsidR="008D6B20">
        <w:rPr>
          <w:rFonts w:ascii="Times New Roman" w:hAnsi="Times New Roman" w:cs="Times New Roman"/>
        </w:rPr>
        <w:t>The proposed 2011 Kisatchie National Forest predictive model probability z</w:t>
      </w:r>
      <w:r w:rsidRPr="008E12AA">
        <w:rPr>
          <w:rFonts w:ascii="Times New Roman" w:hAnsi="Times New Roman" w:cs="Times New Roman"/>
        </w:rPr>
        <w:t xml:space="preserve">ones for the </w:t>
      </w:r>
      <w:r>
        <w:rPr>
          <w:rFonts w:ascii="Times New Roman" w:hAnsi="Times New Roman" w:cs="Times New Roman"/>
        </w:rPr>
        <w:t>Kisatchie</w:t>
      </w:r>
      <w:r w:rsidRPr="008E12AA">
        <w:rPr>
          <w:rFonts w:ascii="Times New Roman" w:hAnsi="Times New Roman" w:cs="Times New Roman"/>
        </w:rPr>
        <w:t xml:space="preserve"> District.</w:t>
      </w:r>
      <w:proofErr w:type="gramEnd"/>
    </w:p>
    <w:p w14:paraId="164CA258" w14:textId="77777777" w:rsidR="00062F87" w:rsidRDefault="00062F87" w:rsidP="00062F87">
      <w:pPr>
        <w:spacing w:line="240" w:lineRule="auto"/>
        <w:rPr>
          <w:rFonts w:ascii="Times New Roman" w:hAnsi="Times New Roman" w:cs="Times New Roman"/>
        </w:rPr>
      </w:pPr>
    </w:p>
    <w:p w14:paraId="14FCBDF9" w14:textId="77777777" w:rsidR="00062F87" w:rsidRDefault="00062F87" w:rsidP="00062F87">
      <w:pPr>
        <w:spacing w:line="240" w:lineRule="auto"/>
        <w:rPr>
          <w:rFonts w:ascii="Times New Roman" w:hAnsi="Times New Roman" w:cs="Times New Roman"/>
        </w:rPr>
      </w:pPr>
    </w:p>
    <w:p w14:paraId="3F10AF2E" w14:textId="77777777" w:rsidR="00062F87" w:rsidRDefault="00062F87" w:rsidP="00062F87">
      <w:pPr>
        <w:spacing w:line="240" w:lineRule="auto"/>
        <w:rPr>
          <w:rFonts w:ascii="Times New Roman" w:hAnsi="Times New Roman" w:cs="Times New Roman"/>
        </w:rPr>
      </w:pPr>
    </w:p>
    <w:p w14:paraId="7E1D5A9D" w14:textId="77777777" w:rsidR="00062F87" w:rsidRDefault="00062F87" w:rsidP="00062F87">
      <w:pPr>
        <w:spacing w:line="240" w:lineRule="auto"/>
        <w:rPr>
          <w:rFonts w:ascii="Times New Roman" w:hAnsi="Times New Roman" w:cs="Times New Roman"/>
        </w:rPr>
      </w:pPr>
      <w:r>
        <w:rPr>
          <w:rFonts w:ascii="Times New Roman" w:hAnsi="Times New Roman" w:cs="Times New Roman"/>
          <w:noProof/>
        </w:rPr>
        <w:drawing>
          <wp:inline distT="0" distB="0" distL="0" distR="0" wp14:anchorId="5986A3F5" wp14:editId="1D4CE25F">
            <wp:extent cx="5257800" cy="6804025"/>
            <wp:effectExtent l="19050" t="0" r="0" b="0"/>
            <wp:docPr id="5" name="Picture 4" descr="KNF_2011_PModel_Zones_Wi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2011_PModel_Zones_Winn.jpg"/>
                    <pic:cNvPicPr/>
                  </pic:nvPicPr>
                  <pic:blipFill>
                    <a:blip r:embed="rId13" cstate="print"/>
                    <a:stretch>
                      <a:fillRect/>
                    </a:stretch>
                  </pic:blipFill>
                  <pic:spPr>
                    <a:xfrm>
                      <a:off x="0" y="0"/>
                      <a:ext cx="5257800" cy="6804025"/>
                    </a:xfrm>
                    <a:prstGeom prst="rect">
                      <a:avLst/>
                    </a:prstGeom>
                  </pic:spPr>
                </pic:pic>
              </a:graphicData>
            </a:graphic>
          </wp:inline>
        </w:drawing>
      </w:r>
    </w:p>
    <w:p w14:paraId="472A303F" w14:textId="69F747F1" w:rsidR="00062F87" w:rsidRPr="008E12AA" w:rsidRDefault="00062F87" w:rsidP="00062F87">
      <w:pPr>
        <w:spacing w:line="240" w:lineRule="auto"/>
        <w:rPr>
          <w:rFonts w:ascii="Times New Roman" w:hAnsi="Times New Roman" w:cs="Times New Roman"/>
        </w:rPr>
      </w:pPr>
      <w:r w:rsidRPr="008E12AA">
        <w:rPr>
          <w:rFonts w:ascii="Times New Roman" w:hAnsi="Times New Roman" w:cs="Times New Roman"/>
          <w:b/>
        </w:rPr>
        <w:t>Figure 6.</w:t>
      </w:r>
      <w:r>
        <w:rPr>
          <w:rFonts w:ascii="Times New Roman" w:hAnsi="Times New Roman" w:cs="Times New Roman"/>
          <w:b/>
        </w:rPr>
        <w:t>5</w:t>
      </w:r>
      <w:r w:rsidRPr="008E12AA">
        <w:rPr>
          <w:rFonts w:ascii="Times New Roman" w:hAnsi="Times New Roman" w:cs="Times New Roman"/>
          <w:b/>
        </w:rPr>
        <w:t>.</w:t>
      </w:r>
      <w:r w:rsidRPr="008E12AA">
        <w:rPr>
          <w:rFonts w:ascii="Times New Roman" w:hAnsi="Times New Roman" w:cs="Times New Roman"/>
        </w:rPr>
        <w:t xml:space="preserve">  </w:t>
      </w:r>
      <w:proofErr w:type="gramStart"/>
      <w:r w:rsidR="008D6B20">
        <w:rPr>
          <w:rFonts w:ascii="Times New Roman" w:hAnsi="Times New Roman" w:cs="Times New Roman"/>
        </w:rPr>
        <w:t>The proposed 2011 Kisatchie National Forest predictive model p</w:t>
      </w:r>
      <w:r w:rsidRPr="008E12AA">
        <w:rPr>
          <w:rFonts w:ascii="Times New Roman" w:hAnsi="Times New Roman" w:cs="Times New Roman"/>
        </w:rPr>
        <w:t>robabil</w:t>
      </w:r>
      <w:r w:rsidR="008D6B20">
        <w:rPr>
          <w:rFonts w:ascii="Times New Roman" w:hAnsi="Times New Roman" w:cs="Times New Roman"/>
        </w:rPr>
        <w:t>ity z</w:t>
      </w:r>
      <w:r w:rsidRPr="008E12AA">
        <w:rPr>
          <w:rFonts w:ascii="Times New Roman" w:hAnsi="Times New Roman" w:cs="Times New Roman"/>
        </w:rPr>
        <w:t xml:space="preserve">ones for the </w:t>
      </w:r>
      <w:r>
        <w:rPr>
          <w:rFonts w:ascii="Times New Roman" w:hAnsi="Times New Roman" w:cs="Times New Roman"/>
        </w:rPr>
        <w:t>Winn</w:t>
      </w:r>
      <w:r w:rsidRPr="008E12AA">
        <w:rPr>
          <w:rFonts w:ascii="Times New Roman" w:hAnsi="Times New Roman" w:cs="Times New Roman"/>
        </w:rPr>
        <w:t xml:space="preserve"> District.</w:t>
      </w:r>
      <w:proofErr w:type="gramEnd"/>
    </w:p>
    <w:p w14:paraId="3889BA6D" w14:textId="77777777" w:rsidR="00062F87" w:rsidRDefault="00062F87" w:rsidP="00062F87">
      <w:pPr>
        <w:spacing w:line="240" w:lineRule="auto"/>
        <w:rPr>
          <w:rFonts w:ascii="Times New Roman" w:hAnsi="Times New Roman" w:cs="Times New Roman"/>
        </w:rPr>
      </w:pPr>
    </w:p>
    <w:p w14:paraId="039DFE27" w14:textId="77777777" w:rsidR="005A6662" w:rsidRPr="008E12AA" w:rsidRDefault="005A6662" w:rsidP="00062F87">
      <w:pPr>
        <w:spacing w:line="240" w:lineRule="auto"/>
        <w:rPr>
          <w:rFonts w:ascii="Times New Roman" w:hAnsi="Times New Roman" w:cs="Times New Roman"/>
        </w:rPr>
      </w:pPr>
    </w:p>
    <w:p w14:paraId="16C1C3C3" w14:textId="77777777" w:rsidR="00FF7E1C" w:rsidRPr="00752DF9" w:rsidRDefault="001F5232" w:rsidP="00CE1EF7">
      <w:pPr>
        <w:spacing w:line="480" w:lineRule="auto"/>
        <w:jc w:val="center"/>
        <w:outlineLvl w:val="0"/>
        <w:rPr>
          <w:rFonts w:ascii="Times New Roman" w:hAnsi="Times New Roman" w:cs="Times New Roman"/>
          <w:b/>
          <w:i/>
          <w:sz w:val="24"/>
          <w:szCs w:val="24"/>
        </w:rPr>
      </w:pPr>
      <w:r w:rsidRPr="00752DF9">
        <w:rPr>
          <w:rFonts w:ascii="Times New Roman" w:hAnsi="Times New Roman" w:cs="Times New Roman"/>
          <w:b/>
          <w:i/>
          <w:sz w:val="24"/>
          <w:szCs w:val="24"/>
        </w:rPr>
        <w:lastRenderedPageBreak/>
        <w:t>Conclusions</w:t>
      </w:r>
      <w:r w:rsidR="00AC30DA">
        <w:rPr>
          <w:rFonts w:ascii="Times New Roman" w:hAnsi="Times New Roman" w:cs="Times New Roman"/>
          <w:b/>
          <w:i/>
          <w:sz w:val="24"/>
          <w:szCs w:val="24"/>
        </w:rPr>
        <w:t xml:space="preserve"> and Recommendations</w:t>
      </w:r>
    </w:p>
    <w:p w14:paraId="227FD35A" w14:textId="77777777" w:rsidR="005C14EC" w:rsidRDefault="005C14EC" w:rsidP="004F59DD">
      <w:pPr>
        <w:spacing w:line="480" w:lineRule="auto"/>
        <w:rPr>
          <w:rFonts w:ascii="Times New Roman" w:hAnsi="Times New Roman" w:cs="Times New Roman"/>
          <w:sz w:val="24"/>
          <w:szCs w:val="24"/>
        </w:rPr>
      </w:pPr>
    </w:p>
    <w:p w14:paraId="1CDBF06D" w14:textId="3C96EA4D" w:rsidR="00C607E4" w:rsidRDefault="008C6AF5" w:rsidP="00C607E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newly developed </w:t>
      </w:r>
      <w:r w:rsidR="00935EE6">
        <w:rPr>
          <w:rFonts w:ascii="Times New Roman" w:hAnsi="Times New Roman" w:cs="Times New Roman"/>
          <w:sz w:val="24"/>
          <w:szCs w:val="24"/>
        </w:rPr>
        <w:t xml:space="preserve">and proposed </w:t>
      </w:r>
      <w:r w:rsidR="00035E5C">
        <w:rPr>
          <w:rFonts w:ascii="Times New Roman" w:hAnsi="Times New Roman" w:cs="Times New Roman"/>
          <w:sz w:val="24"/>
          <w:szCs w:val="24"/>
        </w:rPr>
        <w:t xml:space="preserve">2011 Kisatchie National Forest predictive </w:t>
      </w:r>
      <w:r>
        <w:rPr>
          <w:rFonts w:ascii="Times New Roman" w:hAnsi="Times New Roman" w:cs="Times New Roman"/>
          <w:sz w:val="24"/>
          <w:szCs w:val="24"/>
        </w:rPr>
        <w:t xml:space="preserve">model shares many of the same environmental variables as the </w:t>
      </w:r>
      <w:r w:rsidR="00035E5C">
        <w:rPr>
          <w:rFonts w:ascii="Times New Roman" w:hAnsi="Times New Roman" w:cs="Times New Roman"/>
          <w:sz w:val="24"/>
          <w:szCs w:val="24"/>
        </w:rPr>
        <w:t>active US Forest Service Model (1995 FPPM)</w:t>
      </w:r>
      <w:r>
        <w:rPr>
          <w:rFonts w:ascii="Times New Roman" w:hAnsi="Times New Roman" w:cs="Times New Roman"/>
          <w:sz w:val="24"/>
          <w:szCs w:val="24"/>
        </w:rPr>
        <w:t xml:space="preserve"> it is recommended to replace.  These variables are shared as they are the most appropriate </w:t>
      </w:r>
      <w:r w:rsidR="00CA60C2">
        <w:rPr>
          <w:rFonts w:ascii="Times New Roman" w:hAnsi="Times New Roman" w:cs="Times New Roman"/>
          <w:sz w:val="24"/>
          <w:szCs w:val="24"/>
        </w:rPr>
        <w:t>within the region</w:t>
      </w:r>
      <w:r w:rsidR="008969F7">
        <w:rPr>
          <w:rFonts w:ascii="Times New Roman" w:hAnsi="Times New Roman" w:cs="Times New Roman"/>
          <w:sz w:val="24"/>
          <w:szCs w:val="24"/>
        </w:rPr>
        <w:t xml:space="preserve"> and represent</w:t>
      </w:r>
      <w:r w:rsidR="0026187D">
        <w:rPr>
          <w:rFonts w:ascii="Times New Roman" w:hAnsi="Times New Roman" w:cs="Times New Roman"/>
          <w:sz w:val="24"/>
          <w:szCs w:val="24"/>
        </w:rPr>
        <w:t xml:space="preserve"> </w:t>
      </w:r>
      <w:r>
        <w:rPr>
          <w:rFonts w:ascii="Times New Roman" w:hAnsi="Times New Roman" w:cs="Times New Roman"/>
          <w:sz w:val="24"/>
          <w:szCs w:val="24"/>
        </w:rPr>
        <w:t>area</w:t>
      </w:r>
      <w:r w:rsidR="00843D66">
        <w:rPr>
          <w:rFonts w:ascii="Times New Roman" w:hAnsi="Times New Roman" w:cs="Times New Roman"/>
          <w:sz w:val="24"/>
          <w:szCs w:val="24"/>
        </w:rPr>
        <w:t>s of varying resource offerings</w:t>
      </w:r>
      <w:r w:rsidR="0026187D">
        <w:rPr>
          <w:rFonts w:ascii="Times New Roman" w:hAnsi="Times New Roman" w:cs="Times New Roman"/>
          <w:sz w:val="24"/>
          <w:szCs w:val="24"/>
        </w:rPr>
        <w:t xml:space="preserve">, </w:t>
      </w:r>
      <w:r w:rsidR="008969F7">
        <w:rPr>
          <w:rFonts w:ascii="Times New Roman" w:hAnsi="Times New Roman" w:cs="Times New Roman"/>
          <w:sz w:val="24"/>
          <w:szCs w:val="24"/>
        </w:rPr>
        <w:t>as well as being</w:t>
      </w:r>
      <w:r w:rsidR="0026187D">
        <w:rPr>
          <w:rFonts w:ascii="Times New Roman" w:hAnsi="Times New Roman" w:cs="Times New Roman"/>
          <w:sz w:val="24"/>
          <w:szCs w:val="24"/>
        </w:rPr>
        <w:t xml:space="preserve"> easily operationalized in the field</w:t>
      </w:r>
      <w:r>
        <w:rPr>
          <w:rFonts w:ascii="Times New Roman" w:hAnsi="Times New Roman" w:cs="Times New Roman"/>
          <w:sz w:val="24"/>
          <w:szCs w:val="24"/>
        </w:rPr>
        <w:t>.</w:t>
      </w:r>
      <w:r w:rsidR="00B436A1">
        <w:rPr>
          <w:rFonts w:ascii="Times New Roman" w:hAnsi="Times New Roman" w:cs="Times New Roman"/>
          <w:sz w:val="24"/>
          <w:szCs w:val="24"/>
        </w:rPr>
        <w:t xml:space="preserve"> </w:t>
      </w:r>
      <w:r>
        <w:rPr>
          <w:rFonts w:ascii="Times New Roman" w:hAnsi="Times New Roman" w:cs="Times New Roman"/>
          <w:sz w:val="24"/>
          <w:szCs w:val="24"/>
        </w:rPr>
        <w:t xml:space="preserve"> </w:t>
      </w:r>
      <w:r w:rsidR="001C1BAD">
        <w:rPr>
          <w:rFonts w:ascii="Times New Roman" w:hAnsi="Times New Roman" w:cs="Times New Roman"/>
          <w:sz w:val="24"/>
          <w:szCs w:val="24"/>
        </w:rPr>
        <w:t>The different strategies employed in the formation of each zone separate the models and produce varying levels of effectiveness</w:t>
      </w:r>
      <w:r w:rsidR="001C1BAD" w:rsidRPr="00BE4319">
        <w:rPr>
          <w:rFonts w:ascii="Times New Roman" w:hAnsi="Times New Roman" w:cs="Times New Roman"/>
          <w:sz w:val="24"/>
          <w:szCs w:val="24"/>
        </w:rPr>
        <w:t xml:space="preserve">.  The </w:t>
      </w:r>
      <w:r w:rsidR="00935EE6">
        <w:rPr>
          <w:rFonts w:ascii="Times New Roman" w:hAnsi="Times New Roman" w:cs="Times New Roman"/>
          <w:sz w:val="24"/>
          <w:szCs w:val="24"/>
        </w:rPr>
        <w:t>proposed</w:t>
      </w:r>
      <w:r w:rsidR="001C1BAD" w:rsidRPr="00BE4319">
        <w:rPr>
          <w:rFonts w:ascii="Times New Roman" w:hAnsi="Times New Roman" w:cs="Times New Roman"/>
          <w:sz w:val="24"/>
          <w:szCs w:val="24"/>
        </w:rPr>
        <w:t xml:space="preserve"> predictive model developed within this thesis has the advantage of being designed with consideration</w:t>
      </w:r>
      <w:r w:rsidR="00BE4319" w:rsidRPr="00BE4319">
        <w:rPr>
          <w:rFonts w:ascii="Times New Roman" w:hAnsi="Times New Roman" w:cs="Times New Roman"/>
          <w:sz w:val="24"/>
          <w:szCs w:val="24"/>
        </w:rPr>
        <w:t xml:space="preserve"> </w:t>
      </w:r>
      <w:r w:rsidR="000B1052" w:rsidRPr="00BE4319">
        <w:rPr>
          <w:rFonts w:ascii="Times New Roman" w:hAnsi="Times New Roman" w:cs="Times New Roman"/>
          <w:sz w:val="24"/>
          <w:szCs w:val="24"/>
        </w:rPr>
        <w:t>allotted</w:t>
      </w:r>
      <w:r w:rsidR="001C1BAD" w:rsidRPr="00BE4319">
        <w:rPr>
          <w:rFonts w:ascii="Times New Roman" w:hAnsi="Times New Roman" w:cs="Times New Roman"/>
          <w:sz w:val="24"/>
          <w:szCs w:val="24"/>
        </w:rPr>
        <w:t xml:space="preserve"> for the larger region while </w:t>
      </w:r>
      <w:r w:rsidR="00BE4319" w:rsidRPr="00BE4319">
        <w:rPr>
          <w:rFonts w:ascii="Times New Roman" w:hAnsi="Times New Roman" w:cs="Times New Roman"/>
          <w:sz w:val="24"/>
          <w:szCs w:val="24"/>
        </w:rPr>
        <w:t>also testing the model with</w:t>
      </w:r>
      <w:r w:rsidR="001C1BAD" w:rsidRPr="00BE4319">
        <w:rPr>
          <w:rFonts w:ascii="Times New Roman" w:hAnsi="Times New Roman" w:cs="Times New Roman"/>
          <w:sz w:val="24"/>
          <w:szCs w:val="24"/>
        </w:rPr>
        <w:t xml:space="preserve"> </w:t>
      </w:r>
      <w:r w:rsidR="00BE4319" w:rsidRPr="00BE4319">
        <w:rPr>
          <w:rFonts w:ascii="Times New Roman" w:hAnsi="Times New Roman" w:cs="Times New Roman"/>
          <w:sz w:val="24"/>
          <w:szCs w:val="24"/>
        </w:rPr>
        <w:t>the same</w:t>
      </w:r>
      <w:r w:rsidR="001C1BAD" w:rsidRPr="00BE4319">
        <w:rPr>
          <w:rFonts w:ascii="Times New Roman" w:hAnsi="Times New Roman" w:cs="Times New Roman"/>
          <w:sz w:val="24"/>
          <w:szCs w:val="24"/>
        </w:rPr>
        <w:t xml:space="preserve"> dataset </w:t>
      </w:r>
      <w:r w:rsidR="00BE4319" w:rsidRPr="00BE4319">
        <w:rPr>
          <w:rFonts w:ascii="Times New Roman" w:hAnsi="Times New Roman" w:cs="Times New Roman"/>
          <w:sz w:val="24"/>
          <w:szCs w:val="24"/>
        </w:rPr>
        <w:t>used in its construction</w:t>
      </w:r>
      <w:r w:rsidR="001C1BAD" w:rsidRPr="00BE4319">
        <w:rPr>
          <w:rFonts w:ascii="Times New Roman" w:hAnsi="Times New Roman" w:cs="Times New Roman"/>
          <w:sz w:val="24"/>
          <w:szCs w:val="24"/>
        </w:rPr>
        <w:t>.</w:t>
      </w:r>
      <w:r w:rsidR="004B35C8" w:rsidRPr="00BE4319">
        <w:rPr>
          <w:rFonts w:ascii="Times New Roman" w:hAnsi="Times New Roman" w:cs="Times New Roman"/>
          <w:sz w:val="24"/>
          <w:szCs w:val="24"/>
        </w:rPr>
        <w:t xml:space="preserve">  </w:t>
      </w:r>
      <w:r w:rsidR="008B7CC7" w:rsidRPr="00BE4319">
        <w:rPr>
          <w:rFonts w:ascii="Times New Roman" w:hAnsi="Times New Roman" w:cs="Times New Roman"/>
          <w:sz w:val="24"/>
          <w:szCs w:val="24"/>
        </w:rPr>
        <w:t xml:space="preserve">Several distinct differences were noted between the </w:t>
      </w:r>
      <w:r w:rsidR="008969F7" w:rsidRPr="00BE4319">
        <w:rPr>
          <w:rFonts w:ascii="Times New Roman" w:hAnsi="Times New Roman" w:cs="Times New Roman"/>
          <w:sz w:val="24"/>
          <w:szCs w:val="24"/>
        </w:rPr>
        <w:t xml:space="preserve">1995 and </w:t>
      </w:r>
      <w:r w:rsidR="00035E5C">
        <w:rPr>
          <w:rFonts w:ascii="Times New Roman" w:hAnsi="Times New Roman" w:cs="Times New Roman"/>
          <w:sz w:val="24"/>
          <w:szCs w:val="24"/>
        </w:rPr>
        <w:t xml:space="preserve">the </w:t>
      </w:r>
      <w:r w:rsidR="008969F7" w:rsidRPr="00BE4319">
        <w:rPr>
          <w:rFonts w:ascii="Times New Roman" w:hAnsi="Times New Roman" w:cs="Times New Roman"/>
          <w:sz w:val="24"/>
          <w:szCs w:val="24"/>
        </w:rPr>
        <w:t xml:space="preserve">newly </w:t>
      </w:r>
      <w:r w:rsidR="00035E5C">
        <w:rPr>
          <w:rFonts w:ascii="Times New Roman" w:hAnsi="Times New Roman" w:cs="Times New Roman"/>
          <w:sz w:val="24"/>
          <w:szCs w:val="24"/>
        </w:rPr>
        <w:t>proposed 2011 Kisatchie National Forest predictive</w:t>
      </w:r>
      <w:r w:rsidR="008969F7" w:rsidRPr="00BE4319">
        <w:rPr>
          <w:rFonts w:ascii="Times New Roman" w:hAnsi="Times New Roman" w:cs="Times New Roman"/>
          <w:sz w:val="24"/>
          <w:szCs w:val="24"/>
        </w:rPr>
        <w:t xml:space="preserve"> model</w:t>
      </w:r>
      <w:r w:rsidR="008969F7">
        <w:rPr>
          <w:rFonts w:ascii="Times New Roman" w:hAnsi="Times New Roman" w:cs="Times New Roman"/>
          <w:sz w:val="24"/>
          <w:szCs w:val="24"/>
        </w:rPr>
        <w:t xml:space="preserve"> </w:t>
      </w:r>
      <w:r w:rsidR="008B7CC7">
        <w:rPr>
          <w:rFonts w:ascii="Times New Roman" w:hAnsi="Times New Roman" w:cs="Times New Roman"/>
          <w:sz w:val="24"/>
          <w:szCs w:val="24"/>
        </w:rPr>
        <w:t>with the coverage area differences between the high and medium zones most apparent.  The differing gain statistics suggest that the new model more efficiently and effectively captures a greater number of archaeological sites relative to the</w:t>
      </w:r>
      <w:r w:rsidR="00BE4319">
        <w:rPr>
          <w:rFonts w:ascii="Times New Roman" w:hAnsi="Times New Roman" w:cs="Times New Roman"/>
          <w:sz w:val="24"/>
          <w:szCs w:val="24"/>
        </w:rPr>
        <w:t xml:space="preserve"> total study</w:t>
      </w:r>
      <w:r w:rsidR="008B7CC7">
        <w:rPr>
          <w:rFonts w:ascii="Times New Roman" w:hAnsi="Times New Roman" w:cs="Times New Roman"/>
          <w:sz w:val="24"/>
          <w:szCs w:val="24"/>
        </w:rPr>
        <w:t xml:space="preserve"> area.  </w:t>
      </w:r>
    </w:p>
    <w:p w14:paraId="3CA33913" w14:textId="4996F70F" w:rsidR="005C14EC" w:rsidRDefault="00FC4F02" w:rsidP="002E181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Geographically, the </w:t>
      </w:r>
      <w:r w:rsidR="00035E5C">
        <w:rPr>
          <w:rFonts w:ascii="Times New Roman" w:hAnsi="Times New Roman" w:cs="Times New Roman"/>
          <w:sz w:val="24"/>
          <w:szCs w:val="24"/>
        </w:rPr>
        <w:t>proposed 2011 Kisatchie National Forest predictive</w:t>
      </w:r>
      <w:r>
        <w:rPr>
          <w:rFonts w:ascii="Times New Roman" w:hAnsi="Times New Roman" w:cs="Times New Roman"/>
          <w:sz w:val="24"/>
          <w:szCs w:val="24"/>
        </w:rPr>
        <w:t xml:space="preserve"> model appears to control for environmental and topographic variation more effectively as </w:t>
      </w:r>
      <w:r w:rsidR="00035E5C">
        <w:rPr>
          <w:rFonts w:ascii="Times New Roman" w:hAnsi="Times New Roman" w:cs="Times New Roman"/>
          <w:sz w:val="24"/>
          <w:szCs w:val="24"/>
        </w:rPr>
        <w:t>it</w:t>
      </w:r>
      <w:r>
        <w:rPr>
          <w:rFonts w:ascii="Times New Roman" w:hAnsi="Times New Roman" w:cs="Times New Roman"/>
          <w:sz w:val="24"/>
          <w:szCs w:val="24"/>
        </w:rPr>
        <w:t xml:space="preserve"> </w:t>
      </w:r>
      <w:r w:rsidR="00CC0232">
        <w:rPr>
          <w:rFonts w:ascii="Times New Roman" w:hAnsi="Times New Roman" w:cs="Times New Roman"/>
          <w:sz w:val="24"/>
          <w:szCs w:val="24"/>
        </w:rPr>
        <w:t xml:space="preserve">markedly </w:t>
      </w:r>
      <w:r>
        <w:rPr>
          <w:rFonts w:ascii="Times New Roman" w:hAnsi="Times New Roman" w:cs="Times New Roman"/>
          <w:sz w:val="24"/>
          <w:szCs w:val="24"/>
        </w:rPr>
        <w:t>outperforms the active U.S. Forest Service Model</w:t>
      </w:r>
      <w:r w:rsidR="00E03803">
        <w:rPr>
          <w:rFonts w:ascii="Times New Roman" w:hAnsi="Times New Roman" w:cs="Times New Roman"/>
          <w:sz w:val="24"/>
          <w:szCs w:val="24"/>
        </w:rPr>
        <w:t xml:space="preserve"> (1995 FPPM)</w:t>
      </w:r>
      <w:r>
        <w:rPr>
          <w:rFonts w:ascii="Times New Roman" w:hAnsi="Times New Roman" w:cs="Times New Roman"/>
          <w:sz w:val="24"/>
          <w:szCs w:val="24"/>
        </w:rPr>
        <w:t xml:space="preserve"> in both the Caney </w:t>
      </w:r>
      <w:r w:rsidR="000D79F9">
        <w:rPr>
          <w:rFonts w:ascii="Times New Roman" w:hAnsi="Times New Roman" w:cs="Times New Roman"/>
          <w:sz w:val="24"/>
          <w:szCs w:val="24"/>
        </w:rPr>
        <w:t xml:space="preserve">District </w:t>
      </w:r>
      <w:r>
        <w:rPr>
          <w:rFonts w:ascii="Times New Roman" w:hAnsi="Times New Roman" w:cs="Times New Roman"/>
          <w:sz w:val="24"/>
          <w:szCs w:val="24"/>
        </w:rPr>
        <w:t xml:space="preserve">and central cluster </w:t>
      </w:r>
      <w:r w:rsidR="000D79F9">
        <w:rPr>
          <w:rFonts w:ascii="Times New Roman" w:hAnsi="Times New Roman" w:cs="Times New Roman"/>
          <w:sz w:val="24"/>
          <w:szCs w:val="24"/>
        </w:rPr>
        <w:t>of ranger districts</w:t>
      </w:r>
      <w:r w:rsidR="00BE7AF6">
        <w:rPr>
          <w:rFonts w:ascii="Times New Roman" w:hAnsi="Times New Roman" w:cs="Times New Roman"/>
          <w:sz w:val="24"/>
          <w:szCs w:val="24"/>
        </w:rPr>
        <w:t xml:space="preserve">.  </w:t>
      </w:r>
      <w:r w:rsidR="00BE4319">
        <w:rPr>
          <w:rFonts w:ascii="Times New Roman" w:hAnsi="Times New Roman" w:cs="Times New Roman"/>
          <w:sz w:val="24"/>
          <w:szCs w:val="24"/>
        </w:rPr>
        <w:t xml:space="preserve">The increased model performance within the Caney District negates the need for separate </w:t>
      </w:r>
      <w:r w:rsidR="00BE4319">
        <w:rPr>
          <w:rFonts w:ascii="Times New Roman" w:hAnsi="Times New Roman" w:cs="Times New Roman"/>
          <w:sz w:val="24"/>
          <w:szCs w:val="24"/>
        </w:rPr>
        <w:lastRenderedPageBreak/>
        <w:t>models for the Caney District and the clumped ranger districts encompassed within the central cluster area.</w:t>
      </w:r>
      <w:r w:rsidR="00CE1EF7">
        <w:rPr>
          <w:rFonts w:ascii="Times New Roman" w:hAnsi="Times New Roman" w:cs="Times New Roman"/>
          <w:sz w:val="24"/>
          <w:szCs w:val="24"/>
        </w:rPr>
        <w:t xml:space="preserve"> </w:t>
      </w:r>
    </w:p>
    <w:p w14:paraId="5CD15F93" w14:textId="3F90D8B6" w:rsidR="00F53B1A" w:rsidRDefault="00E608F5" w:rsidP="00E608F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the </w:t>
      </w:r>
      <w:r w:rsidR="00035E5C">
        <w:rPr>
          <w:rFonts w:ascii="Times New Roman" w:hAnsi="Times New Roman" w:cs="Times New Roman"/>
          <w:sz w:val="24"/>
          <w:szCs w:val="24"/>
        </w:rPr>
        <w:t xml:space="preserve">proposed 2011 Kisatchie National Forest predictive </w:t>
      </w:r>
      <w:r>
        <w:rPr>
          <w:rFonts w:ascii="Times New Roman" w:hAnsi="Times New Roman" w:cs="Times New Roman"/>
          <w:sz w:val="24"/>
          <w:szCs w:val="24"/>
        </w:rPr>
        <w:t xml:space="preserve">model zones </w:t>
      </w:r>
      <w:r w:rsidR="007A340A">
        <w:rPr>
          <w:rFonts w:ascii="Times New Roman" w:hAnsi="Times New Roman" w:cs="Times New Roman"/>
          <w:sz w:val="24"/>
          <w:szCs w:val="24"/>
        </w:rPr>
        <w:t xml:space="preserve">may </w:t>
      </w:r>
      <w:r>
        <w:rPr>
          <w:rFonts w:ascii="Times New Roman" w:hAnsi="Times New Roman" w:cs="Times New Roman"/>
          <w:sz w:val="24"/>
          <w:szCs w:val="24"/>
        </w:rPr>
        <w:t xml:space="preserve">not </w:t>
      </w:r>
      <w:r w:rsidR="007A340A">
        <w:rPr>
          <w:rFonts w:ascii="Times New Roman" w:hAnsi="Times New Roman" w:cs="Times New Roman"/>
          <w:sz w:val="24"/>
          <w:szCs w:val="24"/>
        </w:rPr>
        <w:t xml:space="preserve">be </w:t>
      </w:r>
      <w:r>
        <w:rPr>
          <w:rFonts w:ascii="Times New Roman" w:hAnsi="Times New Roman" w:cs="Times New Roman"/>
          <w:sz w:val="24"/>
          <w:szCs w:val="24"/>
        </w:rPr>
        <w:t>completely obvious in the field—for instance, determining the boundary between frequently and non-frequently flooded soils</w:t>
      </w:r>
      <w:r w:rsidR="002E181A">
        <w:rPr>
          <w:rFonts w:ascii="Times New Roman" w:hAnsi="Times New Roman" w:cs="Times New Roman"/>
          <w:sz w:val="24"/>
          <w:szCs w:val="24"/>
        </w:rPr>
        <w:t xml:space="preserve"> may prove challenging</w:t>
      </w:r>
      <w:r>
        <w:rPr>
          <w:rFonts w:ascii="Times New Roman" w:hAnsi="Times New Roman" w:cs="Times New Roman"/>
          <w:sz w:val="24"/>
          <w:szCs w:val="24"/>
        </w:rPr>
        <w:t xml:space="preserve">—it </w:t>
      </w:r>
      <w:r w:rsidR="007A340A">
        <w:rPr>
          <w:rFonts w:ascii="Times New Roman" w:hAnsi="Times New Roman" w:cs="Times New Roman"/>
          <w:sz w:val="24"/>
          <w:szCs w:val="24"/>
        </w:rPr>
        <w:t xml:space="preserve">will be </w:t>
      </w:r>
      <w:r>
        <w:rPr>
          <w:rFonts w:ascii="Times New Roman" w:hAnsi="Times New Roman" w:cs="Times New Roman"/>
          <w:sz w:val="24"/>
          <w:szCs w:val="24"/>
        </w:rPr>
        <w:t>simpler to implement than a model that produces very segmented probability zones in a completely unpredictable fashion</w:t>
      </w:r>
      <w:r w:rsidR="00CE1EF7">
        <w:rPr>
          <w:rFonts w:ascii="Times New Roman" w:hAnsi="Times New Roman" w:cs="Times New Roman"/>
          <w:sz w:val="24"/>
          <w:szCs w:val="24"/>
        </w:rPr>
        <w:t xml:space="preserve"> (e.g. 2010 FPPM, Perez and Bundy 2011)</w:t>
      </w:r>
      <w:r>
        <w:rPr>
          <w:rFonts w:ascii="Times New Roman" w:hAnsi="Times New Roman" w:cs="Times New Roman"/>
          <w:sz w:val="24"/>
          <w:szCs w:val="24"/>
        </w:rPr>
        <w:t xml:space="preserve">. </w:t>
      </w:r>
      <w:r w:rsidR="00CE633F">
        <w:rPr>
          <w:rFonts w:ascii="Times New Roman" w:hAnsi="Times New Roman" w:cs="Times New Roman"/>
          <w:sz w:val="24"/>
          <w:szCs w:val="24"/>
        </w:rPr>
        <w:t xml:space="preserve"> </w:t>
      </w:r>
      <w:r>
        <w:rPr>
          <w:rFonts w:ascii="Times New Roman" w:hAnsi="Times New Roman" w:cs="Times New Roman"/>
          <w:sz w:val="24"/>
          <w:szCs w:val="24"/>
        </w:rPr>
        <w:t>While the adoption of modern technology (i.e. p</w:t>
      </w:r>
      <w:r w:rsidRPr="004C7F33">
        <w:rPr>
          <w:rFonts w:ascii="Times New Roman" w:hAnsi="Times New Roman" w:cs="Times New Roman"/>
          <w:sz w:val="24"/>
          <w:szCs w:val="24"/>
        </w:rPr>
        <w:t xml:space="preserve">recise in-field GPS devices with GIS capabilities) is becoming more ubiquitous within the field of archaeology, planning transects with tiered sampling intervals proves more complex and prone for in-field error </w:t>
      </w:r>
      <w:r w:rsidR="004C7F33" w:rsidRPr="004C7F33">
        <w:rPr>
          <w:rFonts w:ascii="Times New Roman" w:hAnsi="Times New Roman" w:cs="Times New Roman"/>
          <w:sz w:val="24"/>
          <w:szCs w:val="24"/>
        </w:rPr>
        <w:t xml:space="preserve">for instances when a </w:t>
      </w:r>
      <w:r w:rsidR="004C7F33">
        <w:rPr>
          <w:rFonts w:ascii="Times New Roman" w:hAnsi="Times New Roman" w:cs="Times New Roman"/>
          <w:sz w:val="24"/>
          <w:szCs w:val="24"/>
        </w:rPr>
        <w:t xml:space="preserve">predictable </w:t>
      </w:r>
      <w:r w:rsidR="004C7F33" w:rsidRPr="004C7F33">
        <w:rPr>
          <w:rFonts w:ascii="Times New Roman" w:hAnsi="Times New Roman" w:cs="Times New Roman"/>
          <w:sz w:val="24"/>
          <w:szCs w:val="24"/>
        </w:rPr>
        <w:t>buffer</w:t>
      </w:r>
      <w:r w:rsidR="004C7F33">
        <w:rPr>
          <w:rFonts w:ascii="Times New Roman" w:hAnsi="Times New Roman" w:cs="Times New Roman"/>
          <w:sz w:val="24"/>
          <w:szCs w:val="24"/>
        </w:rPr>
        <w:t>-</w:t>
      </w:r>
      <w:r w:rsidR="004C7F33" w:rsidRPr="004C7F33">
        <w:rPr>
          <w:rFonts w:ascii="Times New Roman" w:hAnsi="Times New Roman" w:cs="Times New Roman"/>
          <w:sz w:val="24"/>
          <w:szCs w:val="24"/>
        </w:rPr>
        <w:t>type of zone is not followed.</w:t>
      </w:r>
    </w:p>
    <w:p w14:paraId="42B4FA34" w14:textId="77777777" w:rsidR="00CB5758" w:rsidRDefault="00CB5758" w:rsidP="00CB575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2011 Kisatchie National Forest predictive model significantly outperforms both the active U.S. Forest Service Model (1995 FPPM) as well the recently developed 2010 FPPM (Tables 6.9 to 6.12). Gain statistics illustrate the effectiveness of each model. Since the 2010 FPPM probability zones were only generated over a small area and are difficult to replicate over larger areas, data from this study area were used to evaluate both the 1995 and 2010 Fort Polk predictive models (see Perez and Bundy 2011:253, Table 14.3 for values as used)(Tables 6.9 to 6.11). The utility of the Kisatchie National Forest predictive model was demonstrated over the entire Calcasieu ranger district study area, which includes portions of Fort Polk (Table 6.12). As the 2010 FPPM contains only two zones, the high and medium zones were combined for the 1995 FPPM and the proposed 2011 Kisatchie National Forest predictive model to render the results comparable.  Examining the gain </w:t>
      </w:r>
      <w:r>
        <w:rPr>
          <w:rFonts w:ascii="Times New Roman" w:hAnsi="Times New Roman" w:cs="Times New Roman"/>
          <w:sz w:val="24"/>
          <w:szCs w:val="24"/>
        </w:rPr>
        <w:lastRenderedPageBreak/>
        <w:t>statistics as well as the areas and numbers of sites in each zone, the best performance is clearly by the proposed 2011 Kisatchie National Forest predictive model. Interestingly, the gain statistics also indicate that the 1995 FPPM also outperforms the 2010 FPPM, although not as much as the 2011 Kisatchie National Forest predictive</w:t>
      </w:r>
      <w:r w:rsidRPr="000662E8">
        <w:rPr>
          <w:rFonts w:ascii="Times New Roman" w:hAnsi="Times New Roman" w:cs="Times New Roman"/>
          <w:sz w:val="24"/>
          <w:szCs w:val="24"/>
        </w:rPr>
        <w:t xml:space="preserve"> model </w:t>
      </w:r>
      <w:r>
        <w:rPr>
          <w:rFonts w:ascii="Times New Roman" w:hAnsi="Times New Roman" w:cs="Times New Roman"/>
          <w:sz w:val="24"/>
          <w:szCs w:val="24"/>
        </w:rPr>
        <w:t>(Tables 6.9 to 6.12)</w:t>
      </w:r>
      <w:r w:rsidRPr="000662E8">
        <w:rPr>
          <w:rFonts w:ascii="Times New Roman" w:hAnsi="Times New Roman" w:cs="Times New Roman"/>
          <w:sz w:val="24"/>
          <w:szCs w:val="24"/>
        </w:rPr>
        <w:t>.</w:t>
      </w:r>
      <w:r>
        <w:rPr>
          <w:rFonts w:ascii="Times New Roman" w:hAnsi="Times New Roman" w:cs="Times New Roman"/>
          <w:sz w:val="24"/>
          <w:szCs w:val="24"/>
        </w:rPr>
        <w:t xml:space="preserve"> </w:t>
      </w:r>
    </w:p>
    <w:p w14:paraId="67B9126E" w14:textId="77777777" w:rsidR="00E148F7" w:rsidRDefault="00E148F7" w:rsidP="00E148F7">
      <w:pPr>
        <w:spacing w:line="480" w:lineRule="auto"/>
        <w:rPr>
          <w:rFonts w:ascii="Times New Roman" w:hAnsi="Times New Roman" w:cs="Times New Roman"/>
          <w:sz w:val="24"/>
          <w:szCs w:val="24"/>
        </w:rPr>
      </w:pPr>
    </w:p>
    <w:p w14:paraId="3635F3B8" w14:textId="2D4F9B9F" w:rsidR="00E148F7" w:rsidRDefault="00E148F7" w:rsidP="00E148F7">
      <w:pPr>
        <w:spacing w:line="240" w:lineRule="auto"/>
        <w:rPr>
          <w:rFonts w:ascii="Times New Roman" w:hAnsi="Times New Roman" w:cs="Times New Roman"/>
        </w:rPr>
      </w:pPr>
      <w:r w:rsidRPr="00007D2A">
        <w:rPr>
          <w:rFonts w:ascii="Times New Roman" w:hAnsi="Times New Roman" w:cs="Times New Roman"/>
          <w:b/>
        </w:rPr>
        <w:t>Table 6.</w:t>
      </w:r>
      <w:r>
        <w:rPr>
          <w:rFonts w:ascii="Times New Roman" w:hAnsi="Times New Roman" w:cs="Times New Roman"/>
          <w:b/>
        </w:rPr>
        <w:t>9</w:t>
      </w:r>
      <w:r w:rsidRPr="00007D2A">
        <w:rPr>
          <w:rFonts w:ascii="Times New Roman" w:hAnsi="Times New Roman" w:cs="Times New Roman"/>
          <w:b/>
        </w:rPr>
        <w:t>.</w:t>
      </w:r>
      <w:r w:rsidRPr="00007D2A">
        <w:rPr>
          <w:rFonts w:ascii="Times New Roman" w:hAnsi="Times New Roman" w:cs="Times New Roman"/>
        </w:rPr>
        <w:t xml:space="preserve">  </w:t>
      </w:r>
      <w:r>
        <w:rPr>
          <w:rFonts w:ascii="Times New Roman" w:hAnsi="Times New Roman" w:cs="Times New Roman"/>
        </w:rPr>
        <w:t>Test Statistics for the High (includes Medium) and Low Probability Zones of the 1995 Fort Po</w:t>
      </w:r>
      <w:r w:rsidR="00F25CD5">
        <w:rPr>
          <w:rFonts w:ascii="Times New Roman" w:hAnsi="Times New Roman" w:cs="Times New Roman"/>
        </w:rPr>
        <w:t>lk Predictive Model for the 2010</w:t>
      </w:r>
      <w:r>
        <w:rPr>
          <w:rFonts w:ascii="Times New Roman" w:hAnsi="Times New Roman" w:cs="Times New Roman"/>
        </w:rPr>
        <w:t xml:space="preserve"> FPPM Study Area Including All Sites</w:t>
      </w:r>
      <w:r w:rsidR="00F568D1">
        <w:rPr>
          <w:rFonts w:ascii="Times New Roman" w:hAnsi="Times New Roman" w:cs="Times New Roman"/>
        </w:rPr>
        <w:t>.</w:t>
      </w:r>
    </w:p>
    <w:tbl>
      <w:tblPr>
        <w:tblW w:w="8860" w:type="dxa"/>
        <w:tblInd w:w="93" w:type="dxa"/>
        <w:tblLook w:val="04A0" w:firstRow="1" w:lastRow="0" w:firstColumn="1" w:lastColumn="0" w:noHBand="0" w:noVBand="1"/>
      </w:tblPr>
      <w:tblGrid>
        <w:gridCol w:w="1760"/>
        <w:gridCol w:w="1220"/>
        <w:gridCol w:w="880"/>
        <w:gridCol w:w="1060"/>
        <w:gridCol w:w="1060"/>
        <w:gridCol w:w="1060"/>
        <w:gridCol w:w="900"/>
        <w:gridCol w:w="920"/>
      </w:tblGrid>
      <w:tr w:rsidR="00F568D1" w:rsidRPr="00F568D1" w14:paraId="3FBB2E5E" w14:textId="77777777" w:rsidTr="00F568D1">
        <w:trPr>
          <w:trHeight w:val="280"/>
        </w:trPr>
        <w:tc>
          <w:tcPr>
            <w:tcW w:w="1760" w:type="dxa"/>
            <w:tcBorders>
              <w:top w:val="single" w:sz="4" w:space="0" w:color="auto"/>
              <w:left w:val="nil"/>
              <w:bottom w:val="single" w:sz="4" w:space="0" w:color="auto"/>
              <w:right w:val="nil"/>
            </w:tcBorders>
            <w:shd w:val="clear" w:color="auto" w:fill="auto"/>
            <w:noWrap/>
            <w:vAlign w:val="bottom"/>
            <w:hideMark/>
          </w:tcPr>
          <w:p w14:paraId="52DF3612" w14:textId="77777777" w:rsidR="00F568D1" w:rsidRPr="00F568D1" w:rsidRDefault="00F568D1" w:rsidP="00F568D1">
            <w:pPr>
              <w:spacing w:after="0" w:line="240" w:lineRule="auto"/>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Probability Zone</w:t>
            </w:r>
          </w:p>
        </w:tc>
        <w:tc>
          <w:tcPr>
            <w:tcW w:w="1220" w:type="dxa"/>
            <w:tcBorders>
              <w:top w:val="single" w:sz="4" w:space="0" w:color="auto"/>
              <w:left w:val="nil"/>
              <w:bottom w:val="single" w:sz="4" w:space="0" w:color="auto"/>
              <w:right w:val="nil"/>
            </w:tcBorders>
            <w:shd w:val="clear" w:color="auto" w:fill="auto"/>
            <w:noWrap/>
            <w:vAlign w:val="bottom"/>
            <w:hideMark/>
          </w:tcPr>
          <w:p w14:paraId="582A3517"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Area (m</w:t>
            </w:r>
            <w:r w:rsidRPr="00F568D1">
              <w:rPr>
                <w:rFonts w:ascii="Times New Roman" w:eastAsia="Times New Roman" w:hAnsi="Times New Roman" w:cs="Times New Roman"/>
                <w:color w:val="000000"/>
                <w:sz w:val="20"/>
                <w:szCs w:val="20"/>
                <w:vertAlign w:val="superscript"/>
              </w:rPr>
              <w:t>2</w:t>
            </w:r>
            <w:r w:rsidRPr="00F568D1">
              <w:rPr>
                <w:rFonts w:ascii="Times New Roman" w:eastAsia="Times New Roman" w:hAnsi="Times New Roman" w:cs="Times New Roman"/>
                <w:color w:val="000000"/>
                <w:sz w:val="20"/>
                <w:szCs w:val="20"/>
              </w:rPr>
              <w:t>)</w:t>
            </w:r>
          </w:p>
        </w:tc>
        <w:tc>
          <w:tcPr>
            <w:tcW w:w="880" w:type="dxa"/>
            <w:tcBorders>
              <w:top w:val="single" w:sz="4" w:space="0" w:color="auto"/>
              <w:left w:val="nil"/>
              <w:bottom w:val="single" w:sz="4" w:space="0" w:color="auto"/>
              <w:right w:val="nil"/>
            </w:tcBorders>
            <w:shd w:val="clear" w:color="auto" w:fill="auto"/>
            <w:noWrap/>
            <w:vAlign w:val="bottom"/>
            <w:hideMark/>
          </w:tcPr>
          <w:p w14:paraId="6643AA6A"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 xml:space="preserve">% </w:t>
            </w:r>
            <w:proofErr w:type="gramStart"/>
            <w:r w:rsidRPr="00F568D1">
              <w:rPr>
                <w:rFonts w:ascii="Times New Roman" w:eastAsia="Times New Roman" w:hAnsi="Times New Roman" w:cs="Times New Roman"/>
                <w:color w:val="000000"/>
                <w:sz w:val="20"/>
                <w:szCs w:val="20"/>
              </w:rPr>
              <w:t>of</w:t>
            </w:r>
            <w:proofErr w:type="gramEnd"/>
            <w:r w:rsidRPr="00F568D1">
              <w:rPr>
                <w:rFonts w:ascii="Times New Roman" w:eastAsia="Times New Roman" w:hAnsi="Times New Roman" w:cs="Times New Roman"/>
                <w:color w:val="000000"/>
                <w:sz w:val="20"/>
                <w:szCs w:val="20"/>
              </w:rPr>
              <w:t xml:space="preserve"> Area</w:t>
            </w:r>
          </w:p>
        </w:tc>
        <w:tc>
          <w:tcPr>
            <w:tcW w:w="1060" w:type="dxa"/>
            <w:tcBorders>
              <w:top w:val="single" w:sz="4" w:space="0" w:color="auto"/>
              <w:left w:val="nil"/>
              <w:bottom w:val="single" w:sz="4" w:space="0" w:color="auto"/>
              <w:right w:val="nil"/>
            </w:tcBorders>
            <w:shd w:val="clear" w:color="auto" w:fill="auto"/>
            <w:noWrap/>
            <w:vAlign w:val="bottom"/>
            <w:hideMark/>
          </w:tcPr>
          <w:p w14:paraId="4CED9666"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Expected Sites</w:t>
            </w:r>
          </w:p>
        </w:tc>
        <w:tc>
          <w:tcPr>
            <w:tcW w:w="1060" w:type="dxa"/>
            <w:tcBorders>
              <w:top w:val="single" w:sz="4" w:space="0" w:color="auto"/>
              <w:left w:val="nil"/>
              <w:bottom w:val="single" w:sz="4" w:space="0" w:color="auto"/>
              <w:right w:val="nil"/>
            </w:tcBorders>
            <w:shd w:val="clear" w:color="auto" w:fill="auto"/>
            <w:noWrap/>
            <w:vAlign w:val="bottom"/>
            <w:hideMark/>
          </w:tcPr>
          <w:p w14:paraId="51AFA47D"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Observed Sites</w:t>
            </w:r>
          </w:p>
        </w:tc>
        <w:tc>
          <w:tcPr>
            <w:tcW w:w="1060" w:type="dxa"/>
            <w:tcBorders>
              <w:top w:val="single" w:sz="4" w:space="0" w:color="auto"/>
              <w:left w:val="nil"/>
              <w:bottom w:val="single" w:sz="4" w:space="0" w:color="auto"/>
              <w:right w:val="nil"/>
            </w:tcBorders>
            <w:shd w:val="clear" w:color="auto" w:fill="auto"/>
            <w:noWrap/>
            <w:vAlign w:val="bottom"/>
            <w:hideMark/>
          </w:tcPr>
          <w:p w14:paraId="5A463CA8"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 xml:space="preserve">% </w:t>
            </w:r>
            <w:proofErr w:type="gramStart"/>
            <w:r w:rsidRPr="00F568D1">
              <w:rPr>
                <w:rFonts w:ascii="Times New Roman" w:eastAsia="Times New Roman" w:hAnsi="Times New Roman" w:cs="Times New Roman"/>
                <w:color w:val="000000"/>
                <w:sz w:val="20"/>
                <w:szCs w:val="20"/>
              </w:rPr>
              <w:t>of</w:t>
            </w:r>
            <w:proofErr w:type="gramEnd"/>
            <w:r w:rsidRPr="00F568D1">
              <w:rPr>
                <w:rFonts w:ascii="Times New Roman" w:eastAsia="Times New Roman" w:hAnsi="Times New Roman" w:cs="Times New Roman"/>
                <w:color w:val="000000"/>
                <w:sz w:val="20"/>
                <w:szCs w:val="20"/>
              </w:rPr>
              <w:t xml:space="preserve"> Sites</w:t>
            </w:r>
          </w:p>
        </w:tc>
        <w:tc>
          <w:tcPr>
            <w:tcW w:w="900" w:type="dxa"/>
            <w:tcBorders>
              <w:top w:val="single" w:sz="4" w:space="0" w:color="auto"/>
              <w:left w:val="nil"/>
              <w:bottom w:val="single" w:sz="4" w:space="0" w:color="auto"/>
              <w:right w:val="nil"/>
            </w:tcBorders>
            <w:shd w:val="clear" w:color="auto" w:fill="auto"/>
            <w:noWrap/>
            <w:vAlign w:val="bottom"/>
            <w:hideMark/>
          </w:tcPr>
          <w:p w14:paraId="5391CC6D"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χ2</w:t>
            </w:r>
          </w:p>
        </w:tc>
        <w:tc>
          <w:tcPr>
            <w:tcW w:w="920" w:type="dxa"/>
            <w:tcBorders>
              <w:top w:val="single" w:sz="4" w:space="0" w:color="auto"/>
              <w:left w:val="nil"/>
              <w:bottom w:val="single" w:sz="4" w:space="0" w:color="auto"/>
              <w:right w:val="nil"/>
            </w:tcBorders>
            <w:shd w:val="clear" w:color="auto" w:fill="auto"/>
            <w:noWrap/>
            <w:vAlign w:val="bottom"/>
            <w:hideMark/>
          </w:tcPr>
          <w:p w14:paraId="1B5C51CF"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Gain</w:t>
            </w:r>
          </w:p>
        </w:tc>
      </w:tr>
      <w:tr w:rsidR="00F568D1" w:rsidRPr="00F568D1" w14:paraId="1646F0AB" w14:textId="77777777" w:rsidTr="00F568D1">
        <w:trPr>
          <w:trHeight w:val="280"/>
        </w:trPr>
        <w:tc>
          <w:tcPr>
            <w:tcW w:w="1760" w:type="dxa"/>
            <w:tcBorders>
              <w:top w:val="nil"/>
              <w:left w:val="nil"/>
              <w:bottom w:val="nil"/>
              <w:right w:val="nil"/>
            </w:tcBorders>
            <w:shd w:val="clear" w:color="auto" w:fill="auto"/>
            <w:noWrap/>
            <w:vAlign w:val="bottom"/>
            <w:hideMark/>
          </w:tcPr>
          <w:p w14:paraId="0AEEA085" w14:textId="77777777" w:rsidR="00F568D1" w:rsidRPr="00F568D1" w:rsidRDefault="00F568D1" w:rsidP="00F568D1">
            <w:pPr>
              <w:spacing w:after="0" w:line="240" w:lineRule="auto"/>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High (Zone 1+2)</w:t>
            </w:r>
          </w:p>
        </w:tc>
        <w:tc>
          <w:tcPr>
            <w:tcW w:w="1220" w:type="dxa"/>
            <w:tcBorders>
              <w:top w:val="nil"/>
              <w:left w:val="nil"/>
              <w:bottom w:val="nil"/>
              <w:right w:val="nil"/>
            </w:tcBorders>
            <w:shd w:val="clear" w:color="auto" w:fill="auto"/>
            <w:noWrap/>
            <w:vAlign w:val="bottom"/>
            <w:hideMark/>
          </w:tcPr>
          <w:p w14:paraId="7F90D605"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84352</w:t>
            </w:r>
          </w:p>
        </w:tc>
        <w:tc>
          <w:tcPr>
            <w:tcW w:w="880" w:type="dxa"/>
            <w:tcBorders>
              <w:top w:val="nil"/>
              <w:left w:val="nil"/>
              <w:bottom w:val="nil"/>
              <w:right w:val="nil"/>
            </w:tcBorders>
            <w:shd w:val="clear" w:color="auto" w:fill="auto"/>
            <w:noWrap/>
            <w:vAlign w:val="bottom"/>
            <w:hideMark/>
          </w:tcPr>
          <w:p w14:paraId="726F777F"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52.3</w:t>
            </w:r>
          </w:p>
        </w:tc>
        <w:tc>
          <w:tcPr>
            <w:tcW w:w="1060" w:type="dxa"/>
            <w:tcBorders>
              <w:top w:val="nil"/>
              <w:left w:val="nil"/>
              <w:bottom w:val="nil"/>
              <w:right w:val="nil"/>
            </w:tcBorders>
            <w:shd w:val="clear" w:color="auto" w:fill="auto"/>
            <w:noWrap/>
            <w:vAlign w:val="bottom"/>
            <w:hideMark/>
          </w:tcPr>
          <w:p w14:paraId="394842BE"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1428.5</w:t>
            </w:r>
          </w:p>
        </w:tc>
        <w:tc>
          <w:tcPr>
            <w:tcW w:w="1060" w:type="dxa"/>
            <w:tcBorders>
              <w:top w:val="nil"/>
              <w:left w:val="nil"/>
              <w:bottom w:val="nil"/>
              <w:right w:val="nil"/>
            </w:tcBorders>
            <w:shd w:val="clear" w:color="auto" w:fill="auto"/>
            <w:noWrap/>
            <w:vAlign w:val="bottom"/>
            <w:hideMark/>
          </w:tcPr>
          <w:p w14:paraId="24353364"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1789</w:t>
            </w:r>
          </w:p>
        </w:tc>
        <w:tc>
          <w:tcPr>
            <w:tcW w:w="1060" w:type="dxa"/>
            <w:tcBorders>
              <w:top w:val="nil"/>
              <w:left w:val="nil"/>
              <w:bottom w:val="nil"/>
              <w:right w:val="nil"/>
            </w:tcBorders>
            <w:shd w:val="clear" w:color="auto" w:fill="auto"/>
            <w:noWrap/>
            <w:vAlign w:val="bottom"/>
            <w:hideMark/>
          </w:tcPr>
          <w:p w14:paraId="280137EE"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65.5</w:t>
            </w:r>
          </w:p>
        </w:tc>
        <w:tc>
          <w:tcPr>
            <w:tcW w:w="900" w:type="dxa"/>
            <w:tcBorders>
              <w:top w:val="nil"/>
              <w:left w:val="nil"/>
              <w:bottom w:val="nil"/>
              <w:right w:val="nil"/>
            </w:tcBorders>
            <w:shd w:val="clear" w:color="auto" w:fill="auto"/>
            <w:noWrap/>
            <w:vAlign w:val="bottom"/>
            <w:hideMark/>
          </w:tcPr>
          <w:p w14:paraId="51CB6C91" w14:textId="77777777" w:rsidR="00F568D1" w:rsidRPr="00F568D1" w:rsidRDefault="00F568D1" w:rsidP="00F568D1">
            <w:pPr>
              <w:spacing w:after="0" w:line="240" w:lineRule="auto"/>
              <w:jc w:val="center"/>
              <w:rPr>
                <w:rFonts w:ascii="Times New Roman" w:eastAsia="Times New Roman" w:hAnsi="Times New Roman" w:cs="Times New Roman"/>
                <w:sz w:val="20"/>
                <w:szCs w:val="20"/>
              </w:rPr>
            </w:pPr>
            <w:r w:rsidRPr="00F568D1">
              <w:rPr>
                <w:rFonts w:ascii="Times New Roman" w:eastAsia="Times New Roman" w:hAnsi="Times New Roman" w:cs="Times New Roman"/>
                <w:sz w:val="20"/>
                <w:szCs w:val="20"/>
              </w:rPr>
              <w:t>91.0</w:t>
            </w:r>
          </w:p>
        </w:tc>
        <w:tc>
          <w:tcPr>
            <w:tcW w:w="920" w:type="dxa"/>
            <w:tcBorders>
              <w:top w:val="nil"/>
              <w:left w:val="nil"/>
              <w:bottom w:val="nil"/>
              <w:right w:val="nil"/>
            </w:tcBorders>
            <w:shd w:val="clear" w:color="auto" w:fill="auto"/>
            <w:noWrap/>
            <w:vAlign w:val="bottom"/>
            <w:hideMark/>
          </w:tcPr>
          <w:p w14:paraId="0410DEFB"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0.20</w:t>
            </w:r>
          </w:p>
        </w:tc>
      </w:tr>
      <w:tr w:rsidR="00F568D1" w:rsidRPr="00F568D1" w14:paraId="358C372A" w14:textId="77777777" w:rsidTr="00F568D1">
        <w:trPr>
          <w:trHeight w:val="280"/>
        </w:trPr>
        <w:tc>
          <w:tcPr>
            <w:tcW w:w="1760" w:type="dxa"/>
            <w:tcBorders>
              <w:top w:val="nil"/>
              <w:left w:val="nil"/>
              <w:bottom w:val="nil"/>
              <w:right w:val="nil"/>
            </w:tcBorders>
            <w:shd w:val="clear" w:color="auto" w:fill="auto"/>
            <w:noWrap/>
            <w:vAlign w:val="bottom"/>
            <w:hideMark/>
          </w:tcPr>
          <w:p w14:paraId="3A8B8D6A" w14:textId="77777777" w:rsidR="00F568D1" w:rsidRPr="00F568D1" w:rsidRDefault="00F568D1" w:rsidP="00F568D1">
            <w:pPr>
              <w:spacing w:after="0" w:line="240" w:lineRule="auto"/>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Low</w:t>
            </w:r>
          </w:p>
        </w:tc>
        <w:tc>
          <w:tcPr>
            <w:tcW w:w="1220" w:type="dxa"/>
            <w:tcBorders>
              <w:top w:val="nil"/>
              <w:left w:val="nil"/>
              <w:bottom w:val="nil"/>
              <w:right w:val="nil"/>
            </w:tcBorders>
            <w:shd w:val="clear" w:color="auto" w:fill="auto"/>
            <w:noWrap/>
            <w:vAlign w:val="bottom"/>
            <w:hideMark/>
          </w:tcPr>
          <w:p w14:paraId="16BCE551"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77032</w:t>
            </w:r>
          </w:p>
        </w:tc>
        <w:tc>
          <w:tcPr>
            <w:tcW w:w="880" w:type="dxa"/>
            <w:tcBorders>
              <w:top w:val="nil"/>
              <w:left w:val="nil"/>
              <w:bottom w:val="nil"/>
              <w:right w:val="nil"/>
            </w:tcBorders>
            <w:shd w:val="clear" w:color="auto" w:fill="auto"/>
            <w:noWrap/>
            <w:vAlign w:val="bottom"/>
            <w:hideMark/>
          </w:tcPr>
          <w:p w14:paraId="67B604AD"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47.7</w:t>
            </w:r>
          </w:p>
        </w:tc>
        <w:tc>
          <w:tcPr>
            <w:tcW w:w="1060" w:type="dxa"/>
            <w:tcBorders>
              <w:top w:val="nil"/>
              <w:left w:val="nil"/>
              <w:bottom w:val="nil"/>
              <w:right w:val="nil"/>
            </w:tcBorders>
            <w:shd w:val="clear" w:color="auto" w:fill="auto"/>
            <w:noWrap/>
            <w:vAlign w:val="bottom"/>
            <w:hideMark/>
          </w:tcPr>
          <w:p w14:paraId="4CDE6026"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1304.5</w:t>
            </w:r>
          </w:p>
        </w:tc>
        <w:tc>
          <w:tcPr>
            <w:tcW w:w="1060" w:type="dxa"/>
            <w:tcBorders>
              <w:top w:val="nil"/>
              <w:left w:val="nil"/>
              <w:bottom w:val="nil"/>
              <w:right w:val="nil"/>
            </w:tcBorders>
            <w:shd w:val="clear" w:color="auto" w:fill="auto"/>
            <w:noWrap/>
            <w:vAlign w:val="bottom"/>
            <w:hideMark/>
          </w:tcPr>
          <w:p w14:paraId="0A1B82F3"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944</w:t>
            </w:r>
          </w:p>
        </w:tc>
        <w:tc>
          <w:tcPr>
            <w:tcW w:w="1060" w:type="dxa"/>
            <w:tcBorders>
              <w:top w:val="nil"/>
              <w:left w:val="nil"/>
              <w:bottom w:val="nil"/>
              <w:right w:val="nil"/>
            </w:tcBorders>
            <w:shd w:val="clear" w:color="auto" w:fill="auto"/>
            <w:noWrap/>
            <w:vAlign w:val="bottom"/>
            <w:hideMark/>
          </w:tcPr>
          <w:p w14:paraId="5C7B6264"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34.5</w:t>
            </w:r>
          </w:p>
        </w:tc>
        <w:tc>
          <w:tcPr>
            <w:tcW w:w="900" w:type="dxa"/>
            <w:tcBorders>
              <w:top w:val="nil"/>
              <w:left w:val="nil"/>
              <w:bottom w:val="nil"/>
              <w:right w:val="nil"/>
            </w:tcBorders>
            <w:shd w:val="clear" w:color="auto" w:fill="auto"/>
            <w:noWrap/>
            <w:vAlign w:val="bottom"/>
            <w:hideMark/>
          </w:tcPr>
          <w:p w14:paraId="047A866D"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99.6</w:t>
            </w:r>
          </w:p>
        </w:tc>
        <w:tc>
          <w:tcPr>
            <w:tcW w:w="920" w:type="dxa"/>
            <w:tcBorders>
              <w:top w:val="nil"/>
              <w:left w:val="nil"/>
              <w:bottom w:val="nil"/>
              <w:right w:val="nil"/>
            </w:tcBorders>
            <w:shd w:val="clear" w:color="auto" w:fill="auto"/>
            <w:noWrap/>
            <w:vAlign w:val="bottom"/>
            <w:hideMark/>
          </w:tcPr>
          <w:p w14:paraId="6B83ACE1"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-0.38</w:t>
            </w:r>
          </w:p>
        </w:tc>
      </w:tr>
      <w:tr w:rsidR="00F568D1" w:rsidRPr="00F568D1" w14:paraId="25773D98" w14:textId="77777777" w:rsidTr="00F568D1">
        <w:trPr>
          <w:trHeight w:val="280"/>
        </w:trPr>
        <w:tc>
          <w:tcPr>
            <w:tcW w:w="1760" w:type="dxa"/>
            <w:tcBorders>
              <w:top w:val="single" w:sz="4" w:space="0" w:color="auto"/>
              <w:left w:val="nil"/>
              <w:bottom w:val="single" w:sz="4" w:space="0" w:color="auto"/>
              <w:right w:val="nil"/>
            </w:tcBorders>
            <w:shd w:val="clear" w:color="auto" w:fill="auto"/>
            <w:noWrap/>
            <w:vAlign w:val="bottom"/>
            <w:hideMark/>
          </w:tcPr>
          <w:p w14:paraId="5F2D10CF" w14:textId="77777777" w:rsidR="00F568D1" w:rsidRPr="00F568D1" w:rsidRDefault="00F568D1" w:rsidP="00F568D1">
            <w:pPr>
              <w:spacing w:after="0" w:line="240" w:lineRule="auto"/>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Total</w:t>
            </w:r>
          </w:p>
        </w:tc>
        <w:tc>
          <w:tcPr>
            <w:tcW w:w="1220" w:type="dxa"/>
            <w:tcBorders>
              <w:top w:val="single" w:sz="4" w:space="0" w:color="auto"/>
              <w:left w:val="nil"/>
              <w:bottom w:val="single" w:sz="4" w:space="0" w:color="auto"/>
              <w:right w:val="nil"/>
            </w:tcBorders>
            <w:shd w:val="clear" w:color="auto" w:fill="auto"/>
            <w:noWrap/>
            <w:vAlign w:val="bottom"/>
            <w:hideMark/>
          </w:tcPr>
          <w:p w14:paraId="5EEACB23"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161384</w:t>
            </w:r>
          </w:p>
        </w:tc>
        <w:tc>
          <w:tcPr>
            <w:tcW w:w="880" w:type="dxa"/>
            <w:tcBorders>
              <w:top w:val="single" w:sz="4" w:space="0" w:color="auto"/>
              <w:left w:val="nil"/>
              <w:bottom w:val="single" w:sz="4" w:space="0" w:color="auto"/>
              <w:right w:val="nil"/>
            </w:tcBorders>
            <w:shd w:val="clear" w:color="auto" w:fill="auto"/>
            <w:noWrap/>
            <w:vAlign w:val="bottom"/>
            <w:hideMark/>
          </w:tcPr>
          <w:p w14:paraId="707FD3CE"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100.0</w:t>
            </w:r>
          </w:p>
        </w:tc>
        <w:tc>
          <w:tcPr>
            <w:tcW w:w="1060" w:type="dxa"/>
            <w:tcBorders>
              <w:top w:val="single" w:sz="4" w:space="0" w:color="auto"/>
              <w:left w:val="nil"/>
              <w:bottom w:val="single" w:sz="4" w:space="0" w:color="auto"/>
              <w:right w:val="nil"/>
            </w:tcBorders>
            <w:shd w:val="clear" w:color="auto" w:fill="auto"/>
            <w:noWrap/>
            <w:vAlign w:val="bottom"/>
            <w:hideMark/>
          </w:tcPr>
          <w:p w14:paraId="72ED7AB9"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2733.0</w:t>
            </w:r>
          </w:p>
        </w:tc>
        <w:tc>
          <w:tcPr>
            <w:tcW w:w="1060" w:type="dxa"/>
            <w:tcBorders>
              <w:top w:val="single" w:sz="4" w:space="0" w:color="auto"/>
              <w:left w:val="nil"/>
              <w:bottom w:val="single" w:sz="4" w:space="0" w:color="auto"/>
              <w:right w:val="nil"/>
            </w:tcBorders>
            <w:shd w:val="clear" w:color="auto" w:fill="auto"/>
            <w:noWrap/>
            <w:vAlign w:val="bottom"/>
            <w:hideMark/>
          </w:tcPr>
          <w:p w14:paraId="1B89F2D6"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2733</w:t>
            </w:r>
          </w:p>
        </w:tc>
        <w:tc>
          <w:tcPr>
            <w:tcW w:w="1060" w:type="dxa"/>
            <w:tcBorders>
              <w:top w:val="single" w:sz="4" w:space="0" w:color="auto"/>
              <w:left w:val="nil"/>
              <w:bottom w:val="single" w:sz="4" w:space="0" w:color="auto"/>
              <w:right w:val="nil"/>
            </w:tcBorders>
            <w:shd w:val="clear" w:color="auto" w:fill="auto"/>
            <w:noWrap/>
            <w:vAlign w:val="bottom"/>
            <w:hideMark/>
          </w:tcPr>
          <w:p w14:paraId="1635B750"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100.0</w:t>
            </w:r>
          </w:p>
        </w:tc>
        <w:tc>
          <w:tcPr>
            <w:tcW w:w="900" w:type="dxa"/>
            <w:tcBorders>
              <w:top w:val="single" w:sz="4" w:space="0" w:color="auto"/>
              <w:left w:val="nil"/>
              <w:bottom w:val="single" w:sz="4" w:space="0" w:color="auto"/>
              <w:right w:val="nil"/>
            </w:tcBorders>
            <w:shd w:val="clear" w:color="auto" w:fill="auto"/>
            <w:noWrap/>
            <w:vAlign w:val="bottom"/>
            <w:hideMark/>
          </w:tcPr>
          <w:p w14:paraId="25C63B0D"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190.6</w:t>
            </w:r>
          </w:p>
        </w:tc>
        <w:tc>
          <w:tcPr>
            <w:tcW w:w="920" w:type="dxa"/>
            <w:tcBorders>
              <w:top w:val="single" w:sz="4" w:space="0" w:color="auto"/>
              <w:left w:val="nil"/>
              <w:bottom w:val="single" w:sz="4" w:space="0" w:color="auto"/>
              <w:right w:val="nil"/>
            </w:tcBorders>
            <w:shd w:val="clear" w:color="auto" w:fill="auto"/>
            <w:noWrap/>
            <w:vAlign w:val="bottom"/>
            <w:hideMark/>
          </w:tcPr>
          <w:p w14:paraId="40D42409" w14:textId="77777777" w:rsidR="00F568D1" w:rsidRPr="00F568D1" w:rsidRDefault="00F568D1" w:rsidP="00F568D1">
            <w:pPr>
              <w:spacing w:after="0" w:line="240" w:lineRule="auto"/>
              <w:jc w:val="center"/>
              <w:rPr>
                <w:rFonts w:ascii="Times New Roman" w:eastAsia="Times New Roman" w:hAnsi="Times New Roman" w:cs="Times New Roman"/>
                <w:color w:val="000000"/>
                <w:sz w:val="20"/>
                <w:szCs w:val="20"/>
              </w:rPr>
            </w:pPr>
            <w:r w:rsidRPr="00F568D1">
              <w:rPr>
                <w:rFonts w:ascii="Times New Roman" w:eastAsia="Times New Roman" w:hAnsi="Times New Roman" w:cs="Times New Roman"/>
                <w:color w:val="000000"/>
                <w:sz w:val="20"/>
                <w:szCs w:val="20"/>
              </w:rPr>
              <w:t>-</w:t>
            </w:r>
          </w:p>
        </w:tc>
      </w:tr>
      <w:tr w:rsidR="00F568D1" w:rsidRPr="00F568D1" w14:paraId="16FA86C1" w14:textId="77777777" w:rsidTr="00F568D1">
        <w:trPr>
          <w:trHeight w:val="280"/>
        </w:trPr>
        <w:tc>
          <w:tcPr>
            <w:tcW w:w="2980" w:type="dxa"/>
            <w:gridSpan w:val="2"/>
            <w:tcBorders>
              <w:top w:val="nil"/>
              <w:left w:val="nil"/>
              <w:bottom w:val="nil"/>
              <w:right w:val="nil"/>
            </w:tcBorders>
            <w:shd w:val="clear" w:color="auto" w:fill="auto"/>
            <w:noWrap/>
            <w:vAlign w:val="bottom"/>
            <w:hideMark/>
          </w:tcPr>
          <w:p w14:paraId="6A82BF44" w14:textId="77777777" w:rsidR="00F568D1" w:rsidRPr="00F568D1" w:rsidRDefault="00F568D1" w:rsidP="00F568D1">
            <w:pPr>
              <w:spacing w:after="0" w:line="240" w:lineRule="auto"/>
              <w:rPr>
                <w:rFonts w:ascii="Times New Roman" w:eastAsia="Times New Roman" w:hAnsi="Times New Roman" w:cs="Times New Roman"/>
                <w:color w:val="000000"/>
                <w:sz w:val="20"/>
                <w:szCs w:val="20"/>
              </w:rPr>
            </w:pPr>
            <w:proofErr w:type="spellStart"/>
            <w:proofErr w:type="gramStart"/>
            <w:r w:rsidRPr="00F568D1">
              <w:rPr>
                <w:rFonts w:ascii="Times New Roman" w:eastAsia="Times New Roman" w:hAnsi="Times New Roman" w:cs="Times New Roman"/>
                <w:color w:val="000000"/>
                <w:sz w:val="20"/>
                <w:szCs w:val="20"/>
              </w:rPr>
              <w:t>df</w:t>
            </w:r>
            <w:proofErr w:type="spellEnd"/>
            <w:proofErr w:type="gramEnd"/>
            <w:r w:rsidRPr="00F568D1">
              <w:rPr>
                <w:rFonts w:ascii="Times New Roman" w:eastAsia="Times New Roman" w:hAnsi="Times New Roman" w:cs="Times New Roman"/>
                <w:color w:val="000000"/>
                <w:sz w:val="20"/>
                <w:szCs w:val="20"/>
              </w:rPr>
              <w:t xml:space="preserve"> = 2, α = .05, sig of χ2 ≥ 3.84</w:t>
            </w:r>
          </w:p>
        </w:tc>
        <w:tc>
          <w:tcPr>
            <w:tcW w:w="880" w:type="dxa"/>
            <w:tcBorders>
              <w:top w:val="nil"/>
              <w:left w:val="nil"/>
              <w:bottom w:val="nil"/>
              <w:right w:val="nil"/>
            </w:tcBorders>
            <w:shd w:val="clear" w:color="auto" w:fill="auto"/>
            <w:noWrap/>
            <w:vAlign w:val="bottom"/>
            <w:hideMark/>
          </w:tcPr>
          <w:p w14:paraId="34F085BF" w14:textId="77777777" w:rsidR="00F568D1" w:rsidRPr="00F568D1" w:rsidRDefault="00F568D1" w:rsidP="00F568D1">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0A47B566" w14:textId="77777777" w:rsidR="00F568D1" w:rsidRPr="00F568D1" w:rsidRDefault="00F568D1" w:rsidP="00F568D1">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7C06C8B1" w14:textId="77777777" w:rsidR="00F568D1" w:rsidRPr="00F568D1" w:rsidRDefault="00F568D1" w:rsidP="00F568D1">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2B4E28CF" w14:textId="77777777" w:rsidR="00F568D1" w:rsidRPr="00F568D1" w:rsidRDefault="00F568D1" w:rsidP="00F568D1">
            <w:pPr>
              <w:spacing w:after="0" w:line="240" w:lineRule="auto"/>
              <w:rPr>
                <w:rFonts w:ascii="Times New Roman" w:eastAsia="Times New Roman" w:hAnsi="Times New Roman" w:cs="Times New Roman"/>
                <w:color w:val="000000"/>
                <w:sz w:val="20"/>
                <w:szCs w:val="20"/>
              </w:rPr>
            </w:pPr>
          </w:p>
        </w:tc>
        <w:tc>
          <w:tcPr>
            <w:tcW w:w="900" w:type="dxa"/>
            <w:tcBorders>
              <w:top w:val="nil"/>
              <w:left w:val="nil"/>
              <w:bottom w:val="nil"/>
              <w:right w:val="nil"/>
            </w:tcBorders>
            <w:shd w:val="clear" w:color="auto" w:fill="auto"/>
            <w:noWrap/>
            <w:vAlign w:val="bottom"/>
            <w:hideMark/>
          </w:tcPr>
          <w:p w14:paraId="70806670" w14:textId="77777777" w:rsidR="00F568D1" w:rsidRPr="00F568D1" w:rsidRDefault="00F568D1" w:rsidP="00F568D1">
            <w:pPr>
              <w:spacing w:after="0" w:line="240" w:lineRule="auto"/>
              <w:rPr>
                <w:rFonts w:ascii="Times New Roman" w:eastAsia="Times New Roman" w:hAnsi="Times New Roman" w:cs="Times New Roman"/>
                <w:color w:val="000000"/>
                <w:sz w:val="20"/>
                <w:szCs w:val="20"/>
              </w:rPr>
            </w:pPr>
          </w:p>
        </w:tc>
        <w:tc>
          <w:tcPr>
            <w:tcW w:w="920" w:type="dxa"/>
            <w:tcBorders>
              <w:top w:val="nil"/>
              <w:left w:val="nil"/>
              <w:bottom w:val="nil"/>
              <w:right w:val="nil"/>
            </w:tcBorders>
            <w:shd w:val="clear" w:color="auto" w:fill="auto"/>
            <w:noWrap/>
            <w:vAlign w:val="bottom"/>
            <w:hideMark/>
          </w:tcPr>
          <w:p w14:paraId="08E6BD58" w14:textId="77777777" w:rsidR="00F568D1" w:rsidRPr="00F568D1" w:rsidRDefault="00F568D1" w:rsidP="00F568D1">
            <w:pPr>
              <w:spacing w:after="0" w:line="240" w:lineRule="auto"/>
              <w:rPr>
                <w:rFonts w:ascii="Times New Roman" w:eastAsia="Times New Roman" w:hAnsi="Times New Roman" w:cs="Times New Roman"/>
                <w:color w:val="000000"/>
                <w:sz w:val="20"/>
                <w:szCs w:val="20"/>
              </w:rPr>
            </w:pPr>
          </w:p>
        </w:tc>
      </w:tr>
    </w:tbl>
    <w:p w14:paraId="51CDD8D7" w14:textId="77777777" w:rsidR="00E148F7" w:rsidRDefault="00E148F7" w:rsidP="00E148F7">
      <w:pPr>
        <w:spacing w:line="480" w:lineRule="auto"/>
        <w:rPr>
          <w:rFonts w:ascii="Times New Roman" w:hAnsi="Times New Roman" w:cs="Times New Roman"/>
        </w:rPr>
      </w:pPr>
    </w:p>
    <w:p w14:paraId="30E2E5BA" w14:textId="67A42B26" w:rsidR="00F568D1" w:rsidRDefault="00F568D1" w:rsidP="00F568D1">
      <w:pPr>
        <w:spacing w:line="240" w:lineRule="auto"/>
        <w:rPr>
          <w:rFonts w:ascii="Times New Roman" w:hAnsi="Times New Roman" w:cs="Times New Roman"/>
        </w:rPr>
      </w:pPr>
      <w:r w:rsidRPr="00007D2A">
        <w:rPr>
          <w:rFonts w:ascii="Times New Roman" w:hAnsi="Times New Roman" w:cs="Times New Roman"/>
          <w:b/>
        </w:rPr>
        <w:t>Table 6.</w:t>
      </w:r>
      <w:r>
        <w:rPr>
          <w:rFonts w:ascii="Times New Roman" w:hAnsi="Times New Roman" w:cs="Times New Roman"/>
          <w:b/>
        </w:rPr>
        <w:t>10</w:t>
      </w:r>
      <w:r w:rsidRPr="00007D2A">
        <w:rPr>
          <w:rFonts w:ascii="Times New Roman" w:hAnsi="Times New Roman" w:cs="Times New Roman"/>
          <w:b/>
        </w:rPr>
        <w:t>.</w:t>
      </w:r>
      <w:r w:rsidRPr="00007D2A">
        <w:rPr>
          <w:rFonts w:ascii="Times New Roman" w:hAnsi="Times New Roman" w:cs="Times New Roman"/>
        </w:rPr>
        <w:t xml:space="preserve">  </w:t>
      </w:r>
      <w:r w:rsidR="00F25CD5">
        <w:rPr>
          <w:rFonts w:ascii="Times New Roman" w:hAnsi="Times New Roman" w:cs="Times New Roman"/>
        </w:rPr>
        <w:t xml:space="preserve">Test Statistics for the High </w:t>
      </w:r>
      <w:r>
        <w:rPr>
          <w:rFonts w:ascii="Times New Roman" w:hAnsi="Times New Roman" w:cs="Times New Roman"/>
        </w:rPr>
        <w:t xml:space="preserve">and Low Probability Zones of the </w:t>
      </w:r>
      <w:r w:rsidR="00F25CD5">
        <w:rPr>
          <w:rFonts w:ascii="Times New Roman" w:hAnsi="Times New Roman" w:cs="Times New Roman"/>
        </w:rPr>
        <w:t>2010</w:t>
      </w:r>
      <w:r>
        <w:rPr>
          <w:rFonts w:ascii="Times New Roman" w:hAnsi="Times New Roman" w:cs="Times New Roman"/>
        </w:rPr>
        <w:t xml:space="preserve"> </w:t>
      </w:r>
      <w:r w:rsidR="00F25CD5">
        <w:rPr>
          <w:rFonts w:ascii="Times New Roman" w:hAnsi="Times New Roman" w:cs="Times New Roman"/>
        </w:rPr>
        <w:t xml:space="preserve">Prehistoric </w:t>
      </w:r>
      <w:r>
        <w:rPr>
          <w:rFonts w:ascii="Times New Roman" w:hAnsi="Times New Roman" w:cs="Times New Roman"/>
        </w:rPr>
        <w:t>Fort Po</w:t>
      </w:r>
      <w:r w:rsidR="00F25CD5">
        <w:rPr>
          <w:rFonts w:ascii="Times New Roman" w:hAnsi="Times New Roman" w:cs="Times New Roman"/>
        </w:rPr>
        <w:t>lk Predictive Model for the 2010</w:t>
      </w:r>
      <w:r>
        <w:rPr>
          <w:rFonts w:ascii="Times New Roman" w:hAnsi="Times New Roman" w:cs="Times New Roman"/>
        </w:rPr>
        <w:t xml:space="preserve"> FPPM Study Area.</w:t>
      </w:r>
    </w:p>
    <w:tbl>
      <w:tblPr>
        <w:tblW w:w="8860" w:type="dxa"/>
        <w:tblInd w:w="93" w:type="dxa"/>
        <w:tblLook w:val="04A0" w:firstRow="1" w:lastRow="0" w:firstColumn="1" w:lastColumn="0" w:noHBand="0" w:noVBand="1"/>
      </w:tblPr>
      <w:tblGrid>
        <w:gridCol w:w="1760"/>
        <w:gridCol w:w="1220"/>
        <w:gridCol w:w="880"/>
        <w:gridCol w:w="1060"/>
        <w:gridCol w:w="1060"/>
        <w:gridCol w:w="1060"/>
        <w:gridCol w:w="900"/>
        <w:gridCol w:w="920"/>
      </w:tblGrid>
      <w:tr w:rsidR="00F25CD5" w:rsidRPr="00F25CD5" w14:paraId="73ABE2EC" w14:textId="77777777" w:rsidTr="00F25CD5">
        <w:trPr>
          <w:trHeight w:val="280"/>
        </w:trPr>
        <w:tc>
          <w:tcPr>
            <w:tcW w:w="1760" w:type="dxa"/>
            <w:tcBorders>
              <w:top w:val="single" w:sz="4" w:space="0" w:color="auto"/>
              <w:left w:val="nil"/>
              <w:bottom w:val="single" w:sz="4" w:space="0" w:color="auto"/>
              <w:right w:val="nil"/>
            </w:tcBorders>
            <w:shd w:val="clear" w:color="auto" w:fill="auto"/>
            <w:noWrap/>
            <w:vAlign w:val="bottom"/>
            <w:hideMark/>
          </w:tcPr>
          <w:p w14:paraId="502E64F0"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Probability Zone</w:t>
            </w:r>
          </w:p>
        </w:tc>
        <w:tc>
          <w:tcPr>
            <w:tcW w:w="1220" w:type="dxa"/>
            <w:tcBorders>
              <w:top w:val="single" w:sz="4" w:space="0" w:color="auto"/>
              <w:left w:val="nil"/>
              <w:bottom w:val="single" w:sz="4" w:space="0" w:color="auto"/>
              <w:right w:val="nil"/>
            </w:tcBorders>
            <w:shd w:val="clear" w:color="auto" w:fill="auto"/>
            <w:noWrap/>
            <w:vAlign w:val="bottom"/>
            <w:hideMark/>
          </w:tcPr>
          <w:p w14:paraId="1EE31F1C"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Area (m</w:t>
            </w:r>
            <w:r w:rsidRPr="00F25CD5">
              <w:rPr>
                <w:rFonts w:ascii="Times New Roman" w:eastAsia="Times New Roman" w:hAnsi="Times New Roman" w:cs="Times New Roman"/>
                <w:color w:val="000000"/>
                <w:sz w:val="20"/>
                <w:szCs w:val="20"/>
                <w:vertAlign w:val="superscript"/>
              </w:rPr>
              <w:t>2</w:t>
            </w:r>
            <w:r w:rsidRPr="00F25CD5">
              <w:rPr>
                <w:rFonts w:ascii="Times New Roman" w:eastAsia="Times New Roman" w:hAnsi="Times New Roman" w:cs="Times New Roman"/>
                <w:color w:val="000000"/>
                <w:sz w:val="20"/>
                <w:szCs w:val="20"/>
              </w:rPr>
              <w:t>)</w:t>
            </w:r>
          </w:p>
        </w:tc>
        <w:tc>
          <w:tcPr>
            <w:tcW w:w="880" w:type="dxa"/>
            <w:tcBorders>
              <w:top w:val="single" w:sz="4" w:space="0" w:color="auto"/>
              <w:left w:val="nil"/>
              <w:bottom w:val="single" w:sz="4" w:space="0" w:color="auto"/>
              <w:right w:val="nil"/>
            </w:tcBorders>
            <w:shd w:val="clear" w:color="auto" w:fill="auto"/>
            <w:noWrap/>
            <w:vAlign w:val="bottom"/>
            <w:hideMark/>
          </w:tcPr>
          <w:p w14:paraId="0A2D396F"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 xml:space="preserve">% </w:t>
            </w:r>
            <w:proofErr w:type="gramStart"/>
            <w:r w:rsidRPr="00F25CD5">
              <w:rPr>
                <w:rFonts w:ascii="Times New Roman" w:eastAsia="Times New Roman" w:hAnsi="Times New Roman" w:cs="Times New Roman"/>
                <w:color w:val="000000"/>
                <w:sz w:val="20"/>
                <w:szCs w:val="20"/>
              </w:rPr>
              <w:t>of</w:t>
            </w:r>
            <w:proofErr w:type="gramEnd"/>
            <w:r w:rsidRPr="00F25CD5">
              <w:rPr>
                <w:rFonts w:ascii="Times New Roman" w:eastAsia="Times New Roman" w:hAnsi="Times New Roman" w:cs="Times New Roman"/>
                <w:color w:val="000000"/>
                <w:sz w:val="20"/>
                <w:szCs w:val="20"/>
              </w:rPr>
              <w:t xml:space="preserve"> Area</w:t>
            </w:r>
          </w:p>
        </w:tc>
        <w:tc>
          <w:tcPr>
            <w:tcW w:w="1060" w:type="dxa"/>
            <w:tcBorders>
              <w:top w:val="single" w:sz="4" w:space="0" w:color="auto"/>
              <w:left w:val="nil"/>
              <w:bottom w:val="single" w:sz="4" w:space="0" w:color="auto"/>
              <w:right w:val="nil"/>
            </w:tcBorders>
            <w:shd w:val="clear" w:color="auto" w:fill="auto"/>
            <w:noWrap/>
            <w:vAlign w:val="bottom"/>
            <w:hideMark/>
          </w:tcPr>
          <w:p w14:paraId="04011D03"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Expected Sites</w:t>
            </w:r>
          </w:p>
        </w:tc>
        <w:tc>
          <w:tcPr>
            <w:tcW w:w="1060" w:type="dxa"/>
            <w:tcBorders>
              <w:top w:val="single" w:sz="4" w:space="0" w:color="auto"/>
              <w:left w:val="nil"/>
              <w:bottom w:val="single" w:sz="4" w:space="0" w:color="auto"/>
              <w:right w:val="nil"/>
            </w:tcBorders>
            <w:shd w:val="clear" w:color="auto" w:fill="auto"/>
            <w:noWrap/>
            <w:vAlign w:val="bottom"/>
            <w:hideMark/>
          </w:tcPr>
          <w:p w14:paraId="39C2ACB8"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Observed Sites</w:t>
            </w:r>
          </w:p>
        </w:tc>
        <w:tc>
          <w:tcPr>
            <w:tcW w:w="1060" w:type="dxa"/>
            <w:tcBorders>
              <w:top w:val="single" w:sz="4" w:space="0" w:color="auto"/>
              <w:left w:val="nil"/>
              <w:bottom w:val="single" w:sz="4" w:space="0" w:color="auto"/>
              <w:right w:val="nil"/>
            </w:tcBorders>
            <w:shd w:val="clear" w:color="auto" w:fill="auto"/>
            <w:noWrap/>
            <w:vAlign w:val="bottom"/>
            <w:hideMark/>
          </w:tcPr>
          <w:p w14:paraId="7C68E442"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 xml:space="preserve">% </w:t>
            </w:r>
            <w:proofErr w:type="gramStart"/>
            <w:r w:rsidRPr="00F25CD5">
              <w:rPr>
                <w:rFonts w:ascii="Times New Roman" w:eastAsia="Times New Roman" w:hAnsi="Times New Roman" w:cs="Times New Roman"/>
                <w:color w:val="000000"/>
                <w:sz w:val="20"/>
                <w:szCs w:val="20"/>
              </w:rPr>
              <w:t>of</w:t>
            </w:r>
            <w:proofErr w:type="gramEnd"/>
            <w:r w:rsidRPr="00F25CD5">
              <w:rPr>
                <w:rFonts w:ascii="Times New Roman" w:eastAsia="Times New Roman" w:hAnsi="Times New Roman" w:cs="Times New Roman"/>
                <w:color w:val="000000"/>
                <w:sz w:val="20"/>
                <w:szCs w:val="20"/>
              </w:rPr>
              <w:t xml:space="preserve"> Sites</w:t>
            </w:r>
          </w:p>
        </w:tc>
        <w:tc>
          <w:tcPr>
            <w:tcW w:w="900" w:type="dxa"/>
            <w:tcBorders>
              <w:top w:val="single" w:sz="4" w:space="0" w:color="auto"/>
              <w:left w:val="nil"/>
              <w:bottom w:val="single" w:sz="4" w:space="0" w:color="auto"/>
              <w:right w:val="nil"/>
            </w:tcBorders>
            <w:shd w:val="clear" w:color="auto" w:fill="auto"/>
            <w:noWrap/>
            <w:vAlign w:val="bottom"/>
            <w:hideMark/>
          </w:tcPr>
          <w:p w14:paraId="5F09BAE0"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χ2</w:t>
            </w:r>
          </w:p>
        </w:tc>
        <w:tc>
          <w:tcPr>
            <w:tcW w:w="920" w:type="dxa"/>
            <w:tcBorders>
              <w:top w:val="single" w:sz="4" w:space="0" w:color="auto"/>
              <w:left w:val="nil"/>
              <w:bottom w:val="single" w:sz="4" w:space="0" w:color="auto"/>
              <w:right w:val="nil"/>
            </w:tcBorders>
            <w:shd w:val="clear" w:color="auto" w:fill="auto"/>
            <w:noWrap/>
            <w:vAlign w:val="bottom"/>
            <w:hideMark/>
          </w:tcPr>
          <w:p w14:paraId="135309CE"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Gain</w:t>
            </w:r>
          </w:p>
        </w:tc>
      </w:tr>
      <w:tr w:rsidR="00F25CD5" w:rsidRPr="00F25CD5" w14:paraId="3E72715A" w14:textId="77777777" w:rsidTr="00F25CD5">
        <w:trPr>
          <w:trHeight w:val="280"/>
        </w:trPr>
        <w:tc>
          <w:tcPr>
            <w:tcW w:w="1760" w:type="dxa"/>
            <w:tcBorders>
              <w:top w:val="nil"/>
              <w:left w:val="nil"/>
              <w:bottom w:val="nil"/>
              <w:right w:val="nil"/>
            </w:tcBorders>
            <w:shd w:val="clear" w:color="auto" w:fill="auto"/>
            <w:noWrap/>
            <w:vAlign w:val="bottom"/>
            <w:hideMark/>
          </w:tcPr>
          <w:p w14:paraId="242D75B1"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High</w:t>
            </w:r>
          </w:p>
        </w:tc>
        <w:tc>
          <w:tcPr>
            <w:tcW w:w="1220" w:type="dxa"/>
            <w:tcBorders>
              <w:top w:val="nil"/>
              <w:left w:val="nil"/>
              <w:bottom w:val="nil"/>
              <w:right w:val="nil"/>
            </w:tcBorders>
            <w:shd w:val="clear" w:color="auto" w:fill="auto"/>
            <w:noWrap/>
            <w:vAlign w:val="bottom"/>
            <w:hideMark/>
          </w:tcPr>
          <w:p w14:paraId="7F08C7CF"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107880</w:t>
            </w:r>
          </w:p>
        </w:tc>
        <w:tc>
          <w:tcPr>
            <w:tcW w:w="880" w:type="dxa"/>
            <w:tcBorders>
              <w:top w:val="nil"/>
              <w:left w:val="nil"/>
              <w:bottom w:val="nil"/>
              <w:right w:val="nil"/>
            </w:tcBorders>
            <w:shd w:val="clear" w:color="auto" w:fill="auto"/>
            <w:noWrap/>
            <w:vAlign w:val="bottom"/>
            <w:hideMark/>
          </w:tcPr>
          <w:p w14:paraId="0EE65F77"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85.7</w:t>
            </w:r>
          </w:p>
        </w:tc>
        <w:tc>
          <w:tcPr>
            <w:tcW w:w="1060" w:type="dxa"/>
            <w:tcBorders>
              <w:top w:val="nil"/>
              <w:left w:val="nil"/>
              <w:bottom w:val="nil"/>
              <w:right w:val="nil"/>
            </w:tcBorders>
            <w:shd w:val="clear" w:color="auto" w:fill="auto"/>
            <w:noWrap/>
            <w:vAlign w:val="bottom"/>
            <w:hideMark/>
          </w:tcPr>
          <w:p w14:paraId="36E91719"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1909.1</w:t>
            </w:r>
          </w:p>
        </w:tc>
        <w:tc>
          <w:tcPr>
            <w:tcW w:w="1060" w:type="dxa"/>
            <w:tcBorders>
              <w:top w:val="nil"/>
              <w:left w:val="nil"/>
              <w:bottom w:val="nil"/>
              <w:right w:val="nil"/>
            </w:tcBorders>
            <w:shd w:val="clear" w:color="auto" w:fill="auto"/>
            <w:noWrap/>
            <w:vAlign w:val="bottom"/>
            <w:hideMark/>
          </w:tcPr>
          <w:p w14:paraId="2727DCC5"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1945.0</w:t>
            </w:r>
          </w:p>
        </w:tc>
        <w:tc>
          <w:tcPr>
            <w:tcW w:w="1060" w:type="dxa"/>
            <w:tcBorders>
              <w:top w:val="nil"/>
              <w:left w:val="nil"/>
              <w:bottom w:val="nil"/>
              <w:right w:val="nil"/>
            </w:tcBorders>
            <w:shd w:val="clear" w:color="auto" w:fill="auto"/>
            <w:noWrap/>
            <w:vAlign w:val="bottom"/>
            <w:hideMark/>
          </w:tcPr>
          <w:p w14:paraId="3F4D3E5E"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87.3</w:t>
            </w:r>
          </w:p>
        </w:tc>
        <w:tc>
          <w:tcPr>
            <w:tcW w:w="900" w:type="dxa"/>
            <w:tcBorders>
              <w:top w:val="nil"/>
              <w:left w:val="nil"/>
              <w:bottom w:val="nil"/>
              <w:right w:val="nil"/>
            </w:tcBorders>
            <w:shd w:val="clear" w:color="auto" w:fill="auto"/>
            <w:noWrap/>
            <w:vAlign w:val="bottom"/>
            <w:hideMark/>
          </w:tcPr>
          <w:p w14:paraId="115E7CF5" w14:textId="77777777" w:rsidR="00F25CD5" w:rsidRPr="00F25CD5" w:rsidRDefault="00F25CD5" w:rsidP="00F25CD5">
            <w:pPr>
              <w:spacing w:after="0" w:line="240" w:lineRule="auto"/>
              <w:jc w:val="center"/>
              <w:rPr>
                <w:rFonts w:ascii="Times New Roman" w:eastAsia="Times New Roman" w:hAnsi="Times New Roman" w:cs="Times New Roman"/>
                <w:sz w:val="20"/>
                <w:szCs w:val="20"/>
              </w:rPr>
            </w:pPr>
            <w:r w:rsidRPr="00F25CD5">
              <w:rPr>
                <w:rFonts w:ascii="Times New Roman" w:eastAsia="Times New Roman" w:hAnsi="Times New Roman" w:cs="Times New Roman"/>
                <w:sz w:val="20"/>
                <w:szCs w:val="20"/>
              </w:rPr>
              <w:t>0.7</w:t>
            </w:r>
          </w:p>
        </w:tc>
        <w:tc>
          <w:tcPr>
            <w:tcW w:w="920" w:type="dxa"/>
            <w:tcBorders>
              <w:top w:val="nil"/>
              <w:left w:val="nil"/>
              <w:bottom w:val="nil"/>
              <w:right w:val="nil"/>
            </w:tcBorders>
            <w:shd w:val="clear" w:color="auto" w:fill="auto"/>
            <w:noWrap/>
            <w:vAlign w:val="bottom"/>
            <w:hideMark/>
          </w:tcPr>
          <w:p w14:paraId="70EC908D"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0.02</w:t>
            </w:r>
          </w:p>
        </w:tc>
      </w:tr>
      <w:tr w:rsidR="00F25CD5" w:rsidRPr="00F25CD5" w14:paraId="62A56E04" w14:textId="77777777" w:rsidTr="00F25CD5">
        <w:trPr>
          <w:trHeight w:val="280"/>
        </w:trPr>
        <w:tc>
          <w:tcPr>
            <w:tcW w:w="1760" w:type="dxa"/>
            <w:tcBorders>
              <w:top w:val="nil"/>
              <w:left w:val="nil"/>
              <w:bottom w:val="nil"/>
              <w:right w:val="nil"/>
            </w:tcBorders>
            <w:shd w:val="clear" w:color="auto" w:fill="auto"/>
            <w:noWrap/>
            <w:vAlign w:val="bottom"/>
            <w:hideMark/>
          </w:tcPr>
          <w:p w14:paraId="4773548C"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Low</w:t>
            </w:r>
          </w:p>
        </w:tc>
        <w:tc>
          <w:tcPr>
            <w:tcW w:w="1220" w:type="dxa"/>
            <w:tcBorders>
              <w:top w:val="nil"/>
              <w:left w:val="nil"/>
              <w:bottom w:val="nil"/>
              <w:right w:val="nil"/>
            </w:tcBorders>
            <w:shd w:val="clear" w:color="auto" w:fill="auto"/>
            <w:noWrap/>
            <w:vAlign w:val="bottom"/>
            <w:hideMark/>
          </w:tcPr>
          <w:p w14:paraId="2E7F6A4F"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18018</w:t>
            </w:r>
          </w:p>
        </w:tc>
        <w:tc>
          <w:tcPr>
            <w:tcW w:w="880" w:type="dxa"/>
            <w:tcBorders>
              <w:top w:val="nil"/>
              <w:left w:val="nil"/>
              <w:bottom w:val="nil"/>
              <w:right w:val="nil"/>
            </w:tcBorders>
            <w:shd w:val="clear" w:color="auto" w:fill="auto"/>
            <w:noWrap/>
            <w:vAlign w:val="bottom"/>
            <w:hideMark/>
          </w:tcPr>
          <w:p w14:paraId="691E1E4E"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14.3</w:t>
            </w:r>
          </w:p>
        </w:tc>
        <w:tc>
          <w:tcPr>
            <w:tcW w:w="1060" w:type="dxa"/>
            <w:tcBorders>
              <w:top w:val="nil"/>
              <w:left w:val="nil"/>
              <w:bottom w:val="nil"/>
              <w:right w:val="nil"/>
            </w:tcBorders>
            <w:shd w:val="clear" w:color="auto" w:fill="auto"/>
            <w:noWrap/>
            <w:vAlign w:val="bottom"/>
            <w:hideMark/>
          </w:tcPr>
          <w:p w14:paraId="437D8CB9"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318.9</w:t>
            </w:r>
          </w:p>
        </w:tc>
        <w:tc>
          <w:tcPr>
            <w:tcW w:w="1060" w:type="dxa"/>
            <w:tcBorders>
              <w:top w:val="nil"/>
              <w:left w:val="nil"/>
              <w:bottom w:val="nil"/>
              <w:right w:val="nil"/>
            </w:tcBorders>
            <w:shd w:val="clear" w:color="auto" w:fill="auto"/>
            <w:noWrap/>
            <w:vAlign w:val="bottom"/>
            <w:hideMark/>
          </w:tcPr>
          <w:p w14:paraId="428C6EBF"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283.0</w:t>
            </w:r>
          </w:p>
        </w:tc>
        <w:tc>
          <w:tcPr>
            <w:tcW w:w="1060" w:type="dxa"/>
            <w:tcBorders>
              <w:top w:val="nil"/>
              <w:left w:val="nil"/>
              <w:bottom w:val="nil"/>
              <w:right w:val="nil"/>
            </w:tcBorders>
            <w:shd w:val="clear" w:color="auto" w:fill="auto"/>
            <w:noWrap/>
            <w:vAlign w:val="bottom"/>
            <w:hideMark/>
          </w:tcPr>
          <w:p w14:paraId="2081718D"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12.7</w:t>
            </w:r>
          </w:p>
        </w:tc>
        <w:tc>
          <w:tcPr>
            <w:tcW w:w="900" w:type="dxa"/>
            <w:tcBorders>
              <w:top w:val="nil"/>
              <w:left w:val="nil"/>
              <w:bottom w:val="nil"/>
              <w:right w:val="nil"/>
            </w:tcBorders>
            <w:shd w:val="clear" w:color="auto" w:fill="auto"/>
            <w:noWrap/>
            <w:vAlign w:val="bottom"/>
            <w:hideMark/>
          </w:tcPr>
          <w:p w14:paraId="20EDF1BC"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4.0</w:t>
            </w:r>
          </w:p>
        </w:tc>
        <w:tc>
          <w:tcPr>
            <w:tcW w:w="920" w:type="dxa"/>
            <w:tcBorders>
              <w:top w:val="nil"/>
              <w:left w:val="nil"/>
              <w:bottom w:val="nil"/>
              <w:right w:val="nil"/>
            </w:tcBorders>
            <w:shd w:val="clear" w:color="auto" w:fill="auto"/>
            <w:noWrap/>
            <w:vAlign w:val="bottom"/>
            <w:hideMark/>
          </w:tcPr>
          <w:p w14:paraId="635F8606"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-0.13</w:t>
            </w:r>
          </w:p>
        </w:tc>
      </w:tr>
      <w:tr w:rsidR="00F25CD5" w:rsidRPr="00F25CD5" w14:paraId="6B901579" w14:textId="77777777" w:rsidTr="00F25CD5">
        <w:trPr>
          <w:trHeight w:val="280"/>
        </w:trPr>
        <w:tc>
          <w:tcPr>
            <w:tcW w:w="1760" w:type="dxa"/>
            <w:tcBorders>
              <w:top w:val="single" w:sz="4" w:space="0" w:color="auto"/>
              <w:left w:val="nil"/>
              <w:bottom w:val="single" w:sz="4" w:space="0" w:color="auto"/>
              <w:right w:val="nil"/>
            </w:tcBorders>
            <w:shd w:val="clear" w:color="auto" w:fill="auto"/>
            <w:noWrap/>
            <w:vAlign w:val="bottom"/>
            <w:hideMark/>
          </w:tcPr>
          <w:p w14:paraId="7F7A877C"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Total</w:t>
            </w:r>
          </w:p>
        </w:tc>
        <w:tc>
          <w:tcPr>
            <w:tcW w:w="1220" w:type="dxa"/>
            <w:tcBorders>
              <w:top w:val="single" w:sz="4" w:space="0" w:color="auto"/>
              <w:left w:val="nil"/>
              <w:bottom w:val="single" w:sz="4" w:space="0" w:color="auto"/>
              <w:right w:val="nil"/>
            </w:tcBorders>
            <w:shd w:val="clear" w:color="auto" w:fill="auto"/>
            <w:noWrap/>
            <w:vAlign w:val="bottom"/>
            <w:hideMark/>
          </w:tcPr>
          <w:p w14:paraId="1AAC9FCD"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125898</w:t>
            </w:r>
          </w:p>
        </w:tc>
        <w:tc>
          <w:tcPr>
            <w:tcW w:w="880" w:type="dxa"/>
            <w:tcBorders>
              <w:top w:val="single" w:sz="4" w:space="0" w:color="auto"/>
              <w:left w:val="nil"/>
              <w:bottom w:val="single" w:sz="4" w:space="0" w:color="auto"/>
              <w:right w:val="nil"/>
            </w:tcBorders>
            <w:shd w:val="clear" w:color="auto" w:fill="auto"/>
            <w:noWrap/>
            <w:vAlign w:val="bottom"/>
            <w:hideMark/>
          </w:tcPr>
          <w:p w14:paraId="6B7B49C5"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100.0</w:t>
            </w:r>
          </w:p>
        </w:tc>
        <w:tc>
          <w:tcPr>
            <w:tcW w:w="1060" w:type="dxa"/>
            <w:tcBorders>
              <w:top w:val="single" w:sz="4" w:space="0" w:color="auto"/>
              <w:left w:val="nil"/>
              <w:bottom w:val="single" w:sz="4" w:space="0" w:color="auto"/>
              <w:right w:val="nil"/>
            </w:tcBorders>
            <w:shd w:val="clear" w:color="auto" w:fill="auto"/>
            <w:noWrap/>
            <w:vAlign w:val="bottom"/>
            <w:hideMark/>
          </w:tcPr>
          <w:p w14:paraId="73CA03A6"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2228.0</w:t>
            </w:r>
          </w:p>
        </w:tc>
        <w:tc>
          <w:tcPr>
            <w:tcW w:w="1060" w:type="dxa"/>
            <w:tcBorders>
              <w:top w:val="single" w:sz="4" w:space="0" w:color="auto"/>
              <w:left w:val="nil"/>
              <w:bottom w:val="single" w:sz="4" w:space="0" w:color="auto"/>
              <w:right w:val="nil"/>
            </w:tcBorders>
            <w:shd w:val="clear" w:color="auto" w:fill="auto"/>
            <w:noWrap/>
            <w:vAlign w:val="bottom"/>
            <w:hideMark/>
          </w:tcPr>
          <w:p w14:paraId="27FAE587"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2228.0</w:t>
            </w:r>
          </w:p>
        </w:tc>
        <w:tc>
          <w:tcPr>
            <w:tcW w:w="1060" w:type="dxa"/>
            <w:tcBorders>
              <w:top w:val="single" w:sz="4" w:space="0" w:color="auto"/>
              <w:left w:val="nil"/>
              <w:bottom w:val="single" w:sz="4" w:space="0" w:color="auto"/>
              <w:right w:val="nil"/>
            </w:tcBorders>
            <w:shd w:val="clear" w:color="auto" w:fill="auto"/>
            <w:noWrap/>
            <w:vAlign w:val="bottom"/>
            <w:hideMark/>
          </w:tcPr>
          <w:p w14:paraId="5F442703"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100.0</w:t>
            </w:r>
          </w:p>
        </w:tc>
        <w:tc>
          <w:tcPr>
            <w:tcW w:w="900" w:type="dxa"/>
            <w:tcBorders>
              <w:top w:val="single" w:sz="4" w:space="0" w:color="auto"/>
              <w:left w:val="nil"/>
              <w:bottom w:val="single" w:sz="4" w:space="0" w:color="auto"/>
              <w:right w:val="nil"/>
            </w:tcBorders>
            <w:shd w:val="clear" w:color="auto" w:fill="auto"/>
            <w:noWrap/>
            <w:vAlign w:val="bottom"/>
            <w:hideMark/>
          </w:tcPr>
          <w:p w14:paraId="5499760E"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4.7</w:t>
            </w:r>
          </w:p>
        </w:tc>
        <w:tc>
          <w:tcPr>
            <w:tcW w:w="920" w:type="dxa"/>
            <w:tcBorders>
              <w:top w:val="single" w:sz="4" w:space="0" w:color="auto"/>
              <w:left w:val="nil"/>
              <w:bottom w:val="single" w:sz="4" w:space="0" w:color="auto"/>
              <w:right w:val="nil"/>
            </w:tcBorders>
            <w:shd w:val="clear" w:color="auto" w:fill="auto"/>
            <w:noWrap/>
            <w:vAlign w:val="bottom"/>
            <w:hideMark/>
          </w:tcPr>
          <w:p w14:paraId="1E52DA5E"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w:t>
            </w:r>
          </w:p>
        </w:tc>
      </w:tr>
      <w:tr w:rsidR="00F25CD5" w:rsidRPr="00F25CD5" w14:paraId="3CF55BA0" w14:textId="77777777" w:rsidTr="00F25CD5">
        <w:trPr>
          <w:trHeight w:val="280"/>
        </w:trPr>
        <w:tc>
          <w:tcPr>
            <w:tcW w:w="2980" w:type="dxa"/>
            <w:gridSpan w:val="2"/>
            <w:tcBorders>
              <w:top w:val="nil"/>
              <w:left w:val="nil"/>
              <w:bottom w:val="nil"/>
              <w:right w:val="nil"/>
            </w:tcBorders>
            <w:shd w:val="clear" w:color="auto" w:fill="auto"/>
            <w:noWrap/>
            <w:vAlign w:val="bottom"/>
            <w:hideMark/>
          </w:tcPr>
          <w:p w14:paraId="1194AE2F"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proofErr w:type="spellStart"/>
            <w:proofErr w:type="gramStart"/>
            <w:r w:rsidRPr="00F25CD5">
              <w:rPr>
                <w:rFonts w:ascii="Times New Roman" w:eastAsia="Times New Roman" w:hAnsi="Times New Roman" w:cs="Times New Roman"/>
                <w:color w:val="000000"/>
                <w:sz w:val="20"/>
                <w:szCs w:val="20"/>
              </w:rPr>
              <w:t>df</w:t>
            </w:r>
            <w:proofErr w:type="spellEnd"/>
            <w:proofErr w:type="gramEnd"/>
            <w:r w:rsidRPr="00F25CD5">
              <w:rPr>
                <w:rFonts w:ascii="Times New Roman" w:eastAsia="Times New Roman" w:hAnsi="Times New Roman" w:cs="Times New Roman"/>
                <w:color w:val="000000"/>
                <w:sz w:val="20"/>
                <w:szCs w:val="20"/>
              </w:rPr>
              <w:t xml:space="preserve"> = 2, α = .05, sig of χ2 ≥ 3.84</w:t>
            </w:r>
          </w:p>
        </w:tc>
        <w:tc>
          <w:tcPr>
            <w:tcW w:w="880" w:type="dxa"/>
            <w:tcBorders>
              <w:top w:val="nil"/>
              <w:left w:val="nil"/>
              <w:bottom w:val="nil"/>
              <w:right w:val="nil"/>
            </w:tcBorders>
            <w:shd w:val="clear" w:color="auto" w:fill="auto"/>
            <w:noWrap/>
            <w:vAlign w:val="bottom"/>
            <w:hideMark/>
          </w:tcPr>
          <w:p w14:paraId="0FEAF1DB"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434D1B8D"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0026C485"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6A4DE30D"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p>
        </w:tc>
        <w:tc>
          <w:tcPr>
            <w:tcW w:w="900" w:type="dxa"/>
            <w:tcBorders>
              <w:top w:val="nil"/>
              <w:left w:val="nil"/>
              <w:bottom w:val="nil"/>
              <w:right w:val="nil"/>
            </w:tcBorders>
            <w:shd w:val="clear" w:color="auto" w:fill="auto"/>
            <w:noWrap/>
            <w:vAlign w:val="bottom"/>
            <w:hideMark/>
          </w:tcPr>
          <w:p w14:paraId="490C6787"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p>
        </w:tc>
        <w:tc>
          <w:tcPr>
            <w:tcW w:w="920" w:type="dxa"/>
            <w:tcBorders>
              <w:top w:val="nil"/>
              <w:left w:val="nil"/>
              <w:bottom w:val="nil"/>
              <w:right w:val="nil"/>
            </w:tcBorders>
            <w:shd w:val="clear" w:color="auto" w:fill="auto"/>
            <w:noWrap/>
            <w:vAlign w:val="bottom"/>
            <w:hideMark/>
          </w:tcPr>
          <w:p w14:paraId="7BEC8D4A"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p>
        </w:tc>
      </w:tr>
    </w:tbl>
    <w:p w14:paraId="20638CB2" w14:textId="77777777" w:rsidR="00F568D1" w:rsidRDefault="00F568D1" w:rsidP="00E148F7">
      <w:pPr>
        <w:spacing w:line="480" w:lineRule="auto"/>
        <w:rPr>
          <w:rFonts w:ascii="Times New Roman" w:hAnsi="Times New Roman" w:cs="Times New Roman"/>
          <w:sz w:val="24"/>
          <w:szCs w:val="24"/>
        </w:rPr>
      </w:pPr>
    </w:p>
    <w:p w14:paraId="4C28F8E6" w14:textId="57EE0BA4" w:rsidR="00F25CD5" w:rsidRDefault="00F25CD5" w:rsidP="00F25CD5">
      <w:pPr>
        <w:spacing w:line="240" w:lineRule="auto"/>
        <w:rPr>
          <w:rFonts w:ascii="Times New Roman" w:hAnsi="Times New Roman" w:cs="Times New Roman"/>
        </w:rPr>
      </w:pPr>
      <w:r w:rsidRPr="00007D2A">
        <w:rPr>
          <w:rFonts w:ascii="Times New Roman" w:hAnsi="Times New Roman" w:cs="Times New Roman"/>
          <w:b/>
        </w:rPr>
        <w:t>Table 6.</w:t>
      </w:r>
      <w:r>
        <w:rPr>
          <w:rFonts w:ascii="Times New Roman" w:hAnsi="Times New Roman" w:cs="Times New Roman"/>
          <w:b/>
        </w:rPr>
        <w:t>11</w:t>
      </w:r>
      <w:r w:rsidRPr="00007D2A">
        <w:rPr>
          <w:rFonts w:ascii="Times New Roman" w:hAnsi="Times New Roman" w:cs="Times New Roman"/>
          <w:b/>
        </w:rPr>
        <w:t>.</w:t>
      </w:r>
      <w:r w:rsidRPr="00007D2A">
        <w:rPr>
          <w:rFonts w:ascii="Times New Roman" w:hAnsi="Times New Roman" w:cs="Times New Roman"/>
        </w:rPr>
        <w:t xml:space="preserve">  </w:t>
      </w:r>
      <w:r>
        <w:rPr>
          <w:rFonts w:ascii="Times New Roman" w:hAnsi="Times New Roman" w:cs="Times New Roman"/>
        </w:rPr>
        <w:t>Test Statistics for the High and Low Probability Zones of the 2010 Historic Fort Polk Predictive Model for the 2010 FPPM Study Area.</w:t>
      </w:r>
    </w:p>
    <w:tbl>
      <w:tblPr>
        <w:tblW w:w="8860" w:type="dxa"/>
        <w:tblInd w:w="93" w:type="dxa"/>
        <w:tblLook w:val="04A0" w:firstRow="1" w:lastRow="0" w:firstColumn="1" w:lastColumn="0" w:noHBand="0" w:noVBand="1"/>
      </w:tblPr>
      <w:tblGrid>
        <w:gridCol w:w="1760"/>
        <w:gridCol w:w="1220"/>
        <w:gridCol w:w="880"/>
        <w:gridCol w:w="1060"/>
        <w:gridCol w:w="1060"/>
        <w:gridCol w:w="1060"/>
        <w:gridCol w:w="900"/>
        <w:gridCol w:w="920"/>
      </w:tblGrid>
      <w:tr w:rsidR="00F25CD5" w:rsidRPr="00F25CD5" w14:paraId="5F70B5DC" w14:textId="77777777" w:rsidTr="00F25CD5">
        <w:trPr>
          <w:trHeight w:val="280"/>
        </w:trPr>
        <w:tc>
          <w:tcPr>
            <w:tcW w:w="1760" w:type="dxa"/>
            <w:tcBorders>
              <w:top w:val="single" w:sz="4" w:space="0" w:color="auto"/>
              <w:left w:val="nil"/>
              <w:bottom w:val="single" w:sz="4" w:space="0" w:color="auto"/>
              <w:right w:val="nil"/>
            </w:tcBorders>
            <w:shd w:val="clear" w:color="auto" w:fill="auto"/>
            <w:noWrap/>
            <w:vAlign w:val="bottom"/>
            <w:hideMark/>
          </w:tcPr>
          <w:p w14:paraId="7682DEB2"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Probability Zone</w:t>
            </w:r>
          </w:p>
        </w:tc>
        <w:tc>
          <w:tcPr>
            <w:tcW w:w="1220" w:type="dxa"/>
            <w:tcBorders>
              <w:top w:val="single" w:sz="4" w:space="0" w:color="auto"/>
              <w:left w:val="nil"/>
              <w:bottom w:val="single" w:sz="4" w:space="0" w:color="auto"/>
              <w:right w:val="nil"/>
            </w:tcBorders>
            <w:shd w:val="clear" w:color="auto" w:fill="auto"/>
            <w:noWrap/>
            <w:vAlign w:val="bottom"/>
            <w:hideMark/>
          </w:tcPr>
          <w:p w14:paraId="15A64B14"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Area (m</w:t>
            </w:r>
            <w:r w:rsidRPr="00F25CD5">
              <w:rPr>
                <w:rFonts w:ascii="Times New Roman" w:eastAsia="Times New Roman" w:hAnsi="Times New Roman" w:cs="Times New Roman"/>
                <w:color w:val="000000"/>
                <w:sz w:val="20"/>
                <w:szCs w:val="20"/>
                <w:vertAlign w:val="superscript"/>
              </w:rPr>
              <w:t>2</w:t>
            </w:r>
            <w:r w:rsidRPr="00F25CD5">
              <w:rPr>
                <w:rFonts w:ascii="Times New Roman" w:eastAsia="Times New Roman" w:hAnsi="Times New Roman" w:cs="Times New Roman"/>
                <w:color w:val="000000"/>
                <w:sz w:val="20"/>
                <w:szCs w:val="20"/>
              </w:rPr>
              <w:t>)</w:t>
            </w:r>
          </w:p>
        </w:tc>
        <w:tc>
          <w:tcPr>
            <w:tcW w:w="880" w:type="dxa"/>
            <w:tcBorders>
              <w:top w:val="single" w:sz="4" w:space="0" w:color="auto"/>
              <w:left w:val="nil"/>
              <w:bottom w:val="single" w:sz="4" w:space="0" w:color="auto"/>
              <w:right w:val="nil"/>
            </w:tcBorders>
            <w:shd w:val="clear" w:color="auto" w:fill="auto"/>
            <w:noWrap/>
            <w:vAlign w:val="bottom"/>
            <w:hideMark/>
          </w:tcPr>
          <w:p w14:paraId="279AEDD9"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 xml:space="preserve">% </w:t>
            </w:r>
            <w:proofErr w:type="gramStart"/>
            <w:r w:rsidRPr="00F25CD5">
              <w:rPr>
                <w:rFonts w:ascii="Times New Roman" w:eastAsia="Times New Roman" w:hAnsi="Times New Roman" w:cs="Times New Roman"/>
                <w:color w:val="000000"/>
                <w:sz w:val="20"/>
                <w:szCs w:val="20"/>
              </w:rPr>
              <w:t>of</w:t>
            </w:r>
            <w:proofErr w:type="gramEnd"/>
            <w:r w:rsidRPr="00F25CD5">
              <w:rPr>
                <w:rFonts w:ascii="Times New Roman" w:eastAsia="Times New Roman" w:hAnsi="Times New Roman" w:cs="Times New Roman"/>
                <w:color w:val="000000"/>
                <w:sz w:val="20"/>
                <w:szCs w:val="20"/>
              </w:rPr>
              <w:t xml:space="preserve"> Area</w:t>
            </w:r>
          </w:p>
        </w:tc>
        <w:tc>
          <w:tcPr>
            <w:tcW w:w="1060" w:type="dxa"/>
            <w:tcBorders>
              <w:top w:val="single" w:sz="4" w:space="0" w:color="auto"/>
              <w:left w:val="nil"/>
              <w:bottom w:val="single" w:sz="4" w:space="0" w:color="auto"/>
              <w:right w:val="nil"/>
            </w:tcBorders>
            <w:shd w:val="clear" w:color="auto" w:fill="auto"/>
            <w:noWrap/>
            <w:vAlign w:val="bottom"/>
            <w:hideMark/>
          </w:tcPr>
          <w:p w14:paraId="7DA35E6B"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Expected Sites</w:t>
            </w:r>
          </w:p>
        </w:tc>
        <w:tc>
          <w:tcPr>
            <w:tcW w:w="1060" w:type="dxa"/>
            <w:tcBorders>
              <w:top w:val="single" w:sz="4" w:space="0" w:color="auto"/>
              <w:left w:val="nil"/>
              <w:bottom w:val="single" w:sz="4" w:space="0" w:color="auto"/>
              <w:right w:val="nil"/>
            </w:tcBorders>
            <w:shd w:val="clear" w:color="auto" w:fill="auto"/>
            <w:noWrap/>
            <w:vAlign w:val="bottom"/>
            <w:hideMark/>
          </w:tcPr>
          <w:p w14:paraId="7F6A1EBC"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Observed Sites</w:t>
            </w:r>
          </w:p>
        </w:tc>
        <w:tc>
          <w:tcPr>
            <w:tcW w:w="1060" w:type="dxa"/>
            <w:tcBorders>
              <w:top w:val="single" w:sz="4" w:space="0" w:color="auto"/>
              <w:left w:val="nil"/>
              <w:bottom w:val="single" w:sz="4" w:space="0" w:color="auto"/>
              <w:right w:val="nil"/>
            </w:tcBorders>
            <w:shd w:val="clear" w:color="auto" w:fill="auto"/>
            <w:noWrap/>
            <w:vAlign w:val="bottom"/>
            <w:hideMark/>
          </w:tcPr>
          <w:p w14:paraId="252A19D8"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 xml:space="preserve">% </w:t>
            </w:r>
            <w:proofErr w:type="gramStart"/>
            <w:r w:rsidRPr="00F25CD5">
              <w:rPr>
                <w:rFonts w:ascii="Times New Roman" w:eastAsia="Times New Roman" w:hAnsi="Times New Roman" w:cs="Times New Roman"/>
                <w:color w:val="000000"/>
                <w:sz w:val="20"/>
                <w:szCs w:val="20"/>
              </w:rPr>
              <w:t>of</w:t>
            </w:r>
            <w:proofErr w:type="gramEnd"/>
            <w:r w:rsidRPr="00F25CD5">
              <w:rPr>
                <w:rFonts w:ascii="Times New Roman" w:eastAsia="Times New Roman" w:hAnsi="Times New Roman" w:cs="Times New Roman"/>
                <w:color w:val="000000"/>
                <w:sz w:val="20"/>
                <w:szCs w:val="20"/>
              </w:rPr>
              <w:t xml:space="preserve"> Sites</w:t>
            </w:r>
          </w:p>
        </w:tc>
        <w:tc>
          <w:tcPr>
            <w:tcW w:w="900" w:type="dxa"/>
            <w:tcBorders>
              <w:top w:val="single" w:sz="4" w:space="0" w:color="auto"/>
              <w:left w:val="nil"/>
              <w:bottom w:val="single" w:sz="4" w:space="0" w:color="auto"/>
              <w:right w:val="nil"/>
            </w:tcBorders>
            <w:shd w:val="clear" w:color="auto" w:fill="auto"/>
            <w:noWrap/>
            <w:vAlign w:val="bottom"/>
            <w:hideMark/>
          </w:tcPr>
          <w:p w14:paraId="5B2E3D92"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χ2</w:t>
            </w:r>
          </w:p>
        </w:tc>
        <w:tc>
          <w:tcPr>
            <w:tcW w:w="920" w:type="dxa"/>
            <w:tcBorders>
              <w:top w:val="single" w:sz="4" w:space="0" w:color="auto"/>
              <w:left w:val="nil"/>
              <w:bottom w:val="single" w:sz="4" w:space="0" w:color="auto"/>
              <w:right w:val="nil"/>
            </w:tcBorders>
            <w:shd w:val="clear" w:color="auto" w:fill="auto"/>
            <w:noWrap/>
            <w:vAlign w:val="bottom"/>
            <w:hideMark/>
          </w:tcPr>
          <w:p w14:paraId="17FCFC88"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Gain</w:t>
            </w:r>
          </w:p>
        </w:tc>
      </w:tr>
      <w:tr w:rsidR="00F25CD5" w:rsidRPr="00F25CD5" w14:paraId="66ECEE90" w14:textId="77777777" w:rsidTr="00F25CD5">
        <w:trPr>
          <w:trHeight w:val="280"/>
        </w:trPr>
        <w:tc>
          <w:tcPr>
            <w:tcW w:w="1760" w:type="dxa"/>
            <w:tcBorders>
              <w:top w:val="nil"/>
              <w:left w:val="nil"/>
              <w:bottom w:val="nil"/>
              <w:right w:val="nil"/>
            </w:tcBorders>
            <w:shd w:val="clear" w:color="auto" w:fill="auto"/>
            <w:noWrap/>
            <w:vAlign w:val="bottom"/>
            <w:hideMark/>
          </w:tcPr>
          <w:p w14:paraId="01FDAB91"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High</w:t>
            </w:r>
          </w:p>
        </w:tc>
        <w:tc>
          <w:tcPr>
            <w:tcW w:w="1220" w:type="dxa"/>
            <w:tcBorders>
              <w:top w:val="nil"/>
              <w:left w:val="nil"/>
              <w:bottom w:val="nil"/>
              <w:right w:val="nil"/>
            </w:tcBorders>
            <w:shd w:val="clear" w:color="auto" w:fill="auto"/>
            <w:noWrap/>
            <w:vAlign w:val="bottom"/>
            <w:hideMark/>
          </w:tcPr>
          <w:p w14:paraId="7BAB89B4"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106639</w:t>
            </w:r>
          </w:p>
        </w:tc>
        <w:tc>
          <w:tcPr>
            <w:tcW w:w="880" w:type="dxa"/>
            <w:tcBorders>
              <w:top w:val="nil"/>
              <w:left w:val="nil"/>
              <w:bottom w:val="nil"/>
              <w:right w:val="nil"/>
            </w:tcBorders>
            <w:shd w:val="clear" w:color="auto" w:fill="auto"/>
            <w:noWrap/>
            <w:vAlign w:val="bottom"/>
            <w:hideMark/>
          </w:tcPr>
          <w:p w14:paraId="7ECEA8CA"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85.5</w:t>
            </w:r>
          </w:p>
        </w:tc>
        <w:tc>
          <w:tcPr>
            <w:tcW w:w="1060" w:type="dxa"/>
            <w:tcBorders>
              <w:top w:val="nil"/>
              <w:left w:val="nil"/>
              <w:bottom w:val="nil"/>
              <w:right w:val="nil"/>
            </w:tcBorders>
            <w:shd w:val="clear" w:color="auto" w:fill="auto"/>
            <w:noWrap/>
            <w:vAlign w:val="bottom"/>
            <w:hideMark/>
          </w:tcPr>
          <w:p w14:paraId="592E3B9A"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216.4</w:t>
            </w:r>
          </w:p>
        </w:tc>
        <w:tc>
          <w:tcPr>
            <w:tcW w:w="1060" w:type="dxa"/>
            <w:tcBorders>
              <w:top w:val="nil"/>
              <w:left w:val="nil"/>
              <w:bottom w:val="nil"/>
              <w:right w:val="nil"/>
            </w:tcBorders>
            <w:shd w:val="clear" w:color="auto" w:fill="auto"/>
            <w:noWrap/>
            <w:vAlign w:val="bottom"/>
            <w:hideMark/>
          </w:tcPr>
          <w:p w14:paraId="5DB16447"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239.0</w:t>
            </w:r>
          </w:p>
        </w:tc>
        <w:tc>
          <w:tcPr>
            <w:tcW w:w="1060" w:type="dxa"/>
            <w:tcBorders>
              <w:top w:val="nil"/>
              <w:left w:val="nil"/>
              <w:bottom w:val="nil"/>
              <w:right w:val="nil"/>
            </w:tcBorders>
            <w:shd w:val="clear" w:color="auto" w:fill="auto"/>
            <w:noWrap/>
            <w:vAlign w:val="bottom"/>
            <w:hideMark/>
          </w:tcPr>
          <w:p w14:paraId="7960CFC1"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94.5</w:t>
            </w:r>
          </w:p>
        </w:tc>
        <w:tc>
          <w:tcPr>
            <w:tcW w:w="900" w:type="dxa"/>
            <w:tcBorders>
              <w:top w:val="nil"/>
              <w:left w:val="nil"/>
              <w:bottom w:val="nil"/>
              <w:right w:val="nil"/>
            </w:tcBorders>
            <w:shd w:val="clear" w:color="auto" w:fill="auto"/>
            <w:noWrap/>
            <w:vAlign w:val="bottom"/>
            <w:hideMark/>
          </w:tcPr>
          <w:p w14:paraId="120F28C2" w14:textId="77777777" w:rsidR="00F25CD5" w:rsidRPr="00F25CD5" w:rsidRDefault="00F25CD5" w:rsidP="00F25CD5">
            <w:pPr>
              <w:spacing w:after="0" w:line="240" w:lineRule="auto"/>
              <w:jc w:val="center"/>
              <w:rPr>
                <w:rFonts w:ascii="Times New Roman" w:eastAsia="Times New Roman" w:hAnsi="Times New Roman" w:cs="Times New Roman"/>
                <w:sz w:val="20"/>
                <w:szCs w:val="20"/>
              </w:rPr>
            </w:pPr>
            <w:r w:rsidRPr="00F25CD5">
              <w:rPr>
                <w:rFonts w:ascii="Times New Roman" w:eastAsia="Times New Roman" w:hAnsi="Times New Roman" w:cs="Times New Roman"/>
                <w:sz w:val="20"/>
                <w:szCs w:val="20"/>
              </w:rPr>
              <w:t>2.4</w:t>
            </w:r>
          </w:p>
        </w:tc>
        <w:tc>
          <w:tcPr>
            <w:tcW w:w="920" w:type="dxa"/>
            <w:tcBorders>
              <w:top w:val="nil"/>
              <w:left w:val="nil"/>
              <w:bottom w:val="nil"/>
              <w:right w:val="nil"/>
            </w:tcBorders>
            <w:shd w:val="clear" w:color="auto" w:fill="auto"/>
            <w:noWrap/>
            <w:vAlign w:val="bottom"/>
            <w:hideMark/>
          </w:tcPr>
          <w:p w14:paraId="6A9B67E0"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0.09</w:t>
            </w:r>
          </w:p>
        </w:tc>
      </w:tr>
      <w:tr w:rsidR="00F25CD5" w:rsidRPr="00F25CD5" w14:paraId="319B2C0A" w14:textId="77777777" w:rsidTr="00F25CD5">
        <w:trPr>
          <w:trHeight w:val="280"/>
        </w:trPr>
        <w:tc>
          <w:tcPr>
            <w:tcW w:w="1760" w:type="dxa"/>
            <w:tcBorders>
              <w:top w:val="nil"/>
              <w:left w:val="nil"/>
              <w:bottom w:val="nil"/>
              <w:right w:val="nil"/>
            </w:tcBorders>
            <w:shd w:val="clear" w:color="auto" w:fill="auto"/>
            <w:noWrap/>
            <w:vAlign w:val="bottom"/>
            <w:hideMark/>
          </w:tcPr>
          <w:p w14:paraId="2A89039F"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Low</w:t>
            </w:r>
          </w:p>
        </w:tc>
        <w:tc>
          <w:tcPr>
            <w:tcW w:w="1220" w:type="dxa"/>
            <w:tcBorders>
              <w:top w:val="nil"/>
              <w:left w:val="nil"/>
              <w:bottom w:val="nil"/>
              <w:right w:val="nil"/>
            </w:tcBorders>
            <w:shd w:val="clear" w:color="auto" w:fill="auto"/>
            <w:noWrap/>
            <w:vAlign w:val="bottom"/>
            <w:hideMark/>
          </w:tcPr>
          <w:p w14:paraId="655CC785"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18018</w:t>
            </w:r>
          </w:p>
        </w:tc>
        <w:tc>
          <w:tcPr>
            <w:tcW w:w="880" w:type="dxa"/>
            <w:tcBorders>
              <w:top w:val="nil"/>
              <w:left w:val="nil"/>
              <w:bottom w:val="nil"/>
              <w:right w:val="nil"/>
            </w:tcBorders>
            <w:shd w:val="clear" w:color="auto" w:fill="auto"/>
            <w:noWrap/>
            <w:vAlign w:val="bottom"/>
            <w:hideMark/>
          </w:tcPr>
          <w:p w14:paraId="335F3493"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14.5</w:t>
            </w:r>
          </w:p>
        </w:tc>
        <w:tc>
          <w:tcPr>
            <w:tcW w:w="1060" w:type="dxa"/>
            <w:tcBorders>
              <w:top w:val="nil"/>
              <w:left w:val="nil"/>
              <w:bottom w:val="nil"/>
              <w:right w:val="nil"/>
            </w:tcBorders>
            <w:shd w:val="clear" w:color="auto" w:fill="auto"/>
            <w:noWrap/>
            <w:vAlign w:val="bottom"/>
            <w:hideMark/>
          </w:tcPr>
          <w:p w14:paraId="6670BD86"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36.6</w:t>
            </w:r>
          </w:p>
        </w:tc>
        <w:tc>
          <w:tcPr>
            <w:tcW w:w="1060" w:type="dxa"/>
            <w:tcBorders>
              <w:top w:val="nil"/>
              <w:left w:val="nil"/>
              <w:bottom w:val="nil"/>
              <w:right w:val="nil"/>
            </w:tcBorders>
            <w:shd w:val="clear" w:color="auto" w:fill="auto"/>
            <w:noWrap/>
            <w:vAlign w:val="bottom"/>
            <w:hideMark/>
          </w:tcPr>
          <w:p w14:paraId="0E239A85"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14.0</w:t>
            </w:r>
          </w:p>
        </w:tc>
        <w:tc>
          <w:tcPr>
            <w:tcW w:w="1060" w:type="dxa"/>
            <w:tcBorders>
              <w:top w:val="nil"/>
              <w:left w:val="nil"/>
              <w:bottom w:val="nil"/>
              <w:right w:val="nil"/>
            </w:tcBorders>
            <w:shd w:val="clear" w:color="auto" w:fill="auto"/>
            <w:noWrap/>
            <w:vAlign w:val="bottom"/>
            <w:hideMark/>
          </w:tcPr>
          <w:p w14:paraId="06EB95D2"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5.5</w:t>
            </w:r>
          </w:p>
        </w:tc>
        <w:tc>
          <w:tcPr>
            <w:tcW w:w="900" w:type="dxa"/>
            <w:tcBorders>
              <w:top w:val="nil"/>
              <w:left w:val="nil"/>
              <w:bottom w:val="nil"/>
              <w:right w:val="nil"/>
            </w:tcBorders>
            <w:shd w:val="clear" w:color="auto" w:fill="auto"/>
            <w:noWrap/>
            <w:vAlign w:val="bottom"/>
            <w:hideMark/>
          </w:tcPr>
          <w:p w14:paraId="16DF40EE"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13.9</w:t>
            </w:r>
          </w:p>
        </w:tc>
        <w:tc>
          <w:tcPr>
            <w:tcW w:w="920" w:type="dxa"/>
            <w:tcBorders>
              <w:top w:val="nil"/>
              <w:left w:val="nil"/>
              <w:bottom w:val="nil"/>
              <w:right w:val="nil"/>
            </w:tcBorders>
            <w:shd w:val="clear" w:color="auto" w:fill="auto"/>
            <w:noWrap/>
            <w:vAlign w:val="bottom"/>
            <w:hideMark/>
          </w:tcPr>
          <w:p w14:paraId="0DCAA150"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-1.61</w:t>
            </w:r>
          </w:p>
        </w:tc>
      </w:tr>
      <w:tr w:rsidR="00F25CD5" w:rsidRPr="00F25CD5" w14:paraId="19C827F5" w14:textId="77777777" w:rsidTr="00F25CD5">
        <w:trPr>
          <w:trHeight w:val="280"/>
        </w:trPr>
        <w:tc>
          <w:tcPr>
            <w:tcW w:w="1760" w:type="dxa"/>
            <w:tcBorders>
              <w:top w:val="single" w:sz="4" w:space="0" w:color="auto"/>
              <w:left w:val="nil"/>
              <w:bottom w:val="single" w:sz="4" w:space="0" w:color="auto"/>
              <w:right w:val="nil"/>
            </w:tcBorders>
            <w:shd w:val="clear" w:color="auto" w:fill="auto"/>
            <w:noWrap/>
            <w:vAlign w:val="bottom"/>
            <w:hideMark/>
          </w:tcPr>
          <w:p w14:paraId="28F55B65"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Total</w:t>
            </w:r>
          </w:p>
        </w:tc>
        <w:tc>
          <w:tcPr>
            <w:tcW w:w="1220" w:type="dxa"/>
            <w:tcBorders>
              <w:top w:val="single" w:sz="4" w:space="0" w:color="auto"/>
              <w:left w:val="nil"/>
              <w:bottom w:val="single" w:sz="4" w:space="0" w:color="auto"/>
              <w:right w:val="nil"/>
            </w:tcBorders>
            <w:shd w:val="clear" w:color="auto" w:fill="auto"/>
            <w:noWrap/>
            <w:vAlign w:val="bottom"/>
            <w:hideMark/>
          </w:tcPr>
          <w:p w14:paraId="67BFEA69"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124657</w:t>
            </w:r>
          </w:p>
        </w:tc>
        <w:tc>
          <w:tcPr>
            <w:tcW w:w="880" w:type="dxa"/>
            <w:tcBorders>
              <w:top w:val="single" w:sz="4" w:space="0" w:color="auto"/>
              <w:left w:val="nil"/>
              <w:bottom w:val="single" w:sz="4" w:space="0" w:color="auto"/>
              <w:right w:val="nil"/>
            </w:tcBorders>
            <w:shd w:val="clear" w:color="auto" w:fill="auto"/>
            <w:noWrap/>
            <w:vAlign w:val="bottom"/>
            <w:hideMark/>
          </w:tcPr>
          <w:p w14:paraId="4890AB3D"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100.0</w:t>
            </w:r>
          </w:p>
        </w:tc>
        <w:tc>
          <w:tcPr>
            <w:tcW w:w="1060" w:type="dxa"/>
            <w:tcBorders>
              <w:top w:val="single" w:sz="4" w:space="0" w:color="auto"/>
              <w:left w:val="nil"/>
              <w:bottom w:val="single" w:sz="4" w:space="0" w:color="auto"/>
              <w:right w:val="nil"/>
            </w:tcBorders>
            <w:shd w:val="clear" w:color="auto" w:fill="auto"/>
            <w:noWrap/>
            <w:vAlign w:val="bottom"/>
            <w:hideMark/>
          </w:tcPr>
          <w:p w14:paraId="71062EFB"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253.0</w:t>
            </w:r>
          </w:p>
        </w:tc>
        <w:tc>
          <w:tcPr>
            <w:tcW w:w="1060" w:type="dxa"/>
            <w:tcBorders>
              <w:top w:val="single" w:sz="4" w:space="0" w:color="auto"/>
              <w:left w:val="nil"/>
              <w:bottom w:val="single" w:sz="4" w:space="0" w:color="auto"/>
              <w:right w:val="nil"/>
            </w:tcBorders>
            <w:shd w:val="clear" w:color="auto" w:fill="auto"/>
            <w:noWrap/>
            <w:vAlign w:val="bottom"/>
            <w:hideMark/>
          </w:tcPr>
          <w:p w14:paraId="15453BA3"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253.0</w:t>
            </w:r>
          </w:p>
        </w:tc>
        <w:tc>
          <w:tcPr>
            <w:tcW w:w="1060" w:type="dxa"/>
            <w:tcBorders>
              <w:top w:val="single" w:sz="4" w:space="0" w:color="auto"/>
              <w:left w:val="nil"/>
              <w:bottom w:val="single" w:sz="4" w:space="0" w:color="auto"/>
              <w:right w:val="nil"/>
            </w:tcBorders>
            <w:shd w:val="clear" w:color="auto" w:fill="auto"/>
            <w:noWrap/>
            <w:vAlign w:val="bottom"/>
            <w:hideMark/>
          </w:tcPr>
          <w:p w14:paraId="1C0D97C9"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100.0</w:t>
            </w:r>
          </w:p>
        </w:tc>
        <w:tc>
          <w:tcPr>
            <w:tcW w:w="900" w:type="dxa"/>
            <w:tcBorders>
              <w:top w:val="single" w:sz="4" w:space="0" w:color="auto"/>
              <w:left w:val="nil"/>
              <w:bottom w:val="single" w:sz="4" w:space="0" w:color="auto"/>
              <w:right w:val="nil"/>
            </w:tcBorders>
            <w:shd w:val="clear" w:color="auto" w:fill="auto"/>
            <w:noWrap/>
            <w:vAlign w:val="bottom"/>
            <w:hideMark/>
          </w:tcPr>
          <w:p w14:paraId="5084BD01"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16.3</w:t>
            </w:r>
          </w:p>
        </w:tc>
        <w:tc>
          <w:tcPr>
            <w:tcW w:w="920" w:type="dxa"/>
            <w:tcBorders>
              <w:top w:val="single" w:sz="4" w:space="0" w:color="auto"/>
              <w:left w:val="nil"/>
              <w:bottom w:val="single" w:sz="4" w:space="0" w:color="auto"/>
              <w:right w:val="nil"/>
            </w:tcBorders>
            <w:shd w:val="clear" w:color="auto" w:fill="auto"/>
            <w:noWrap/>
            <w:vAlign w:val="bottom"/>
            <w:hideMark/>
          </w:tcPr>
          <w:p w14:paraId="0F53B80B"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w:t>
            </w:r>
          </w:p>
        </w:tc>
      </w:tr>
      <w:tr w:rsidR="00F25CD5" w:rsidRPr="00F25CD5" w14:paraId="594BD091" w14:textId="77777777" w:rsidTr="00F25CD5">
        <w:trPr>
          <w:trHeight w:val="280"/>
        </w:trPr>
        <w:tc>
          <w:tcPr>
            <w:tcW w:w="2980" w:type="dxa"/>
            <w:gridSpan w:val="2"/>
            <w:tcBorders>
              <w:top w:val="nil"/>
              <w:left w:val="nil"/>
              <w:bottom w:val="nil"/>
              <w:right w:val="nil"/>
            </w:tcBorders>
            <w:shd w:val="clear" w:color="auto" w:fill="auto"/>
            <w:noWrap/>
            <w:vAlign w:val="bottom"/>
            <w:hideMark/>
          </w:tcPr>
          <w:p w14:paraId="2EB1B10E"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proofErr w:type="spellStart"/>
            <w:proofErr w:type="gramStart"/>
            <w:r w:rsidRPr="00F25CD5">
              <w:rPr>
                <w:rFonts w:ascii="Times New Roman" w:eastAsia="Times New Roman" w:hAnsi="Times New Roman" w:cs="Times New Roman"/>
                <w:color w:val="000000"/>
                <w:sz w:val="20"/>
                <w:szCs w:val="20"/>
              </w:rPr>
              <w:t>df</w:t>
            </w:r>
            <w:proofErr w:type="spellEnd"/>
            <w:proofErr w:type="gramEnd"/>
            <w:r w:rsidRPr="00F25CD5">
              <w:rPr>
                <w:rFonts w:ascii="Times New Roman" w:eastAsia="Times New Roman" w:hAnsi="Times New Roman" w:cs="Times New Roman"/>
                <w:color w:val="000000"/>
                <w:sz w:val="20"/>
                <w:szCs w:val="20"/>
              </w:rPr>
              <w:t xml:space="preserve"> = 2, α = .05, sig of χ2 ≥ 3.84</w:t>
            </w:r>
          </w:p>
        </w:tc>
        <w:tc>
          <w:tcPr>
            <w:tcW w:w="880" w:type="dxa"/>
            <w:tcBorders>
              <w:top w:val="nil"/>
              <w:left w:val="nil"/>
              <w:bottom w:val="nil"/>
              <w:right w:val="nil"/>
            </w:tcBorders>
            <w:shd w:val="clear" w:color="auto" w:fill="auto"/>
            <w:noWrap/>
            <w:vAlign w:val="bottom"/>
            <w:hideMark/>
          </w:tcPr>
          <w:p w14:paraId="71E231C3"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0D9BF137"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328189B2"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2E8C4CC7"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p>
        </w:tc>
        <w:tc>
          <w:tcPr>
            <w:tcW w:w="900" w:type="dxa"/>
            <w:tcBorders>
              <w:top w:val="nil"/>
              <w:left w:val="nil"/>
              <w:bottom w:val="nil"/>
              <w:right w:val="nil"/>
            </w:tcBorders>
            <w:shd w:val="clear" w:color="auto" w:fill="auto"/>
            <w:noWrap/>
            <w:vAlign w:val="bottom"/>
            <w:hideMark/>
          </w:tcPr>
          <w:p w14:paraId="576A4356"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p>
        </w:tc>
        <w:tc>
          <w:tcPr>
            <w:tcW w:w="920" w:type="dxa"/>
            <w:tcBorders>
              <w:top w:val="nil"/>
              <w:left w:val="nil"/>
              <w:bottom w:val="nil"/>
              <w:right w:val="nil"/>
            </w:tcBorders>
            <w:shd w:val="clear" w:color="auto" w:fill="auto"/>
            <w:noWrap/>
            <w:vAlign w:val="bottom"/>
            <w:hideMark/>
          </w:tcPr>
          <w:p w14:paraId="22A61A4D"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p>
        </w:tc>
      </w:tr>
    </w:tbl>
    <w:p w14:paraId="5DB524BF" w14:textId="77777777" w:rsidR="00F25CD5" w:rsidRDefault="00F25CD5" w:rsidP="00E148F7">
      <w:pPr>
        <w:spacing w:line="480" w:lineRule="auto"/>
        <w:rPr>
          <w:rFonts w:ascii="Times New Roman" w:hAnsi="Times New Roman" w:cs="Times New Roman"/>
          <w:sz w:val="24"/>
          <w:szCs w:val="24"/>
        </w:rPr>
      </w:pPr>
    </w:p>
    <w:p w14:paraId="22D3BDC1" w14:textId="6AB64486" w:rsidR="00F25CD5" w:rsidRDefault="00F25CD5" w:rsidP="00F25CD5">
      <w:pPr>
        <w:spacing w:line="240" w:lineRule="auto"/>
        <w:rPr>
          <w:rFonts w:ascii="Times New Roman" w:hAnsi="Times New Roman" w:cs="Times New Roman"/>
        </w:rPr>
      </w:pPr>
      <w:r w:rsidRPr="00007D2A">
        <w:rPr>
          <w:rFonts w:ascii="Times New Roman" w:hAnsi="Times New Roman" w:cs="Times New Roman"/>
          <w:b/>
        </w:rPr>
        <w:lastRenderedPageBreak/>
        <w:t>Table 6.</w:t>
      </w:r>
      <w:r>
        <w:rPr>
          <w:rFonts w:ascii="Times New Roman" w:hAnsi="Times New Roman" w:cs="Times New Roman"/>
          <w:b/>
        </w:rPr>
        <w:t>12</w:t>
      </w:r>
      <w:r w:rsidRPr="00007D2A">
        <w:rPr>
          <w:rFonts w:ascii="Times New Roman" w:hAnsi="Times New Roman" w:cs="Times New Roman"/>
          <w:b/>
        </w:rPr>
        <w:t>.</w:t>
      </w:r>
      <w:r w:rsidRPr="00007D2A">
        <w:rPr>
          <w:rFonts w:ascii="Times New Roman" w:hAnsi="Times New Roman" w:cs="Times New Roman"/>
        </w:rPr>
        <w:t xml:space="preserve">  </w:t>
      </w:r>
      <w:r>
        <w:rPr>
          <w:rFonts w:ascii="Times New Roman" w:hAnsi="Times New Roman" w:cs="Times New Roman"/>
        </w:rPr>
        <w:t>Test Statistics for the High (includes Medium) and Low Probability Zones of the Proposed 2011 K</w:t>
      </w:r>
      <w:r w:rsidR="00035E5C">
        <w:rPr>
          <w:rFonts w:ascii="Times New Roman" w:hAnsi="Times New Roman" w:cs="Times New Roman"/>
        </w:rPr>
        <w:t>isatchie National Forest Predictive</w:t>
      </w:r>
      <w:r>
        <w:rPr>
          <w:rFonts w:ascii="Times New Roman" w:hAnsi="Times New Roman" w:cs="Times New Roman"/>
        </w:rPr>
        <w:t xml:space="preserve"> Model for the Calcasieu District Study Area Including All Sites.</w:t>
      </w:r>
    </w:p>
    <w:tbl>
      <w:tblPr>
        <w:tblW w:w="8860" w:type="dxa"/>
        <w:tblInd w:w="93" w:type="dxa"/>
        <w:tblLook w:val="04A0" w:firstRow="1" w:lastRow="0" w:firstColumn="1" w:lastColumn="0" w:noHBand="0" w:noVBand="1"/>
      </w:tblPr>
      <w:tblGrid>
        <w:gridCol w:w="1760"/>
        <w:gridCol w:w="1220"/>
        <w:gridCol w:w="880"/>
        <w:gridCol w:w="1060"/>
        <w:gridCol w:w="1060"/>
        <w:gridCol w:w="1060"/>
        <w:gridCol w:w="900"/>
        <w:gridCol w:w="920"/>
      </w:tblGrid>
      <w:tr w:rsidR="00F25CD5" w:rsidRPr="00F25CD5" w14:paraId="5FF23AC4" w14:textId="77777777" w:rsidTr="00F25CD5">
        <w:trPr>
          <w:trHeight w:val="280"/>
        </w:trPr>
        <w:tc>
          <w:tcPr>
            <w:tcW w:w="1760" w:type="dxa"/>
            <w:tcBorders>
              <w:top w:val="single" w:sz="4" w:space="0" w:color="auto"/>
              <w:left w:val="nil"/>
              <w:bottom w:val="single" w:sz="4" w:space="0" w:color="auto"/>
              <w:right w:val="nil"/>
            </w:tcBorders>
            <w:shd w:val="clear" w:color="auto" w:fill="auto"/>
            <w:noWrap/>
            <w:vAlign w:val="bottom"/>
            <w:hideMark/>
          </w:tcPr>
          <w:p w14:paraId="338BFE74"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Probability Zone</w:t>
            </w:r>
          </w:p>
        </w:tc>
        <w:tc>
          <w:tcPr>
            <w:tcW w:w="1220" w:type="dxa"/>
            <w:tcBorders>
              <w:top w:val="single" w:sz="4" w:space="0" w:color="auto"/>
              <w:left w:val="nil"/>
              <w:bottom w:val="single" w:sz="4" w:space="0" w:color="auto"/>
              <w:right w:val="nil"/>
            </w:tcBorders>
            <w:shd w:val="clear" w:color="auto" w:fill="auto"/>
            <w:noWrap/>
            <w:vAlign w:val="bottom"/>
            <w:hideMark/>
          </w:tcPr>
          <w:p w14:paraId="1CAD8714"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Area (m</w:t>
            </w:r>
            <w:r w:rsidRPr="00F25CD5">
              <w:rPr>
                <w:rFonts w:ascii="Times New Roman" w:eastAsia="Times New Roman" w:hAnsi="Times New Roman" w:cs="Times New Roman"/>
                <w:color w:val="000000"/>
                <w:sz w:val="20"/>
                <w:szCs w:val="20"/>
                <w:vertAlign w:val="superscript"/>
              </w:rPr>
              <w:t>2</w:t>
            </w:r>
            <w:r w:rsidRPr="00F25CD5">
              <w:rPr>
                <w:rFonts w:ascii="Times New Roman" w:eastAsia="Times New Roman" w:hAnsi="Times New Roman" w:cs="Times New Roman"/>
                <w:color w:val="000000"/>
                <w:sz w:val="20"/>
                <w:szCs w:val="20"/>
              </w:rPr>
              <w:t>)</w:t>
            </w:r>
          </w:p>
        </w:tc>
        <w:tc>
          <w:tcPr>
            <w:tcW w:w="880" w:type="dxa"/>
            <w:tcBorders>
              <w:top w:val="single" w:sz="4" w:space="0" w:color="auto"/>
              <w:left w:val="nil"/>
              <w:bottom w:val="single" w:sz="4" w:space="0" w:color="auto"/>
              <w:right w:val="nil"/>
            </w:tcBorders>
            <w:shd w:val="clear" w:color="auto" w:fill="auto"/>
            <w:noWrap/>
            <w:vAlign w:val="bottom"/>
            <w:hideMark/>
          </w:tcPr>
          <w:p w14:paraId="4823C310"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 xml:space="preserve">% </w:t>
            </w:r>
            <w:proofErr w:type="gramStart"/>
            <w:r w:rsidRPr="00F25CD5">
              <w:rPr>
                <w:rFonts w:ascii="Times New Roman" w:eastAsia="Times New Roman" w:hAnsi="Times New Roman" w:cs="Times New Roman"/>
                <w:color w:val="000000"/>
                <w:sz w:val="20"/>
                <w:szCs w:val="20"/>
              </w:rPr>
              <w:t>of</w:t>
            </w:r>
            <w:proofErr w:type="gramEnd"/>
            <w:r w:rsidRPr="00F25CD5">
              <w:rPr>
                <w:rFonts w:ascii="Times New Roman" w:eastAsia="Times New Roman" w:hAnsi="Times New Roman" w:cs="Times New Roman"/>
                <w:color w:val="000000"/>
                <w:sz w:val="20"/>
                <w:szCs w:val="20"/>
              </w:rPr>
              <w:t xml:space="preserve"> Area</w:t>
            </w:r>
          </w:p>
        </w:tc>
        <w:tc>
          <w:tcPr>
            <w:tcW w:w="1060" w:type="dxa"/>
            <w:tcBorders>
              <w:top w:val="single" w:sz="4" w:space="0" w:color="auto"/>
              <w:left w:val="nil"/>
              <w:bottom w:val="single" w:sz="4" w:space="0" w:color="auto"/>
              <w:right w:val="nil"/>
            </w:tcBorders>
            <w:shd w:val="clear" w:color="auto" w:fill="auto"/>
            <w:noWrap/>
            <w:vAlign w:val="bottom"/>
            <w:hideMark/>
          </w:tcPr>
          <w:p w14:paraId="1EFF0A84"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Expected Sites</w:t>
            </w:r>
          </w:p>
        </w:tc>
        <w:tc>
          <w:tcPr>
            <w:tcW w:w="1060" w:type="dxa"/>
            <w:tcBorders>
              <w:top w:val="single" w:sz="4" w:space="0" w:color="auto"/>
              <w:left w:val="nil"/>
              <w:bottom w:val="single" w:sz="4" w:space="0" w:color="auto"/>
              <w:right w:val="nil"/>
            </w:tcBorders>
            <w:shd w:val="clear" w:color="auto" w:fill="auto"/>
            <w:noWrap/>
            <w:vAlign w:val="bottom"/>
            <w:hideMark/>
          </w:tcPr>
          <w:p w14:paraId="39432B4B"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Observed Sites</w:t>
            </w:r>
          </w:p>
        </w:tc>
        <w:tc>
          <w:tcPr>
            <w:tcW w:w="1060" w:type="dxa"/>
            <w:tcBorders>
              <w:top w:val="single" w:sz="4" w:space="0" w:color="auto"/>
              <w:left w:val="nil"/>
              <w:bottom w:val="single" w:sz="4" w:space="0" w:color="auto"/>
              <w:right w:val="nil"/>
            </w:tcBorders>
            <w:shd w:val="clear" w:color="auto" w:fill="auto"/>
            <w:noWrap/>
            <w:vAlign w:val="bottom"/>
            <w:hideMark/>
          </w:tcPr>
          <w:p w14:paraId="60E09EB5"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 xml:space="preserve">% </w:t>
            </w:r>
            <w:proofErr w:type="gramStart"/>
            <w:r w:rsidRPr="00F25CD5">
              <w:rPr>
                <w:rFonts w:ascii="Times New Roman" w:eastAsia="Times New Roman" w:hAnsi="Times New Roman" w:cs="Times New Roman"/>
                <w:color w:val="000000"/>
                <w:sz w:val="20"/>
                <w:szCs w:val="20"/>
              </w:rPr>
              <w:t>of</w:t>
            </w:r>
            <w:proofErr w:type="gramEnd"/>
            <w:r w:rsidRPr="00F25CD5">
              <w:rPr>
                <w:rFonts w:ascii="Times New Roman" w:eastAsia="Times New Roman" w:hAnsi="Times New Roman" w:cs="Times New Roman"/>
                <w:color w:val="000000"/>
                <w:sz w:val="20"/>
                <w:szCs w:val="20"/>
              </w:rPr>
              <w:t xml:space="preserve"> Sites</w:t>
            </w:r>
          </w:p>
        </w:tc>
        <w:tc>
          <w:tcPr>
            <w:tcW w:w="900" w:type="dxa"/>
            <w:tcBorders>
              <w:top w:val="single" w:sz="4" w:space="0" w:color="auto"/>
              <w:left w:val="nil"/>
              <w:bottom w:val="single" w:sz="4" w:space="0" w:color="auto"/>
              <w:right w:val="nil"/>
            </w:tcBorders>
            <w:shd w:val="clear" w:color="auto" w:fill="auto"/>
            <w:noWrap/>
            <w:vAlign w:val="bottom"/>
            <w:hideMark/>
          </w:tcPr>
          <w:p w14:paraId="24356404"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χ2</w:t>
            </w:r>
          </w:p>
        </w:tc>
        <w:tc>
          <w:tcPr>
            <w:tcW w:w="920" w:type="dxa"/>
            <w:tcBorders>
              <w:top w:val="single" w:sz="4" w:space="0" w:color="auto"/>
              <w:left w:val="nil"/>
              <w:bottom w:val="single" w:sz="4" w:space="0" w:color="auto"/>
              <w:right w:val="nil"/>
            </w:tcBorders>
            <w:shd w:val="clear" w:color="auto" w:fill="auto"/>
            <w:noWrap/>
            <w:vAlign w:val="bottom"/>
            <w:hideMark/>
          </w:tcPr>
          <w:p w14:paraId="2F4AB443"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Gain</w:t>
            </w:r>
          </w:p>
        </w:tc>
      </w:tr>
      <w:tr w:rsidR="00F25CD5" w:rsidRPr="00F25CD5" w14:paraId="403A6A59" w14:textId="77777777" w:rsidTr="00F25CD5">
        <w:trPr>
          <w:trHeight w:val="280"/>
        </w:trPr>
        <w:tc>
          <w:tcPr>
            <w:tcW w:w="1760" w:type="dxa"/>
            <w:tcBorders>
              <w:top w:val="nil"/>
              <w:left w:val="nil"/>
              <w:bottom w:val="nil"/>
              <w:right w:val="nil"/>
            </w:tcBorders>
            <w:shd w:val="clear" w:color="auto" w:fill="auto"/>
            <w:noWrap/>
            <w:vAlign w:val="bottom"/>
            <w:hideMark/>
          </w:tcPr>
          <w:p w14:paraId="6AC55588"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High (and Medium)</w:t>
            </w:r>
          </w:p>
        </w:tc>
        <w:tc>
          <w:tcPr>
            <w:tcW w:w="1220" w:type="dxa"/>
            <w:tcBorders>
              <w:top w:val="nil"/>
              <w:left w:val="nil"/>
              <w:bottom w:val="nil"/>
              <w:right w:val="nil"/>
            </w:tcBorders>
            <w:shd w:val="clear" w:color="auto" w:fill="auto"/>
            <w:noWrap/>
            <w:vAlign w:val="bottom"/>
            <w:hideMark/>
          </w:tcPr>
          <w:p w14:paraId="2F6F2490"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394885272</w:t>
            </w:r>
          </w:p>
        </w:tc>
        <w:tc>
          <w:tcPr>
            <w:tcW w:w="880" w:type="dxa"/>
            <w:tcBorders>
              <w:top w:val="nil"/>
              <w:left w:val="nil"/>
              <w:bottom w:val="nil"/>
              <w:right w:val="nil"/>
            </w:tcBorders>
            <w:shd w:val="clear" w:color="auto" w:fill="auto"/>
            <w:noWrap/>
            <w:vAlign w:val="bottom"/>
            <w:hideMark/>
          </w:tcPr>
          <w:p w14:paraId="55DA805A"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52.5</w:t>
            </w:r>
          </w:p>
        </w:tc>
        <w:tc>
          <w:tcPr>
            <w:tcW w:w="1060" w:type="dxa"/>
            <w:tcBorders>
              <w:top w:val="nil"/>
              <w:left w:val="nil"/>
              <w:bottom w:val="nil"/>
              <w:right w:val="nil"/>
            </w:tcBorders>
            <w:shd w:val="clear" w:color="auto" w:fill="auto"/>
            <w:noWrap/>
            <w:vAlign w:val="bottom"/>
            <w:hideMark/>
          </w:tcPr>
          <w:p w14:paraId="3A7AE6F2"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1202.8</w:t>
            </w:r>
          </w:p>
        </w:tc>
        <w:tc>
          <w:tcPr>
            <w:tcW w:w="1060" w:type="dxa"/>
            <w:tcBorders>
              <w:top w:val="nil"/>
              <w:left w:val="nil"/>
              <w:bottom w:val="nil"/>
              <w:right w:val="nil"/>
            </w:tcBorders>
            <w:shd w:val="clear" w:color="auto" w:fill="auto"/>
            <w:noWrap/>
            <w:vAlign w:val="bottom"/>
            <w:hideMark/>
          </w:tcPr>
          <w:p w14:paraId="17FA9B1F"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1768</w:t>
            </w:r>
          </w:p>
        </w:tc>
        <w:tc>
          <w:tcPr>
            <w:tcW w:w="1060" w:type="dxa"/>
            <w:tcBorders>
              <w:top w:val="nil"/>
              <w:left w:val="nil"/>
              <w:bottom w:val="nil"/>
              <w:right w:val="nil"/>
            </w:tcBorders>
            <w:shd w:val="clear" w:color="auto" w:fill="auto"/>
            <w:noWrap/>
            <w:vAlign w:val="bottom"/>
            <w:hideMark/>
          </w:tcPr>
          <w:p w14:paraId="041DB980"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77.2</w:t>
            </w:r>
          </w:p>
        </w:tc>
        <w:tc>
          <w:tcPr>
            <w:tcW w:w="900" w:type="dxa"/>
            <w:tcBorders>
              <w:top w:val="nil"/>
              <w:left w:val="nil"/>
              <w:bottom w:val="nil"/>
              <w:right w:val="nil"/>
            </w:tcBorders>
            <w:shd w:val="clear" w:color="auto" w:fill="auto"/>
            <w:noWrap/>
            <w:vAlign w:val="bottom"/>
            <w:hideMark/>
          </w:tcPr>
          <w:p w14:paraId="036210B0" w14:textId="77777777" w:rsidR="00F25CD5" w:rsidRPr="00F25CD5" w:rsidRDefault="00F25CD5" w:rsidP="00F25CD5">
            <w:pPr>
              <w:spacing w:after="0" w:line="240" w:lineRule="auto"/>
              <w:jc w:val="center"/>
              <w:rPr>
                <w:rFonts w:ascii="Times New Roman" w:eastAsia="Times New Roman" w:hAnsi="Times New Roman" w:cs="Times New Roman"/>
                <w:sz w:val="20"/>
                <w:szCs w:val="20"/>
              </w:rPr>
            </w:pPr>
            <w:r w:rsidRPr="00F25CD5">
              <w:rPr>
                <w:rFonts w:ascii="Times New Roman" w:eastAsia="Times New Roman" w:hAnsi="Times New Roman" w:cs="Times New Roman"/>
                <w:sz w:val="20"/>
                <w:szCs w:val="20"/>
              </w:rPr>
              <w:t>265.5</w:t>
            </w:r>
          </w:p>
        </w:tc>
        <w:tc>
          <w:tcPr>
            <w:tcW w:w="920" w:type="dxa"/>
            <w:tcBorders>
              <w:top w:val="nil"/>
              <w:left w:val="nil"/>
              <w:bottom w:val="nil"/>
              <w:right w:val="nil"/>
            </w:tcBorders>
            <w:shd w:val="clear" w:color="auto" w:fill="auto"/>
            <w:noWrap/>
            <w:vAlign w:val="bottom"/>
            <w:hideMark/>
          </w:tcPr>
          <w:p w14:paraId="6426D15B"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0.32</w:t>
            </w:r>
          </w:p>
        </w:tc>
      </w:tr>
      <w:tr w:rsidR="00F25CD5" w:rsidRPr="00F25CD5" w14:paraId="57784ACB" w14:textId="77777777" w:rsidTr="00F25CD5">
        <w:trPr>
          <w:trHeight w:val="280"/>
        </w:trPr>
        <w:tc>
          <w:tcPr>
            <w:tcW w:w="1760" w:type="dxa"/>
            <w:tcBorders>
              <w:top w:val="nil"/>
              <w:left w:val="nil"/>
              <w:bottom w:val="nil"/>
              <w:right w:val="nil"/>
            </w:tcBorders>
            <w:shd w:val="clear" w:color="auto" w:fill="auto"/>
            <w:noWrap/>
            <w:vAlign w:val="bottom"/>
            <w:hideMark/>
          </w:tcPr>
          <w:p w14:paraId="1C0EAD74"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Low</w:t>
            </w:r>
          </w:p>
        </w:tc>
        <w:tc>
          <w:tcPr>
            <w:tcW w:w="1220" w:type="dxa"/>
            <w:tcBorders>
              <w:top w:val="nil"/>
              <w:left w:val="nil"/>
              <w:bottom w:val="nil"/>
              <w:right w:val="nil"/>
            </w:tcBorders>
            <w:shd w:val="clear" w:color="auto" w:fill="auto"/>
            <w:noWrap/>
            <w:vAlign w:val="bottom"/>
            <w:hideMark/>
          </w:tcPr>
          <w:p w14:paraId="7A20FBCD"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356902565</w:t>
            </w:r>
          </w:p>
        </w:tc>
        <w:tc>
          <w:tcPr>
            <w:tcW w:w="880" w:type="dxa"/>
            <w:tcBorders>
              <w:top w:val="nil"/>
              <w:left w:val="nil"/>
              <w:bottom w:val="nil"/>
              <w:right w:val="nil"/>
            </w:tcBorders>
            <w:shd w:val="clear" w:color="auto" w:fill="auto"/>
            <w:noWrap/>
            <w:vAlign w:val="bottom"/>
            <w:hideMark/>
          </w:tcPr>
          <w:p w14:paraId="5E68DE4F"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47.5</w:t>
            </w:r>
          </w:p>
        </w:tc>
        <w:tc>
          <w:tcPr>
            <w:tcW w:w="1060" w:type="dxa"/>
            <w:tcBorders>
              <w:top w:val="nil"/>
              <w:left w:val="nil"/>
              <w:bottom w:val="nil"/>
              <w:right w:val="nil"/>
            </w:tcBorders>
            <w:shd w:val="clear" w:color="auto" w:fill="auto"/>
            <w:noWrap/>
            <w:vAlign w:val="bottom"/>
            <w:hideMark/>
          </w:tcPr>
          <w:p w14:paraId="782559D5"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1087.2</w:t>
            </w:r>
          </w:p>
        </w:tc>
        <w:tc>
          <w:tcPr>
            <w:tcW w:w="1060" w:type="dxa"/>
            <w:tcBorders>
              <w:top w:val="nil"/>
              <w:left w:val="nil"/>
              <w:bottom w:val="nil"/>
              <w:right w:val="nil"/>
            </w:tcBorders>
            <w:shd w:val="clear" w:color="auto" w:fill="auto"/>
            <w:noWrap/>
            <w:vAlign w:val="bottom"/>
            <w:hideMark/>
          </w:tcPr>
          <w:p w14:paraId="4BF4381D"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522</w:t>
            </w:r>
          </w:p>
        </w:tc>
        <w:tc>
          <w:tcPr>
            <w:tcW w:w="1060" w:type="dxa"/>
            <w:tcBorders>
              <w:top w:val="nil"/>
              <w:left w:val="nil"/>
              <w:bottom w:val="nil"/>
              <w:right w:val="nil"/>
            </w:tcBorders>
            <w:shd w:val="clear" w:color="auto" w:fill="auto"/>
            <w:noWrap/>
            <w:vAlign w:val="bottom"/>
            <w:hideMark/>
          </w:tcPr>
          <w:p w14:paraId="73199490"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22.8</w:t>
            </w:r>
          </w:p>
        </w:tc>
        <w:tc>
          <w:tcPr>
            <w:tcW w:w="900" w:type="dxa"/>
            <w:tcBorders>
              <w:top w:val="nil"/>
              <w:left w:val="nil"/>
              <w:bottom w:val="nil"/>
              <w:right w:val="nil"/>
            </w:tcBorders>
            <w:shd w:val="clear" w:color="auto" w:fill="auto"/>
            <w:noWrap/>
            <w:vAlign w:val="bottom"/>
            <w:hideMark/>
          </w:tcPr>
          <w:p w14:paraId="376544F6"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293.8</w:t>
            </w:r>
          </w:p>
        </w:tc>
        <w:tc>
          <w:tcPr>
            <w:tcW w:w="920" w:type="dxa"/>
            <w:tcBorders>
              <w:top w:val="nil"/>
              <w:left w:val="nil"/>
              <w:bottom w:val="nil"/>
              <w:right w:val="nil"/>
            </w:tcBorders>
            <w:shd w:val="clear" w:color="auto" w:fill="auto"/>
            <w:noWrap/>
            <w:vAlign w:val="bottom"/>
            <w:hideMark/>
          </w:tcPr>
          <w:p w14:paraId="43135387"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-1.08</w:t>
            </w:r>
          </w:p>
        </w:tc>
      </w:tr>
      <w:tr w:rsidR="00F25CD5" w:rsidRPr="00F25CD5" w14:paraId="046D2FAA" w14:textId="77777777" w:rsidTr="00F25CD5">
        <w:trPr>
          <w:trHeight w:val="280"/>
        </w:trPr>
        <w:tc>
          <w:tcPr>
            <w:tcW w:w="1760" w:type="dxa"/>
            <w:tcBorders>
              <w:top w:val="single" w:sz="4" w:space="0" w:color="auto"/>
              <w:left w:val="nil"/>
              <w:bottom w:val="single" w:sz="4" w:space="0" w:color="auto"/>
              <w:right w:val="nil"/>
            </w:tcBorders>
            <w:shd w:val="clear" w:color="auto" w:fill="auto"/>
            <w:noWrap/>
            <w:vAlign w:val="bottom"/>
            <w:hideMark/>
          </w:tcPr>
          <w:p w14:paraId="3CDA250A"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Total</w:t>
            </w:r>
          </w:p>
        </w:tc>
        <w:tc>
          <w:tcPr>
            <w:tcW w:w="1220" w:type="dxa"/>
            <w:tcBorders>
              <w:top w:val="single" w:sz="4" w:space="0" w:color="auto"/>
              <w:left w:val="nil"/>
              <w:bottom w:val="single" w:sz="4" w:space="0" w:color="auto"/>
              <w:right w:val="nil"/>
            </w:tcBorders>
            <w:shd w:val="clear" w:color="auto" w:fill="auto"/>
            <w:noWrap/>
            <w:vAlign w:val="bottom"/>
            <w:hideMark/>
          </w:tcPr>
          <w:p w14:paraId="17CBBB90"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751787837</w:t>
            </w:r>
          </w:p>
        </w:tc>
        <w:tc>
          <w:tcPr>
            <w:tcW w:w="880" w:type="dxa"/>
            <w:tcBorders>
              <w:top w:val="single" w:sz="4" w:space="0" w:color="auto"/>
              <w:left w:val="nil"/>
              <w:bottom w:val="single" w:sz="4" w:space="0" w:color="auto"/>
              <w:right w:val="nil"/>
            </w:tcBorders>
            <w:shd w:val="clear" w:color="auto" w:fill="auto"/>
            <w:noWrap/>
            <w:vAlign w:val="bottom"/>
            <w:hideMark/>
          </w:tcPr>
          <w:p w14:paraId="7DE74F5C"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100.0</w:t>
            </w:r>
          </w:p>
        </w:tc>
        <w:tc>
          <w:tcPr>
            <w:tcW w:w="1060" w:type="dxa"/>
            <w:tcBorders>
              <w:top w:val="single" w:sz="4" w:space="0" w:color="auto"/>
              <w:left w:val="nil"/>
              <w:bottom w:val="single" w:sz="4" w:space="0" w:color="auto"/>
              <w:right w:val="nil"/>
            </w:tcBorders>
            <w:shd w:val="clear" w:color="auto" w:fill="auto"/>
            <w:noWrap/>
            <w:vAlign w:val="bottom"/>
            <w:hideMark/>
          </w:tcPr>
          <w:p w14:paraId="2DDC8AA3"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2290.0</w:t>
            </w:r>
          </w:p>
        </w:tc>
        <w:tc>
          <w:tcPr>
            <w:tcW w:w="1060" w:type="dxa"/>
            <w:tcBorders>
              <w:top w:val="single" w:sz="4" w:space="0" w:color="auto"/>
              <w:left w:val="nil"/>
              <w:bottom w:val="single" w:sz="4" w:space="0" w:color="auto"/>
              <w:right w:val="nil"/>
            </w:tcBorders>
            <w:shd w:val="clear" w:color="auto" w:fill="auto"/>
            <w:noWrap/>
            <w:vAlign w:val="bottom"/>
            <w:hideMark/>
          </w:tcPr>
          <w:p w14:paraId="00BF5FC4"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2290</w:t>
            </w:r>
          </w:p>
        </w:tc>
        <w:tc>
          <w:tcPr>
            <w:tcW w:w="1060" w:type="dxa"/>
            <w:tcBorders>
              <w:top w:val="single" w:sz="4" w:space="0" w:color="auto"/>
              <w:left w:val="nil"/>
              <w:bottom w:val="single" w:sz="4" w:space="0" w:color="auto"/>
              <w:right w:val="nil"/>
            </w:tcBorders>
            <w:shd w:val="clear" w:color="auto" w:fill="auto"/>
            <w:noWrap/>
            <w:vAlign w:val="bottom"/>
            <w:hideMark/>
          </w:tcPr>
          <w:p w14:paraId="48C99FCB"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100.0</w:t>
            </w:r>
          </w:p>
        </w:tc>
        <w:tc>
          <w:tcPr>
            <w:tcW w:w="900" w:type="dxa"/>
            <w:tcBorders>
              <w:top w:val="single" w:sz="4" w:space="0" w:color="auto"/>
              <w:left w:val="nil"/>
              <w:bottom w:val="single" w:sz="4" w:space="0" w:color="auto"/>
              <w:right w:val="nil"/>
            </w:tcBorders>
            <w:shd w:val="clear" w:color="auto" w:fill="auto"/>
            <w:noWrap/>
            <w:vAlign w:val="bottom"/>
            <w:hideMark/>
          </w:tcPr>
          <w:p w14:paraId="7A04146C"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559.3</w:t>
            </w:r>
          </w:p>
        </w:tc>
        <w:tc>
          <w:tcPr>
            <w:tcW w:w="920" w:type="dxa"/>
            <w:tcBorders>
              <w:top w:val="single" w:sz="4" w:space="0" w:color="auto"/>
              <w:left w:val="nil"/>
              <w:bottom w:val="single" w:sz="4" w:space="0" w:color="auto"/>
              <w:right w:val="nil"/>
            </w:tcBorders>
            <w:shd w:val="clear" w:color="auto" w:fill="auto"/>
            <w:noWrap/>
            <w:vAlign w:val="bottom"/>
            <w:hideMark/>
          </w:tcPr>
          <w:p w14:paraId="09906B33" w14:textId="77777777" w:rsidR="00F25CD5" w:rsidRPr="00F25CD5" w:rsidRDefault="00F25CD5" w:rsidP="00F25CD5">
            <w:pPr>
              <w:spacing w:after="0" w:line="240" w:lineRule="auto"/>
              <w:jc w:val="center"/>
              <w:rPr>
                <w:rFonts w:ascii="Times New Roman" w:eastAsia="Times New Roman" w:hAnsi="Times New Roman" w:cs="Times New Roman"/>
                <w:color w:val="000000"/>
                <w:sz w:val="20"/>
                <w:szCs w:val="20"/>
              </w:rPr>
            </w:pPr>
            <w:r w:rsidRPr="00F25CD5">
              <w:rPr>
                <w:rFonts w:ascii="Times New Roman" w:eastAsia="Times New Roman" w:hAnsi="Times New Roman" w:cs="Times New Roman"/>
                <w:color w:val="000000"/>
                <w:sz w:val="20"/>
                <w:szCs w:val="20"/>
              </w:rPr>
              <w:t>-</w:t>
            </w:r>
          </w:p>
        </w:tc>
      </w:tr>
      <w:tr w:rsidR="00F25CD5" w:rsidRPr="00F25CD5" w14:paraId="10527EC7" w14:textId="77777777" w:rsidTr="00F25CD5">
        <w:trPr>
          <w:trHeight w:val="280"/>
        </w:trPr>
        <w:tc>
          <w:tcPr>
            <w:tcW w:w="2980" w:type="dxa"/>
            <w:gridSpan w:val="2"/>
            <w:tcBorders>
              <w:top w:val="nil"/>
              <w:left w:val="nil"/>
              <w:bottom w:val="nil"/>
              <w:right w:val="nil"/>
            </w:tcBorders>
            <w:shd w:val="clear" w:color="auto" w:fill="auto"/>
            <w:noWrap/>
            <w:vAlign w:val="bottom"/>
            <w:hideMark/>
          </w:tcPr>
          <w:p w14:paraId="6BCA3FB5"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proofErr w:type="spellStart"/>
            <w:proofErr w:type="gramStart"/>
            <w:r w:rsidRPr="00F25CD5">
              <w:rPr>
                <w:rFonts w:ascii="Times New Roman" w:eastAsia="Times New Roman" w:hAnsi="Times New Roman" w:cs="Times New Roman"/>
                <w:color w:val="000000"/>
                <w:sz w:val="20"/>
                <w:szCs w:val="20"/>
              </w:rPr>
              <w:t>df</w:t>
            </w:r>
            <w:proofErr w:type="spellEnd"/>
            <w:proofErr w:type="gramEnd"/>
            <w:r w:rsidRPr="00F25CD5">
              <w:rPr>
                <w:rFonts w:ascii="Times New Roman" w:eastAsia="Times New Roman" w:hAnsi="Times New Roman" w:cs="Times New Roman"/>
                <w:color w:val="000000"/>
                <w:sz w:val="20"/>
                <w:szCs w:val="20"/>
              </w:rPr>
              <w:t xml:space="preserve"> = 2, α = .05, sig of χ2 ≥ 3.84</w:t>
            </w:r>
          </w:p>
        </w:tc>
        <w:tc>
          <w:tcPr>
            <w:tcW w:w="880" w:type="dxa"/>
            <w:tcBorders>
              <w:top w:val="nil"/>
              <w:left w:val="nil"/>
              <w:bottom w:val="nil"/>
              <w:right w:val="nil"/>
            </w:tcBorders>
            <w:shd w:val="clear" w:color="auto" w:fill="auto"/>
            <w:noWrap/>
            <w:vAlign w:val="bottom"/>
            <w:hideMark/>
          </w:tcPr>
          <w:p w14:paraId="48FAF060"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5DE462D2"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1DB00B3A"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05AB69FE"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p>
        </w:tc>
        <w:tc>
          <w:tcPr>
            <w:tcW w:w="900" w:type="dxa"/>
            <w:tcBorders>
              <w:top w:val="nil"/>
              <w:left w:val="nil"/>
              <w:bottom w:val="nil"/>
              <w:right w:val="nil"/>
            </w:tcBorders>
            <w:shd w:val="clear" w:color="auto" w:fill="auto"/>
            <w:noWrap/>
            <w:vAlign w:val="bottom"/>
            <w:hideMark/>
          </w:tcPr>
          <w:p w14:paraId="1C0DF869"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p>
        </w:tc>
        <w:tc>
          <w:tcPr>
            <w:tcW w:w="920" w:type="dxa"/>
            <w:tcBorders>
              <w:top w:val="nil"/>
              <w:left w:val="nil"/>
              <w:bottom w:val="nil"/>
              <w:right w:val="nil"/>
            </w:tcBorders>
            <w:shd w:val="clear" w:color="auto" w:fill="auto"/>
            <w:noWrap/>
            <w:vAlign w:val="bottom"/>
            <w:hideMark/>
          </w:tcPr>
          <w:p w14:paraId="5EFFA464" w14:textId="77777777" w:rsidR="00F25CD5" w:rsidRPr="00F25CD5" w:rsidRDefault="00F25CD5" w:rsidP="00F25CD5">
            <w:pPr>
              <w:spacing w:after="0" w:line="240" w:lineRule="auto"/>
              <w:rPr>
                <w:rFonts w:ascii="Times New Roman" w:eastAsia="Times New Roman" w:hAnsi="Times New Roman" w:cs="Times New Roman"/>
                <w:color w:val="000000"/>
                <w:sz w:val="20"/>
                <w:szCs w:val="20"/>
              </w:rPr>
            </w:pPr>
          </w:p>
        </w:tc>
      </w:tr>
    </w:tbl>
    <w:p w14:paraId="04649C7B" w14:textId="77777777" w:rsidR="00F25CD5" w:rsidRDefault="00F25CD5" w:rsidP="00E148F7">
      <w:pPr>
        <w:spacing w:line="480" w:lineRule="auto"/>
        <w:rPr>
          <w:rFonts w:ascii="Times New Roman" w:hAnsi="Times New Roman" w:cs="Times New Roman"/>
          <w:sz w:val="24"/>
          <w:szCs w:val="24"/>
        </w:rPr>
      </w:pPr>
    </w:p>
    <w:p w14:paraId="094F8EE1" w14:textId="33F2E17E" w:rsidR="00F25CD5" w:rsidRDefault="00CB5758" w:rsidP="00E148F7">
      <w:pPr>
        <w:spacing w:line="480" w:lineRule="auto"/>
        <w:rPr>
          <w:rFonts w:ascii="Times New Roman" w:hAnsi="Times New Roman" w:cs="Times New Roman"/>
          <w:sz w:val="24"/>
          <w:szCs w:val="24"/>
        </w:rPr>
      </w:pPr>
      <w:r>
        <w:rPr>
          <w:rFonts w:ascii="Times New Roman" w:hAnsi="Times New Roman" w:cs="Times New Roman"/>
          <w:sz w:val="24"/>
          <w:szCs w:val="24"/>
        </w:rPr>
        <w:tab/>
      </w:r>
    </w:p>
    <w:p w14:paraId="220F49CC" w14:textId="68C17754" w:rsidR="00CB5758" w:rsidRDefault="00CB5758" w:rsidP="00CB5758">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Pr="000662E8">
        <w:rPr>
          <w:rFonts w:ascii="Times New Roman" w:hAnsi="Times New Roman" w:cs="Times New Roman"/>
          <w:sz w:val="24"/>
          <w:szCs w:val="24"/>
        </w:rPr>
        <w:t xml:space="preserve">he </w:t>
      </w:r>
      <w:r>
        <w:rPr>
          <w:rFonts w:ascii="Times New Roman" w:hAnsi="Times New Roman" w:cs="Times New Roman"/>
          <w:sz w:val="24"/>
          <w:szCs w:val="24"/>
        </w:rPr>
        <w:t xml:space="preserve">proposed 2011 </w:t>
      </w:r>
      <w:r w:rsidRPr="000662E8">
        <w:rPr>
          <w:rFonts w:ascii="Times New Roman" w:hAnsi="Times New Roman" w:cs="Times New Roman"/>
          <w:sz w:val="24"/>
          <w:szCs w:val="24"/>
        </w:rPr>
        <w:t xml:space="preserve">predictive model </w:t>
      </w:r>
      <w:proofErr w:type="gramStart"/>
      <w:r w:rsidRPr="000662E8">
        <w:rPr>
          <w:rFonts w:ascii="Times New Roman" w:hAnsi="Times New Roman" w:cs="Times New Roman"/>
          <w:sz w:val="24"/>
          <w:szCs w:val="24"/>
        </w:rPr>
        <w:t xml:space="preserve">is </w:t>
      </w:r>
      <w:r>
        <w:rPr>
          <w:rFonts w:ascii="Times New Roman" w:hAnsi="Times New Roman" w:cs="Times New Roman"/>
          <w:sz w:val="24"/>
          <w:szCs w:val="24"/>
        </w:rPr>
        <w:t xml:space="preserve">also </w:t>
      </w:r>
      <w:r w:rsidRPr="000662E8">
        <w:rPr>
          <w:rFonts w:ascii="Times New Roman" w:hAnsi="Times New Roman" w:cs="Times New Roman"/>
          <w:sz w:val="24"/>
          <w:szCs w:val="24"/>
        </w:rPr>
        <w:t>recommended to be adopted</w:t>
      </w:r>
      <w:proofErr w:type="gramEnd"/>
      <w:r w:rsidRPr="000662E8">
        <w:rPr>
          <w:rFonts w:ascii="Times New Roman" w:hAnsi="Times New Roman" w:cs="Times New Roman"/>
          <w:sz w:val="24"/>
          <w:szCs w:val="24"/>
        </w:rPr>
        <w:t xml:space="preserve"> for the Kisatchie National Forest</w:t>
      </w:r>
      <w:r>
        <w:rPr>
          <w:rFonts w:ascii="Times New Roman" w:hAnsi="Times New Roman" w:cs="Times New Roman"/>
          <w:sz w:val="24"/>
          <w:szCs w:val="24"/>
        </w:rPr>
        <w:t xml:space="preserve"> rather than the 2010 FPPM because</w:t>
      </w:r>
      <w:r w:rsidRPr="000662E8">
        <w:rPr>
          <w:rFonts w:ascii="Times New Roman" w:hAnsi="Times New Roman" w:cs="Times New Roman"/>
          <w:sz w:val="24"/>
          <w:szCs w:val="24"/>
        </w:rPr>
        <w:t xml:space="preserve"> it is simpler to implement in the field without excessive patchiness as previously discussed. Even with the common usage of GPS devices capable of displaying GIS layers, the patchy and </w:t>
      </w:r>
      <w:proofErr w:type="spellStart"/>
      <w:r w:rsidRPr="000662E8">
        <w:rPr>
          <w:rFonts w:ascii="Times New Roman" w:hAnsi="Times New Roman" w:cs="Times New Roman"/>
          <w:sz w:val="24"/>
          <w:szCs w:val="24"/>
        </w:rPr>
        <w:t>unfluid</w:t>
      </w:r>
      <w:proofErr w:type="spellEnd"/>
      <w:r w:rsidRPr="000662E8">
        <w:rPr>
          <w:rFonts w:ascii="Times New Roman" w:hAnsi="Times New Roman" w:cs="Times New Roman"/>
          <w:sz w:val="24"/>
          <w:szCs w:val="24"/>
        </w:rPr>
        <w:t xml:space="preserve"> nature of the high and low probability zones of </w:t>
      </w:r>
      <w:r>
        <w:rPr>
          <w:rFonts w:ascii="Times New Roman" w:hAnsi="Times New Roman" w:cs="Times New Roman"/>
          <w:sz w:val="24"/>
          <w:szCs w:val="24"/>
        </w:rPr>
        <w:t xml:space="preserve">alternative models, such as </w:t>
      </w:r>
      <w:r w:rsidRPr="000662E8">
        <w:rPr>
          <w:rFonts w:ascii="Times New Roman" w:hAnsi="Times New Roman" w:cs="Times New Roman"/>
          <w:sz w:val="24"/>
          <w:szCs w:val="24"/>
        </w:rPr>
        <w:t xml:space="preserve">the 2010 Fort Polk </w:t>
      </w:r>
      <w:r>
        <w:rPr>
          <w:rFonts w:ascii="Times New Roman" w:hAnsi="Times New Roman" w:cs="Times New Roman"/>
          <w:sz w:val="24"/>
          <w:szCs w:val="24"/>
        </w:rPr>
        <w:t>predictive model</w:t>
      </w:r>
      <w:r w:rsidRPr="000662E8">
        <w:rPr>
          <w:rFonts w:ascii="Times New Roman" w:hAnsi="Times New Roman" w:cs="Times New Roman"/>
          <w:sz w:val="24"/>
          <w:szCs w:val="24"/>
        </w:rPr>
        <w:t xml:space="preserve"> make it challenging to operationalize for archaeological su</w:t>
      </w:r>
      <w:r>
        <w:rPr>
          <w:rFonts w:ascii="Times New Roman" w:hAnsi="Times New Roman" w:cs="Times New Roman"/>
          <w:sz w:val="24"/>
          <w:szCs w:val="24"/>
        </w:rPr>
        <w:t>rveys. For these reasons, it is recommended that the US Forest Service adopt the model developed herein for use on its lands.</w:t>
      </w:r>
    </w:p>
    <w:p w14:paraId="1A9A7E7A" w14:textId="33EF87D0" w:rsidR="00CB5758" w:rsidRDefault="00CB5758" w:rsidP="00CB5758">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addition to recommending that the U.S. Forest Service adopt the proposed 2011 Kisatchie National Forest predictive model, this study also recommends</w:t>
      </w:r>
      <w:r w:rsidRPr="000662E8">
        <w:rPr>
          <w:rFonts w:ascii="Times New Roman" w:hAnsi="Times New Roman" w:cs="Times New Roman"/>
          <w:sz w:val="24"/>
          <w:szCs w:val="24"/>
        </w:rPr>
        <w:t xml:space="preserve"> that</w:t>
      </w:r>
      <w:r>
        <w:rPr>
          <w:rFonts w:ascii="Times New Roman" w:hAnsi="Times New Roman" w:cs="Times New Roman"/>
          <w:sz w:val="24"/>
          <w:szCs w:val="24"/>
        </w:rPr>
        <w:t xml:space="preserve"> authorities on</w:t>
      </w:r>
      <w:r w:rsidRPr="000662E8">
        <w:rPr>
          <w:rFonts w:ascii="Times New Roman" w:hAnsi="Times New Roman" w:cs="Times New Roman"/>
          <w:sz w:val="24"/>
          <w:szCs w:val="24"/>
        </w:rPr>
        <w:t xml:space="preserve"> the Fort Polk military reservation </w:t>
      </w:r>
      <w:r>
        <w:rPr>
          <w:rFonts w:ascii="Times New Roman" w:hAnsi="Times New Roman" w:cs="Times New Roman"/>
          <w:sz w:val="24"/>
          <w:szCs w:val="24"/>
        </w:rPr>
        <w:t xml:space="preserve">consider </w:t>
      </w:r>
      <w:r w:rsidRPr="000662E8">
        <w:rPr>
          <w:rFonts w:ascii="Times New Roman" w:hAnsi="Times New Roman" w:cs="Times New Roman"/>
          <w:sz w:val="24"/>
          <w:szCs w:val="24"/>
        </w:rPr>
        <w:t>evaluat</w:t>
      </w:r>
      <w:r>
        <w:rPr>
          <w:rFonts w:ascii="Times New Roman" w:hAnsi="Times New Roman" w:cs="Times New Roman"/>
          <w:sz w:val="24"/>
          <w:szCs w:val="24"/>
        </w:rPr>
        <w:t>ing</w:t>
      </w:r>
      <w:r w:rsidRPr="000662E8">
        <w:rPr>
          <w:rFonts w:ascii="Times New Roman" w:hAnsi="Times New Roman" w:cs="Times New Roman"/>
          <w:sz w:val="24"/>
          <w:szCs w:val="24"/>
        </w:rPr>
        <w:t xml:space="preserve"> the </w:t>
      </w:r>
      <w:r>
        <w:rPr>
          <w:rFonts w:ascii="Times New Roman" w:hAnsi="Times New Roman" w:cs="Times New Roman"/>
          <w:sz w:val="24"/>
          <w:szCs w:val="24"/>
        </w:rPr>
        <w:t>proposed 2011 Kisatchie National Forest predictive</w:t>
      </w:r>
      <w:r w:rsidRPr="000662E8">
        <w:rPr>
          <w:rFonts w:ascii="Times New Roman" w:hAnsi="Times New Roman" w:cs="Times New Roman"/>
          <w:sz w:val="24"/>
          <w:szCs w:val="24"/>
        </w:rPr>
        <w:t xml:space="preserve"> model against the </w:t>
      </w:r>
      <w:r>
        <w:rPr>
          <w:rFonts w:ascii="Times New Roman" w:hAnsi="Times New Roman" w:cs="Times New Roman"/>
          <w:sz w:val="24"/>
          <w:szCs w:val="24"/>
        </w:rPr>
        <w:t xml:space="preserve">1995 and </w:t>
      </w:r>
      <w:r w:rsidRPr="000662E8">
        <w:rPr>
          <w:rFonts w:ascii="Times New Roman" w:hAnsi="Times New Roman" w:cs="Times New Roman"/>
          <w:sz w:val="24"/>
          <w:szCs w:val="24"/>
        </w:rPr>
        <w:t xml:space="preserve">2010 FPPM over the </w:t>
      </w:r>
      <w:r>
        <w:rPr>
          <w:rFonts w:ascii="Times New Roman" w:hAnsi="Times New Roman" w:cs="Times New Roman"/>
          <w:sz w:val="24"/>
          <w:szCs w:val="24"/>
        </w:rPr>
        <w:t>entire</w:t>
      </w:r>
      <w:r w:rsidRPr="000662E8">
        <w:rPr>
          <w:rFonts w:ascii="Times New Roman" w:hAnsi="Times New Roman" w:cs="Times New Roman"/>
          <w:sz w:val="24"/>
          <w:szCs w:val="24"/>
        </w:rPr>
        <w:t xml:space="preserve"> Fort Polk area and</w:t>
      </w:r>
      <w:r>
        <w:rPr>
          <w:rFonts w:ascii="Times New Roman" w:hAnsi="Times New Roman" w:cs="Times New Roman"/>
          <w:sz w:val="24"/>
          <w:szCs w:val="24"/>
        </w:rPr>
        <w:t xml:space="preserve">, if the results are like those produced in the tests conducted here in Tables 6.9 to 6.12, consider </w:t>
      </w:r>
      <w:r w:rsidRPr="000662E8">
        <w:rPr>
          <w:rFonts w:ascii="Times New Roman" w:hAnsi="Times New Roman" w:cs="Times New Roman"/>
          <w:sz w:val="24"/>
          <w:szCs w:val="24"/>
        </w:rPr>
        <w:t>a</w:t>
      </w:r>
      <w:r>
        <w:rPr>
          <w:rFonts w:ascii="Times New Roman" w:hAnsi="Times New Roman" w:cs="Times New Roman"/>
          <w:sz w:val="24"/>
          <w:szCs w:val="24"/>
        </w:rPr>
        <w:t xml:space="preserve">dopting </w:t>
      </w:r>
      <w:r w:rsidRPr="000662E8">
        <w:rPr>
          <w:rFonts w:ascii="Times New Roman" w:hAnsi="Times New Roman" w:cs="Times New Roman"/>
          <w:sz w:val="24"/>
          <w:szCs w:val="24"/>
        </w:rPr>
        <w:t xml:space="preserve">the </w:t>
      </w:r>
      <w:r>
        <w:rPr>
          <w:rFonts w:ascii="Times New Roman" w:hAnsi="Times New Roman" w:cs="Times New Roman"/>
          <w:sz w:val="24"/>
          <w:szCs w:val="24"/>
        </w:rPr>
        <w:t xml:space="preserve">proposed 2011 Kisatchie National Forest predictive model </w:t>
      </w:r>
      <w:r w:rsidRPr="000662E8">
        <w:rPr>
          <w:rFonts w:ascii="Times New Roman" w:hAnsi="Times New Roman" w:cs="Times New Roman"/>
          <w:sz w:val="24"/>
          <w:szCs w:val="24"/>
        </w:rPr>
        <w:t>for the Fo</w:t>
      </w:r>
      <w:r>
        <w:rPr>
          <w:rFonts w:ascii="Times New Roman" w:hAnsi="Times New Roman" w:cs="Times New Roman"/>
          <w:sz w:val="24"/>
          <w:szCs w:val="24"/>
        </w:rPr>
        <w:t xml:space="preserve">rt Polk area as well. The data layers for </w:t>
      </w:r>
      <w:r>
        <w:rPr>
          <w:rFonts w:ascii="Times New Roman" w:hAnsi="Times New Roman" w:cs="Times New Roman"/>
          <w:sz w:val="24"/>
          <w:szCs w:val="24"/>
        </w:rPr>
        <w:lastRenderedPageBreak/>
        <w:t>the probability zones in the 2011 Kisatchie National Forest predictive model are easy to generate and use in the field and, the results of this study suggest, have applicability over much of western Louisiana.</w:t>
      </w:r>
      <w:bookmarkStart w:id="0" w:name="_GoBack"/>
      <w:bookmarkEnd w:id="0"/>
    </w:p>
    <w:p w14:paraId="2BF7887D" w14:textId="77777777" w:rsidR="00C41703" w:rsidRDefault="001470C6" w:rsidP="00E608F5">
      <w:pPr>
        <w:spacing w:line="480" w:lineRule="auto"/>
        <w:ind w:firstLine="720"/>
        <w:rPr>
          <w:rFonts w:ascii="Times New Roman" w:hAnsi="Times New Roman" w:cs="Times New Roman"/>
          <w:sz w:val="24"/>
          <w:szCs w:val="24"/>
        </w:rPr>
      </w:pPr>
      <w:r>
        <w:rPr>
          <w:rFonts w:ascii="Times New Roman" w:hAnsi="Times New Roman" w:cs="Times New Roman"/>
          <w:sz w:val="24"/>
          <w:szCs w:val="24"/>
        </w:rPr>
        <w:t>Following the tiered sampling intensity strategy recommended by Anderson et al. (1996) for the 1995 Fort Po</w:t>
      </w:r>
      <w:r w:rsidR="00935EE6">
        <w:rPr>
          <w:rFonts w:ascii="Times New Roman" w:hAnsi="Times New Roman" w:cs="Times New Roman"/>
          <w:sz w:val="24"/>
          <w:szCs w:val="24"/>
        </w:rPr>
        <w:t>lk Predictive Model, the high (zone 1) and medium (z</w:t>
      </w:r>
      <w:r>
        <w:rPr>
          <w:rFonts w:ascii="Times New Roman" w:hAnsi="Times New Roman" w:cs="Times New Roman"/>
          <w:sz w:val="24"/>
          <w:szCs w:val="24"/>
        </w:rPr>
        <w:t>one 2) probability zones as located on Kisatchie National Forest should receive shovel test pits (STP</w:t>
      </w:r>
      <w:r w:rsidR="002864E2">
        <w:rPr>
          <w:rFonts w:ascii="Times New Roman" w:hAnsi="Times New Roman" w:cs="Times New Roman"/>
          <w:sz w:val="24"/>
          <w:szCs w:val="24"/>
        </w:rPr>
        <w:t>s</w:t>
      </w:r>
      <w:r>
        <w:rPr>
          <w:rFonts w:ascii="Times New Roman" w:hAnsi="Times New Roman" w:cs="Times New Roman"/>
          <w:sz w:val="24"/>
          <w:szCs w:val="24"/>
        </w:rPr>
        <w:t>) spaced at 3</w:t>
      </w:r>
      <w:r w:rsidR="00CE1EF7">
        <w:rPr>
          <w:rFonts w:ascii="Times New Roman" w:hAnsi="Times New Roman" w:cs="Times New Roman"/>
          <w:sz w:val="24"/>
          <w:szCs w:val="24"/>
        </w:rPr>
        <w:t>0-m</w:t>
      </w:r>
      <w:r>
        <w:rPr>
          <w:rFonts w:ascii="Times New Roman" w:hAnsi="Times New Roman" w:cs="Times New Roman"/>
          <w:sz w:val="24"/>
          <w:szCs w:val="24"/>
        </w:rPr>
        <w:t xml:space="preserve"> intervals along transects spaced 3</w:t>
      </w:r>
      <w:r w:rsidR="00CE1EF7">
        <w:rPr>
          <w:rFonts w:ascii="Times New Roman" w:hAnsi="Times New Roman" w:cs="Times New Roman"/>
          <w:sz w:val="24"/>
          <w:szCs w:val="24"/>
        </w:rPr>
        <w:t>0-m</w:t>
      </w:r>
      <w:r>
        <w:rPr>
          <w:rFonts w:ascii="Times New Roman" w:hAnsi="Times New Roman" w:cs="Times New Roman"/>
          <w:sz w:val="24"/>
          <w:szCs w:val="24"/>
        </w:rPr>
        <w:t xml:space="preserve"> apart</w:t>
      </w:r>
      <w:r w:rsidR="002864E2">
        <w:rPr>
          <w:rFonts w:ascii="Times New Roman" w:hAnsi="Times New Roman" w:cs="Times New Roman"/>
          <w:sz w:val="24"/>
          <w:szCs w:val="24"/>
        </w:rPr>
        <w:t>,</w:t>
      </w:r>
      <w:r w:rsidR="00935EE6">
        <w:rPr>
          <w:rFonts w:ascii="Times New Roman" w:hAnsi="Times New Roman" w:cs="Times New Roman"/>
          <w:sz w:val="24"/>
          <w:szCs w:val="24"/>
        </w:rPr>
        <w:t xml:space="preserve"> while the low (z</w:t>
      </w:r>
      <w:r>
        <w:rPr>
          <w:rFonts w:ascii="Times New Roman" w:hAnsi="Times New Roman" w:cs="Times New Roman"/>
          <w:sz w:val="24"/>
          <w:szCs w:val="24"/>
        </w:rPr>
        <w:t>one 3) probability zone should receive 5</w:t>
      </w:r>
      <w:r w:rsidR="00CE1EF7">
        <w:rPr>
          <w:rFonts w:ascii="Times New Roman" w:hAnsi="Times New Roman" w:cs="Times New Roman"/>
          <w:sz w:val="24"/>
          <w:szCs w:val="24"/>
        </w:rPr>
        <w:t>0-m</w:t>
      </w:r>
      <w:r>
        <w:rPr>
          <w:rFonts w:ascii="Times New Roman" w:hAnsi="Times New Roman" w:cs="Times New Roman"/>
          <w:sz w:val="24"/>
          <w:szCs w:val="24"/>
        </w:rPr>
        <w:t xml:space="preserve"> interval STPs </w:t>
      </w:r>
      <w:r w:rsidR="006F1358">
        <w:rPr>
          <w:rFonts w:ascii="Times New Roman" w:hAnsi="Times New Roman" w:cs="Times New Roman"/>
          <w:sz w:val="24"/>
          <w:szCs w:val="24"/>
        </w:rPr>
        <w:t>along</w:t>
      </w:r>
      <w:r>
        <w:rPr>
          <w:rFonts w:ascii="Times New Roman" w:hAnsi="Times New Roman" w:cs="Times New Roman"/>
          <w:sz w:val="24"/>
          <w:szCs w:val="24"/>
        </w:rPr>
        <w:t xml:space="preserve"> 5</w:t>
      </w:r>
      <w:r w:rsidR="00CE1EF7">
        <w:rPr>
          <w:rFonts w:ascii="Times New Roman" w:hAnsi="Times New Roman" w:cs="Times New Roman"/>
          <w:sz w:val="24"/>
          <w:szCs w:val="24"/>
        </w:rPr>
        <w:t>0-m</w:t>
      </w:r>
      <w:r>
        <w:rPr>
          <w:rFonts w:ascii="Times New Roman" w:hAnsi="Times New Roman" w:cs="Times New Roman"/>
          <w:sz w:val="24"/>
          <w:szCs w:val="24"/>
        </w:rPr>
        <w:t xml:space="preserve"> spaced </w:t>
      </w:r>
      <w:r w:rsidR="006F1358">
        <w:rPr>
          <w:rFonts w:ascii="Times New Roman" w:hAnsi="Times New Roman" w:cs="Times New Roman"/>
          <w:sz w:val="24"/>
          <w:szCs w:val="24"/>
        </w:rPr>
        <w:t>transects</w:t>
      </w:r>
      <w:r>
        <w:rPr>
          <w:rFonts w:ascii="Times New Roman" w:hAnsi="Times New Roman" w:cs="Times New Roman"/>
          <w:sz w:val="24"/>
          <w:szCs w:val="24"/>
        </w:rPr>
        <w:t>.</w:t>
      </w:r>
      <w:r w:rsidR="00DC1817">
        <w:rPr>
          <w:rFonts w:ascii="Times New Roman" w:hAnsi="Times New Roman" w:cs="Times New Roman"/>
          <w:sz w:val="24"/>
          <w:szCs w:val="24"/>
        </w:rPr>
        <w:t xml:space="preserve">  </w:t>
      </w:r>
      <w:r w:rsidR="0082292A">
        <w:rPr>
          <w:rFonts w:ascii="Times New Roman" w:hAnsi="Times New Roman" w:cs="Times New Roman"/>
          <w:sz w:val="24"/>
          <w:szCs w:val="24"/>
        </w:rPr>
        <w:t>This</w:t>
      </w:r>
      <w:r w:rsidR="00DC1817">
        <w:rPr>
          <w:rFonts w:ascii="Times New Roman" w:hAnsi="Times New Roman" w:cs="Times New Roman"/>
          <w:sz w:val="24"/>
          <w:szCs w:val="24"/>
        </w:rPr>
        <w:t xml:space="preserve"> recommended sampling strategy </w:t>
      </w:r>
      <w:proofErr w:type="gramStart"/>
      <w:r w:rsidR="00DC1817">
        <w:rPr>
          <w:rFonts w:ascii="Times New Roman" w:hAnsi="Times New Roman" w:cs="Times New Roman"/>
          <w:sz w:val="24"/>
          <w:szCs w:val="24"/>
        </w:rPr>
        <w:t>will</w:t>
      </w:r>
      <w:proofErr w:type="gramEnd"/>
      <w:r w:rsidR="00DC1817">
        <w:rPr>
          <w:rFonts w:ascii="Times New Roman" w:hAnsi="Times New Roman" w:cs="Times New Roman"/>
          <w:sz w:val="24"/>
          <w:szCs w:val="24"/>
        </w:rPr>
        <w:t xml:space="preserve"> intensify survey in areas of high</w:t>
      </w:r>
      <w:r w:rsidR="00B54B56">
        <w:rPr>
          <w:rFonts w:ascii="Times New Roman" w:hAnsi="Times New Roman" w:cs="Times New Roman"/>
          <w:sz w:val="24"/>
          <w:szCs w:val="24"/>
        </w:rPr>
        <w:t>er than expected</w:t>
      </w:r>
      <w:r w:rsidR="00DC1817">
        <w:rPr>
          <w:rFonts w:ascii="Times New Roman" w:hAnsi="Times New Roman" w:cs="Times New Roman"/>
          <w:sz w:val="24"/>
          <w:szCs w:val="24"/>
        </w:rPr>
        <w:t xml:space="preserve"> likelihood for site discovery</w:t>
      </w:r>
      <w:r w:rsidR="0082292A">
        <w:rPr>
          <w:rFonts w:ascii="Times New Roman" w:hAnsi="Times New Roman" w:cs="Times New Roman"/>
          <w:sz w:val="24"/>
          <w:szCs w:val="24"/>
        </w:rPr>
        <w:t>,</w:t>
      </w:r>
      <w:r w:rsidR="00DC1817">
        <w:rPr>
          <w:rFonts w:ascii="Times New Roman" w:hAnsi="Times New Roman" w:cs="Times New Roman"/>
          <w:sz w:val="24"/>
          <w:szCs w:val="24"/>
        </w:rPr>
        <w:t xml:space="preserve"> while reducing field technician hours spent in low probability areas.</w:t>
      </w:r>
      <w:r w:rsidR="0096631A">
        <w:rPr>
          <w:rFonts w:ascii="Times New Roman" w:hAnsi="Times New Roman" w:cs="Times New Roman"/>
          <w:sz w:val="24"/>
          <w:szCs w:val="24"/>
        </w:rPr>
        <w:t xml:space="preserve">  </w:t>
      </w:r>
    </w:p>
    <w:p w14:paraId="674C63CA" w14:textId="1EFAA0FC" w:rsidR="001470C6" w:rsidRDefault="00935EE6" w:rsidP="00E608F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C41703">
        <w:rPr>
          <w:rFonts w:ascii="Times New Roman" w:hAnsi="Times New Roman" w:cs="Times New Roman"/>
          <w:sz w:val="24"/>
          <w:szCs w:val="24"/>
        </w:rPr>
        <w:t xml:space="preserve">use </w:t>
      </w:r>
      <w:r>
        <w:rPr>
          <w:rFonts w:ascii="Times New Roman" w:hAnsi="Times New Roman" w:cs="Times New Roman"/>
          <w:sz w:val="24"/>
          <w:szCs w:val="24"/>
        </w:rPr>
        <w:t>of a predictive model creates an incidence of survey bias and therefore</w:t>
      </w:r>
      <w:r w:rsidR="004B69D9">
        <w:rPr>
          <w:rFonts w:ascii="Times New Roman" w:hAnsi="Times New Roman" w:cs="Times New Roman"/>
          <w:sz w:val="24"/>
          <w:szCs w:val="24"/>
        </w:rPr>
        <w:t>,</w:t>
      </w:r>
      <w:r>
        <w:rPr>
          <w:rFonts w:ascii="Times New Roman" w:hAnsi="Times New Roman" w:cs="Times New Roman"/>
          <w:sz w:val="24"/>
          <w:szCs w:val="24"/>
        </w:rPr>
        <w:t xml:space="preserve"> the model tends to become a self-fulfilling prediction.  The circular nature of modeling archaeological site location is overcome by its benefits towards managing resources over large tracts of land.  </w:t>
      </w:r>
      <w:r w:rsidR="0082292A" w:rsidRPr="0082292A">
        <w:rPr>
          <w:rFonts w:ascii="Times New Roman" w:hAnsi="Times New Roman" w:cs="Times New Roman"/>
          <w:sz w:val="24"/>
          <w:szCs w:val="24"/>
        </w:rPr>
        <w:t xml:space="preserve">The implementation of the </w:t>
      </w:r>
      <w:r>
        <w:rPr>
          <w:rFonts w:ascii="Times New Roman" w:hAnsi="Times New Roman" w:cs="Times New Roman"/>
          <w:sz w:val="24"/>
          <w:szCs w:val="24"/>
        </w:rPr>
        <w:t xml:space="preserve">proposed </w:t>
      </w:r>
      <w:r w:rsidR="0082292A" w:rsidRPr="0082292A">
        <w:rPr>
          <w:rFonts w:ascii="Times New Roman" w:hAnsi="Times New Roman" w:cs="Times New Roman"/>
          <w:sz w:val="24"/>
          <w:szCs w:val="24"/>
        </w:rPr>
        <w:t xml:space="preserve">2011 </w:t>
      </w:r>
      <w:r>
        <w:rPr>
          <w:rFonts w:ascii="Times New Roman" w:hAnsi="Times New Roman" w:cs="Times New Roman"/>
          <w:sz w:val="24"/>
          <w:szCs w:val="24"/>
        </w:rPr>
        <w:t>K</w:t>
      </w:r>
      <w:r w:rsidR="00035E5C">
        <w:rPr>
          <w:rFonts w:ascii="Times New Roman" w:hAnsi="Times New Roman" w:cs="Times New Roman"/>
          <w:sz w:val="24"/>
          <w:szCs w:val="24"/>
        </w:rPr>
        <w:t xml:space="preserve">isatchie </w:t>
      </w:r>
      <w:r>
        <w:rPr>
          <w:rFonts w:ascii="Times New Roman" w:hAnsi="Times New Roman" w:cs="Times New Roman"/>
          <w:sz w:val="24"/>
          <w:szCs w:val="24"/>
        </w:rPr>
        <w:t>N</w:t>
      </w:r>
      <w:r w:rsidR="00035E5C">
        <w:rPr>
          <w:rFonts w:ascii="Times New Roman" w:hAnsi="Times New Roman" w:cs="Times New Roman"/>
          <w:sz w:val="24"/>
          <w:szCs w:val="24"/>
        </w:rPr>
        <w:t xml:space="preserve">ational </w:t>
      </w:r>
      <w:r>
        <w:rPr>
          <w:rFonts w:ascii="Times New Roman" w:hAnsi="Times New Roman" w:cs="Times New Roman"/>
          <w:sz w:val="24"/>
          <w:szCs w:val="24"/>
        </w:rPr>
        <w:t>F</w:t>
      </w:r>
      <w:r w:rsidR="00035E5C">
        <w:rPr>
          <w:rFonts w:ascii="Times New Roman" w:hAnsi="Times New Roman" w:cs="Times New Roman"/>
          <w:sz w:val="24"/>
          <w:szCs w:val="24"/>
        </w:rPr>
        <w:t>orest</w:t>
      </w:r>
      <w:r>
        <w:rPr>
          <w:rFonts w:ascii="Times New Roman" w:hAnsi="Times New Roman" w:cs="Times New Roman"/>
          <w:sz w:val="24"/>
          <w:szCs w:val="24"/>
        </w:rPr>
        <w:t xml:space="preserve"> </w:t>
      </w:r>
      <w:r w:rsidR="0082292A" w:rsidRPr="0082292A">
        <w:rPr>
          <w:rFonts w:ascii="Times New Roman" w:hAnsi="Times New Roman" w:cs="Times New Roman"/>
          <w:sz w:val="24"/>
          <w:szCs w:val="24"/>
        </w:rPr>
        <w:t xml:space="preserve">predictive model, as outlined in this thesis, provides </w:t>
      </w:r>
      <w:r w:rsidR="005C11DD">
        <w:rPr>
          <w:rFonts w:ascii="Times New Roman" w:hAnsi="Times New Roman" w:cs="Times New Roman"/>
          <w:sz w:val="24"/>
          <w:szCs w:val="24"/>
        </w:rPr>
        <w:t>heritage</w:t>
      </w:r>
      <w:r w:rsidR="0082292A" w:rsidRPr="0082292A">
        <w:rPr>
          <w:rFonts w:ascii="Times New Roman" w:hAnsi="Times New Roman" w:cs="Times New Roman"/>
          <w:sz w:val="24"/>
          <w:szCs w:val="24"/>
        </w:rPr>
        <w:t xml:space="preserve"> </w:t>
      </w:r>
      <w:r w:rsidR="0082292A">
        <w:rPr>
          <w:rFonts w:ascii="Times New Roman" w:hAnsi="Times New Roman" w:cs="Times New Roman"/>
          <w:sz w:val="24"/>
          <w:szCs w:val="24"/>
        </w:rPr>
        <w:t>personnel</w:t>
      </w:r>
      <w:r w:rsidR="0082292A" w:rsidRPr="0082292A">
        <w:rPr>
          <w:rFonts w:ascii="Times New Roman" w:hAnsi="Times New Roman" w:cs="Times New Roman"/>
          <w:sz w:val="24"/>
          <w:szCs w:val="24"/>
        </w:rPr>
        <w:t xml:space="preserve"> with a guide that will increase both accuracy and efficiency of site discovery</w:t>
      </w:r>
      <w:r w:rsidR="005C11DD">
        <w:rPr>
          <w:rFonts w:ascii="Times New Roman" w:hAnsi="Times New Roman" w:cs="Times New Roman"/>
          <w:sz w:val="24"/>
          <w:szCs w:val="24"/>
        </w:rPr>
        <w:t>,</w:t>
      </w:r>
      <w:r w:rsidR="0082292A" w:rsidRPr="0082292A">
        <w:rPr>
          <w:rFonts w:ascii="Times New Roman" w:hAnsi="Times New Roman" w:cs="Times New Roman"/>
          <w:sz w:val="24"/>
          <w:szCs w:val="24"/>
        </w:rPr>
        <w:t xml:space="preserve"> thus aiding </w:t>
      </w:r>
      <w:r w:rsidR="005C11DD">
        <w:rPr>
          <w:rFonts w:ascii="Times New Roman" w:hAnsi="Times New Roman" w:cs="Times New Roman"/>
          <w:sz w:val="24"/>
          <w:szCs w:val="24"/>
        </w:rPr>
        <w:t>F</w:t>
      </w:r>
      <w:r w:rsidR="0082292A" w:rsidRPr="0082292A">
        <w:rPr>
          <w:rFonts w:ascii="Times New Roman" w:hAnsi="Times New Roman" w:cs="Times New Roman"/>
          <w:sz w:val="24"/>
          <w:szCs w:val="24"/>
        </w:rPr>
        <w:t xml:space="preserve">orest </w:t>
      </w:r>
      <w:r w:rsidR="005C11DD">
        <w:rPr>
          <w:rFonts w:ascii="Times New Roman" w:hAnsi="Times New Roman" w:cs="Times New Roman"/>
          <w:sz w:val="24"/>
          <w:szCs w:val="24"/>
        </w:rPr>
        <w:t>S</w:t>
      </w:r>
      <w:r w:rsidR="0082292A" w:rsidRPr="0082292A">
        <w:rPr>
          <w:rFonts w:ascii="Times New Roman" w:hAnsi="Times New Roman" w:cs="Times New Roman"/>
          <w:sz w:val="24"/>
          <w:szCs w:val="24"/>
        </w:rPr>
        <w:t>ervice management efforts in the assessment, protection, and conservation of cultural resources.</w:t>
      </w:r>
      <w:r w:rsidR="00FB03F0">
        <w:rPr>
          <w:rFonts w:ascii="Times New Roman" w:hAnsi="Times New Roman" w:cs="Times New Roman"/>
          <w:sz w:val="24"/>
          <w:szCs w:val="24"/>
        </w:rPr>
        <w:t xml:space="preserve">  The proposed 2011 K</w:t>
      </w:r>
      <w:r w:rsidR="00035E5C">
        <w:rPr>
          <w:rFonts w:ascii="Times New Roman" w:hAnsi="Times New Roman" w:cs="Times New Roman"/>
          <w:sz w:val="24"/>
          <w:szCs w:val="24"/>
        </w:rPr>
        <w:t xml:space="preserve">isatchie </w:t>
      </w:r>
      <w:r w:rsidR="00FB03F0">
        <w:rPr>
          <w:rFonts w:ascii="Times New Roman" w:hAnsi="Times New Roman" w:cs="Times New Roman"/>
          <w:sz w:val="24"/>
          <w:szCs w:val="24"/>
        </w:rPr>
        <w:t>N</w:t>
      </w:r>
      <w:r w:rsidR="00035E5C">
        <w:rPr>
          <w:rFonts w:ascii="Times New Roman" w:hAnsi="Times New Roman" w:cs="Times New Roman"/>
          <w:sz w:val="24"/>
          <w:szCs w:val="24"/>
        </w:rPr>
        <w:t xml:space="preserve">ational </w:t>
      </w:r>
      <w:r w:rsidR="00FB03F0">
        <w:rPr>
          <w:rFonts w:ascii="Times New Roman" w:hAnsi="Times New Roman" w:cs="Times New Roman"/>
          <w:sz w:val="24"/>
          <w:szCs w:val="24"/>
        </w:rPr>
        <w:t>F</w:t>
      </w:r>
      <w:r w:rsidR="00035E5C">
        <w:rPr>
          <w:rFonts w:ascii="Times New Roman" w:hAnsi="Times New Roman" w:cs="Times New Roman"/>
          <w:sz w:val="24"/>
          <w:szCs w:val="24"/>
        </w:rPr>
        <w:t>orest</w:t>
      </w:r>
      <w:r w:rsidR="00FB03F0">
        <w:rPr>
          <w:rFonts w:ascii="Times New Roman" w:hAnsi="Times New Roman" w:cs="Times New Roman"/>
          <w:sz w:val="24"/>
          <w:szCs w:val="24"/>
        </w:rPr>
        <w:t xml:space="preserve"> predictive model utilizes variables in its zone </w:t>
      </w:r>
      <w:r w:rsidR="005F03AA">
        <w:rPr>
          <w:rFonts w:ascii="Times New Roman" w:hAnsi="Times New Roman" w:cs="Times New Roman"/>
          <w:sz w:val="24"/>
          <w:szCs w:val="24"/>
        </w:rPr>
        <w:t>construction that</w:t>
      </w:r>
      <w:r w:rsidR="00FB03F0">
        <w:rPr>
          <w:rFonts w:ascii="Times New Roman" w:hAnsi="Times New Roman" w:cs="Times New Roman"/>
          <w:sz w:val="24"/>
          <w:szCs w:val="24"/>
        </w:rPr>
        <w:t xml:space="preserve"> </w:t>
      </w:r>
      <w:r w:rsidR="00DA3EEF">
        <w:rPr>
          <w:rFonts w:ascii="Times New Roman" w:hAnsi="Times New Roman" w:cs="Times New Roman"/>
          <w:sz w:val="24"/>
          <w:szCs w:val="24"/>
        </w:rPr>
        <w:t xml:space="preserve">influenced prehistoric and historic settlement patterning beyond just the </w:t>
      </w:r>
      <w:r w:rsidR="00FB03F0">
        <w:rPr>
          <w:rFonts w:ascii="Times New Roman" w:hAnsi="Times New Roman" w:cs="Times New Roman"/>
          <w:sz w:val="24"/>
          <w:szCs w:val="24"/>
        </w:rPr>
        <w:t>K</w:t>
      </w:r>
      <w:r w:rsidR="00035E5C">
        <w:rPr>
          <w:rFonts w:ascii="Times New Roman" w:hAnsi="Times New Roman" w:cs="Times New Roman"/>
          <w:sz w:val="24"/>
          <w:szCs w:val="24"/>
        </w:rPr>
        <w:t xml:space="preserve">isatchie </w:t>
      </w:r>
      <w:r w:rsidR="00FB03F0">
        <w:rPr>
          <w:rFonts w:ascii="Times New Roman" w:hAnsi="Times New Roman" w:cs="Times New Roman"/>
          <w:sz w:val="24"/>
          <w:szCs w:val="24"/>
        </w:rPr>
        <w:t>N</w:t>
      </w:r>
      <w:r w:rsidR="00035E5C">
        <w:rPr>
          <w:rFonts w:ascii="Times New Roman" w:hAnsi="Times New Roman" w:cs="Times New Roman"/>
          <w:sz w:val="24"/>
          <w:szCs w:val="24"/>
        </w:rPr>
        <w:t xml:space="preserve">ational </w:t>
      </w:r>
      <w:r w:rsidR="00FB03F0">
        <w:rPr>
          <w:rFonts w:ascii="Times New Roman" w:hAnsi="Times New Roman" w:cs="Times New Roman"/>
          <w:sz w:val="24"/>
          <w:szCs w:val="24"/>
        </w:rPr>
        <w:t>F</w:t>
      </w:r>
      <w:r w:rsidR="00035E5C">
        <w:rPr>
          <w:rFonts w:ascii="Times New Roman" w:hAnsi="Times New Roman" w:cs="Times New Roman"/>
          <w:sz w:val="24"/>
          <w:szCs w:val="24"/>
        </w:rPr>
        <w:t>orest</w:t>
      </w:r>
      <w:r w:rsidR="009D690A">
        <w:rPr>
          <w:rFonts w:ascii="Times New Roman" w:hAnsi="Times New Roman" w:cs="Times New Roman"/>
          <w:sz w:val="24"/>
          <w:szCs w:val="24"/>
        </w:rPr>
        <w:t>.</w:t>
      </w:r>
      <w:r w:rsidR="00FB03F0">
        <w:rPr>
          <w:rFonts w:ascii="Times New Roman" w:hAnsi="Times New Roman" w:cs="Times New Roman"/>
          <w:sz w:val="24"/>
          <w:szCs w:val="24"/>
        </w:rPr>
        <w:t xml:space="preserve"> </w:t>
      </w:r>
      <w:r w:rsidR="009D690A">
        <w:rPr>
          <w:rFonts w:ascii="Times New Roman" w:hAnsi="Times New Roman" w:cs="Times New Roman"/>
          <w:sz w:val="24"/>
          <w:szCs w:val="24"/>
        </w:rPr>
        <w:t xml:space="preserve"> The proposed model may prove a useful tool for </w:t>
      </w:r>
      <w:r w:rsidR="00FB03F0">
        <w:rPr>
          <w:rFonts w:ascii="Times New Roman" w:hAnsi="Times New Roman" w:cs="Times New Roman"/>
          <w:sz w:val="24"/>
          <w:szCs w:val="24"/>
        </w:rPr>
        <w:t>the entire state and even the larger region</w:t>
      </w:r>
      <w:r w:rsidR="009D690A">
        <w:rPr>
          <w:rFonts w:ascii="Times New Roman" w:hAnsi="Times New Roman" w:cs="Times New Roman"/>
          <w:sz w:val="24"/>
          <w:szCs w:val="24"/>
        </w:rPr>
        <w:t xml:space="preserve"> due to its high gain values and ease of implementation</w:t>
      </w:r>
      <w:r w:rsidR="00FB03F0">
        <w:rPr>
          <w:rFonts w:ascii="Times New Roman" w:hAnsi="Times New Roman" w:cs="Times New Roman"/>
          <w:sz w:val="24"/>
          <w:szCs w:val="24"/>
        </w:rPr>
        <w:t>.</w:t>
      </w:r>
    </w:p>
    <w:p w14:paraId="416C8C36" w14:textId="595EFC07" w:rsidR="000B1052" w:rsidRPr="0023205C" w:rsidRDefault="000B1052" w:rsidP="00C41703">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935EE6">
        <w:rPr>
          <w:rFonts w:ascii="Times New Roman" w:hAnsi="Times New Roman" w:cs="Times New Roman"/>
          <w:sz w:val="24"/>
          <w:szCs w:val="24"/>
        </w:rPr>
        <w:t xml:space="preserve">proposed </w:t>
      </w:r>
      <w:r>
        <w:rPr>
          <w:rFonts w:ascii="Times New Roman" w:hAnsi="Times New Roman" w:cs="Times New Roman"/>
          <w:sz w:val="24"/>
          <w:szCs w:val="24"/>
        </w:rPr>
        <w:t xml:space="preserve">2011 Kisatchie National Forest Predictive Model Zones and study area </w:t>
      </w:r>
      <w:r w:rsidR="00546034">
        <w:rPr>
          <w:rFonts w:ascii="Times New Roman" w:hAnsi="Times New Roman" w:cs="Times New Roman"/>
          <w:sz w:val="24"/>
          <w:szCs w:val="24"/>
        </w:rPr>
        <w:t>has been</w:t>
      </w:r>
      <w:r>
        <w:rPr>
          <w:rFonts w:ascii="Times New Roman" w:hAnsi="Times New Roman" w:cs="Times New Roman"/>
          <w:sz w:val="24"/>
          <w:szCs w:val="24"/>
        </w:rPr>
        <w:t xml:space="preserve"> made available to the Kisatchie National Forest in digital form.</w:t>
      </w:r>
    </w:p>
    <w:sectPr w:rsidR="000B1052" w:rsidRPr="0023205C" w:rsidSect="00BF4C3F">
      <w:footerReference w:type="even" r:id="rId14"/>
      <w:footerReference w:type="default" r:id="rId15"/>
      <w:pgSz w:w="12240" w:h="15840"/>
      <w:pgMar w:top="1440" w:right="1800" w:bottom="1440" w:left="2160" w:header="720" w:footer="720" w:gutter="0"/>
      <w:pgNumType w:start="15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6C1CDB" w14:textId="77777777" w:rsidR="00E148F7" w:rsidRDefault="00E148F7" w:rsidP="00B670A9">
      <w:pPr>
        <w:spacing w:after="0" w:line="240" w:lineRule="auto"/>
      </w:pPr>
      <w:r>
        <w:separator/>
      </w:r>
    </w:p>
  </w:endnote>
  <w:endnote w:type="continuationSeparator" w:id="0">
    <w:p w14:paraId="429558E7" w14:textId="77777777" w:rsidR="00E148F7" w:rsidRDefault="00E148F7" w:rsidP="00B67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6B3DC" w14:textId="77777777" w:rsidR="00E148F7" w:rsidRDefault="00E148F7" w:rsidP="00D706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17D517" w14:textId="77777777" w:rsidR="00E148F7" w:rsidRDefault="00E148F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81C67" w14:textId="77777777" w:rsidR="00E148F7" w:rsidRDefault="00E148F7" w:rsidP="00D706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B5758">
      <w:rPr>
        <w:rStyle w:val="PageNumber"/>
        <w:noProof/>
      </w:rPr>
      <w:t>166</w:t>
    </w:r>
    <w:r>
      <w:rPr>
        <w:rStyle w:val="PageNumber"/>
      </w:rPr>
      <w:fldChar w:fldCharType="end"/>
    </w:r>
  </w:p>
  <w:p w14:paraId="397CE971" w14:textId="77B433C4" w:rsidR="00E148F7" w:rsidRDefault="00E148F7">
    <w:pPr>
      <w:pStyle w:val="Footer"/>
      <w:jc w:val="center"/>
    </w:pPr>
  </w:p>
  <w:p w14:paraId="08145E9C" w14:textId="77777777" w:rsidR="00E148F7" w:rsidRDefault="00E148F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950D5C" w14:textId="77777777" w:rsidR="00E148F7" w:rsidRDefault="00E148F7" w:rsidP="00B670A9">
      <w:pPr>
        <w:spacing w:after="0" w:line="240" w:lineRule="auto"/>
      </w:pPr>
      <w:r>
        <w:separator/>
      </w:r>
    </w:p>
  </w:footnote>
  <w:footnote w:type="continuationSeparator" w:id="0">
    <w:p w14:paraId="4B5CCA99" w14:textId="77777777" w:rsidR="00E148F7" w:rsidRDefault="00E148F7" w:rsidP="00B670A9">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E06B2"/>
    <w:multiLevelType w:val="hybridMultilevel"/>
    <w:tmpl w:val="FE50D504"/>
    <w:lvl w:ilvl="0" w:tplc="833896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D15823"/>
    <w:multiLevelType w:val="hybridMultilevel"/>
    <w:tmpl w:val="0CA0D80A"/>
    <w:lvl w:ilvl="0" w:tplc="588C61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3D53FFD"/>
    <w:multiLevelType w:val="hybridMultilevel"/>
    <w:tmpl w:val="1AA6BF8C"/>
    <w:lvl w:ilvl="0" w:tplc="E4C051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A92"/>
    <w:rsid w:val="000017EF"/>
    <w:rsid w:val="00001D96"/>
    <w:rsid w:val="0000330D"/>
    <w:rsid w:val="00007299"/>
    <w:rsid w:val="000073FE"/>
    <w:rsid w:val="00007CB9"/>
    <w:rsid w:val="00007D2A"/>
    <w:rsid w:val="00010F5E"/>
    <w:rsid w:val="00011345"/>
    <w:rsid w:val="00011503"/>
    <w:rsid w:val="00011F75"/>
    <w:rsid w:val="000159F8"/>
    <w:rsid w:val="00017A3F"/>
    <w:rsid w:val="00025037"/>
    <w:rsid w:val="00025F78"/>
    <w:rsid w:val="000271F8"/>
    <w:rsid w:val="00027D8A"/>
    <w:rsid w:val="000315B9"/>
    <w:rsid w:val="000331FD"/>
    <w:rsid w:val="00034271"/>
    <w:rsid w:val="0003591B"/>
    <w:rsid w:val="00035E5C"/>
    <w:rsid w:val="00036724"/>
    <w:rsid w:val="00037E1F"/>
    <w:rsid w:val="00040FD0"/>
    <w:rsid w:val="0004210E"/>
    <w:rsid w:val="000427E1"/>
    <w:rsid w:val="00043A32"/>
    <w:rsid w:val="000459DB"/>
    <w:rsid w:val="0004791D"/>
    <w:rsid w:val="0005039B"/>
    <w:rsid w:val="0005131C"/>
    <w:rsid w:val="00052690"/>
    <w:rsid w:val="00055333"/>
    <w:rsid w:val="00055353"/>
    <w:rsid w:val="00055E1D"/>
    <w:rsid w:val="000601BA"/>
    <w:rsid w:val="0006134E"/>
    <w:rsid w:val="00061C31"/>
    <w:rsid w:val="00062F87"/>
    <w:rsid w:val="00063EF5"/>
    <w:rsid w:val="000662E8"/>
    <w:rsid w:val="000725D8"/>
    <w:rsid w:val="00075FD1"/>
    <w:rsid w:val="000768D5"/>
    <w:rsid w:val="0007751E"/>
    <w:rsid w:val="00081014"/>
    <w:rsid w:val="00081222"/>
    <w:rsid w:val="000869DD"/>
    <w:rsid w:val="00090BBE"/>
    <w:rsid w:val="0009105C"/>
    <w:rsid w:val="00093B25"/>
    <w:rsid w:val="00096538"/>
    <w:rsid w:val="000A09BE"/>
    <w:rsid w:val="000A1415"/>
    <w:rsid w:val="000A238A"/>
    <w:rsid w:val="000A3C22"/>
    <w:rsid w:val="000A5536"/>
    <w:rsid w:val="000A5BAE"/>
    <w:rsid w:val="000A5CBC"/>
    <w:rsid w:val="000A5E11"/>
    <w:rsid w:val="000A629E"/>
    <w:rsid w:val="000A7618"/>
    <w:rsid w:val="000A7C4C"/>
    <w:rsid w:val="000B078C"/>
    <w:rsid w:val="000B1052"/>
    <w:rsid w:val="000B4B20"/>
    <w:rsid w:val="000C4C51"/>
    <w:rsid w:val="000C5D63"/>
    <w:rsid w:val="000C62F8"/>
    <w:rsid w:val="000C6EED"/>
    <w:rsid w:val="000C7607"/>
    <w:rsid w:val="000C7E28"/>
    <w:rsid w:val="000C7E3C"/>
    <w:rsid w:val="000D0DFA"/>
    <w:rsid w:val="000D2886"/>
    <w:rsid w:val="000D2E83"/>
    <w:rsid w:val="000D30DA"/>
    <w:rsid w:val="000D4A44"/>
    <w:rsid w:val="000D79F9"/>
    <w:rsid w:val="000D7E82"/>
    <w:rsid w:val="000E0455"/>
    <w:rsid w:val="000E2E90"/>
    <w:rsid w:val="000E4B31"/>
    <w:rsid w:val="000E6ED3"/>
    <w:rsid w:val="000E749C"/>
    <w:rsid w:val="000E76D6"/>
    <w:rsid w:val="000F33F7"/>
    <w:rsid w:val="000F3874"/>
    <w:rsid w:val="000F5659"/>
    <w:rsid w:val="000F6008"/>
    <w:rsid w:val="000F667B"/>
    <w:rsid w:val="0010243A"/>
    <w:rsid w:val="00103ECA"/>
    <w:rsid w:val="0010641A"/>
    <w:rsid w:val="00106A5E"/>
    <w:rsid w:val="00107E8F"/>
    <w:rsid w:val="001101B3"/>
    <w:rsid w:val="00112CA1"/>
    <w:rsid w:val="00113795"/>
    <w:rsid w:val="00116D83"/>
    <w:rsid w:val="00117ED5"/>
    <w:rsid w:val="001207E9"/>
    <w:rsid w:val="00120C6D"/>
    <w:rsid w:val="00120FDE"/>
    <w:rsid w:val="0012407B"/>
    <w:rsid w:val="0012444F"/>
    <w:rsid w:val="00127DF0"/>
    <w:rsid w:val="00130448"/>
    <w:rsid w:val="00130552"/>
    <w:rsid w:val="00131C57"/>
    <w:rsid w:val="00132599"/>
    <w:rsid w:val="0013508E"/>
    <w:rsid w:val="0014025A"/>
    <w:rsid w:val="001410F4"/>
    <w:rsid w:val="0014274D"/>
    <w:rsid w:val="00145125"/>
    <w:rsid w:val="00145E91"/>
    <w:rsid w:val="001470C6"/>
    <w:rsid w:val="00147F49"/>
    <w:rsid w:val="00154A53"/>
    <w:rsid w:val="00157B70"/>
    <w:rsid w:val="00161065"/>
    <w:rsid w:val="00161DFE"/>
    <w:rsid w:val="001632C3"/>
    <w:rsid w:val="001634B0"/>
    <w:rsid w:val="00165010"/>
    <w:rsid w:val="00166088"/>
    <w:rsid w:val="0016796D"/>
    <w:rsid w:val="00170F6B"/>
    <w:rsid w:val="001736EA"/>
    <w:rsid w:val="00175A92"/>
    <w:rsid w:val="00182061"/>
    <w:rsid w:val="00183AC6"/>
    <w:rsid w:val="00184B41"/>
    <w:rsid w:val="0018746B"/>
    <w:rsid w:val="00187A00"/>
    <w:rsid w:val="00190588"/>
    <w:rsid w:val="001928EE"/>
    <w:rsid w:val="00192B63"/>
    <w:rsid w:val="00194AF0"/>
    <w:rsid w:val="001955DE"/>
    <w:rsid w:val="0019666E"/>
    <w:rsid w:val="001A1153"/>
    <w:rsid w:val="001A21FE"/>
    <w:rsid w:val="001A39C7"/>
    <w:rsid w:val="001A5715"/>
    <w:rsid w:val="001A7DE1"/>
    <w:rsid w:val="001B47F6"/>
    <w:rsid w:val="001B625A"/>
    <w:rsid w:val="001B7E67"/>
    <w:rsid w:val="001C1BAD"/>
    <w:rsid w:val="001C2117"/>
    <w:rsid w:val="001C263E"/>
    <w:rsid w:val="001C3A15"/>
    <w:rsid w:val="001C4AA8"/>
    <w:rsid w:val="001D3AE1"/>
    <w:rsid w:val="001D5C46"/>
    <w:rsid w:val="001D6805"/>
    <w:rsid w:val="001D7509"/>
    <w:rsid w:val="001D76B9"/>
    <w:rsid w:val="001E1A33"/>
    <w:rsid w:val="001E37EB"/>
    <w:rsid w:val="001E4905"/>
    <w:rsid w:val="001E731A"/>
    <w:rsid w:val="001F2A88"/>
    <w:rsid w:val="001F44F1"/>
    <w:rsid w:val="001F5232"/>
    <w:rsid w:val="00201397"/>
    <w:rsid w:val="00202F7F"/>
    <w:rsid w:val="0020328C"/>
    <w:rsid w:val="00205386"/>
    <w:rsid w:val="00205DE3"/>
    <w:rsid w:val="0020676B"/>
    <w:rsid w:val="00210CEE"/>
    <w:rsid w:val="0021593B"/>
    <w:rsid w:val="00222A67"/>
    <w:rsid w:val="002242D3"/>
    <w:rsid w:val="002264E0"/>
    <w:rsid w:val="0023043A"/>
    <w:rsid w:val="0023166B"/>
    <w:rsid w:val="00231F14"/>
    <w:rsid w:val="0023205C"/>
    <w:rsid w:val="002323FC"/>
    <w:rsid w:val="00232623"/>
    <w:rsid w:val="00233941"/>
    <w:rsid w:val="00233B10"/>
    <w:rsid w:val="00235E9C"/>
    <w:rsid w:val="00237FD9"/>
    <w:rsid w:val="00244ACE"/>
    <w:rsid w:val="00245DC3"/>
    <w:rsid w:val="002466CE"/>
    <w:rsid w:val="00246926"/>
    <w:rsid w:val="00250038"/>
    <w:rsid w:val="00256967"/>
    <w:rsid w:val="00257227"/>
    <w:rsid w:val="00257C7A"/>
    <w:rsid w:val="00257F86"/>
    <w:rsid w:val="0026021A"/>
    <w:rsid w:val="0026187D"/>
    <w:rsid w:val="00262151"/>
    <w:rsid w:val="00264467"/>
    <w:rsid w:val="002677A3"/>
    <w:rsid w:val="00272E49"/>
    <w:rsid w:val="00272E80"/>
    <w:rsid w:val="002737DC"/>
    <w:rsid w:val="0028157D"/>
    <w:rsid w:val="00282F2D"/>
    <w:rsid w:val="00283B37"/>
    <w:rsid w:val="002858DF"/>
    <w:rsid w:val="002864E2"/>
    <w:rsid w:val="002869F0"/>
    <w:rsid w:val="00291789"/>
    <w:rsid w:val="0029199C"/>
    <w:rsid w:val="00291A82"/>
    <w:rsid w:val="002932F6"/>
    <w:rsid w:val="00293401"/>
    <w:rsid w:val="00297AAB"/>
    <w:rsid w:val="002A1C09"/>
    <w:rsid w:val="002A2DBA"/>
    <w:rsid w:val="002A3034"/>
    <w:rsid w:val="002A3232"/>
    <w:rsid w:val="002A3602"/>
    <w:rsid w:val="002A66EC"/>
    <w:rsid w:val="002A6769"/>
    <w:rsid w:val="002A7ACD"/>
    <w:rsid w:val="002A7EA3"/>
    <w:rsid w:val="002B0FF8"/>
    <w:rsid w:val="002B2FB7"/>
    <w:rsid w:val="002B38A1"/>
    <w:rsid w:val="002B3C43"/>
    <w:rsid w:val="002B4F57"/>
    <w:rsid w:val="002C09D0"/>
    <w:rsid w:val="002C2DD3"/>
    <w:rsid w:val="002C36B6"/>
    <w:rsid w:val="002C4B6F"/>
    <w:rsid w:val="002D00A0"/>
    <w:rsid w:val="002D0DE5"/>
    <w:rsid w:val="002D1893"/>
    <w:rsid w:val="002D213D"/>
    <w:rsid w:val="002D25BF"/>
    <w:rsid w:val="002D4133"/>
    <w:rsid w:val="002D4A58"/>
    <w:rsid w:val="002D571D"/>
    <w:rsid w:val="002D5977"/>
    <w:rsid w:val="002D7D02"/>
    <w:rsid w:val="002E181A"/>
    <w:rsid w:val="002E5041"/>
    <w:rsid w:val="002E6486"/>
    <w:rsid w:val="002E7418"/>
    <w:rsid w:val="002E7937"/>
    <w:rsid w:val="002F060C"/>
    <w:rsid w:val="002F0AE8"/>
    <w:rsid w:val="002F47C2"/>
    <w:rsid w:val="002F61BF"/>
    <w:rsid w:val="002F6C55"/>
    <w:rsid w:val="0030359B"/>
    <w:rsid w:val="00304DF3"/>
    <w:rsid w:val="00307A7F"/>
    <w:rsid w:val="00307D26"/>
    <w:rsid w:val="00310436"/>
    <w:rsid w:val="00311082"/>
    <w:rsid w:val="0031142C"/>
    <w:rsid w:val="003125CD"/>
    <w:rsid w:val="00312B57"/>
    <w:rsid w:val="0031453F"/>
    <w:rsid w:val="00317DDB"/>
    <w:rsid w:val="00320CBB"/>
    <w:rsid w:val="003213FE"/>
    <w:rsid w:val="00324225"/>
    <w:rsid w:val="00324C53"/>
    <w:rsid w:val="00326F30"/>
    <w:rsid w:val="003273D8"/>
    <w:rsid w:val="00332D99"/>
    <w:rsid w:val="0033630A"/>
    <w:rsid w:val="003368F0"/>
    <w:rsid w:val="00337429"/>
    <w:rsid w:val="003375C1"/>
    <w:rsid w:val="003418F8"/>
    <w:rsid w:val="00345E03"/>
    <w:rsid w:val="00350B6C"/>
    <w:rsid w:val="00351BCE"/>
    <w:rsid w:val="00356169"/>
    <w:rsid w:val="00356914"/>
    <w:rsid w:val="00360D33"/>
    <w:rsid w:val="00361800"/>
    <w:rsid w:val="00361CC5"/>
    <w:rsid w:val="00361ED4"/>
    <w:rsid w:val="003621E9"/>
    <w:rsid w:val="00366F59"/>
    <w:rsid w:val="003720D0"/>
    <w:rsid w:val="00373323"/>
    <w:rsid w:val="00373643"/>
    <w:rsid w:val="00376C94"/>
    <w:rsid w:val="003771C0"/>
    <w:rsid w:val="00381474"/>
    <w:rsid w:val="003817D8"/>
    <w:rsid w:val="0038513F"/>
    <w:rsid w:val="00390988"/>
    <w:rsid w:val="00390D62"/>
    <w:rsid w:val="003928BB"/>
    <w:rsid w:val="00394443"/>
    <w:rsid w:val="003955E2"/>
    <w:rsid w:val="00395839"/>
    <w:rsid w:val="0039684B"/>
    <w:rsid w:val="00396B89"/>
    <w:rsid w:val="0039730C"/>
    <w:rsid w:val="00397C09"/>
    <w:rsid w:val="003A4F2A"/>
    <w:rsid w:val="003A52E6"/>
    <w:rsid w:val="003A53F9"/>
    <w:rsid w:val="003A5B99"/>
    <w:rsid w:val="003A6B1A"/>
    <w:rsid w:val="003B043B"/>
    <w:rsid w:val="003B28B2"/>
    <w:rsid w:val="003B69F5"/>
    <w:rsid w:val="003B6CE1"/>
    <w:rsid w:val="003B6D53"/>
    <w:rsid w:val="003C0A38"/>
    <w:rsid w:val="003C2472"/>
    <w:rsid w:val="003C476E"/>
    <w:rsid w:val="003C4EA0"/>
    <w:rsid w:val="003C673C"/>
    <w:rsid w:val="003C6FB7"/>
    <w:rsid w:val="003C7326"/>
    <w:rsid w:val="003D13DB"/>
    <w:rsid w:val="003D262A"/>
    <w:rsid w:val="003D4BFD"/>
    <w:rsid w:val="003D4CE8"/>
    <w:rsid w:val="003D65EF"/>
    <w:rsid w:val="003E409D"/>
    <w:rsid w:val="003E6A41"/>
    <w:rsid w:val="003F1065"/>
    <w:rsid w:val="003F1535"/>
    <w:rsid w:val="003F1571"/>
    <w:rsid w:val="003F20AC"/>
    <w:rsid w:val="003F2296"/>
    <w:rsid w:val="003F2549"/>
    <w:rsid w:val="003F4633"/>
    <w:rsid w:val="003F7248"/>
    <w:rsid w:val="00400472"/>
    <w:rsid w:val="0040131A"/>
    <w:rsid w:val="0040305E"/>
    <w:rsid w:val="004035E5"/>
    <w:rsid w:val="00405123"/>
    <w:rsid w:val="00405B58"/>
    <w:rsid w:val="0040632B"/>
    <w:rsid w:val="004064BC"/>
    <w:rsid w:val="00407AFF"/>
    <w:rsid w:val="004139D1"/>
    <w:rsid w:val="00415BB1"/>
    <w:rsid w:val="004166C7"/>
    <w:rsid w:val="00420915"/>
    <w:rsid w:val="00421550"/>
    <w:rsid w:val="0042162A"/>
    <w:rsid w:val="004221CA"/>
    <w:rsid w:val="004260B7"/>
    <w:rsid w:val="00427147"/>
    <w:rsid w:val="00431259"/>
    <w:rsid w:val="0043154B"/>
    <w:rsid w:val="00432469"/>
    <w:rsid w:val="0043255D"/>
    <w:rsid w:val="004325CC"/>
    <w:rsid w:val="00433E4B"/>
    <w:rsid w:val="00434949"/>
    <w:rsid w:val="004356AF"/>
    <w:rsid w:val="004358DE"/>
    <w:rsid w:val="004369D3"/>
    <w:rsid w:val="00436AB3"/>
    <w:rsid w:val="00440A44"/>
    <w:rsid w:val="004419E9"/>
    <w:rsid w:val="00443574"/>
    <w:rsid w:val="004505AF"/>
    <w:rsid w:val="00454B37"/>
    <w:rsid w:val="004562B7"/>
    <w:rsid w:val="004621B6"/>
    <w:rsid w:val="00462BF9"/>
    <w:rsid w:val="0046541C"/>
    <w:rsid w:val="004713F8"/>
    <w:rsid w:val="0047247E"/>
    <w:rsid w:val="004724BE"/>
    <w:rsid w:val="00472933"/>
    <w:rsid w:val="00475362"/>
    <w:rsid w:val="004753C8"/>
    <w:rsid w:val="00476E77"/>
    <w:rsid w:val="00477AC2"/>
    <w:rsid w:val="00480CA4"/>
    <w:rsid w:val="00481245"/>
    <w:rsid w:val="00485080"/>
    <w:rsid w:val="004857A6"/>
    <w:rsid w:val="00486F34"/>
    <w:rsid w:val="00491F6F"/>
    <w:rsid w:val="0049603B"/>
    <w:rsid w:val="004A1B2A"/>
    <w:rsid w:val="004A1BA5"/>
    <w:rsid w:val="004A30F0"/>
    <w:rsid w:val="004A32C6"/>
    <w:rsid w:val="004A4181"/>
    <w:rsid w:val="004A5248"/>
    <w:rsid w:val="004A623B"/>
    <w:rsid w:val="004B35C8"/>
    <w:rsid w:val="004B4729"/>
    <w:rsid w:val="004B5A93"/>
    <w:rsid w:val="004B69D9"/>
    <w:rsid w:val="004B6AD7"/>
    <w:rsid w:val="004B6EBD"/>
    <w:rsid w:val="004C22E9"/>
    <w:rsid w:val="004C5A1C"/>
    <w:rsid w:val="004C74AD"/>
    <w:rsid w:val="004C7F33"/>
    <w:rsid w:val="004D1A13"/>
    <w:rsid w:val="004D47BA"/>
    <w:rsid w:val="004D58A8"/>
    <w:rsid w:val="004D7F80"/>
    <w:rsid w:val="004E0844"/>
    <w:rsid w:val="004E0CCF"/>
    <w:rsid w:val="004E3A05"/>
    <w:rsid w:val="004E4ABC"/>
    <w:rsid w:val="004E5BC8"/>
    <w:rsid w:val="004E7E03"/>
    <w:rsid w:val="004F14A4"/>
    <w:rsid w:val="004F1EB5"/>
    <w:rsid w:val="004F4ECF"/>
    <w:rsid w:val="004F59DD"/>
    <w:rsid w:val="004F6AF4"/>
    <w:rsid w:val="004F6E22"/>
    <w:rsid w:val="0050231B"/>
    <w:rsid w:val="00502ABC"/>
    <w:rsid w:val="005036D8"/>
    <w:rsid w:val="00504A4F"/>
    <w:rsid w:val="005056EE"/>
    <w:rsid w:val="005062AE"/>
    <w:rsid w:val="005118A7"/>
    <w:rsid w:val="00512B2F"/>
    <w:rsid w:val="00513BE5"/>
    <w:rsid w:val="00514EFF"/>
    <w:rsid w:val="00516DAA"/>
    <w:rsid w:val="0051788B"/>
    <w:rsid w:val="0052028F"/>
    <w:rsid w:val="00521127"/>
    <w:rsid w:val="00523186"/>
    <w:rsid w:val="005241FB"/>
    <w:rsid w:val="00526CF6"/>
    <w:rsid w:val="00527160"/>
    <w:rsid w:val="005276EF"/>
    <w:rsid w:val="00527F3C"/>
    <w:rsid w:val="00530649"/>
    <w:rsid w:val="00530C7E"/>
    <w:rsid w:val="005337F9"/>
    <w:rsid w:val="00536B11"/>
    <w:rsid w:val="005376C4"/>
    <w:rsid w:val="00540532"/>
    <w:rsid w:val="00541445"/>
    <w:rsid w:val="00543EA8"/>
    <w:rsid w:val="0054597F"/>
    <w:rsid w:val="00546034"/>
    <w:rsid w:val="00546ABF"/>
    <w:rsid w:val="005472D3"/>
    <w:rsid w:val="00551272"/>
    <w:rsid w:val="005526AD"/>
    <w:rsid w:val="00553311"/>
    <w:rsid w:val="00553DA6"/>
    <w:rsid w:val="00554348"/>
    <w:rsid w:val="005608CD"/>
    <w:rsid w:val="00565B2F"/>
    <w:rsid w:val="00570462"/>
    <w:rsid w:val="00572D2D"/>
    <w:rsid w:val="00573417"/>
    <w:rsid w:val="00574F44"/>
    <w:rsid w:val="00576D1E"/>
    <w:rsid w:val="00576FB9"/>
    <w:rsid w:val="00581E76"/>
    <w:rsid w:val="005857A6"/>
    <w:rsid w:val="005901E7"/>
    <w:rsid w:val="0059279F"/>
    <w:rsid w:val="005927F3"/>
    <w:rsid w:val="005929E3"/>
    <w:rsid w:val="005A0086"/>
    <w:rsid w:val="005A253A"/>
    <w:rsid w:val="005A3143"/>
    <w:rsid w:val="005A35FF"/>
    <w:rsid w:val="005A3B4C"/>
    <w:rsid w:val="005A6662"/>
    <w:rsid w:val="005A7297"/>
    <w:rsid w:val="005B3C27"/>
    <w:rsid w:val="005B5C9C"/>
    <w:rsid w:val="005B5D93"/>
    <w:rsid w:val="005B6B38"/>
    <w:rsid w:val="005C11DD"/>
    <w:rsid w:val="005C14EC"/>
    <w:rsid w:val="005C2B48"/>
    <w:rsid w:val="005C341D"/>
    <w:rsid w:val="005C6405"/>
    <w:rsid w:val="005D082A"/>
    <w:rsid w:val="005D0EBD"/>
    <w:rsid w:val="005D25DD"/>
    <w:rsid w:val="005D50D9"/>
    <w:rsid w:val="005D5599"/>
    <w:rsid w:val="005D5D1E"/>
    <w:rsid w:val="005D66D3"/>
    <w:rsid w:val="005E04D5"/>
    <w:rsid w:val="005E71C4"/>
    <w:rsid w:val="005E7324"/>
    <w:rsid w:val="005F03AA"/>
    <w:rsid w:val="005F078C"/>
    <w:rsid w:val="005F12F5"/>
    <w:rsid w:val="005F1FAC"/>
    <w:rsid w:val="005F4BB7"/>
    <w:rsid w:val="006000D5"/>
    <w:rsid w:val="00601C3E"/>
    <w:rsid w:val="00604947"/>
    <w:rsid w:val="00607679"/>
    <w:rsid w:val="00611F0D"/>
    <w:rsid w:val="00613D49"/>
    <w:rsid w:val="00614C51"/>
    <w:rsid w:val="006150BB"/>
    <w:rsid w:val="0061705B"/>
    <w:rsid w:val="0062074F"/>
    <w:rsid w:val="0062153F"/>
    <w:rsid w:val="00621B1B"/>
    <w:rsid w:val="00621F46"/>
    <w:rsid w:val="00623010"/>
    <w:rsid w:val="006237BA"/>
    <w:rsid w:val="00624E4C"/>
    <w:rsid w:val="00625CDF"/>
    <w:rsid w:val="00627643"/>
    <w:rsid w:val="0062797C"/>
    <w:rsid w:val="006348AE"/>
    <w:rsid w:val="00634CA5"/>
    <w:rsid w:val="00635F19"/>
    <w:rsid w:val="0064091A"/>
    <w:rsid w:val="00644245"/>
    <w:rsid w:val="00647092"/>
    <w:rsid w:val="00650456"/>
    <w:rsid w:val="00650920"/>
    <w:rsid w:val="00651634"/>
    <w:rsid w:val="0065508C"/>
    <w:rsid w:val="006553D5"/>
    <w:rsid w:val="00657C8A"/>
    <w:rsid w:val="006621FF"/>
    <w:rsid w:val="00662B2A"/>
    <w:rsid w:val="00663048"/>
    <w:rsid w:val="0066361D"/>
    <w:rsid w:val="006668D1"/>
    <w:rsid w:val="006678F5"/>
    <w:rsid w:val="00670A54"/>
    <w:rsid w:val="00671B09"/>
    <w:rsid w:val="00672849"/>
    <w:rsid w:val="006768E3"/>
    <w:rsid w:val="0067704C"/>
    <w:rsid w:val="00680ADE"/>
    <w:rsid w:val="00683586"/>
    <w:rsid w:val="006849EE"/>
    <w:rsid w:val="00685503"/>
    <w:rsid w:val="00690006"/>
    <w:rsid w:val="0069044B"/>
    <w:rsid w:val="00691BCF"/>
    <w:rsid w:val="00691F19"/>
    <w:rsid w:val="00692DE6"/>
    <w:rsid w:val="0069405F"/>
    <w:rsid w:val="00697473"/>
    <w:rsid w:val="006A224C"/>
    <w:rsid w:val="006A2262"/>
    <w:rsid w:val="006A2271"/>
    <w:rsid w:val="006A4AEF"/>
    <w:rsid w:val="006A7DEE"/>
    <w:rsid w:val="006B185A"/>
    <w:rsid w:val="006B1E40"/>
    <w:rsid w:val="006B41CA"/>
    <w:rsid w:val="006B42F6"/>
    <w:rsid w:val="006B6313"/>
    <w:rsid w:val="006B68D3"/>
    <w:rsid w:val="006C118A"/>
    <w:rsid w:val="006C56A8"/>
    <w:rsid w:val="006C650F"/>
    <w:rsid w:val="006D4186"/>
    <w:rsid w:val="006D46F7"/>
    <w:rsid w:val="006D6228"/>
    <w:rsid w:val="006D65E0"/>
    <w:rsid w:val="006D7020"/>
    <w:rsid w:val="006E6665"/>
    <w:rsid w:val="006F0588"/>
    <w:rsid w:val="006F1358"/>
    <w:rsid w:val="006F1C64"/>
    <w:rsid w:val="006F272D"/>
    <w:rsid w:val="006F27B5"/>
    <w:rsid w:val="006F2B47"/>
    <w:rsid w:val="006F38B7"/>
    <w:rsid w:val="006F58D7"/>
    <w:rsid w:val="007059FF"/>
    <w:rsid w:val="007079FE"/>
    <w:rsid w:val="0071067B"/>
    <w:rsid w:val="00710827"/>
    <w:rsid w:val="00710931"/>
    <w:rsid w:val="00711AFE"/>
    <w:rsid w:val="00715BB5"/>
    <w:rsid w:val="00716389"/>
    <w:rsid w:val="00716B65"/>
    <w:rsid w:val="007179CD"/>
    <w:rsid w:val="00721ECE"/>
    <w:rsid w:val="00723352"/>
    <w:rsid w:val="00723579"/>
    <w:rsid w:val="00725616"/>
    <w:rsid w:val="007304A6"/>
    <w:rsid w:val="00730760"/>
    <w:rsid w:val="00732223"/>
    <w:rsid w:val="00732ADD"/>
    <w:rsid w:val="00736601"/>
    <w:rsid w:val="00741868"/>
    <w:rsid w:val="00742C20"/>
    <w:rsid w:val="0074367C"/>
    <w:rsid w:val="00744485"/>
    <w:rsid w:val="007450A3"/>
    <w:rsid w:val="0075012B"/>
    <w:rsid w:val="00750A41"/>
    <w:rsid w:val="0075222A"/>
    <w:rsid w:val="00752DF9"/>
    <w:rsid w:val="007549CD"/>
    <w:rsid w:val="00760CDC"/>
    <w:rsid w:val="00762B46"/>
    <w:rsid w:val="007641BD"/>
    <w:rsid w:val="007664D0"/>
    <w:rsid w:val="00766FDD"/>
    <w:rsid w:val="00770A72"/>
    <w:rsid w:val="00770A74"/>
    <w:rsid w:val="00774D30"/>
    <w:rsid w:val="0077714E"/>
    <w:rsid w:val="0078046E"/>
    <w:rsid w:val="00780628"/>
    <w:rsid w:val="00781178"/>
    <w:rsid w:val="00782151"/>
    <w:rsid w:val="007828E4"/>
    <w:rsid w:val="00784AE4"/>
    <w:rsid w:val="00784DEC"/>
    <w:rsid w:val="00787DE6"/>
    <w:rsid w:val="007912CA"/>
    <w:rsid w:val="00794584"/>
    <w:rsid w:val="0079684B"/>
    <w:rsid w:val="007A03C9"/>
    <w:rsid w:val="007A231B"/>
    <w:rsid w:val="007A32B3"/>
    <w:rsid w:val="007A340A"/>
    <w:rsid w:val="007A4126"/>
    <w:rsid w:val="007A4ED7"/>
    <w:rsid w:val="007A5FE6"/>
    <w:rsid w:val="007A6C86"/>
    <w:rsid w:val="007B1178"/>
    <w:rsid w:val="007B3DA5"/>
    <w:rsid w:val="007B4BC2"/>
    <w:rsid w:val="007C0EBE"/>
    <w:rsid w:val="007C42FF"/>
    <w:rsid w:val="007C4AA0"/>
    <w:rsid w:val="007D19DF"/>
    <w:rsid w:val="007D22D2"/>
    <w:rsid w:val="007D34B5"/>
    <w:rsid w:val="007D3816"/>
    <w:rsid w:val="007D3DFA"/>
    <w:rsid w:val="007D6681"/>
    <w:rsid w:val="007D6A3E"/>
    <w:rsid w:val="007D6FA1"/>
    <w:rsid w:val="007D7345"/>
    <w:rsid w:val="007E10BA"/>
    <w:rsid w:val="007E2243"/>
    <w:rsid w:val="007E3D72"/>
    <w:rsid w:val="007F24C7"/>
    <w:rsid w:val="007F6EAC"/>
    <w:rsid w:val="007F7033"/>
    <w:rsid w:val="00804780"/>
    <w:rsid w:val="008048BC"/>
    <w:rsid w:val="00804914"/>
    <w:rsid w:val="008121A2"/>
    <w:rsid w:val="008123C0"/>
    <w:rsid w:val="00815CE4"/>
    <w:rsid w:val="00817E7C"/>
    <w:rsid w:val="00820EC1"/>
    <w:rsid w:val="008213F7"/>
    <w:rsid w:val="0082292A"/>
    <w:rsid w:val="00823F7D"/>
    <w:rsid w:val="00826194"/>
    <w:rsid w:val="00827034"/>
    <w:rsid w:val="00830E94"/>
    <w:rsid w:val="00831880"/>
    <w:rsid w:val="00831E08"/>
    <w:rsid w:val="0084335E"/>
    <w:rsid w:val="008435AA"/>
    <w:rsid w:val="00843D66"/>
    <w:rsid w:val="00844526"/>
    <w:rsid w:val="008452D5"/>
    <w:rsid w:val="0084674A"/>
    <w:rsid w:val="00846DA1"/>
    <w:rsid w:val="00847A18"/>
    <w:rsid w:val="0085083D"/>
    <w:rsid w:val="00851B9B"/>
    <w:rsid w:val="00851C9F"/>
    <w:rsid w:val="00860D22"/>
    <w:rsid w:val="00862414"/>
    <w:rsid w:val="0086485C"/>
    <w:rsid w:val="00865EFA"/>
    <w:rsid w:val="00870589"/>
    <w:rsid w:val="008712D4"/>
    <w:rsid w:val="00871BC6"/>
    <w:rsid w:val="00872C7A"/>
    <w:rsid w:val="008734DE"/>
    <w:rsid w:val="0087793E"/>
    <w:rsid w:val="00884DDF"/>
    <w:rsid w:val="00884F1D"/>
    <w:rsid w:val="008902B3"/>
    <w:rsid w:val="008922F0"/>
    <w:rsid w:val="00892EC2"/>
    <w:rsid w:val="0089337D"/>
    <w:rsid w:val="008948FD"/>
    <w:rsid w:val="008968E0"/>
    <w:rsid w:val="008969F7"/>
    <w:rsid w:val="00896A5B"/>
    <w:rsid w:val="00896FBB"/>
    <w:rsid w:val="008A1251"/>
    <w:rsid w:val="008A1E7B"/>
    <w:rsid w:val="008A27CE"/>
    <w:rsid w:val="008A2C7A"/>
    <w:rsid w:val="008A4D47"/>
    <w:rsid w:val="008A62FB"/>
    <w:rsid w:val="008B0837"/>
    <w:rsid w:val="008B1ECF"/>
    <w:rsid w:val="008B34EA"/>
    <w:rsid w:val="008B7CC7"/>
    <w:rsid w:val="008C0A02"/>
    <w:rsid w:val="008C0AB9"/>
    <w:rsid w:val="008C14B7"/>
    <w:rsid w:val="008C40D3"/>
    <w:rsid w:val="008C4108"/>
    <w:rsid w:val="008C522E"/>
    <w:rsid w:val="008C6AF5"/>
    <w:rsid w:val="008D536D"/>
    <w:rsid w:val="008D6B20"/>
    <w:rsid w:val="008E0974"/>
    <w:rsid w:val="008E12AA"/>
    <w:rsid w:val="008E3630"/>
    <w:rsid w:val="008E6B7E"/>
    <w:rsid w:val="008E7D47"/>
    <w:rsid w:val="008F2F56"/>
    <w:rsid w:val="008F6ADD"/>
    <w:rsid w:val="009018F0"/>
    <w:rsid w:val="00902000"/>
    <w:rsid w:val="00903F27"/>
    <w:rsid w:val="00904A4F"/>
    <w:rsid w:val="009055CC"/>
    <w:rsid w:val="0090609C"/>
    <w:rsid w:val="0090612E"/>
    <w:rsid w:val="00917BCB"/>
    <w:rsid w:val="0092394A"/>
    <w:rsid w:val="00924AEE"/>
    <w:rsid w:val="00926153"/>
    <w:rsid w:val="0092679F"/>
    <w:rsid w:val="0093263E"/>
    <w:rsid w:val="009339C5"/>
    <w:rsid w:val="0093579D"/>
    <w:rsid w:val="00935EE6"/>
    <w:rsid w:val="00937D3A"/>
    <w:rsid w:val="00937F01"/>
    <w:rsid w:val="00942AE3"/>
    <w:rsid w:val="00942E55"/>
    <w:rsid w:val="0094367E"/>
    <w:rsid w:val="00946394"/>
    <w:rsid w:val="009508BA"/>
    <w:rsid w:val="00950A6B"/>
    <w:rsid w:val="00952451"/>
    <w:rsid w:val="00955392"/>
    <w:rsid w:val="009554BB"/>
    <w:rsid w:val="00961722"/>
    <w:rsid w:val="00962C9E"/>
    <w:rsid w:val="0096631A"/>
    <w:rsid w:val="009666DE"/>
    <w:rsid w:val="00966AFC"/>
    <w:rsid w:val="009672CC"/>
    <w:rsid w:val="009703C7"/>
    <w:rsid w:val="0097062E"/>
    <w:rsid w:val="00974059"/>
    <w:rsid w:val="00974E38"/>
    <w:rsid w:val="00975865"/>
    <w:rsid w:val="00976D86"/>
    <w:rsid w:val="009813DC"/>
    <w:rsid w:val="00983E0E"/>
    <w:rsid w:val="00985DB0"/>
    <w:rsid w:val="00986A00"/>
    <w:rsid w:val="00987CAD"/>
    <w:rsid w:val="00987F75"/>
    <w:rsid w:val="009922BF"/>
    <w:rsid w:val="00995499"/>
    <w:rsid w:val="00996ABF"/>
    <w:rsid w:val="0099772D"/>
    <w:rsid w:val="009A1175"/>
    <w:rsid w:val="009A3929"/>
    <w:rsid w:val="009A3D88"/>
    <w:rsid w:val="009A48A8"/>
    <w:rsid w:val="009A52DA"/>
    <w:rsid w:val="009A59D7"/>
    <w:rsid w:val="009A5C66"/>
    <w:rsid w:val="009A7D1F"/>
    <w:rsid w:val="009B09B0"/>
    <w:rsid w:val="009B0C15"/>
    <w:rsid w:val="009B1507"/>
    <w:rsid w:val="009B2BF2"/>
    <w:rsid w:val="009B36E2"/>
    <w:rsid w:val="009B4E25"/>
    <w:rsid w:val="009C017C"/>
    <w:rsid w:val="009C1164"/>
    <w:rsid w:val="009C12D6"/>
    <w:rsid w:val="009C3A55"/>
    <w:rsid w:val="009C4B11"/>
    <w:rsid w:val="009D02D5"/>
    <w:rsid w:val="009D0A54"/>
    <w:rsid w:val="009D53E6"/>
    <w:rsid w:val="009D5860"/>
    <w:rsid w:val="009D66C4"/>
    <w:rsid w:val="009D6732"/>
    <w:rsid w:val="009D690A"/>
    <w:rsid w:val="009E1337"/>
    <w:rsid w:val="009E1565"/>
    <w:rsid w:val="009E324C"/>
    <w:rsid w:val="009E5E92"/>
    <w:rsid w:val="009F06E7"/>
    <w:rsid w:val="009F07FF"/>
    <w:rsid w:val="009F1823"/>
    <w:rsid w:val="009F2BE3"/>
    <w:rsid w:val="009F30CD"/>
    <w:rsid w:val="009F3A8C"/>
    <w:rsid w:val="009F40C0"/>
    <w:rsid w:val="00A00D1A"/>
    <w:rsid w:val="00A00D22"/>
    <w:rsid w:val="00A0311A"/>
    <w:rsid w:val="00A06D46"/>
    <w:rsid w:val="00A17C73"/>
    <w:rsid w:val="00A17F35"/>
    <w:rsid w:val="00A224CF"/>
    <w:rsid w:val="00A235B3"/>
    <w:rsid w:val="00A236B8"/>
    <w:rsid w:val="00A24538"/>
    <w:rsid w:val="00A2489F"/>
    <w:rsid w:val="00A25012"/>
    <w:rsid w:val="00A255E7"/>
    <w:rsid w:val="00A35BE7"/>
    <w:rsid w:val="00A37092"/>
    <w:rsid w:val="00A371C5"/>
    <w:rsid w:val="00A42341"/>
    <w:rsid w:val="00A4402A"/>
    <w:rsid w:val="00A45683"/>
    <w:rsid w:val="00A51183"/>
    <w:rsid w:val="00A536BC"/>
    <w:rsid w:val="00A550D2"/>
    <w:rsid w:val="00A55321"/>
    <w:rsid w:val="00A55754"/>
    <w:rsid w:val="00A57C74"/>
    <w:rsid w:val="00A6008E"/>
    <w:rsid w:val="00A60197"/>
    <w:rsid w:val="00A604F1"/>
    <w:rsid w:val="00A60AD1"/>
    <w:rsid w:val="00A613A1"/>
    <w:rsid w:val="00A67711"/>
    <w:rsid w:val="00A708AF"/>
    <w:rsid w:val="00A749E6"/>
    <w:rsid w:val="00A76962"/>
    <w:rsid w:val="00A804F2"/>
    <w:rsid w:val="00A80D04"/>
    <w:rsid w:val="00A8496B"/>
    <w:rsid w:val="00A876BE"/>
    <w:rsid w:val="00A92206"/>
    <w:rsid w:val="00A92354"/>
    <w:rsid w:val="00A931FD"/>
    <w:rsid w:val="00A93519"/>
    <w:rsid w:val="00A96B87"/>
    <w:rsid w:val="00AA43B0"/>
    <w:rsid w:val="00AA4BB5"/>
    <w:rsid w:val="00AA673D"/>
    <w:rsid w:val="00AA6E2F"/>
    <w:rsid w:val="00AB2256"/>
    <w:rsid w:val="00AB22C9"/>
    <w:rsid w:val="00AB5BB0"/>
    <w:rsid w:val="00AB5BC2"/>
    <w:rsid w:val="00AB772D"/>
    <w:rsid w:val="00AC1AAD"/>
    <w:rsid w:val="00AC26CE"/>
    <w:rsid w:val="00AC30DA"/>
    <w:rsid w:val="00AC79CE"/>
    <w:rsid w:val="00AD0B50"/>
    <w:rsid w:val="00AD0D26"/>
    <w:rsid w:val="00AD150B"/>
    <w:rsid w:val="00AD3356"/>
    <w:rsid w:val="00AD5BC5"/>
    <w:rsid w:val="00AE0669"/>
    <w:rsid w:val="00AE0DD2"/>
    <w:rsid w:val="00AE22EE"/>
    <w:rsid w:val="00AE73F8"/>
    <w:rsid w:val="00AF2674"/>
    <w:rsid w:val="00AF4740"/>
    <w:rsid w:val="00AF6EED"/>
    <w:rsid w:val="00AF700E"/>
    <w:rsid w:val="00B0250A"/>
    <w:rsid w:val="00B03FA8"/>
    <w:rsid w:val="00B05122"/>
    <w:rsid w:val="00B05A2B"/>
    <w:rsid w:val="00B14AFC"/>
    <w:rsid w:val="00B1693D"/>
    <w:rsid w:val="00B2052F"/>
    <w:rsid w:val="00B2070F"/>
    <w:rsid w:val="00B22B75"/>
    <w:rsid w:val="00B26897"/>
    <w:rsid w:val="00B32560"/>
    <w:rsid w:val="00B33756"/>
    <w:rsid w:val="00B339AF"/>
    <w:rsid w:val="00B342D5"/>
    <w:rsid w:val="00B37F03"/>
    <w:rsid w:val="00B41073"/>
    <w:rsid w:val="00B42F54"/>
    <w:rsid w:val="00B43672"/>
    <w:rsid w:val="00B436A1"/>
    <w:rsid w:val="00B43D0C"/>
    <w:rsid w:val="00B4579F"/>
    <w:rsid w:val="00B466F6"/>
    <w:rsid w:val="00B501C2"/>
    <w:rsid w:val="00B521D3"/>
    <w:rsid w:val="00B5275D"/>
    <w:rsid w:val="00B543AA"/>
    <w:rsid w:val="00B54B1E"/>
    <w:rsid w:val="00B54B56"/>
    <w:rsid w:val="00B56950"/>
    <w:rsid w:val="00B574BB"/>
    <w:rsid w:val="00B57F10"/>
    <w:rsid w:val="00B60E7B"/>
    <w:rsid w:val="00B61877"/>
    <w:rsid w:val="00B6670A"/>
    <w:rsid w:val="00B670A9"/>
    <w:rsid w:val="00B70242"/>
    <w:rsid w:val="00B70F57"/>
    <w:rsid w:val="00B804F6"/>
    <w:rsid w:val="00B80655"/>
    <w:rsid w:val="00B80B12"/>
    <w:rsid w:val="00B830F4"/>
    <w:rsid w:val="00B844B3"/>
    <w:rsid w:val="00B870F6"/>
    <w:rsid w:val="00B921B9"/>
    <w:rsid w:val="00B93BCA"/>
    <w:rsid w:val="00B97F6E"/>
    <w:rsid w:val="00BA1D83"/>
    <w:rsid w:val="00BA391E"/>
    <w:rsid w:val="00BA459F"/>
    <w:rsid w:val="00BA580C"/>
    <w:rsid w:val="00BB0B7D"/>
    <w:rsid w:val="00BB1A55"/>
    <w:rsid w:val="00BB1CE9"/>
    <w:rsid w:val="00BB68E0"/>
    <w:rsid w:val="00BC1895"/>
    <w:rsid w:val="00BC3003"/>
    <w:rsid w:val="00BC4CA9"/>
    <w:rsid w:val="00BC5A27"/>
    <w:rsid w:val="00BC601D"/>
    <w:rsid w:val="00BD0084"/>
    <w:rsid w:val="00BD10A0"/>
    <w:rsid w:val="00BD3534"/>
    <w:rsid w:val="00BD4BCC"/>
    <w:rsid w:val="00BD641A"/>
    <w:rsid w:val="00BE1228"/>
    <w:rsid w:val="00BE316D"/>
    <w:rsid w:val="00BE3A01"/>
    <w:rsid w:val="00BE3D12"/>
    <w:rsid w:val="00BE4319"/>
    <w:rsid w:val="00BE4721"/>
    <w:rsid w:val="00BE651B"/>
    <w:rsid w:val="00BE7AF6"/>
    <w:rsid w:val="00BF0E54"/>
    <w:rsid w:val="00BF0E92"/>
    <w:rsid w:val="00BF3398"/>
    <w:rsid w:val="00BF3CFD"/>
    <w:rsid w:val="00BF4C3F"/>
    <w:rsid w:val="00BF4D31"/>
    <w:rsid w:val="00BF4E70"/>
    <w:rsid w:val="00BF5453"/>
    <w:rsid w:val="00BF5BD7"/>
    <w:rsid w:val="00BF5DE4"/>
    <w:rsid w:val="00C0082B"/>
    <w:rsid w:val="00C00E9A"/>
    <w:rsid w:val="00C02596"/>
    <w:rsid w:val="00C0338C"/>
    <w:rsid w:val="00C0732F"/>
    <w:rsid w:val="00C11AE5"/>
    <w:rsid w:val="00C136E4"/>
    <w:rsid w:val="00C1558A"/>
    <w:rsid w:val="00C20088"/>
    <w:rsid w:val="00C2026B"/>
    <w:rsid w:val="00C20BAC"/>
    <w:rsid w:val="00C218AA"/>
    <w:rsid w:val="00C23902"/>
    <w:rsid w:val="00C23A09"/>
    <w:rsid w:val="00C24A80"/>
    <w:rsid w:val="00C31F77"/>
    <w:rsid w:val="00C33B63"/>
    <w:rsid w:val="00C33D77"/>
    <w:rsid w:val="00C35719"/>
    <w:rsid w:val="00C35952"/>
    <w:rsid w:val="00C37C91"/>
    <w:rsid w:val="00C41703"/>
    <w:rsid w:val="00C429DC"/>
    <w:rsid w:val="00C43352"/>
    <w:rsid w:val="00C44A12"/>
    <w:rsid w:val="00C451E2"/>
    <w:rsid w:val="00C467D5"/>
    <w:rsid w:val="00C47F5B"/>
    <w:rsid w:val="00C515DF"/>
    <w:rsid w:val="00C5176D"/>
    <w:rsid w:val="00C51D13"/>
    <w:rsid w:val="00C53868"/>
    <w:rsid w:val="00C55626"/>
    <w:rsid w:val="00C55DAC"/>
    <w:rsid w:val="00C55DD2"/>
    <w:rsid w:val="00C568AA"/>
    <w:rsid w:val="00C56A5D"/>
    <w:rsid w:val="00C57A16"/>
    <w:rsid w:val="00C607E4"/>
    <w:rsid w:val="00C617A8"/>
    <w:rsid w:val="00C62B16"/>
    <w:rsid w:val="00C62FFA"/>
    <w:rsid w:val="00C66F22"/>
    <w:rsid w:val="00C71E5A"/>
    <w:rsid w:val="00C737A1"/>
    <w:rsid w:val="00C742F2"/>
    <w:rsid w:val="00C746C0"/>
    <w:rsid w:val="00C75DCE"/>
    <w:rsid w:val="00C761AD"/>
    <w:rsid w:val="00C765B2"/>
    <w:rsid w:val="00C77693"/>
    <w:rsid w:val="00C81F54"/>
    <w:rsid w:val="00C84797"/>
    <w:rsid w:val="00C866A7"/>
    <w:rsid w:val="00C86CDA"/>
    <w:rsid w:val="00C9198A"/>
    <w:rsid w:val="00C93BCC"/>
    <w:rsid w:val="00C948D5"/>
    <w:rsid w:val="00C94BE6"/>
    <w:rsid w:val="00CA48F0"/>
    <w:rsid w:val="00CA60C2"/>
    <w:rsid w:val="00CB10CB"/>
    <w:rsid w:val="00CB3830"/>
    <w:rsid w:val="00CB45C0"/>
    <w:rsid w:val="00CB5758"/>
    <w:rsid w:val="00CB5D07"/>
    <w:rsid w:val="00CC0232"/>
    <w:rsid w:val="00CC05DD"/>
    <w:rsid w:val="00CC0C5E"/>
    <w:rsid w:val="00CC2575"/>
    <w:rsid w:val="00CC38D8"/>
    <w:rsid w:val="00CC4159"/>
    <w:rsid w:val="00CC4EC4"/>
    <w:rsid w:val="00CE033D"/>
    <w:rsid w:val="00CE08B1"/>
    <w:rsid w:val="00CE1EF7"/>
    <w:rsid w:val="00CE411B"/>
    <w:rsid w:val="00CE5C84"/>
    <w:rsid w:val="00CE633F"/>
    <w:rsid w:val="00CF0E7A"/>
    <w:rsid w:val="00CF35E5"/>
    <w:rsid w:val="00CF3CC1"/>
    <w:rsid w:val="00CF42DC"/>
    <w:rsid w:val="00CF6354"/>
    <w:rsid w:val="00D01EE1"/>
    <w:rsid w:val="00D04C5D"/>
    <w:rsid w:val="00D06378"/>
    <w:rsid w:val="00D07B34"/>
    <w:rsid w:val="00D10BAC"/>
    <w:rsid w:val="00D1213D"/>
    <w:rsid w:val="00D13CBC"/>
    <w:rsid w:val="00D1568D"/>
    <w:rsid w:val="00D16C79"/>
    <w:rsid w:val="00D16F57"/>
    <w:rsid w:val="00D17D72"/>
    <w:rsid w:val="00D20020"/>
    <w:rsid w:val="00D20EEF"/>
    <w:rsid w:val="00D2347B"/>
    <w:rsid w:val="00D260E4"/>
    <w:rsid w:val="00D26C0F"/>
    <w:rsid w:val="00D312CD"/>
    <w:rsid w:val="00D31E0B"/>
    <w:rsid w:val="00D32AAC"/>
    <w:rsid w:val="00D33365"/>
    <w:rsid w:val="00D35581"/>
    <w:rsid w:val="00D35CE9"/>
    <w:rsid w:val="00D3631D"/>
    <w:rsid w:val="00D42B02"/>
    <w:rsid w:val="00D4443B"/>
    <w:rsid w:val="00D45259"/>
    <w:rsid w:val="00D50FB0"/>
    <w:rsid w:val="00D55F2D"/>
    <w:rsid w:val="00D56C7D"/>
    <w:rsid w:val="00D57816"/>
    <w:rsid w:val="00D60EAF"/>
    <w:rsid w:val="00D614B5"/>
    <w:rsid w:val="00D666FA"/>
    <w:rsid w:val="00D67F8D"/>
    <w:rsid w:val="00D706E2"/>
    <w:rsid w:val="00D70DCB"/>
    <w:rsid w:val="00D71A43"/>
    <w:rsid w:val="00D73F21"/>
    <w:rsid w:val="00D74641"/>
    <w:rsid w:val="00D75957"/>
    <w:rsid w:val="00D82E1B"/>
    <w:rsid w:val="00D83F3B"/>
    <w:rsid w:val="00D841C3"/>
    <w:rsid w:val="00D872EE"/>
    <w:rsid w:val="00D94B72"/>
    <w:rsid w:val="00D94F77"/>
    <w:rsid w:val="00DA29B0"/>
    <w:rsid w:val="00DA3EEF"/>
    <w:rsid w:val="00DB3033"/>
    <w:rsid w:val="00DB6C57"/>
    <w:rsid w:val="00DC10E5"/>
    <w:rsid w:val="00DC1817"/>
    <w:rsid w:val="00DC2951"/>
    <w:rsid w:val="00DC2E24"/>
    <w:rsid w:val="00DC46D2"/>
    <w:rsid w:val="00DC48FD"/>
    <w:rsid w:val="00DC4D31"/>
    <w:rsid w:val="00DC5577"/>
    <w:rsid w:val="00DC61B0"/>
    <w:rsid w:val="00DD3B27"/>
    <w:rsid w:val="00DD4444"/>
    <w:rsid w:val="00DD6F4E"/>
    <w:rsid w:val="00DD7423"/>
    <w:rsid w:val="00DE0129"/>
    <w:rsid w:val="00DE0C9B"/>
    <w:rsid w:val="00DE151D"/>
    <w:rsid w:val="00DE3297"/>
    <w:rsid w:val="00DE4697"/>
    <w:rsid w:val="00DE4DF4"/>
    <w:rsid w:val="00DE556E"/>
    <w:rsid w:val="00DE654E"/>
    <w:rsid w:val="00DE6DA3"/>
    <w:rsid w:val="00DE7CC3"/>
    <w:rsid w:val="00DF0152"/>
    <w:rsid w:val="00DF0B1E"/>
    <w:rsid w:val="00DF166C"/>
    <w:rsid w:val="00DF4F1C"/>
    <w:rsid w:val="00E00125"/>
    <w:rsid w:val="00E00539"/>
    <w:rsid w:val="00E03803"/>
    <w:rsid w:val="00E13618"/>
    <w:rsid w:val="00E148F7"/>
    <w:rsid w:val="00E2034A"/>
    <w:rsid w:val="00E205F9"/>
    <w:rsid w:val="00E21B7A"/>
    <w:rsid w:val="00E21EDE"/>
    <w:rsid w:val="00E237FE"/>
    <w:rsid w:val="00E24937"/>
    <w:rsid w:val="00E249EA"/>
    <w:rsid w:val="00E25D73"/>
    <w:rsid w:val="00E303FE"/>
    <w:rsid w:val="00E306BE"/>
    <w:rsid w:val="00E3257F"/>
    <w:rsid w:val="00E364F4"/>
    <w:rsid w:val="00E36E85"/>
    <w:rsid w:val="00E4134A"/>
    <w:rsid w:val="00E42984"/>
    <w:rsid w:val="00E43356"/>
    <w:rsid w:val="00E4622A"/>
    <w:rsid w:val="00E50962"/>
    <w:rsid w:val="00E519D4"/>
    <w:rsid w:val="00E5574E"/>
    <w:rsid w:val="00E608F5"/>
    <w:rsid w:val="00E612DE"/>
    <w:rsid w:val="00E61B94"/>
    <w:rsid w:val="00E7500A"/>
    <w:rsid w:val="00E80D4C"/>
    <w:rsid w:val="00E82FAC"/>
    <w:rsid w:val="00E90C74"/>
    <w:rsid w:val="00E92B78"/>
    <w:rsid w:val="00E9360B"/>
    <w:rsid w:val="00E96032"/>
    <w:rsid w:val="00E976B6"/>
    <w:rsid w:val="00EA0074"/>
    <w:rsid w:val="00EA03C9"/>
    <w:rsid w:val="00EA144A"/>
    <w:rsid w:val="00EA2885"/>
    <w:rsid w:val="00EA3A3C"/>
    <w:rsid w:val="00EA49E3"/>
    <w:rsid w:val="00EA57C1"/>
    <w:rsid w:val="00EA5E0D"/>
    <w:rsid w:val="00EA6065"/>
    <w:rsid w:val="00EA67AC"/>
    <w:rsid w:val="00EA7329"/>
    <w:rsid w:val="00EA73D8"/>
    <w:rsid w:val="00EB0722"/>
    <w:rsid w:val="00EB4CB6"/>
    <w:rsid w:val="00EC05CC"/>
    <w:rsid w:val="00ED329A"/>
    <w:rsid w:val="00EE1F87"/>
    <w:rsid w:val="00EE29F5"/>
    <w:rsid w:val="00EE3D98"/>
    <w:rsid w:val="00EE530E"/>
    <w:rsid w:val="00EE5A65"/>
    <w:rsid w:val="00EE706E"/>
    <w:rsid w:val="00EE726B"/>
    <w:rsid w:val="00EE7981"/>
    <w:rsid w:val="00EF1CE3"/>
    <w:rsid w:val="00EF3635"/>
    <w:rsid w:val="00EF5413"/>
    <w:rsid w:val="00EF5BDE"/>
    <w:rsid w:val="00EF754A"/>
    <w:rsid w:val="00EF76ED"/>
    <w:rsid w:val="00F04647"/>
    <w:rsid w:val="00F0604B"/>
    <w:rsid w:val="00F06F3A"/>
    <w:rsid w:val="00F12B05"/>
    <w:rsid w:val="00F130C0"/>
    <w:rsid w:val="00F15820"/>
    <w:rsid w:val="00F15ED3"/>
    <w:rsid w:val="00F20BDC"/>
    <w:rsid w:val="00F20DC2"/>
    <w:rsid w:val="00F2407B"/>
    <w:rsid w:val="00F25CD5"/>
    <w:rsid w:val="00F26E0F"/>
    <w:rsid w:val="00F27ADE"/>
    <w:rsid w:val="00F3071E"/>
    <w:rsid w:val="00F31CD4"/>
    <w:rsid w:val="00F346E2"/>
    <w:rsid w:val="00F37769"/>
    <w:rsid w:val="00F37C93"/>
    <w:rsid w:val="00F40F99"/>
    <w:rsid w:val="00F42371"/>
    <w:rsid w:val="00F42E72"/>
    <w:rsid w:val="00F430D2"/>
    <w:rsid w:val="00F436DB"/>
    <w:rsid w:val="00F44AEF"/>
    <w:rsid w:val="00F456B2"/>
    <w:rsid w:val="00F47C17"/>
    <w:rsid w:val="00F50238"/>
    <w:rsid w:val="00F53B1A"/>
    <w:rsid w:val="00F55676"/>
    <w:rsid w:val="00F568D1"/>
    <w:rsid w:val="00F622D4"/>
    <w:rsid w:val="00F62F93"/>
    <w:rsid w:val="00F67546"/>
    <w:rsid w:val="00F70AB7"/>
    <w:rsid w:val="00F719FA"/>
    <w:rsid w:val="00F71EF0"/>
    <w:rsid w:val="00F72776"/>
    <w:rsid w:val="00F73436"/>
    <w:rsid w:val="00F752B0"/>
    <w:rsid w:val="00F75C20"/>
    <w:rsid w:val="00F765A3"/>
    <w:rsid w:val="00F767AD"/>
    <w:rsid w:val="00F7761E"/>
    <w:rsid w:val="00F804F8"/>
    <w:rsid w:val="00F80C12"/>
    <w:rsid w:val="00F82FC7"/>
    <w:rsid w:val="00F83B6D"/>
    <w:rsid w:val="00F84065"/>
    <w:rsid w:val="00F841CF"/>
    <w:rsid w:val="00F84C48"/>
    <w:rsid w:val="00F86658"/>
    <w:rsid w:val="00F8672D"/>
    <w:rsid w:val="00F86F48"/>
    <w:rsid w:val="00F90C0C"/>
    <w:rsid w:val="00F93255"/>
    <w:rsid w:val="00F94ED3"/>
    <w:rsid w:val="00F950CD"/>
    <w:rsid w:val="00FA1E29"/>
    <w:rsid w:val="00FA3A15"/>
    <w:rsid w:val="00FA4303"/>
    <w:rsid w:val="00FA463B"/>
    <w:rsid w:val="00FA571C"/>
    <w:rsid w:val="00FA5AB0"/>
    <w:rsid w:val="00FA6B12"/>
    <w:rsid w:val="00FA7C69"/>
    <w:rsid w:val="00FB03F0"/>
    <w:rsid w:val="00FB0683"/>
    <w:rsid w:val="00FB7741"/>
    <w:rsid w:val="00FC177C"/>
    <w:rsid w:val="00FC19FF"/>
    <w:rsid w:val="00FC3A26"/>
    <w:rsid w:val="00FC427F"/>
    <w:rsid w:val="00FC4F02"/>
    <w:rsid w:val="00FC6187"/>
    <w:rsid w:val="00FC691F"/>
    <w:rsid w:val="00FD1209"/>
    <w:rsid w:val="00FD35A5"/>
    <w:rsid w:val="00FD39C3"/>
    <w:rsid w:val="00FD5A4E"/>
    <w:rsid w:val="00FE08BF"/>
    <w:rsid w:val="00FE0D98"/>
    <w:rsid w:val="00FE54B5"/>
    <w:rsid w:val="00FE5685"/>
    <w:rsid w:val="00FE5B05"/>
    <w:rsid w:val="00FF0FBE"/>
    <w:rsid w:val="00FF1835"/>
    <w:rsid w:val="00FF294F"/>
    <w:rsid w:val="00FF40FE"/>
    <w:rsid w:val="00FF7E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78D2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A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00A"/>
    <w:rPr>
      <w:rFonts w:ascii="Tahoma" w:hAnsi="Tahoma" w:cs="Tahoma"/>
      <w:sz w:val="16"/>
      <w:szCs w:val="16"/>
    </w:rPr>
  </w:style>
  <w:style w:type="paragraph" w:styleId="Header">
    <w:name w:val="header"/>
    <w:basedOn w:val="Normal"/>
    <w:link w:val="HeaderChar"/>
    <w:uiPriority w:val="99"/>
    <w:semiHidden/>
    <w:unhideWhenUsed/>
    <w:rsid w:val="00B670A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670A9"/>
  </w:style>
  <w:style w:type="paragraph" w:styleId="Footer">
    <w:name w:val="footer"/>
    <w:basedOn w:val="Normal"/>
    <w:link w:val="FooterChar"/>
    <w:uiPriority w:val="99"/>
    <w:unhideWhenUsed/>
    <w:rsid w:val="00B67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0A9"/>
  </w:style>
  <w:style w:type="character" w:styleId="CommentReference">
    <w:name w:val="annotation reference"/>
    <w:basedOn w:val="DefaultParagraphFont"/>
    <w:uiPriority w:val="99"/>
    <w:semiHidden/>
    <w:unhideWhenUsed/>
    <w:rsid w:val="00A37092"/>
    <w:rPr>
      <w:sz w:val="16"/>
      <w:szCs w:val="16"/>
    </w:rPr>
  </w:style>
  <w:style w:type="paragraph" w:styleId="CommentText">
    <w:name w:val="annotation text"/>
    <w:basedOn w:val="Normal"/>
    <w:link w:val="CommentTextChar"/>
    <w:uiPriority w:val="99"/>
    <w:semiHidden/>
    <w:unhideWhenUsed/>
    <w:rsid w:val="00A37092"/>
    <w:pPr>
      <w:spacing w:line="240" w:lineRule="auto"/>
    </w:pPr>
    <w:rPr>
      <w:sz w:val="20"/>
      <w:szCs w:val="20"/>
    </w:rPr>
  </w:style>
  <w:style w:type="character" w:customStyle="1" w:styleId="CommentTextChar">
    <w:name w:val="Comment Text Char"/>
    <w:basedOn w:val="DefaultParagraphFont"/>
    <w:link w:val="CommentText"/>
    <w:uiPriority w:val="99"/>
    <w:semiHidden/>
    <w:rsid w:val="00A37092"/>
    <w:rPr>
      <w:sz w:val="20"/>
      <w:szCs w:val="20"/>
    </w:rPr>
  </w:style>
  <w:style w:type="paragraph" w:styleId="CommentSubject">
    <w:name w:val="annotation subject"/>
    <w:basedOn w:val="CommentText"/>
    <w:next w:val="CommentText"/>
    <w:link w:val="CommentSubjectChar"/>
    <w:uiPriority w:val="99"/>
    <w:semiHidden/>
    <w:unhideWhenUsed/>
    <w:rsid w:val="00A37092"/>
    <w:rPr>
      <w:b/>
      <w:bCs/>
    </w:rPr>
  </w:style>
  <w:style w:type="character" w:customStyle="1" w:styleId="CommentSubjectChar">
    <w:name w:val="Comment Subject Char"/>
    <w:basedOn w:val="CommentTextChar"/>
    <w:link w:val="CommentSubject"/>
    <w:uiPriority w:val="99"/>
    <w:semiHidden/>
    <w:rsid w:val="00A37092"/>
    <w:rPr>
      <w:b/>
      <w:bCs/>
      <w:sz w:val="20"/>
      <w:szCs w:val="20"/>
    </w:rPr>
  </w:style>
  <w:style w:type="character" w:customStyle="1" w:styleId="apple-style-span">
    <w:name w:val="apple-style-span"/>
    <w:basedOn w:val="DefaultParagraphFont"/>
    <w:rsid w:val="00A55321"/>
  </w:style>
  <w:style w:type="character" w:styleId="Hyperlink">
    <w:name w:val="Hyperlink"/>
    <w:basedOn w:val="DefaultParagraphFont"/>
    <w:uiPriority w:val="99"/>
    <w:unhideWhenUsed/>
    <w:rsid w:val="00CF35E5"/>
    <w:rPr>
      <w:color w:val="0000FF" w:themeColor="hyperlink"/>
      <w:u w:val="single"/>
    </w:rPr>
  </w:style>
  <w:style w:type="character" w:styleId="PlaceholderText">
    <w:name w:val="Placeholder Text"/>
    <w:basedOn w:val="DefaultParagraphFont"/>
    <w:uiPriority w:val="99"/>
    <w:semiHidden/>
    <w:rsid w:val="000D0DFA"/>
    <w:rPr>
      <w:color w:val="808080"/>
    </w:rPr>
  </w:style>
  <w:style w:type="paragraph" w:styleId="ListParagraph">
    <w:name w:val="List Paragraph"/>
    <w:basedOn w:val="Normal"/>
    <w:uiPriority w:val="34"/>
    <w:qFormat/>
    <w:rsid w:val="0062797C"/>
    <w:pPr>
      <w:ind w:left="720"/>
      <w:contextualSpacing/>
    </w:pPr>
  </w:style>
  <w:style w:type="character" w:styleId="PageNumber">
    <w:name w:val="page number"/>
    <w:basedOn w:val="DefaultParagraphFont"/>
    <w:uiPriority w:val="99"/>
    <w:semiHidden/>
    <w:unhideWhenUsed/>
    <w:rsid w:val="00BF4C3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A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00A"/>
    <w:rPr>
      <w:rFonts w:ascii="Tahoma" w:hAnsi="Tahoma" w:cs="Tahoma"/>
      <w:sz w:val="16"/>
      <w:szCs w:val="16"/>
    </w:rPr>
  </w:style>
  <w:style w:type="paragraph" w:styleId="Header">
    <w:name w:val="header"/>
    <w:basedOn w:val="Normal"/>
    <w:link w:val="HeaderChar"/>
    <w:uiPriority w:val="99"/>
    <w:semiHidden/>
    <w:unhideWhenUsed/>
    <w:rsid w:val="00B670A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670A9"/>
  </w:style>
  <w:style w:type="paragraph" w:styleId="Footer">
    <w:name w:val="footer"/>
    <w:basedOn w:val="Normal"/>
    <w:link w:val="FooterChar"/>
    <w:uiPriority w:val="99"/>
    <w:unhideWhenUsed/>
    <w:rsid w:val="00B67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0A9"/>
  </w:style>
  <w:style w:type="character" w:styleId="CommentReference">
    <w:name w:val="annotation reference"/>
    <w:basedOn w:val="DefaultParagraphFont"/>
    <w:uiPriority w:val="99"/>
    <w:semiHidden/>
    <w:unhideWhenUsed/>
    <w:rsid w:val="00A37092"/>
    <w:rPr>
      <w:sz w:val="16"/>
      <w:szCs w:val="16"/>
    </w:rPr>
  </w:style>
  <w:style w:type="paragraph" w:styleId="CommentText">
    <w:name w:val="annotation text"/>
    <w:basedOn w:val="Normal"/>
    <w:link w:val="CommentTextChar"/>
    <w:uiPriority w:val="99"/>
    <w:semiHidden/>
    <w:unhideWhenUsed/>
    <w:rsid w:val="00A37092"/>
    <w:pPr>
      <w:spacing w:line="240" w:lineRule="auto"/>
    </w:pPr>
    <w:rPr>
      <w:sz w:val="20"/>
      <w:szCs w:val="20"/>
    </w:rPr>
  </w:style>
  <w:style w:type="character" w:customStyle="1" w:styleId="CommentTextChar">
    <w:name w:val="Comment Text Char"/>
    <w:basedOn w:val="DefaultParagraphFont"/>
    <w:link w:val="CommentText"/>
    <w:uiPriority w:val="99"/>
    <w:semiHidden/>
    <w:rsid w:val="00A37092"/>
    <w:rPr>
      <w:sz w:val="20"/>
      <w:szCs w:val="20"/>
    </w:rPr>
  </w:style>
  <w:style w:type="paragraph" w:styleId="CommentSubject">
    <w:name w:val="annotation subject"/>
    <w:basedOn w:val="CommentText"/>
    <w:next w:val="CommentText"/>
    <w:link w:val="CommentSubjectChar"/>
    <w:uiPriority w:val="99"/>
    <w:semiHidden/>
    <w:unhideWhenUsed/>
    <w:rsid w:val="00A37092"/>
    <w:rPr>
      <w:b/>
      <w:bCs/>
    </w:rPr>
  </w:style>
  <w:style w:type="character" w:customStyle="1" w:styleId="CommentSubjectChar">
    <w:name w:val="Comment Subject Char"/>
    <w:basedOn w:val="CommentTextChar"/>
    <w:link w:val="CommentSubject"/>
    <w:uiPriority w:val="99"/>
    <w:semiHidden/>
    <w:rsid w:val="00A37092"/>
    <w:rPr>
      <w:b/>
      <w:bCs/>
      <w:sz w:val="20"/>
      <w:szCs w:val="20"/>
    </w:rPr>
  </w:style>
  <w:style w:type="character" w:customStyle="1" w:styleId="apple-style-span">
    <w:name w:val="apple-style-span"/>
    <w:basedOn w:val="DefaultParagraphFont"/>
    <w:rsid w:val="00A55321"/>
  </w:style>
  <w:style w:type="character" w:styleId="Hyperlink">
    <w:name w:val="Hyperlink"/>
    <w:basedOn w:val="DefaultParagraphFont"/>
    <w:uiPriority w:val="99"/>
    <w:unhideWhenUsed/>
    <w:rsid w:val="00CF35E5"/>
    <w:rPr>
      <w:color w:val="0000FF" w:themeColor="hyperlink"/>
      <w:u w:val="single"/>
    </w:rPr>
  </w:style>
  <w:style w:type="character" w:styleId="PlaceholderText">
    <w:name w:val="Placeholder Text"/>
    <w:basedOn w:val="DefaultParagraphFont"/>
    <w:uiPriority w:val="99"/>
    <w:semiHidden/>
    <w:rsid w:val="000D0DFA"/>
    <w:rPr>
      <w:color w:val="808080"/>
    </w:rPr>
  </w:style>
  <w:style w:type="paragraph" w:styleId="ListParagraph">
    <w:name w:val="List Paragraph"/>
    <w:basedOn w:val="Normal"/>
    <w:uiPriority w:val="34"/>
    <w:qFormat/>
    <w:rsid w:val="0062797C"/>
    <w:pPr>
      <w:ind w:left="720"/>
      <w:contextualSpacing/>
    </w:pPr>
  </w:style>
  <w:style w:type="character" w:styleId="PageNumber">
    <w:name w:val="page number"/>
    <w:basedOn w:val="DefaultParagraphFont"/>
    <w:uiPriority w:val="99"/>
    <w:semiHidden/>
    <w:unhideWhenUsed/>
    <w:rsid w:val="00BF4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9364">
      <w:bodyDiv w:val="1"/>
      <w:marLeft w:val="0"/>
      <w:marRight w:val="0"/>
      <w:marTop w:val="0"/>
      <w:marBottom w:val="0"/>
      <w:divBdr>
        <w:top w:val="none" w:sz="0" w:space="0" w:color="auto"/>
        <w:left w:val="none" w:sz="0" w:space="0" w:color="auto"/>
        <w:bottom w:val="none" w:sz="0" w:space="0" w:color="auto"/>
        <w:right w:val="none" w:sz="0" w:space="0" w:color="auto"/>
      </w:divBdr>
    </w:div>
    <w:div w:id="45767086">
      <w:bodyDiv w:val="1"/>
      <w:marLeft w:val="0"/>
      <w:marRight w:val="0"/>
      <w:marTop w:val="0"/>
      <w:marBottom w:val="0"/>
      <w:divBdr>
        <w:top w:val="none" w:sz="0" w:space="0" w:color="auto"/>
        <w:left w:val="none" w:sz="0" w:space="0" w:color="auto"/>
        <w:bottom w:val="none" w:sz="0" w:space="0" w:color="auto"/>
        <w:right w:val="none" w:sz="0" w:space="0" w:color="auto"/>
      </w:divBdr>
    </w:div>
    <w:div w:id="57166477">
      <w:bodyDiv w:val="1"/>
      <w:marLeft w:val="0"/>
      <w:marRight w:val="0"/>
      <w:marTop w:val="0"/>
      <w:marBottom w:val="0"/>
      <w:divBdr>
        <w:top w:val="none" w:sz="0" w:space="0" w:color="auto"/>
        <w:left w:val="none" w:sz="0" w:space="0" w:color="auto"/>
        <w:bottom w:val="none" w:sz="0" w:space="0" w:color="auto"/>
        <w:right w:val="none" w:sz="0" w:space="0" w:color="auto"/>
      </w:divBdr>
    </w:div>
    <w:div w:id="162817926">
      <w:bodyDiv w:val="1"/>
      <w:marLeft w:val="0"/>
      <w:marRight w:val="0"/>
      <w:marTop w:val="0"/>
      <w:marBottom w:val="0"/>
      <w:divBdr>
        <w:top w:val="none" w:sz="0" w:space="0" w:color="auto"/>
        <w:left w:val="none" w:sz="0" w:space="0" w:color="auto"/>
        <w:bottom w:val="none" w:sz="0" w:space="0" w:color="auto"/>
        <w:right w:val="none" w:sz="0" w:space="0" w:color="auto"/>
      </w:divBdr>
    </w:div>
    <w:div w:id="174615393">
      <w:bodyDiv w:val="1"/>
      <w:marLeft w:val="0"/>
      <w:marRight w:val="0"/>
      <w:marTop w:val="0"/>
      <w:marBottom w:val="0"/>
      <w:divBdr>
        <w:top w:val="none" w:sz="0" w:space="0" w:color="auto"/>
        <w:left w:val="none" w:sz="0" w:space="0" w:color="auto"/>
        <w:bottom w:val="none" w:sz="0" w:space="0" w:color="auto"/>
        <w:right w:val="none" w:sz="0" w:space="0" w:color="auto"/>
      </w:divBdr>
    </w:div>
    <w:div w:id="237254448">
      <w:bodyDiv w:val="1"/>
      <w:marLeft w:val="0"/>
      <w:marRight w:val="0"/>
      <w:marTop w:val="0"/>
      <w:marBottom w:val="0"/>
      <w:divBdr>
        <w:top w:val="none" w:sz="0" w:space="0" w:color="auto"/>
        <w:left w:val="none" w:sz="0" w:space="0" w:color="auto"/>
        <w:bottom w:val="none" w:sz="0" w:space="0" w:color="auto"/>
        <w:right w:val="none" w:sz="0" w:space="0" w:color="auto"/>
      </w:divBdr>
    </w:div>
    <w:div w:id="239485266">
      <w:bodyDiv w:val="1"/>
      <w:marLeft w:val="0"/>
      <w:marRight w:val="0"/>
      <w:marTop w:val="0"/>
      <w:marBottom w:val="0"/>
      <w:divBdr>
        <w:top w:val="none" w:sz="0" w:space="0" w:color="auto"/>
        <w:left w:val="none" w:sz="0" w:space="0" w:color="auto"/>
        <w:bottom w:val="none" w:sz="0" w:space="0" w:color="auto"/>
        <w:right w:val="none" w:sz="0" w:space="0" w:color="auto"/>
      </w:divBdr>
    </w:div>
    <w:div w:id="271983929">
      <w:bodyDiv w:val="1"/>
      <w:marLeft w:val="0"/>
      <w:marRight w:val="0"/>
      <w:marTop w:val="0"/>
      <w:marBottom w:val="0"/>
      <w:divBdr>
        <w:top w:val="none" w:sz="0" w:space="0" w:color="auto"/>
        <w:left w:val="none" w:sz="0" w:space="0" w:color="auto"/>
        <w:bottom w:val="none" w:sz="0" w:space="0" w:color="auto"/>
        <w:right w:val="none" w:sz="0" w:space="0" w:color="auto"/>
      </w:divBdr>
    </w:div>
    <w:div w:id="285353746">
      <w:bodyDiv w:val="1"/>
      <w:marLeft w:val="0"/>
      <w:marRight w:val="0"/>
      <w:marTop w:val="0"/>
      <w:marBottom w:val="0"/>
      <w:divBdr>
        <w:top w:val="none" w:sz="0" w:space="0" w:color="auto"/>
        <w:left w:val="none" w:sz="0" w:space="0" w:color="auto"/>
        <w:bottom w:val="none" w:sz="0" w:space="0" w:color="auto"/>
        <w:right w:val="none" w:sz="0" w:space="0" w:color="auto"/>
      </w:divBdr>
    </w:div>
    <w:div w:id="320163914">
      <w:bodyDiv w:val="1"/>
      <w:marLeft w:val="0"/>
      <w:marRight w:val="0"/>
      <w:marTop w:val="0"/>
      <w:marBottom w:val="0"/>
      <w:divBdr>
        <w:top w:val="none" w:sz="0" w:space="0" w:color="auto"/>
        <w:left w:val="none" w:sz="0" w:space="0" w:color="auto"/>
        <w:bottom w:val="none" w:sz="0" w:space="0" w:color="auto"/>
        <w:right w:val="none" w:sz="0" w:space="0" w:color="auto"/>
      </w:divBdr>
    </w:div>
    <w:div w:id="411783088">
      <w:bodyDiv w:val="1"/>
      <w:marLeft w:val="0"/>
      <w:marRight w:val="0"/>
      <w:marTop w:val="0"/>
      <w:marBottom w:val="0"/>
      <w:divBdr>
        <w:top w:val="none" w:sz="0" w:space="0" w:color="auto"/>
        <w:left w:val="none" w:sz="0" w:space="0" w:color="auto"/>
        <w:bottom w:val="none" w:sz="0" w:space="0" w:color="auto"/>
        <w:right w:val="none" w:sz="0" w:space="0" w:color="auto"/>
      </w:divBdr>
    </w:div>
    <w:div w:id="422337548">
      <w:bodyDiv w:val="1"/>
      <w:marLeft w:val="0"/>
      <w:marRight w:val="0"/>
      <w:marTop w:val="0"/>
      <w:marBottom w:val="0"/>
      <w:divBdr>
        <w:top w:val="none" w:sz="0" w:space="0" w:color="auto"/>
        <w:left w:val="none" w:sz="0" w:space="0" w:color="auto"/>
        <w:bottom w:val="none" w:sz="0" w:space="0" w:color="auto"/>
        <w:right w:val="none" w:sz="0" w:space="0" w:color="auto"/>
      </w:divBdr>
    </w:div>
    <w:div w:id="585186712">
      <w:bodyDiv w:val="1"/>
      <w:marLeft w:val="0"/>
      <w:marRight w:val="0"/>
      <w:marTop w:val="0"/>
      <w:marBottom w:val="0"/>
      <w:divBdr>
        <w:top w:val="none" w:sz="0" w:space="0" w:color="auto"/>
        <w:left w:val="none" w:sz="0" w:space="0" w:color="auto"/>
        <w:bottom w:val="none" w:sz="0" w:space="0" w:color="auto"/>
        <w:right w:val="none" w:sz="0" w:space="0" w:color="auto"/>
      </w:divBdr>
    </w:div>
    <w:div w:id="590938563">
      <w:bodyDiv w:val="1"/>
      <w:marLeft w:val="0"/>
      <w:marRight w:val="0"/>
      <w:marTop w:val="0"/>
      <w:marBottom w:val="0"/>
      <w:divBdr>
        <w:top w:val="none" w:sz="0" w:space="0" w:color="auto"/>
        <w:left w:val="none" w:sz="0" w:space="0" w:color="auto"/>
        <w:bottom w:val="none" w:sz="0" w:space="0" w:color="auto"/>
        <w:right w:val="none" w:sz="0" w:space="0" w:color="auto"/>
      </w:divBdr>
    </w:div>
    <w:div w:id="595598755">
      <w:bodyDiv w:val="1"/>
      <w:marLeft w:val="0"/>
      <w:marRight w:val="0"/>
      <w:marTop w:val="0"/>
      <w:marBottom w:val="0"/>
      <w:divBdr>
        <w:top w:val="none" w:sz="0" w:space="0" w:color="auto"/>
        <w:left w:val="none" w:sz="0" w:space="0" w:color="auto"/>
        <w:bottom w:val="none" w:sz="0" w:space="0" w:color="auto"/>
        <w:right w:val="none" w:sz="0" w:space="0" w:color="auto"/>
      </w:divBdr>
    </w:div>
    <w:div w:id="608242259">
      <w:bodyDiv w:val="1"/>
      <w:marLeft w:val="0"/>
      <w:marRight w:val="0"/>
      <w:marTop w:val="0"/>
      <w:marBottom w:val="0"/>
      <w:divBdr>
        <w:top w:val="none" w:sz="0" w:space="0" w:color="auto"/>
        <w:left w:val="none" w:sz="0" w:space="0" w:color="auto"/>
        <w:bottom w:val="none" w:sz="0" w:space="0" w:color="auto"/>
        <w:right w:val="none" w:sz="0" w:space="0" w:color="auto"/>
      </w:divBdr>
    </w:div>
    <w:div w:id="699666446">
      <w:bodyDiv w:val="1"/>
      <w:marLeft w:val="0"/>
      <w:marRight w:val="0"/>
      <w:marTop w:val="0"/>
      <w:marBottom w:val="0"/>
      <w:divBdr>
        <w:top w:val="none" w:sz="0" w:space="0" w:color="auto"/>
        <w:left w:val="none" w:sz="0" w:space="0" w:color="auto"/>
        <w:bottom w:val="none" w:sz="0" w:space="0" w:color="auto"/>
        <w:right w:val="none" w:sz="0" w:space="0" w:color="auto"/>
      </w:divBdr>
    </w:div>
    <w:div w:id="729495573">
      <w:bodyDiv w:val="1"/>
      <w:marLeft w:val="0"/>
      <w:marRight w:val="0"/>
      <w:marTop w:val="0"/>
      <w:marBottom w:val="0"/>
      <w:divBdr>
        <w:top w:val="none" w:sz="0" w:space="0" w:color="auto"/>
        <w:left w:val="none" w:sz="0" w:space="0" w:color="auto"/>
        <w:bottom w:val="none" w:sz="0" w:space="0" w:color="auto"/>
        <w:right w:val="none" w:sz="0" w:space="0" w:color="auto"/>
      </w:divBdr>
    </w:div>
    <w:div w:id="784931511">
      <w:bodyDiv w:val="1"/>
      <w:marLeft w:val="0"/>
      <w:marRight w:val="0"/>
      <w:marTop w:val="0"/>
      <w:marBottom w:val="0"/>
      <w:divBdr>
        <w:top w:val="none" w:sz="0" w:space="0" w:color="auto"/>
        <w:left w:val="none" w:sz="0" w:space="0" w:color="auto"/>
        <w:bottom w:val="none" w:sz="0" w:space="0" w:color="auto"/>
        <w:right w:val="none" w:sz="0" w:space="0" w:color="auto"/>
      </w:divBdr>
    </w:div>
    <w:div w:id="794100662">
      <w:bodyDiv w:val="1"/>
      <w:marLeft w:val="0"/>
      <w:marRight w:val="0"/>
      <w:marTop w:val="0"/>
      <w:marBottom w:val="0"/>
      <w:divBdr>
        <w:top w:val="none" w:sz="0" w:space="0" w:color="auto"/>
        <w:left w:val="none" w:sz="0" w:space="0" w:color="auto"/>
        <w:bottom w:val="none" w:sz="0" w:space="0" w:color="auto"/>
        <w:right w:val="none" w:sz="0" w:space="0" w:color="auto"/>
      </w:divBdr>
    </w:div>
    <w:div w:id="951858000">
      <w:bodyDiv w:val="1"/>
      <w:marLeft w:val="0"/>
      <w:marRight w:val="0"/>
      <w:marTop w:val="0"/>
      <w:marBottom w:val="0"/>
      <w:divBdr>
        <w:top w:val="none" w:sz="0" w:space="0" w:color="auto"/>
        <w:left w:val="none" w:sz="0" w:space="0" w:color="auto"/>
        <w:bottom w:val="none" w:sz="0" w:space="0" w:color="auto"/>
        <w:right w:val="none" w:sz="0" w:space="0" w:color="auto"/>
      </w:divBdr>
    </w:div>
    <w:div w:id="1030566783">
      <w:bodyDiv w:val="1"/>
      <w:marLeft w:val="0"/>
      <w:marRight w:val="0"/>
      <w:marTop w:val="0"/>
      <w:marBottom w:val="0"/>
      <w:divBdr>
        <w:top w:val="none" w:sz="0" w:space="0" w:color="auto"/>
        <w:left w:val="none" w:sz="0" w:space="0" w:color="auto"/>
        <w:bottom w:val="none" w:sz="0" w:space="0" w:color="auto"/>
        <w:right w:val="none" w:sz="0" w:space="0" w:color="auto"/>
      </w:divBdr>
    </w:div>
    <w:div w:id="1090345341">
      <w:bodyDiv w:val="1"/>
      <w:marLeft w:val="0"/>
      <w:marRight w:val="0"/>
      <w:marTop w:val="0"/>
      <w:marBottom w:val="0"/>
      <w:divBdr>
        <w:top w:val="none" w:sz="0" w:space="0" w:color="auto"/>
        <w:left w:val="none" w:sz="0" w:space="0" w:color="auto"/>
        <w:bottom w:val="none" w:sz="0" w:space="0" w:color="auto"/>
        <w:right w:val="none" w:sz="0" w:space="0" w:color="auto"/>
      </w:divBdr>
    </w:div>
    <w:div w:id="1093089571">
      <w:bodyDiv w:val="1"/>
      <w:marLeft w:val="0"/>
      <w:marRight w:val="0"/>
      <w:marTop w:val="0"/>
      <w:marBottom w:val="0"/>
      <w:divBdr>
        <w:top w:val="none" w:sz="0" w:space="0" w:color="auto"/>
        <w:left w:val="none" w:sz="0" w:space="0" w:color="auto"/>
        <w:bottom w:val="none" w:sz="0" w:space="0" w:color="auto"/>
        <w:right w:val="none" w:sz="0" w:space="0" w:color="auto"/>
      </w:divBdr>
    </w:div>
    <w:div w:id="1208179183">
      <w:bodyDiv w:val="1"/>
      <w:marLeft w:val="0"/>
      <w:marRight w:val="0"/>
      <w:marTop w:val="0"/>
      <w:marBottom w:val="0"/>
      <w:divBdr>
        <w:top w:val="none" w:sz="0" w:space="0" w:color="auto"/>
        <w:left w:val="none" w:sz="0" w:space="0" w:color="auto"/>
        <w:bottom w:val="none" w:sz="0" w:space="0" w:color="auto"/>
        <w:right w:val="none" w:sz="0" w:space="0" w:color="auto"/>
      </w:divBdr>
    </w:div>
    <w:div w:id="1299149170">
      <w:bodyDiv w:val="1"/>
      <w:marLeft w:val="0"/>
      <w:marRight w:val="0"/>
      <w:marTop w:val="0"/>
      <w:marBottom w:val="0"/>
      <w:divBdr>
        <w:top w:val="none" w:sz="0" w:space="0" w:color="auto"/>
        <w:left w:val="none" w:sz="0" w:space="0" w:color="auto"/>
        <w:bottom w:val="none" w:sz="0" w:space="0" w:color="auto"/>
        <w:right w:val="none" w:sz="0" w:space="0" w:color="auto"/>
      </w:divBdr>
    </w:div>
    <w:div w:id="1307783517">
      <w:bodyDiv w:val="1"/>
      <w:marLeft w:val="0"/>
      <w:marRight w:val="0"/>
      <w:marTop w:val="0"/>
      <w:marBottom w:val="0"/>
      <w:divBdr>
        <w:top w:val="none" w:sz="0" w:space="0" w:color="auto"/>
        <w:left w:val="none" w:sz="0" w:space="0" w:color="auto"/>
        <w:bottom w:val="none" w:sz="0" w:space="0" w:color="auto"/>
        <w:right w:val="none" w:sz="0" w:space="0" w:color="auto"/>
      </w:divBdr>
    </w:div>
    <w:div w:id="1339654000">
      <w:bodyDiv w:val="1"/>
      <w:marLeft w:val="0"/>
      <w:marRight w:val="0"/>
      <w:marTop w:val="0"/>
      <w:marBottom w:val="0"/>
      <w:divBdr>
        <w:top w:val="none" w:sz="0" w:space="0" w:color="auto"/>
        <w:left w:val="none" w:sz="0" w:space="0" w:color="auto"/>
        <w:bottom w:val="none" w:sz="0" w:space="0" w:color="auto"/>
        <w:right w:val="none" w:sz="0" w:space="0" w:color="auto"/>
      </w:divBdr>
    </w:div>
    <w:div w:id="1346059448">
      <w:bodyDiv w:val="1"/>
      <w:marLeft w:val="0"/>
      <w:marRight w:val="0"/>
      <w:marTop w:val="0"/>
      <w:marBottom w:val="0"/>
      <w:divBdr>
        <w:top w:val="none" w:sz="0" w:space="0" w:color="auto"/>
        <w:left w:val="none" w:sz="0" w:space="0" w:color="auto"/>
        <w:bottom w:val="none" w:sz="0" w:space="0" w:color="auto"/>
        <w:right w:val="none" w:sz="0" w:space="0" w:color="auto"/>
      </w:divBdr>
    </w:div>
    <w:div w:id="1423184586">
      <w:bodyDiv w:val="1"/>
      <w:marLeft w:val="0"/>
      <w:marRight w:val="0"/>
      <w:marTop w:val="0"/>
      <w:marBottom w:val="0"/>
      <w:divBdr>
        <w:top w:val="none" w:sz="0" w:space="0" w:color="auto"/>
        <w:left w:val="none" w:sz="0" w:space="0" w:color="auto"/>
        <w:bottom w:val="none" w:sz="0" w:space="0" w:color="auto"/>
        <w:right w:val="none" w:sz="0" w:space="0" w:color="auto"/>
      </w:divBdr>
    </w:div>
    <w:div w:id="1510288718">
      <w:bodyDiv w:val="1"/>
      <w:marLeft w:val="0"/>
      <w:marRight w:val="0"/>
      <w:marTop w:val="0"/>
      <w:marBottom w:val="0"/>
      <w:divBdr>
        <w:top w:val="none" w:sz="0" w:space="0" w:color="auto"/>
        <w:left w:val="none" w:sz="0" w:space="0" w:color="auto"/>
        <w:bottom w:val="none" w:sz="0" w:space="0" w:color="auto"/>
        <w:right w:val="none" w:sz="0" w:space="0" w:color="auto"/>
      </w:divBdr>
    </w:div>
    <w:div w:id="1534806951">
      <w:bodyDiv w:val="1"/>
      <w:marLeft w:val="0"/>
      <w:marRight w:val="0"/>
      <w:marTop w:val="0"/>
      <w:marBottom w:val="0"/>
      <w:divBdr>
        <w:top w:val="none" w:sz="0" w:space="0" w:color="auto"/>
        <w:left w:val="none" w:sz="0" w:space="0" w:color="auto"/>
        <w:bottom w:val="none" w:sz="0" w:space="0" w:color="auto"/>
        <w:right w:val="none" w:sz="0" w:space="0" w:color="auto"/>
      </w:divBdr>
    </w:div>
    <w:div w:id="1559127080">
      <w:bodyDiv w:val="1"/>
      <w:marLeft w:val="0"/>
      <w:marRight w:val="0"/>
      <w:marTop w:val="0"/>
      <w:marBottom w:val="0"/>
      <w:divBdr>
        <w:top w:val="none" w:sz="0" w:space="0" w:color="auto"/>
        <w:left w:val="none" w:sz="0" w:space="0" w:color="auto"/>
        <w:bottom w:val="none" w:sz="0" w:space="0" w:color="auto"/>
        <w:right w:val="none" w:sz="0" w:space="0" w:color="auto"/>
      </w:divBdr>
    </w:div>
    <w:div w:id="1609120358">
      <w:bodyDiv w:val="1"/>
      <w:marLeft w:val="0"/>
      <w:marRight w:val="0"/>
      <w:marTop w:val="0"/>
      <w:marBottom w:val="0"/>
      <w:divBdr>
        <w:top w:val="none" w:sz="0" w:space="0" w:color="auto"/>
        <w:left w:val="none" w:sz="0" w:space="0" w:color="auto"/>
        <w:bottom w:val="none" w:sz="0" w:space="0" w:color="auto"/>
        <w:right w:val="none" w:sz="0" w:space="0" w:color="auto"/>
      </w:divBdr>
    </w:div>
    <w:div w:id="1704789209">
      <w:bodyDiv w:val="1"/>
      <w:marLeft w:val="0"/>
      <w:marRight w:val="0"/>
      <w:marTop w:val="0"/>
      <w:marBottom w:val="0"/>
      <w:divBdr>
        <w:top w:val="none" w:sz="0" w:space="0" w:color="auto"/>
        <w:left w:val="none" w:sz="0" w:space="0" w:color="auto"/>
        <w:bottom w:val="none" w:sz="0" w:space="0" w:color="auto"/>
        <w:right w:val="none" w:sz="0" w:space="0" w:color="auto"/>
      </w:divBdr>
    </w:div>
    <w:div w:id="1773547845">
      <w:bodyDiv w:val="1"/>
      <w:marLeft w:val="0"/>
      <w:marRight w:val="0"/>
      <w:marTop w:val="0"/>
      <w:marBottom w:val="0"/>
      <w:divBdr>
        <w:top w:val="none" w:sz="0" w:space="0" w:color="auto"/>
        <w:left w:val="none" w:sz="0" w:space="0" w:color="auto"/>
        <w:bottom w:val="none" w:sz="0" w:space="0" w:color="auto"/>
        <w:right w:val="none" w:sz="0" w:space="0" w:color="auto"/>
      </w:divBdr>
    </w:div>
    <w:div w:id="1842548546">
      <w:bodyDiv w:val="1"/>
      <w:marLeft w:val="0"/>
      <w:marRight w:val="0"/>
      <w:marTop w:val="0"/>
      <w:marBottom w:val="0"/>
      <w:divBdr>
        <w:top w:val="none" w:sz="0" w:space="0" w:color="auto"/>
        <w:left w:val="none" w:sz="0" w:space="0" w:color="auto"/>
        <w:bottom w:val="none" w:sz="0" w:space="0" w:color="auto"/>
        <w:right w:val="none" w:sz="0" w:space="0" w:color="auto"/>
      </w:divBdr>
    </w:div>
    <w:div w:id="1922059495">
      <w:bodyDiv w:val="1"/>
      <w:marLeft w:val="0"/>
      <w:marRight w:val="0"/>
      <w:marTop w:val="0"/>
      <w:marBottom w:val="0"/>
      <w:divBdr>
        <w:top w:val="none" w:sz="0" w:space="0" w:color="auto"/>
        <w:left w:val="none" w:sz="0" w:space="0" w:color="auto"/>
        <w:bottom w:val="none" w:sz="0" w:space="0" w:color="auto"/>
        <w:right w:val="none" w:sz="0" w:space="0" w:color="auto"/>
      </w:divBdr>
    </w:div>
    <w:div w:id="1938512717">
      <w:bodyDiv w:val="1"/>
      <w:marLeft w:val="0"/>
      <w:marRight w:val="0"/>
      <w:marTop w:val="0"/>
      <w:marBottom w:val="0"/>
      <w:divBdr>
        <w:top w:val="none" w:sz="0" w:space="0" w:color="auto"/>
        <w:left w:val="none" w:sz="0" w:space="0" w:color="auto"/>
        <w:bottom w:val="none" w:sz="0" w:space="0" w:color="auto"/>
        <w:right w:val="none" w:sz="0" w:space="0" w:color="auto"/>
      </w:divBdr>
    </w:div>
    <w:div w:id="2040085159">
      <w:bodyDiv w:val="1"/>
      <w:marLeft w:val="0"/>
      <w:marRight w:val="0"/>
      <w:marTop w:val="0"/>
      <w:marBottom w:val="0"/>
      <w:divBdr>
        <w:top w:val="none" w:sz="0" w:space="0" w:color="auto"/>
        <w:left w:val="none" w:sz="0" w:space="0" w:color="auto"/>
        <w:bottom w:val="none" w:sz="0" w:space="0" w:color="auto"/>
        <w:right w:val="none" w:sz="0" w:space="0" w:color="auto"/>
      </w:divBdr>
    </w:div>
    <w:div w:id="2060201710">
      <w:bodyDiv w:val="1"/>
      <w:marLeft w:val="0"/>
      <w:marRight w:val="0"/>
      <w:marTop w:val="0"/>
      <w:marBottom w:val="0"/>
      <w:divBdr>
        <w:top w:val="none" w:sz="0" w:space="0" w:color="auto"/>
        <w:left w:val="none" w:sz="0" w:space="0" w:color="auto"/>
        <w:bottom w:val="none" w:sz="0" w:space="0" w:color="auto"/>
        <w:right w:val="none" w:sz="0" w:space="0" w:color="auto"/>
      </w:divBdr>
    </w:div>
    <w:div w:id="211165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AFF0E-973C-EA40-A7F5-AC6ABEF66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21</Pages>
  <Words>3892</Words>
  <Characters>22187</Characters>
  <Application>Microsoft Macintosh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ENJ</dc:creator>
  <cp:lastModifiedBy>Erik Johanson</cp:lastModifiedBy>
  <cp:revision>61</cp:revision>
  <dcterms:created xsi:type="dcterms:W3CDTF">2011-07-17T22:08:00Z</dcterms:created>
  <dcterms:modified xsi:type="dcterms:W3CDTF">2011-07-26T22:58:00Z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American Psychological Association</vt:lpwstr>
  </property>
</Properties>
</file>