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43238" w14:textId="4F19230C" w:rsidR="001077D7" w:rsidRDefault="001077D7" w:rsidP="001077D7">
      <w:pPr>
        <w:spacing w:line="240" w:lineRule="auto"/>
        <w:jc w:val="center"/>
        <w:rPr>
          <w:b/>
          <w:bCs/>
          <w:sz w:val="36"/>
          <w:szCs w:val="36"/>
        </w:rPr>
      </w:pPr>
      <w:r w:rsidRPr="00D97136">
        <w:rPr>
          <w:b/>
          <w:bCs/>
          <w:sz w:val="36"/>
          <w:szCs w:val="36"/>
        </w:rPr>
        <w:t xml:space="preserve">Access beyond geographic accessibility: understanding opportunities to human needs in </w:t>
      </w:r>
      <w:r w:rsidR="00D97136">
        <w:rPr>
          <w:b/>
          <w:bCs/>
          <w:sz w:val="36"/>
          <w:szCs w:val="36"/>
        </w:rPr>
        <w:t>a physical-virtual world</w:t>
      </w:r>
    </w:p>
    <w:p w14:paraId="126261C6" w14:textId="528A721E" w:rsidR="00284B63" w:rsidRDefault="00284B63" w:rsidP="001077D7">
      <w:pPr>
        <w:spacing w:line="240" w:lineRule="auto"/>
        <w:jc w:val="center"/>
        <w:rPr>
          <w:b/>
          <w:bCs/>
          <w:sz w:val="36"/>
          <w:szCs w:val="36"/>
        </w:rPr>
      </w:pPr>
    </w:p>
    <w:p w14:paraId="2448C450" w14:textId="77777777" w:rsidR="000B3E5A" w:rsidRDefault="000B3E5A" w:rsidP="001077D7">
      <w:pPr>
        <w:spacing w:line="240" w:lineRule="auto"/>
        <w:jc w:val="center"/>
        <w:rPr>
          <w:b/>
          <w:bCs/>
          <w:sz w:val="36"/>
          <w:szCs w:val="36"/>
        </w:rPr>
      </w:pPr>
    </w:p>
    <w:p w14:paraId="32B29C40" w14:textId="092101F8" w:rsidR="00284B63" w:rsidRDefault="00284B63" w:rsidP="001077D7">
      <w:pPr>
        <w:spacing w:line="240" w:lineRule="auto"/>
        <w:jc w:val="center"/>
        <w:rPr>
          <w:b/>
          <w:bCs/>
          <w:sz w:val="36"/>
          <w:szCs w:val="36"/>
        </w:rPr>
      </w:pPr>
    </w:p>
    <w:p w14:paraId="52553BD8" w14:textId="13CC892B" w:rsidR="00284B63" w:rsidRDefault="00284B63" w:rsidP="001077D7">
      <w:pPr>
        <w:spacing w:line="240" w:lineRule="auto"/>
        <w:jc w:val="center"/>
        <w:rPr>
          <w:b/>
          <w:bCs/>
          <w:sz w:val="36"/>
          <w:szCs w:val="36"/>
        </w:rPr>
      </w:pPr>
    </w:p>
    <w:p w14:paraId="28B6F8EF" w14:textId="77777777" w:rsidR="000B3E5A" w:rsidRDefault="000B3E5A" w:rsidP="001077D7">
      <w:pPr>
        <w:spacing w:line="240" w:lineRule="auto"/>
        <w:jc w:val="center"/>
        <w:rPr>
          <w:b/>
          <w:bCs/>
          <w:sz w:val="36"/>
          <w:szCs w:val="36"/>
        </w:rPr>
      </w:pPr>
    </w:p>
    <w:p w14:paraId="46985BA6" w14:textId="5E00C3E6" w:rsidR="00284B63" w:rsidRDefault="00284B63" w:rsidP="001077D7">
      <w:pPr>
        <w:spacing w:line="240" w:lineRule="auto"/>
        <w:jc w:val="center"/>
        <w:rPr>
          <w:b/>
          <w:bCs/>
          <w:sz w:val="36"/>
          <w:szCs w:val="36"/>
        </w:rPr>
      </w:pPr>
    </w:p>
    <w:p w14:paraId="5E682B2A" w14:textId="5D4CD794" w:rsidR="00284B63" w:rsidRDefault="00284B63" w:rsidP="001077D7">
      <w:pPr>
        <w:spacing w:line="240" w:lineRule="auto"/>
        <w:jc w:val="center"/>
        <w:rPr>
          <w:b/>
          <w:bCs/>
          <w:sz w:val="36"/>
          <w:szCs w:val="36"/>
        </w:rPr>
      </w:pPr>
    </w:p>
    <w:p w14:paraId="48F2405B" w14:textId="77777777" w:rsidR="00284B63" w:rsidRDefault="00284B63" w:rsidP="001077D7">
      <w:pPr>
        <w:spacing w:line="240" w:lineRule="auto"/>
        <w:jc w:val="center"/>
        <w:rPr>
          <w:b/>
          <w:bCs/>
          <w:sz w:val="36"/>
          <w:szCs w:val="36"/>
        </w:rPr>
      </w:pPr>
      <w:r>
        <w:rPr>
          <w:b/>
          <w:bCs/>
          <w:sz w:val="36"/>
          <w:szCs w:val="36"/>
        </w:rPr>
        <w:t>A Dissertation Presented for the</w:t>
      </w:r>
    </w:p>
    <w:p w14:paraId="6B9ED7AD" w14:textId="5D30464C" w:rsidR="00284B63" w:rsidRDefault="000E6B60" w:rsidP="001077D7">
      <w:pPr>
        <w:spacing w:line="240" w:lineRule="auto"/>
        <w:jc w:val="center"/>
        <w:rPr>
          <w:b/>
          <w:bCs/>
          <w:sz w:val="36"/>
          <w:szCs w:val="36"/>
        </w:rPr>
      </w:pPr>
      <w:r>
        <w:rPr>
          <w:b/>
          <w:bCs/>
          <w:sz w:val="36"/>
          <w:szCs w:val="36"/>
        </w:rPr>
        <w:t xml:space="preserve">Doctor of </w:t>
      </w:r>
      <w:r w:rsidR="00284B63">
        <w:rPr>
          <w:b/>
          <w:bCs/>
          <w:sz w:val="36"/>
          <w:szCs w:val="36"/>
        </w:rPr>
        <w:t>Philosophy</w:t>
      </w:r>
      <w:r>
        <w:rPr>
          <w:b/>
          <w:bCs/>
          <w:sz w:val="36"/>
          <w:szCs w:val="36"/>
        </w:rPr>
        <w:t xml:space="preserve"> </w:t>
      </w:r>
    </w:p>
    <w:p w14:paraId="67F72321" w14:textId="47C4FBB0" w:rsidR="00284B63" w:rsidRDefault="00284B63" w:rsidP="001077D7">
      <w:pPr>
        <w:spacing w:line="240" w:lineRule="auto"/>
        <w:jc w:val="center"/>
        <w:rPr>
          <w:b/>
          <w:bCs/>
          <w:sz w:val="36"/>
          <w:szCs w:val="36"/>
        </w:rPr>
      </w:pPr>
      <w:r>
        <w:rPr>
          <w:b/>
          <w:bCs/>
          <w:sz w:val="36"/>
          <w:szCs w:val="36"/>
        </w:rPr>
        <w:t>Degree</w:t>
      </w:r>
    </w:p>
    <w:p w14:paraId="6AF861E1" w14:textId="2F3AB074" w:rsidR="00284B63" w:rsidRDefault="00284B63" w:rsidP="001077D7">
      <w:pPr>
        <w:spacing w:line="240" w:lineRule="auto"/>
        <w:jc w:val="center"/>
        <w:rPr>
          <w:b/>
          <w:bCs/>
          <w:sz w:val="36"/>
          <w:szCs w:val="36"/>
        </w:rPr>
      </w:pPr>
      <w:r>
        <w:rPr>
          <w:b/>
          <w:bCs/>
          <w:sz w:val="36"/>
          <w:szCs w:val="36"/>
        </w:rPr>
        <w:t>The University of Tennessee, Knoxville</w:t>
      </w:r>
    </w:p>
    <w:p w14:paraId="79902B61" w14:textId="2ADD0EE4" w:rsidR="00284B63" w:rsidRDefault="00284B63" w:rsidP="001077D7">
      <w:pPr>
        <w:spacing w:line="240" w:lineRule="auto"/>
        <w:jc w:val="center"/>
        <w:rPr>
          <w:b/>
          <w:bCs/>
          <w:sz w:val="36"/>
          <w:szCs w:val="36"/>
        </w:rPr>
      </w:pPr>
    </w:p>
    <w:p w14:paraId="7D9114F8" w14:textId="41DE6D9F" w:rsidR="00284B63" w:rsidRDefault="00284B63" w:rsidP="001077D7">
      <w:pPr>
        <w:spacing w:line="240" w:lineRule="auto"/>
        <w:jc w:val="center"/>
        <w:rPr>
          <w:b/>
          <w:bCs/>
          <w:sz w:val="36"/>
          <w:szCs w:val="36"/>
        </w:rPr>
      </w:pPr>
    </w:p>
    <w:p w14:paraId="0D204C99" w14:textId="169FFB9E" w:rsidR="00284B63" w:rsidRDefault="00284B63" w:rsidP="001077D7">
      <w:pPr>
        <w:spacing w:line="240" w:lineRule="auto"/>
        <w:jc w:val="center"/>
        <w:rPr>
          <w:b/>
          <w:bCs/>
          <w:sz w:val="36"/>
          <w:szCs w:val="36"/>
        </w:rPr>
      </w:pPr>
    </w:p>
    <w:p w14:paraId="1284ABFA" w14:textId="06C6458E" w:rsidR="000B3E5A" w:rsidRDefault="000B3E5A" w:rsidP="001077D7">
      <w:pPr>
        <w:spacing w:line="240" w:lineRule="auto"/>
        <w:jc w:val="center"/>
        <w:rPr>
          <w:b/>
          <w:bCs/>
          <w:sz w:val="36"/>
          <w:szCs w:val="36"/>
        </w:rPr>
      </w:pPr>
    </w:p>
    <w:p w14:paraId="7F6700BE" w14:textId="2D948704" w:rsidR="000B3E5A" w:rsidRDefault="000B3E5A" w:rsidP="001077D7">
      <w:pPr>
        <w:spacing w:line="240" w:lineRule="auto"/>
        <w:jc w:val="center"/>
        <w:rPr>
          <w:b/>
          <w:bCs/>
          <w:sz w:val="36"/>
          <w:szCs w:val="36"/>
        </w:rPr>
      </w:pPr>
    </w:p>
    <w:p w14:paraId="360C6006" w14:textId="77777777" w:rsidR="000B3E5A" w:rsidRDefault="000B3E5A" w:rsidP="001077D7">
      <w:pPr>
        <w:spacing w:line="240" w:lineRule="auto"/>
        <w:jc w:val="center"/>
        <w:rPr>
          <w:b/>
          <w:bCs/>
          <w:sz w:val="36"/>
          <w:szCs w:val="36"/>
        </w:rPr>
      </w:pPr>
    </w:p>
    <w:p w14:paraId="1D32C50B" w14:textId="3FBDFCD4" w:rsidR="00284B63" w:rsidRDefault="00284B63" w:rsidP="001077D7">
      <w:pPr>
        <w:spacing w:line="240" w:lineRule="auto"/>
        <w:jc w:val="center"/>
        <w:rPr>
          <w:b/>
          <w:bCs/>
          <w:sz w:val="36"/>
          <w:szCs w:val="36"/>
        </w:rPr>
      </w:pPr>
    </w:p>
    <w:p w14:paraId="769935F1" w14:textId="0D93F795" w:rsidR="00284B63" w:rsidRDefault="00284B63" w:rsidP="001077D7">
      <w:pPr>
        <w:spacing w:line="240" w:lineRule="auto"/>
        <w:jc w:val="center"/>
        <w:rPr>
          <w:b/>
          <w:bCs/>
          <w:sz w:val="36"/>
          <w:szCs w:val="36"/>
        </w:rPr>
      </w:pPr>
      <w:r>
        <w:rPr>
          <w:b/>
          <w:bCs/>
          <w:sz w:val="36"/>
          <w:szCs w:val="36"/>
        </w:rPr>
        <w:t>Jimmy Feng</w:t>
      </w:r>
    </w:p>
    <w:p w14:paraId="008DC202" w14:textId="3AA01CA5" w:rsidR="008F500A" w:rsidRDefault="00E03180" w:rsidP="001077D7">
      <w:pPr>
        <w:spacing w:line="240" w:lineRule="auto"/>
        <w:jc w:val="center"/>
        <w:rPr>
          <w:b/>
          <w:bCs/>
          <w:sz w:val="36"/>
          <w:szCs w:val="36"/>
        </w:rPr>
      </w:pPr>
      <w:r>
        <w:rPr>
          <w:b/>
          <w:bCs/>
          <w:sz w:val="36"/>
          <w:szCs w:val="36"/>
        </w:rPr>
        <w:t>December 2022</w:t>
      </w:r>
    </w:p>
    <w:p w14:paraId="2B77C63A" w14:textId="77777777" w:rsidR="008F500A" w:rsidRDefault="008F500A">
      <w:pPr>
        <w:rPr>
          <w:b/>
          <w:bCs/>
          <w:sz w:val="36"/>
          <w:szCs w:val="36"/>
        </w:rPr>
      </w:pPr>
      <w:r>
        <w:rPr>
          <w:b/>
          <w:bCs/>
          <w:sz w:val="36"/>
          <w:szCs w:val="36"/>
        </w:rPr>
        <w:br w:type="page"/>
      </w:r>
    </w:p>
    <w:p w14:paraId="45C82DF4" w14:textId="31B9BFA8" w:rsidR="00AB422A" w:rsidRPr="00AB422A" w:rsidRDefault="00AB422A" w:rsidP="00AB422A">
      <w:r w:rsidRPr="00AB422A">
        <w:lastRenderedPageBreak/>
        <w:t>Copyright © 202</w:t>
      </w:r>
      <w:r>
        <w:t>2</w:t>
      </w:r>
      <w:r w:rsidRPr="00AB422A">
        <w:t xml:space="preserve"> by J</w:t>
      </w:r>
      <w:r>
        <w:t>immy Feng</w:t>
      </w:r>
    </w:p>
    <w:p w14:paraId="575A3668" w14:textId="77777777" w:rsidR="00845DBA" w:rsidRDefault="00AB422A" w:rsidP="00AB422A">
      <w:r w:rsidRPr="00AB422A">
        <w:t>All rights reserved.</w:t>
      </w:r>
    </w:p>
    <w:p w14:paraId="00E4C214" w14:textId="5AFDFE99" w:rsidR="000901FB" w:rsidRDefault="00845DBA">
      <w:r>
        <w:br w:type="page"/>
      </w:r>
    </w:p>
    <w:p w14:paraId="29DA5460" w14:textId="77777777" w:rsidR="000901FB" w:rsidRDefault="000901FB" w:rsidP="000901FB">
      <w:pPr>
        <w:jc w:val="center"/>
        <w:rPr>
          <w:b/>
          <w:bCs/>
        </w:rPr>
      </w:pPr>
      <w:r>
        <w:rPr>
          <w:b/>
          <w:bCs/>
        </w:rPr>
        <w:lastRenderedPageBreak/>
        <w:t>ACKNOWLEDGMENTS</w:t>
      </w:r>
    </w:p>
    <w:p w14:paraId="71FF9932" w14:textId="371ECD66" w:rsidR="000901FB" w:rsidRDefault="000901FB" w:rsidP="0072742B">
      <w:pPr>
        <w:spacing w:line="480" w:lineRule="auto"/>
        <w:ind w:firstLine="720"/>
      </w:pPr>
      <w:r>
        <w:t xml:space="preserve">This </w:t>
      </w:r>
      <w:r w:rsidR="00A43D75">
        <w:t>dissertation and my pursuit of a doctoral degree would not have been possible</w:t>
      </w:r>
      <w:r w:rsidR="004A310E">
        <w:t xml:space="preserve"> </w:t>
      </w:r>
      <w:r w:rsidR="00A43D75">
        <w:t>without my loved ones, especially my mother, Miao, and my late father, Yu.</w:t>
      </w:r>
      <w:r w:rsidR="000E6B60">
        <w:t xml:space="preserve"> </w:t>
      </w:r>
      <w:r w:rsidR="004A310E">
        <w:t>Despite lacking opportunities to pursue higher education, my mother and father imparted in me the importance of education and taught me the values of resilience and perseverance.</w:t>
      </w:r>
      <w:r w:rsidR="000E6B60">
        <w:t xml:space="preserve"> </w:t>
      </w:r>
      <w:r w:rsidR="004A310E">
        <w:t xml:space="preserve">Through them, I found a love for learning and a calling to make a positive and meaningful difference in the lives of others. </w:t>
      </w:r>
      <w:r w:rsidR="000E6B60">
        <w:t xml:space="preserve">Both my parents and my extended family, including many of my uncles, aunts, grandparents, and cousins provided me a nurturing and loving environment to succeed despite being hundreds and thousands of miles away. Words will never suffice </w:t>
      </w:r>
      <w:r w:rsidR="001C1EBC">
        <w:t>to express my</w:t>
      </w:r>
      <w:r w:rsidR="004E70DE">
        <w:t xml:space="preserve"> deepest gratitude for</w:t>
      </w:r>
      <w:r w:rsidR="000E6B60">
        <w:t xml:space="preserve"> the sacrifices my family made on my behalf to make this opportunity possible for me.</w:t>
      </w:r>
    </w:p>
    <w:p w14:paraId="3E115509" w14:textId="4159B9A8" w:rsidR="000E6B60" w:rsidRDefault="000E6B60" w:rsidP="0072742B">
      <w:pPr>
        <w:spacing w:line="480" w:lineRule="auto"/>
        <w:ind w:firstLine="720"/>
      </w:pPr>
      <w:r>
        <w:t xml:space="preserve">I also have my girlfriend, June, and her family to thank for making the </w:t>
      </w:r>
      <w:r w:rsidR="004A310E">
        <w:t>second half</w:t>
      </w:r>
      <w:r>
        <w:t xml:space="preserve"> of my program less stressful, especially during Covid-19. </w:t>
      </w:r>
      <w:r w:rsidR="007A1B20">
        <w:t>Amidst a turbulent time away from home, t</w:t>
      </w:r>
      <w:r>
        <w:t>heir warmth, encouragement</w:t>
      </w:r>
      <w:r w:rsidR="004A310E">
        <w:t>,</w:t>
      </w:r>
      <w:r>
        <w:t xml:space="preserve"> and support </w:t>
      </w:r>
      <w:r w:rsidR="00467238">
        <w:t>provided me the motivation to keep going forward</w:t>
      </w:r>
      <w:r w:rsidR="004A310E">
        <w:t>.</w:t>
      </w:r>
      <w:r w:rsidR="0072742B">
        <w:t xml:space="preserve"> June taught me that life is more than just work and to strive for a healthier balance. She has been my rock these past few years.</w:t>
      </w:r>
    </w:p>
    <w:p w14:paraId="0A73ADA6" w14:textId="77777777" w:rsidR="0072742B" w:rsidRDefault="004A310E" w:rsidP="0072742B">
      <w:pPr>
        <w:spacing w:line="480" w:lineRule="auto"/>
        <w:ind w:firstLine="720"/>
      </w:pPr>
      <w:r>
        <w:t xml:space="preserve">My deep appreciation goes out to everyone throughout my educational career, including my advisor, Dr. Shih-Lung, who has supported me in my personal and professional ambitions throughout these past four years. I am eternally grateful to Dr. Shaw </w:t>
      </w:r>
      <w:r w:rsidR="00D165FD">
        <w:t xml:space="preserve">for his mentorship and guidance; he </w:t>
      </w:r>
      <w:r>
        <w:t xml:space="preserve">took a chance </w:t>
      </w:r>
      <w:r w:rsidR="00D165FD">
        <w:t xml:space="preserve">on me and gave me the opportunity to come </w:t>
      </w:r>
      <w:r w:rsidR="00CD4BB0">
        <w:t>and learn the process of independent research in</w:t>
      </w:r>
      <w:r w:rsidR="00D165FD">
        <w:t xml:space="preserve"> Knoxville. Thank you. My committee members, Drs. Wenjun Zhou, </w:t>
      </w:r>
      <w:proofErr w:type="spellStart"/>
      <w:r w:rsidR="00D165FD">
        <w:t>Qiusheng</w:t>
      </w:r>
      <w:proofErr w:type="spellEnd"/>
      <w:r w:rsidR="00D165FD">
        <w:t xml:space="preserve"> Wu, Madhuri Sharma, and Hyun Kim equally and unselfishly shared their deep knowledge with me, and I am thankful for their time and effort on my behalf. I have learned a lot from </w:t>
      </w:r>
      <w:proofErr w:type="gramStart"/>
      <w:r w:rsidR="00D165FD">
        <w:t>all of</w:t>
      </w:r>
      <w:proofErr w:type="gramEnd"/>
      <w:r w:rsidR="00D165FD">
        <w:t xml:space="preserve"> these professors,</w:t>
      </w:r>
      <w:r w:rsidR="00CD4BB0">
        <w:t xml:space="preserve"> and each has helped broaden my perspective and deepen my knowledge to improve my research and understanding of the world.</w:t>
      </w:r>
    </w:p>
    <w:p w14:paraId="1087F072" w14:textId="2AD69D5A" w:rsidR="0072742B" w:rsidRDefault="00CD4BB0" w:rsidP="0072742B">
      <w:pPr>
        <w:spacing w:line="480" w:lineRule="auto"/>
        <w:ind w:firstLine="720"/>
      </w:pPr>
      <w:r>
        <w:lastRenderedPageBreak/>
        <w:t xml:space="preserve">I also wish to thank my professors </w:t>
      </w:r>
      <w:r w:rsidR="0072742B">
        <w:t>during my time at</w:t>
      </w:r>
      <w:r>
        <w:t xml:space="preserve"> SUNY Geneseo who inspired my love for geography</w:t>
      </w:r>
      <w:r w:rsidR="001F0DFB">
        <w:t xml:space="preserve"> and supported me in my graduate school application process</w:t>
      </w:r>
      <w:r>
        <w:t xml:space="preserve">: Drs. Jennifer </w:t>
      </w:r>
      <w:proofErr w:type="spellStart"/>
      <w:r>
        <w:t>Rogalsky</w:t>
      </w:r>
      <w:proofErr w:type="spellEnd"/>
      <w:r>
        <w:t xml:space="preserve">, David Robertson, </w:t>
      </w:r>
      <w:r w:rsidR="0094427C">
        <w:t xml:space="preserve">Randy Kaplan, Seth </w:t>
      </w:r>
      <w:proofErr w:type="spellStart"/>
      <w:r w:rsidR="0094427C">
        <w:t>Cavello</w:t>
      </w:r>
      <w:proofErr w:type="spellEnd"/>
      <w:r w:rsidR="0094427C">
        <w:t xml:space="preserve">, </w:t>
      </w:r>
      <w:r>
        <w:t xml:space="preserve">Darrell Norris, Jim </w:t>
      </w:r>
      <w:proofErr w:type="spellStart"/>
      <w:r>
        <w:t>Kernan</w:t>
      </w:r>
      <w:proofErr w:type="spellEnd"/>
      <w:r>
        <w:t xml:space="preserve">, Steve </w:t>
      </w:r>
      <w:proofErr w:type="spellStart"/>
      <w:r>
        <w:t>Tulowiecki</w:t>
      </w:r>
      <w:proofErr w:type="spellEnd"/>
      <w:r>
        <w:t xml:space="preserve">, Ren </w:t>
      </w:r>
      <w:proofErr w:type="spellStart"/>
      <w:r>
        <w:t>Vasiliev</w:t>
      </w:r>
      <w:proofErr w:type="spellEnd"/>
      <w:r>
        <w:t>, Colleen Garrity</w:t>
      </w:r>
      <w:r w:rsidR="0072742B">
        <w:t xml:space="preserve">, </w:t>
      </w:r>
      <w:r>
        <w:t xml:space="preserve">and David </w:t>
      </w:r>
      <w:proofErr w:type="spellStart"/>
      <w:r>
        <w:t>Aagesen</w:t>
      </w:r>
      <w:proofErr w:type="spellEnd"/>
      <w:r>
        <w:t xml:space="preserve">. </w:t>
      </w:r>
      <w:r w:rsidR="0072742B">
        <w:t>My path towards geography would not have been possible without their teachings and mentorship.</w:t>
      </w:r>
    </w:p>
    <w:p w14:paraId="595D8976" w14:textId="77777777" w:rsidR="000901FB" w:rsidRDefault="000901FB">
      <w:r>
        <w:br w:type="page"/>
      </w:r>
    </w:p>
    <w:p w14:paraId="4ED54ABC" w14:textId="77777777" w:rsidR="000901FB" w:rsidRDefault="000901FB" w:rsidP="000901FB">
      <w:pPr>
        <w:jc w:val="center"/>
        <w:rPr>
          <w:b/>
          <w:bCs/>
        </w:rPr>
      </w:pPr>
      <w:r>
        <w:rPr>
          <w:b/>
          <w:bCs/>
        </w:rPr>
        <w:lastRenderedPageBreak/>
        <w:t>ABSTRACT</w:t>
      </w:r>
    </w:p>
    <w:p w14:paraId="3214271C" w14:textId="165A8676" w:rsidR="000901FB" w:rsidRDefault="000901FB" w:rsidP="000072AE">
      <w:pPr>
        <w:spacing w:line="480" w:lineRule="auto"/>
        <w:ind w:firstLine="720"/>
      </w:pPr>
      <w:r w:rsidRPr="005718D4">
        <w:t>Access to basic human needs, such as food and healthcare, is conceptually understood to be comprised of multiple dimensions. However, research in this area has traditionally been explored with spatial accessibility measures that almost exclusively focus on just two dimensions. Namely, the availability of resources, services, and facilities, and the accessibility or ease to which locations of these opportunities can be reached with existing land-use and transport systems under temporal constraints and considering individual characteristics of people. These calculated measures are insufficient in holistically capturing available opportunities as they ignore other components, such as the emergence of virtual space to carry out activities and interactions enabled by modern information and communication technologies (ICT). Human dynamics today exist in a hybrid physical-virtual space, and recent research has highlighted the importance of understanding ICT, individual behavior, local context, social relations, and human perceptions in identifying opportunities available to people. However, there lacks a holistic approach that relates these different aspects to access research. This</w:t>
      </w:r>
      <w:r>
        <w:t xml:space="preserve"> dissertation</w:t>
      </w:r>
      <w:r w:rsidRPr="005718D4">
        <w:t xml:space="preserve"> addresses this gap by proposing a new conceptual framework for the geography of access for various kinds of human needs, using food access as a case study to illustrate how the proposed framework can be applied to address critical societal issues. </w:t>
      </w:r>
      <w:r>
        <w:t xml:space="preserve">An interactive </w:t>
      </w:r>
      <w:proofErr w:type="spellStart"/>
      <w:r>
        <w:t>multispace</w:t>
      </w:r>
      <w:proofErr w:type="spellEnd"/>
      <w:r>
        <w:t xml:space="preserve"> geographic information system (GIS) web application is developed to better understand and visualize individual potential food access based on the conceptual </w:t>
      </w:r>
      <w:commentRangeStart w:id="0"/>
      <w:commentRangeStart w:id="1"/>
      <w:r>
        <w:t>framework</w:t>
      </w:r>
      <w:commentRangeEnd w:id="0"/>
      <w:r w:rsidR="007313AF">
        <w:rPr>
          <w:rStyle w:val="CommentReference"/>
        </w:rPr>
        <w:commentReference w:id="0"/>
      </w:r>
      <w:commentRangeEnd w:id="1"/>
      <w:r w:rsidR="00DF7E68">
        <w:rPr>
          <w:rStyle w:val="CommentReference"/>
        </w:rPr>
        <w:commentReference w:id="1"/>
      </w:r>
      <w:r>
        <w:t>.</w:t>
      </w:r>
      <w:r w:rsidR="00644763">
        <w:t xml:space="preserve"> </w:t>
      </w:r>
      <w:r w:rsidR="00D04A9C">
        <w:t xml:space="preserve">This dissertation contributes to the body of research with a </w:t>
      </w:r>
      <w:r w:rsidR="001B0A17">
        <w:t xml:space="preserve">proposed </w:t>
      </w:r>
      <w:r w:rsidR="00EA04E5">
        <w:t xml:space="preserve">conceptual framework </w:t>
      </w:r>
      <w:r w:rsidR="00D04A9C">
        <w:t xml:space="preserve">of access </w:t>
      </w:r>
      <w:r w:rsidR="00481AA4">
        <w:t xml:space="preserve">to human needs </w:t>
      </w:r>
      <w:r w:rsidR="00D04A9C">
        <w:t xml:space="preserve">in a hybrid physical-virtual world, </w:t>
      </w:r>
      <w:r w:rsidR="005D2A61">
        <w:t xml:space="preserve">the </w:t>
      </w:r>
      <w:r w:rsidR="00D04A9C">
        <w:t>integration of</w:t>
      </w:r>
      <w:r w:rsidR="001F00A1">
        <w:t xml:space="preserve"> various</w:t>
      </w:r>
      <w:r w:rsidR="00D04A9C">
        <w:t xml:space="preserve"> big and small data </w:t>
      </w:r>
      <w:r w:rsidR="00EA04E5">
        <w:t xml:space="preserve">sources </w:t>
      </w:r>
      <w:r w:rsidR="00D04A9C">
        <w:t xml:space="preserve">to reveal information relating to the access of people, and novel development of a multi-space GIS to </w:t>
      </w:r>
      <w:proofErr w:type="gramStart"/>
      <w:r w:rsidR="005D2A61">
        <w:t xml:space="preserve">more accurately </w:t>
      </w:r>
      <w:r w:rsidR="00D04A9C">
        <w:t>analyze and visualize access to opportunities</w:t>
      </w:r>
      <w:proofErr w:type="gramEnd"/>
      <w:r w:rsidR="00D04A9C">
        <w:t>.</w:t>
      </w:r>
    </w:p>
    <w:p w14:paraId="088E0939" w14:textId="4102CB0E" w:rsidR="000901FB" w:rsidRDefault="000901FB" w:rsidP="000901FB">
      <w:pPr>
        <w:spacing w:line="480" w:lineRule="auto"/>
        <w:ind w:firstLine="720"/>
        <w:jc w:val="center"/>
      </w:pPr>
      <w:r>
        <w:rPr>
          <w:b/>
          <w:bCs/>
        </w:rPr>
        <w:lastRenderedPageBreak/>
        <w:t>TABLE OF CONTENTS</w:t>
      </w:r>
    </w:p>
    <w:sdt>
      <w:sdtPr>
        <w:id w:val="-332686489"/>
        <w:docPartObj>
          <w:docPartGallery w:val="Table of Contents"/>
          <w:docPartUnique/>
        </w:docPartObj>
      </w:sdtPr>
      <w:sdtEndPr>
        <w:rPr>
          <w:b/>
          <w:bCs/>
          <w:noProof/>
        </w:rPr>
      </w:sdtEndPr>
      <w:sdtContent>
        <w:p w14:paraId="3B9402A1" w14:textId="0D220BC6" w:rsidR="005E492B" w:rsidRDefault="000D0A85">
          <w:pPr>
            <w:pStyle w:val="TOC1"/>
            <w:tabs>
              <w:tab w:val="right" w:leader="dot" w:pos="9350"/>
            </w:tabs>
            <w:rPr>
              <w:rFonts w:asciiTheme="minorHAnsi" w:hAnsiTheme="minorHAnsi" w:cstheme="minorBidi"/>
              <w:noProof/>
              <w:sz w:val="22"/>
              <w:szCs w:val="22"/>
            </w:rPr>
          </w:pPr>
          <w:r>
            <w:fldChar w:fldCharType="begin"/>
          </w:r>
          <w:r>
            <w:instrText xml:space="preserve"> TOC \o "1-3" \h \z \u </w:instrText>
          </w:r>
          <w:r>
            <w:fldChar w:fldCharType="separate"/>
          </w:r>
          <w:hyperlink w:anchor="_Toc114258029" w:history="1">
            <w:r w:rsidR="005E492B" w:rsidRPr="000C4A6B">
              <w:rPr>
                <w:rStyle w:val="Hyperlink"/>
                <w:b/>
                <w:bCs/>
                <w:noProof/>
              </w:rPr>
              <w:t>CHAPTER 1. INTRODUCTION</w:t>
            </w:r>
            <w:r w:rsidR="005E492B">
              <w:rPr>
                <w:noProof/>
                <w:webHidden/>
              </w:rPr>
              <w:tab/>
            </w:r>
            <w:r w:rsidR="005E492B">
              <w:rPr>
                <w:noProof/>
                <w:webHidden/>
              </w:rPr>
              <w:fldChar w:fldCharType="begin"/>
            </w:r>
            <w:r w:rsidR="005E492B">
              <w:rPr>
                <w:noProof/>
                <w:webHidden/>
              </w:rPr>
              <w:instrText xml:space="preserve"> PAGEREF _Toc114258029 \h </w:instrText>
            </w:r>
            <w:r w:rsidR="005E492B">
              <w:rPr>
                <w:noProof/>
                <w:webHidden/>
              </w:rPr>
            </w:r>
            <w:r w:rsidR="005E492B">
              <w:rPr>
                <w:noProof/>
                <w:webHidden/>
              </w:rPr>
              <w:fldChar w:fldCharType="separate"/>
            </w:r>
            <w:r w:rsidR="00C42D79">
              <w:rPr>
                <w:noProof/>
                <w:webHidden/>
              </w:rPr>
              <w:t>1</w:t>
            </w:r>
            <w:r w:rsidR="005E492B">
              <w:rPr>
                <w:noProof/>
                <w:webHidden/>
              </w:rPr>
              <w:fldChar w:fldCharType="end"/>
            </w:r>
          </w:hyperlink>
        </w:p>
        <w:p w14:paraId="3835AB90" w14:textId="080887E2" w:rsidR="005E492B" w:rsidRDefault="00467238">
          <w:pPr>
            <w:pStyle w:val="TOC2"/>
            <w:tabs>
              <w:tab w:val="right" w:leader="dot" w:pos="9350"/>
            </w:tabs>
            <w:rPr>
              <w:rFonts w:asciiTheme="minorHAnsi" w:hAnsiTheme="minorHAnsi" w:cstheme="minorBidi"/>
              <w:noProof/>
              <w:sz w:val="22"/>
              <w:szCs w:val="22"/>
            </w:rPr>
          </w:pPr>
          <w:hyperlink w:anchor="_Toc114258030" w:history="1">
            <w:r w:rsidR="005E492B" w:rsidRPr="000C4A6B">
              <w:rPr>
                <w:rStyle w:val="Hyperlink"/>
                <w:b/>
                <w:bCs/>
                <w:noProof/>
              </w:rPr>
              <w:t>1.1. RESEARCH QUESTIONS</w:t>
            </w:r>
            <w:r w:rsidR="005E492B">
              <w:rPr>
                <w:noProof/>
                <w:webHidden/>
              </w:rPr>
              <w:tab/>
            </w:r>
            <w:r w:rsidR="005E492B">
              <w:rPr>
                <w:noProof/>
                <w:webHidden/>
              </w:rPr>
              <w:fldChar w:fldCharType="begin"/>
            </w:r>
            <w:r w:rsidR="005E492B">
              <w:rPr>
                <w:noProof/>
                <w:webHidden/>
              </w:rPr>
              <w:instrText xml:space="preserve"> PAGEREF _Toc114258030 \h </w:instrText>
            </w:r>
            <w:r w:rsidR="005E492B">
              <w:rPr>
                <w:noProof/>
                <w:webHidden/>
              </w:rPr>
            </w:r>
            <w:r w:rsidR="005E492B">
              <w:rPr>
                <w:noProof/>
                <w:webHidden/>
              </w:rPr>
              <w:fldChar w:fldCharType="separate"/>
            </w:r>
            <w:r w:rsidR="00C42D79">
              <w:rPr>
                <w:noProof/>
                <w:webHidden/>
              </w:rPr>
              <w:t>3</w:t>
            </w:r>
            <w:r w:rsidR="005E492B">
              <w:rPr>
                <w:noProof/>
                <w:webHidden/>
              </w:rPr>
              <w:fldChar w:fldCharType="end"/>
            </w:r>
          </w:hyperlink>
        </w:p>
        <w:p w14:paraId="7E037B51" w14:textId="37F38B4F" w:rsidR="005E492B" w:rsidRDefault="00467238">
          <w:pPr>
            <w:pStyle w:val="TOC2"/>
            <w:tabs>
              <w:tab w:val="right" w:leader="dot" w:pos="9350"/>
            </w:tabs>
            <w:rPr>
              <w:rFonts w:asciiTheme="minorHAnsi" w:hAnsiTheme="minorHAnsi" w:cstheme="minorBidi"/>
              <w:noProof/>
              <w:sz w:val="22"/>
              <w:szCs w:val="22"/>
            </w:rPr>
          </w:pPr>
          <w:hyperlink w:anchor="_Toc114258031" w:history="1">
            <w:r w:rsidR="005E492B" w:rsidRPr="000C4A6B">
              <w:rPr>
                <w:rStyle w:val="Hyperlink"/>
                <w:b/>
                <w:bCs/>
                <w:noProof/>
              </w:rPr>
              <w:t>1.2. RESEARCH OBJECTIVES</w:t>
            </w:r>
            <w:r w:rsidR="005E492B">
              <w:rPr>
                <w:noProof/>
                <w:webHidden/>
              </w:rPr>
              <w:tab/>
            </w:r>
            <w:r w:rsidR="005E492B">
              <w:rPr>
                <w:noProof/>
                <w:webHidden/>
              </w:rPr>
              <w:fldChar w:fldCharType="begin"/>
            </w:r>
            <w:r w:rsidR="005E492B">
              <w:rPr>
                <w:noProof/>
                <w:webHidden/>
              </w:rPr>
              <w:instrText xml:space="preserve"> PAGEREF _Toc114258031 \h </w:instrText>
            </w:r>
            <w:r w:rsidR="005E492B">
              <w:rPr>
                <w:noProof/>
                <w:webHidden/>
              </w:rPr>
            </w:r>
            <w:r w:rsidR="005E492B">
              <w:rPr>
                <w:noProof/>
                <w:webHidden/>
              </w:rPr>
              <w:fldChar w:fldCharType="separate"/>
            </w:r>
            <w:r w:rsidR="00C42D79">
              <w:rPr>
                <w:noProof/>
                <w:webHidden/>
              </w:rPr>
              <w:t>4</w:t>
            </w:r>
            <w:r w:rsidR="005E492B">
              <w:rPr>
                <w:noProof/>
                <w:webHidden/>
              </w:rPr>
              <w:fldChar w:fldCharType="end"/>
            </w:r>
          </w:hyperlink>
        </w:p>
        <w:p w14:paraId="669EC19E" w14:textId="0D613AB2" w:rsidR="005E492B" w:rsidRDefault="00467238">
          <w:pPr>
            <w:pStyle w:val="TOC1"/>
            <w:tabs>
              <w:tab w:val="right" w:leader="dot" w:pos="9350"/>
            </w:tabs>
            <w:rPr>
              <w:rFonts w:asciiTheme="minorHAnsi" w:hAnsiTheme="minorHAnsi" w:cstheme="minorBidi"/>
              <w:noProof/>
              <w:sz w:val="22"/>
              <w:szCs w:val="22"/>
            </w:rPr>
          </w:pPr>
          <w:hyperlink w:anchor="_Toc114258032" w:history="1">
            <w:r w:rsidR="005E492B" w:rsidRPr="000C4A6B">
              <w:rPr>
                <w:rStyle w:val="Hyperlink"/>
                <w:b/>
                <w:bCs/>
                <w:noProof/>
              </w:rPr>
              <w:t>CHAPTER 2. LITERATURE REVIEW</w:t>
            </w:r>
            <w:r w:rsidR="005E492B">
              <w:rPr>
                <w:noProof/>
                <w:webHidden/>
              </w:rPr>
              <w:tab/>
            </w:r>
            <w:r w:rsidR="005E492B">
              <w:rPr>
                <w:noProof/>
                <w:webHidden/>
              </w:rPr>
              <w:fldChar w:fldCharType="begin"/>
            </w:r>
            <w:r w:rsidR="005E492B">
              <w:rPr>
                <w:noProof/>
                <w:webHidden/>
              </w:rPr>
              <w:instrText xml:space="preserve"> PAGEREF _Toc114258032 \h </w:instrText>
            </w:r>
            <w:r w:rsidR="005E492B">
              <w:rPr>
                <w:noProof/>
                <w:webHidden/>
              </w:rPr>
            </w:r>
            <w:r w:rsidR="005E492B">
              <w:rPr>
                <w:noProof/>
                <w:webHidden/>
              </w:rPr>
              <w:fldChar w:fldCharType="separate"/>
            </w:r>
            <w:r w:rsidR="00C42D79">
              <w:rPr>
                <w:noProof/>
                <w:webHidden/>
              </w:rPr>
              <w:t>7</w:t>
            </w:r>
            <w:r w:rsidR="005E492B">
              <w:rPr>
                <w:noProof/>
                <w:webHidden/>
              </w:rPr>
              <w:fldChar w:fldCharType="end"/>
            </w:r>
          </w:hyperlink>
        </w:p>
        <w:p w14:paraId="7376B984" w14:textId="62E4DCED" w:rsidR="005E492B" w:rsidRDefault="00467238">
          <w:pPr>
            <w:pStyle w:val="TOC2"/>
            <w:tabs>
              <w:tab w:val="right" w:leader="dot" w:pos="9350"/>
            </w:tabs>
            <w:rPr>
              <w:rFonts w:asciiTheme="minorHAnsi" w:hAnsiTheme="minorHAnsi" w:cstheme="minorBidi"/>
              <w:noProof/>
              <w:sz w:val="22"/>
              <w:szCs w:val="22"/>
            </w:rPr>
          </w:pPr>
          <w:hyperlink w:anchor="_Toc114258033" w:history="1">
            <w:r w:rsidR="005E492B" w:rsidRPr="000C4A6B">
              <w:rPr>
                <w:rStyle w:val="Hyperlink"/>
                <w:b/>
                <w:bCs/>
                <w:noProof/>
              </w:rPr>
              <w:t>2.1. OVERVIEW OF ACCESSIBILITY DEFINITIONS AND MEASURES</w:t>
            </w:r>
            <w:r w:rsidR="005E492B">
              <w:rPr>
                <w:noProof/>
                <w:webHidden/>
              </w:rPr>
              <w:tab/>
            </w:r>
            <w:r w:rsidR="005E492B">
              <w:rPr>
                <w:noProof/>
                <w:webHidden/>
              </w:rPr>
              <w:fldChar w:fldCharType="begin"/>
            </w:r>
            <w:r w:rsidR="005E492B">
              <w:rPr>
                <w:noProof/>
                <w:webHidden/>
              </w:rPr>
              <w:instrText xml:space="preserve"> PAGEREF _Toc114258033 \h </w:instrText>
            </w:r>
            <w:r w:rsidR="005E492B">
              <w:rPr>
                <w:noProof/>
                <w:webHidden/>
              </w:rPr>
            </w:r>
            <w:r w:rsidR="005E492B">
              <w:rPr>
                <w:noProof/>
                <w:webHidden/>
              </w:rPr>
              <w:fldChar w:fldCharType="separate"/>
            </w:r>
            <w:r w:rsidR="00C42D79">
              <w:rPr>
                <w:noProof/>
                <w:webHidden/>
              </w:rPr>
              <w:t>7</w:t>
            </w:r>
            <w:r w:rsidR="005E492B">
              <w:rPr>
                <w:noProof/>
                <w:webHidden/>
              </w:rPr>
              <w:fldChar w:fldCharType="end"/>
            </w:r>
          </w:hyperlink>
        </w:p>
        <w:p w14:paraId="2CB7E51B" w14:textId="6B035E78" w:rsidR="005E492B" w:rsidRDefault="00467238">
          <w:pPr>
            <w:pStyle w:val="TOC2"/>
            <w:tabs>
              <w:tab w:val="right" w:leader="dot" w:pos="9350"/>
            </w:tabs>
            <w:rPr>
              <w:rFonts w:asciiTheme="minorHAnsi" w:hAnsiTheme="minorHAnsi" w:cstheme="minorBidi"/>
              <w:noProof/>
              <w:sz w:val="22"/>
              <w:szCs w:val="22"/>
            </w:rPr>
          </w:pPr>
          <w:hyperlink w:anchor="_Toc114258034" w:history="1">
            <w:r w:rsidR="005E492B" w:rsidRPr="000C4A6B">
              <w:rPr>
                <w:rStyle w:val="Hyperlink"/>
                <w:b/>
                <w:bCs/>
                <w:noProof/>
              </w:rPr>
              <w:t>2.2. A MULTIDIMENSIONAL DEFINITION OF ACCESS</w:t>
            </w:r>
            <w:r w:rsidR="005E492B">
              <w:rPr>
                <w:noProof/>
                <w:webHidden/>
              </w:rPr>
              <w:tab/>
            </w:r>
            <w:r w:rsidR="005E492B">
              <w:rPr>
                <w:noProof/>
                <w:webHidden/>
              </w:rPr>
              <w:fldChar w:fldCharType="begin"/>
            </w:r>
            <w:r w:rsidR="005E492B">
              <w:rPr>
                <w:noProof/>
                <w:webHidden/>
              </w:rPr>
              <w:instrText xml:space="preserve"> PAGEREF _Toc114258034 \h </w:instrText>
            </w:r>
            <w:r w:rsidR="005E492B">
              <w:rPr>
                <w:noProof/>
                <w:webHidden/>
              </w:rPr>
            </w:r>
            <w:r w:rsidR="005E492B">
              <w:rPr>
                <w:noProof/>
                <w:webHidden/>
              </w:rPr>
              <w:fldChar w:fldCharType="separate"/>
            </w:r>
            <w:r w:rsidR="00C42D79">
              <w:rPr>
                <w:noProof/>
                <w:webHidden/>
              </w:rPr>
              <w:t>15</w:t>
            </w:r>
            <w:r w:rsidR="005E492B">
              <w:rPr>
                <w:noProof/>
                <w:webHidden/>
              </w:rPr>
              <w:fldChar w:fldCharType="end"/>
            </w:r>
          </w:hyperlink>
        </w:p>
        <w:p w14:paraId="25DD02DE" w14:textId="2E2780F5" w:rsidR="005E492B" w:rsidRDefault="00467238">
          <w:pPr>
            <w:pStyle w:val="TOC2"/>
            <w:tabs>
              <w:tab w:val="right" w:leader="dot" w:pos="9350"/>
            </w:tabs>
            <w:rPr>
              <w:rFonts w:asciiTheme="minorHAnsi" w:hAnsiTheme="minorHAnsi" w:cstheme="minorBidi"/>
              <w:noProof/>
              <w:sz w:val="22"/>
              <w:szCs w:val="22"/>
            </w:rPr>
          </w:pPr>
          <w:hyperlink w:anchor="_Toc114258035" w:history="1">
            <w:r w:rsidR="005E492B" w:rsidRPr="000C4A6B">
              <w:rPr>
                <w:rStyle w:val="Hyperlink"/>
                <w:b/>
                <w:bCs/>
                <w:noProof/>
              </w:rPr>
              <w:t>2.3. ACCESS IN HYBRID PHYSICAL-VIRTUAL SPACE</w:t>
            </w:r>
            <w:r w:rsidR="005E492B">
              <w:rPr>
                <w:noProof/>
                <w:webHidden/>
              </w:rPr>
              <w:tab/>
            </w:r>
            <w:r w:rsidR="005E492B">
              <w:rPr>
                <w:noProof/>
                <w:webHidden/>
              </w:rPr>
              <w:fldChar w:fldCharType="begin"/>
            </w:r>
            <w:r w:rsidR="005E492B">
              <w:rPr>
                <w:noProof/>
                <w:webHidden/>
              </w:rPr>
              <w:instrText xml:space="preserve"> PAGEREF _Toc114258035 \h </w:instrText>
            </w:r>
            <w:r w:rsidR="005E492B">
              <w:rPr>
                <w:noProof/>
                <w:webHidden/>
              </w:rPr>
            </w:r>
            <w:r w:rsidR="005E492B">
              <w:rPr>
                <w:noProof/>
                <w:webHidden/>
              </w:rPr>
              <w:fldChar w:fldCharType="separate"/>
            </w:r>
            <w:r w:rsidR="00C42D79">
              <w:rPr>
                <w:noProof/>
                <w:webHidden/>
              </w:rPr>
              <w:t>17</w:t>
            </w:r>
            <w:r w:rsidR="005E492B">
              <w:rPr>
                <w:noProof/>
                <w:webHidden/>
              </w:rPr>
              <w:fldChar w:fldCharType="end"/>
            </w:r>
          </w:hyperlink>
        </w:p>
        <w:p w14:paraId="2AC3D21F" w14:textId="3C405518" w:rsidR="005E492B" w:rsidRDefault="00467238">
          <w:pPr>
            <w:pStyle w:val="TOC2"/>
            <w:tabs>
              <w:tab w:val="right" w:leader="dot" w:pos="9350"/>
            </w:tabs>
            <w:rPr>
              <w:rFonts w:asciiTheme="minorHAnsi" w:hAnsiTheme="minorHAnsi" w:cstheme="minorBidi"/>
              <w:noProof/>
              <w:sz w:val="22"/>
              <w:szCs w:val="22"/>
            </w:rPr>
          </w:pPr>
          <w:hyperlink w:anchor="_Toc114258036" w:history="1">
            <w:r w:rsidR="005E492B" w:rsidRPr="000C4A6B">
              <w:rPr>
                <w:rStyle w:val="Hyperlink"/>
                <w:b/>
                <w:bCs/>
                <w:noProof/>
              </w:rPr>
              <w:t>2.4. ACCESS ALONG VARIOUS CONCEPTS OF SPACE</w:t>
            </w:r>
            <w:r w:rsidR="005E492B">
              <w:rPr>
                <w:noProof/>
                <w:webHidden/>
              </w:rPr>
              <w:tab/>
            </w:r>
            <w:r w:rsidR="005E492B">
              <w:rPr>
                <w:noProof/>
                <w:webHidden/>
              </w:rPr>
              <w:fldChar w:fldCharType="begin"/>
            </w:r>
            <w:r w:rsidR="005E492B">
              <w:rPr>
                <w:noProof/>
                <w:webHidden/>
              </w:rPr>
              <w:instrText xml:space="preserve"> PAGEREF _Toc114258036 \h </w:instrText>
            </w:r>
            <w:r w:rsidR="005E492B">
              <w:rPr>
                <w:noProof/>
                <w:webHidden/>
              </w:rPr>
            </w:r>
            <w:r w:rsidR="005E492B">
              <w:rPr>
                <w:noProof/>
                <w:webHidden/>
              </w:rPr>
              <w:fldChar w:fldCharType="separate"/>
            </w:r>
            <w:r w:rsidR="00C42D79">
              <w:rPr>
                <w:noProof/>
                <w:webHidden/>
              </w:rPr>
              <w:t>20</w:t>
            </w:r>
            <w:r w:rsidR="005E492B">
              <w:rPr>
                <w:noProof/>
                <w:webHidden/>
              </w:rPr>
              <w:fldChar w:fldCharType="end"/>
            </w:r>
          </w:hyperlink>
        </w:p>
        <w:p w14:paraId="3560B013" w14:textId="15CA8EF9" w:rsidR="005E492B" w:rsidRDefault="00467238">
          <w:pPr>
            <w:pStyle w:val="TOC2"/>
            <w:tabs>
              <w:tab w:val="right" w:leader="dot" w:pos="9350"/>
            </w:tabs>
            <w:rPr>
              <w:rFonts w:asciiTheme="minorHAnsi" w:hAnsiTheme="minorHAnsi" w:cstheme="minorBidi"/>
              <w:noProof/>
              <w:sz w:val="22"/>
              <w:szCs w:val="22"/>
            </w:rPr>
          </w:pPr>
          <w:hyperlink w:anchor="_Toc114258037" w:history="1">
            <w:r w:rsidR="005E492B" w:rsidRPr="000C4A6B">
              <w:rPr>
                <w:rStyle w:val="Hyperlink"/>
                <w:b/>
                <w:bCs/>
                <w:noProof/>
              </w:rPr>
              <w:t>2.5. FOOD ACCESS AS A CASE STUDY</w:t>
            </w:r>
            <w:r w:rsidR="005E492B">
              <w:rPr>
                <w:noProof/>
                <w:webHidden/>
              </w:rPr>
              <w:tab/>
            </w:r>
            <w:r w:rsidR="005E492B">
              <w:rPr>
                <w:noProof/>
                <w:webHidden/>
              </w:rPr>
              <w:fldChar w:fldCharType="begin"/>
            </w:r>
            <w:r w:rsidR="005E492B">
              <w:rPr>
                <w:noProof/>
                <w:webHidden/>
              </w:rPr>
              <w:instrText xml:space="preserve"> PAGEREF _Toc114258037 \h </w:instrText>
            </w:r>
            <w:r w:rsidR="005E492B">
              <w:rPr>
                <w:noProof/>
                <w:webHidden/>
              </w:rPr>
            </w:r>
            <w:r w:rsidR="005E492B">
              <w:rPr>
                <w:noProof/>
                <w:webHidden/>
              </w:rPr>
              <w:fldChar w:fldCharType="separate"/>
            </w:r>
            <w:r w:rsidR="00C42D79">
              <w:rPr>
                <w:noProof/>
                <w:webHidden/>
              </w:rPr>
              <w:t>24</w:t>
            </w:r>
            <w:r w:rsidR="005E492B">
              <w:rPr>
                <w:noProof/>
                <w:webHidden/>
              </w:rPr>
              <w:fldChar w:fldCharType="end"/>
            </w:r>
          </w:hyperlink>
        </w:p>
        <w:p w14:paraId="594FA750" w14:textId="0492D622" w:rsidR="005E492B" w:rsidRDefault="00467238">
          <w:pPr>
            <w:pStyle w:val="TOC1"/>
            <w:tabs>
              <w:tab w:val="right" w:leader="dot" w:pos="9350"/>
            </w:tabs>
            <w:rPr>
              <w:rFonts w:asciiTheme="minorHAnsi" w:hAnsiTheme="minorHAnsi" w:cstheme="minorBidi"/>
              <w:noProof/>
              <w:sz w:val="22"/>
              <w:szCs w:val="22"/>
            </w:rPr>
          </w:pPr>
          <w:hyperlink w:anchor="_Toc114258038" w:history="1">
            <w:r w:rsidR="005E492B" w:rsidRPr="000C4A6B">
              <w:rPr>
                <w:rStyle w:val="Hyperlink"/>
                <w:b/>
                <w:bCs/>
                <w:noProof/>
              </w:rPr>
              <w:t>CHAPTER 3. CONCEPTUAL FRAMEWORK FOR ACCESS IN A HYBRID PHYSICAL-VIRTUAL SPACE</w:t>
            </w:r>
            <w:r w:rsidR="005E492B">
              <w:rPr>
                <w:noProof/>
                <w:webHidden/>
              </w:rPr>
              <w:tab/>
            </w:r>
            <w:r w:rsidR="005E492B">
              <w:rPr>
                <w:noProof/>
                <w:webHidden/>
              </w:rPr>
              <w:fldChar w:fldCharType="begin"/>
            </w:r>
            <w:r w:rsidR="005E492B">
              <w:rPr>
                <w:noProof/>
                <w:webHidden/>
              </w:rPr>
              <w:instrText xml:space="preserve"> PAGEREF _Toc114258038 \h </w:instrText>
            </w:r>
            <w:r w:rsidR="005E492B">
              <w:rPr>
                <w:noProof/>
                <w:webHidden/>
              </w:rPr>
            </w:r>
            <w:r w:rsidR="005E492B">
              <w:rPr>
                <w:noProof/>
                <w:webHidden/>
              </w:rPr>
              <w:fldChar w:fldCharType="separate"/>
            </w:r>
            <w:r w:rsidR="00C42D79">
              <w:rPr>
                <w:noProof/>
                <w:webHidden/>
              </w:rPr>
              <w:t>31</w:t>
            </w:r>
            <w:r w:rsidR="005E492B">
              <w:rPr>
                <w:noProof/>
                <w:webHidden/>
              </w:rPr>
              <w:fldChar w:fldCharType="end"/>
            </w:r>
          </w:hyperlink>
        </w:p>
        <w:p w14:paraId="5FD27CCE" w14:textId="3F9FC995" w:rsidR="005E492B" w:rsidRDefault="00467238">
          <w:pPr>
            <w:pStyle w:val="TOC2"/>
            <w:tabs>
              <w:tab w:val="right" w:leader="dot" w:pos="9350"/>
            </w:tabs>
            <w:rPr>
              <w:rFonts w:asciiTheme="minorHAnsi" w:hAnsiTheme="minorHAnsi" w:cstheme="minorBidi"/>
              <w:noProof/>
              <w:sz w:val="22"/>
              <w:szCs w:val="22"/>
            </w:rPr>
          </w:pPr>
          <w:hyperlink w:anchor="_Toc114258039" w:history="1">
            <w:r w:rsidR="005E492B" w:rsidRPr="000C4A6B">
              <w:rPr>
                <w:rStyle w:val="Hyperlink"/>
                <w:b/>
                <w:bCs/>
                <w:noProof/>
              </w:rPr>
              <w:t>3.1. CONCEPTUAL FRAMEWORK</w:t>
            </w:r>
            <w:r w:rsidR="005E492B">
              <w:rPr>
                <w:noProof/>
                <w:webHidden/>
              </w:rPr>
              <w:tab/>
            </w:r>
            <w:r w:rsidR="005E492B">
              <w:rPr>
                <w:noProof/>
                <w:webHidden/>
              </w:rPr>
              <w:fldChar w:fldCharType="begin"/>
            </w:r>
            <w:r w:rsidR="005E492B">
              <w:rPr>
                <w:noProof/>
                <w:webHidden/>
              </w:rPr>
              <w:instrText xml:space="preserve"> PAGEREF _Toc114258039 \h </w:instrText>
            </w:r>
            <w:r w:rsidR="005E492B">
              <w:rPr>
                <w:noProof/>
                <w:webHidden/>
              </w:rPr>
            </w:r>
            <w:r w:rsidR="005E492B">
              <w:rPr>
                <w:noProof/>
                <w:webHidden/>
              </w:rPr>
              <w:fldChar w:fldCharType="separate"/>
            </w:r>
            <w:r w:rsidR="00C42D79">
              <w:rPr>
                <w:noProof/>
                <w:webHidden/>
              </w:rPr>
              <w:t>31</w:t>
            </w:r>
            <w:r w:rsidR="005E492B">
              <w:rPr>
                <w:noProof/>
                <w:webHidden/>
              </w:rPr>
              <w:fldChar w:fldCharType="end"/>
            </w:r>
          </w:hyperlink>
        </w:p>
        <w:p w14:paraId="290AD563" w14:textId="12366922" w:rsidR="005E492B" w:rsidRDefault="00467238">
          <w:pPr>
            <w:pStyle w:val="TOC2"/>
            <w:tabs>
              <w:tab w:val="right" w:leader="dot" w:pos="9350"/>
            </w:tabs>
            <w:rPr>
              <w:rFonts w:asciiTheme="minorHAnsi" w:hAnsiTheme="minorHAnsi" w:cstheme="minorBidi"/>
              <w:noProof/>
              <w:sz w:val="22"/>
              <w:szCs w:val="22"/>
            </w:rPr>
          </w:pPr>
          <w:hyperlink w:anchor="_Toc114258040" w:history="1">
            <w:r w:rsidR="005E492B" w:rsidRPr="000C4A6B">
              <w:rPr>
                <w:rStyle w:val="Hyperlink"/>
                <w:b/>
                <w:bCs/>
                <w:noProof/>
              </w:rPr>
              <w:t>3.2. EXTENDING DIFFERENT DIMENSIONS OF ACCESS FOR A HYBRID PHYSICAL-VIRTUAL SPACE</w:t>
            </w:r>
            <w:r w:rsidR="005E492B">
              <w:rPr>
                <w:noProof/>
                <w:webHidden/>
              </w:rPr>
              <w:tab/>
            </w:r>
            <w:r w:rsidR="005E492B">
              <w:rPr>
                <w:noProof/>
                <w:webHidden/>
              </w:rPr>
              <w:fldChar w:fldCharType="begin"/>
            </w:r>
            <w:r w:rsidR="005E492B">
              <w:rPr>
                <w:noProof/>
                <w:webHidden/>
              </w:rPr>
              <w:instrText xml:space="preserve"> PAGEREF _Toc114258040 \h </w:instrText>
            </w:r>
            <w:r w:rsidR="005E492B">
              <w:rPr>
                <w:noProof/>
                <w:webHidden/>
              </w:rPr>
            </w:r>
            <w:r w:rsidR="005E492B">
              <w:rPr>
                <w:noProof/>
                <w:webHidden/>
              </w:rPr>
              <w:fldChar w:fldCharType="separate"/>
            </w:r>
            <w:r w:rsidR="00C42D79">
              <w:rPr>
                <w:noProof/>
                <w:webHidden/>
              </w:rPr>
              <w:t>33</w:t>
            </w:r>
            <w:r w:rsidR="005E492B">
              <w:rPr>
                <w:noProof/>
                <w:webHidden/>
              </w:rPr>
              <w:fldChar w:fldCharType="end"/>
            </w:r>
          </w:hyperlink>
        </w:p>
        <w:p w14:paraId="1FA8F5AF" w14:textId="62C0D52C" w:rsidR="005E492B" w:rsidRDefault="00467238">
          <w:pPr>
            <w:pStyle w:val="TOC3"/>
            <w:tabs>
              <w:tab w:val="right" w:leader="dot" w:pos="9350"/>
            </w:tabs>
            <w:rPr>
              <w:rFonts w:asciiTheme="minorHAnsi" w:hAnsiTheme="minorHAnsi" w:cstheme="minorBidi"/>
              <w:noProof/>
              <w:sz w:val="22"/>
              <w:szCs w:val="22"/>
            </w:rPr>
          </w:pPr>
          <w:hyperlink w:anchor="_Toc114258041" w:history="1">
            <w:r w:rsidR="005E492B" w:rsidRPr="000C4A6B">
              <w:rPr>
                <w:rStyle w:val="Hyperlink"/>
                <w:b/>
                <w:bCs/>
                <w:noProof/>
              </w:rPr>
              <w:t>3.2.1. AVAILABILITY IN HYBRID PHYSICAL-VIRTUAL SPACE</w:t>
            </w:r>
            <w:r w:rsidR="005E492B">
              <w:rPr>
                <w:noProof/>
                <w:webHidden/>
              </w:rPr>
              <w:tab/>
            </w:r>
            <w:r w:rsidR="005E492B">
              <w:rPr>
                <w:noProof/>
                <w:webHidden/>
              </w:rPr>
              <w:fldChar w:fldCharType="begin"/>
            </w:r>
            <w:r w:rsidR="005E492B">
              <w:rPr>
                <w:noProof/>
                <w:webHidden/>
              </w:rPr>
              <w:instrText xml:space="preserve"> PAGEREF _Toc114258041 \h </w:instrText>
            </w:r>
            <w:r w:rsidR="005E492B">
              <w:rPr>
                <w:noProof/>
                <w:webHidden/>
              </w:rPr>
            </w:r>
            <w:r w:rsidR="005E492B">
              <w:rPr>
                <w:noProof/>
                <w:webHidden/>
              </w:rPr>
              <w:fldChar w:fldCharType="separate"/>
            </w:r>
            <w:r w:rsidR="00C42D79">
              <w:rPr>
                <w:noProof/>
                <w:webHidden/>
              </w:rPr>
              <w:t>33</w:t>
            </w:r>
            <w:r w:rsidR="005E492B">
              <w:rPr>
                <w:noProof/>
                <w:webHidden/>
              </w:rPr>
              <w:fldChar w:fldCharType="end"/>
            </w:r>
          </w:hyperlink>
        </w:p>
        <w:p w14:paraId="2FE5EF53" w14:textId="25C77908" w:rsidR="005E492B" w:rsidRDefault="00467238">
          <w:pPr>
            <w:pStyle w:val="TOC3"/>
            <w:tabs>
              <w:tab w:val="right" w:leader="dot" w:pos="9350"/>
            </w:tabs>
            <w:rPr>
              <w:rFonts w:asciiTheme="minorHAnsi" w:hAnsiTheme="minorHAnsi" w:cstheme="minorBidi"/>
              <w:noProof/>
              <w:sz w:val="22"/>
              <w:szCs w:val="22"/>
            </w:rPr>
          </w:pPr>
          <w:hyperlink w:anchor="_Toc114258042" w:history="1">
            <w:r w:rsidR="005E492B" w:rsidRPr="000C4A6B">
              <w:rPr>
                <w:rStyle w:val="Hyperlink"/>
                <w:b/>
                <w:bCs/>
                <w:noProof/>
              </w:rPr>
              <w:t>3.2.2. ACCESSIBILITY IN HYBRID PHYSICAL-VIRTUAL SPACE</w:t>
            </w:r>
            <w:r w:rsidR="005E492B">
              <w:rPr>
                <w:noProof/>
                <w:webHidden/>
              </w:rPr>
              <w:tab/>
            </w:r>
            <w:r w:rsidR="005E492B">
              <w:rPr>
                <w:noProof/>
                <w:webHidden/>
              </w:rPr>
              <w:fldChar w:fldCharType="begin"/>
            </w:r>
            <w:r w:rsidR="005E492B">
              <w:rPr>
                <w:noProof/>
                <w:webHidden/>
              </w:rPr>
              <w:instrText xml:space="preserve"> PAGEREF _Toc114258042 \h </w:instrText>
            </w:r>
            <w:r w:rsidR="005E492B">
              <w:rPr>
                <w:noProof/>
                <w:webHidden/>
              </w:rPr>
            </w:r>
            <w:r w:rsidR="005E492B">
              <w:rPr>
                <w:noProof/>
                <w:webHidden/>
              </w:rPr>
              <w:fldChar w:fldCharType="separate"/>
            </w:r>
            <w:r w:rsidR="00C42D79">
              <w:rPr>
                <w:noProof/>
                <w:webHidden/>
              </w:rPr>
              <w:t>37</w:t>
            </w:r>
            <w:r w:rsidR="005E492B">
              <w:rPr>
                <w:noProof/>
                <w:webHidden/>
              </w:rPr>
              <w:fldChar w:fldCharType="end"/>
            </w:r>
          </w:hyperlink>
        </w:p>
        <w:p w14:paraId="231B1833" w14:textId="398053C0" w:rsidR="005E492B" w:rsidRDefault="00467238">
          <w:pPr>
            <w:pStyle w:val="TOC3"/>
            <w:tabs>
              <w:tab w:val="right" w:leader="dot" w:pos="9350"/>
            </w:tabs>
            <w:rPr>
              <w:rFonts w:asciiTheme="minorHAnsi" w:hAnsiTheme="minorHAnsi" w:cstheme="minorBidi"/>
              <w:noProof/>
              <w:sz w:val="22"/>
              <w:szCs w:val="22"/>
            </w:rPr>
          </w:pPr>
          <w:hyperlink w:anchor="_Toc114258043" w:history="1">
            <w:r w:rsidR="005E492B" w:rsidRPr="000C4A6B">
              <w:rPr>
                <w:rStyle w:val="Hyperlink"/>
                <w:b/>
                <w:bCs/>
                <w:noProof/>
              </w:rPr>
              <w:t>3.2.3. ACCOMMODATION IN HYBRID PHYSICAL-VIRTUAL SPACE</w:t>
            </w:r>
            <w:r w:rsidR="005E492B">
              <w:rPr>
                <w:noProof/>
                <w:webHidden/>
              </w:rPr>
              <w:tab/>
            </w:r>
            <w:r w:rsidR="005E492B">
              <w:rPr>
                <w:noProof/>
                <w:webHidden/>
              </w:rPr>
              <w:fldChar w:fldCharType="begin"/>
            </w:r>
            <w:r w:rsidR="005E492B">
              <w:rPr>
                <w:noProof/>
                <w:webHidden/>
              </w:rPr>
              <w:instrText xml:space="preserve"> PAGEREF _Toc114258043 \h </w:instrText>
            </w:r>
            <w:r w:rsidR="005E492B">
              <w:rPr>
                <w:noProof/>
                <w:webHidden/>
              </w:rPr>
            </w:r>
            <w:r w:rsidR="005E492B">
              <w:rPr>
                <w:noProof/>
                <w:webHidden/>
              </w:rPr>
              <w:fldChar w:fldCharType="separate"/>
            </w:r>
            <w:r w:rsidR="00C42D79">
              <w:rPr>
                <w:noProof/>
                <w:webHidden/>
              </w:rPr>
              <w:t>41</w:t>
            </w:r>
            <w:r w:rsidR="005E492B">
              <w:rPr>
                <w:noProof/>
                <w:webHidden/>
              </w:rPr>
              <w:fldChar w:fldCharType="end"/>
            </w:r>
          </w:hyperlink>
        </w:p>
        <w:p w14:paraId="617C1638" w14:textId="75467326" w:rsidR="005E492B" w:rsidRDefault="00467238">
          <w:pPr>
            <w:pStyle w:val="TOC3"/>
            <w:tabs>
              <w:tab w:val="right" w:leader="dot" w:pos="9350"/>
            </w:tabs>
            <w:rPr>
              <w:rFonts w:asciiTheme="minorHAnsi" w:hAnsiTheme="minorHAnsi" w:cstheme="minorBidi"/>
              <w:noProof/>
              <w:sz w:val="22"/>
              <w:szCs w:val="22"/>
            </w:rPr>
          </w:pPr>
          <w:hyperlink w:anchor="_Toc114258044" w:history="1">
            <w:r w:rsidR="005E492B" w:rsidRPr="000C4A6B">
              <w:rPr>
                <w:rStyle w:val="Hyperlink"/>
                <w:b/>
                <w:bCs/>
                <w:noProof/>
              </w:rPr>
              <w:t>3.2.4. AFFORDABILITY IN HYBRID PHYSICAL-VIRTUAL SPACE</w:t>
            </w:r>
            <w:r w:rsidR="005E492B">
              <w:rPr>
                <w:noProof/>
                <w:webHidden/>
              </w:rPr>
              <w:tab/>
            </w:r>
            <w:r w:rsidR="005E492B">
              <w:rPr>
                <w:noProof/>
                <w:webHidden/>
              </w:rPr>
              <w:fldChar w:fldCharType="begin"/>
            </w:r>
            <w:r w:rsidR="005E492B">
              <w:rPr>
                <w:noProof/>
                <w:webHidden/>
              </w:rPr>
              <w:instrText xml:space="preserve"> PAGEREF _Toc114258044 \h </w:instrText>
            </w:r>
            <w:r w:rsidR="005E492B">
              <w:rPr>
                <w:noProof/>
                <w:webHidden/>
              </w:rPr>
            </w:r>
            <w:r w:rsidR="005E492B">
              <w:rPr>
                <w:noProof/>
                <w:webHidden/>
              </w:rPr>
              <w:fldChar w:fldCharType="separate"/>
            </w:r>
            <w:r w:rsidR="00C42D79">
              <w:rPr>
                <w:noProof/>
                <w:webHidden/>
              </w:rPr>
              <w:t>43</w:t>
            </w:r>
            <w:r w:rsidR="005E492B">
              <w:rPr>
                <w:noProof/>
                <w:webHidden/>
              </w:rPr>
              <w:fldChar w:fldCharType="end"/>
            </w:r>
          </w:hyperlink>
        </w:p>
        <w:p w14:paraId="706D5D4C" w14:textId="185BF76E" w:rsidR="005E492B" w:rsidRDefault="00467238">
          <w:pPr>
            <w:pStyle w:val="TOC3"/>
            <w:tabs>
              <w:tab w:val="right" w:leader="dot" w:pos="9350"/>
            </w:tabs>
            <w:rPr>
              <w:rFonts w:asciiTheme="minorHAnsi" w:hAnsiTheme="minorHAnsi" w:cstheme="minorBidi"/>
              <w:noProof/>
              <w:sz w:val="22"/>
              <w:szCs w:val="22"/>
            </w:rPr>
          </w:pPr>
          <w:hyperlink w:anchor="_Toc114258045" w:history="1">
            <w:r w:rsidR="005E492B" w:rsidRPr="000C4A6B">
              <w:rPr>
                <w:rStyle w:val="Hyperlink"/>
                <w:b/>
                <w:bCs/>
                <w:noProof/>
              </w:rPr>
              <w:t>3.2.5. ACCEPTABILITY IN HYBRID PHYSICAL-VIRTUAL SPACE</w:t>
            </w:r>
            <w:r w:rsidR="005E492B">
              <w:rPr>
                <w:noProof/>
                <w:webHidden/>
              </w:rPr>
              <w:tab/>
            </w:r>
            <w:r w:rsidR="005E492B">
              <w:rPr>
                <w:noProof/>
                <w:webHidden/>
              </w:rPr>
              <w:fldChar w:fldCharType="begin"/>
            </w:r>
            <w:r w:rsidR="005E492B">
              <w:rPr>
                <w:noProof/>
                <w:webHidden/>
              </w:rPr>
              <w:instrText xml:space="preserve"> PAGEREF _Toc114258045 \h </w:instrText>
            </w:r>
            <w:r w:rsidR="005E492B">
              <w:rPr>
                <w:noProof/>
                <w:webHidden/>
              </w:rPr>
            </w:r>
            <w:r w:rsidR="005E492B">
              <w:rPr>
                <w:noProof/>
                <w:webHidden/>
              </w:rPr>
              <w:fldChar w:fldCharType="separate"/>
            </w:r>
            <w:r w:rsidR="00C42D79">
              <w:rPr>
                <w:noProof/>
                <w:webHidden/>
              </w:rPr>
              <w:t>47</w:t>
            </w:r>
            <w:r w:rsidR="005E492B">
              <w:rPr>
                <w:noProof/>
                <w:webHidden/>
              </w:rPr>
              <w:fldChar w:fldCharType="end"/>
            </w:r>
          </w:hyperlink>
        </w:p>
        <w:p w14:paraId="2EA12F96" w14:textId="18727A2A" w:rsidR="005E492B" w:rsidRDefault="00467238">
          <w:pPr>
            <w:pStyle w:val="TOC2"/>
            <w:tabs>
              <w:tab w:val="right" w:leader="dot" w:pos="9350"/>
            </w:tabs>
            <w:rPr>
              <w:rFonts w:asciiTheme="minorHAnsi" w:hAnsiTheme="minorHAnsi" w:cstheme="minorBidi"/>
              <w:noProof/>
              <w:sz w:val="22"/>
              <w:szCs w:val="22"/>
            </w:rPr>
          </w:pPr>
          <w:hyperlink w:anchor="_Toc114258046" w:history="1">
            <w:r w:rsidR="005E492B" w:rsidRPr="000C4A6B">
              <w:rPr>
                <w:rStyle w:val="Hyperlink"/>
                <w:b/>
                <w:bCs/>
                <w:noProof/>
              </w:rPr>
              <w:t>3.3. IMPLEMENTATION CONSIDERATIONS</w:t>
            </w:r>
            <w:r w:rsidR="005E492B">
              <w:rPr>
                <w:noProof/>
                <w:webHidden/>
              </w:rPr>
              <w:tab/>
            </w:r>
            <w:r w:rsidR="005E492B">
              <w:rPr>
                <w:noProof/>
                <w:webHidden/>
              </w:rPr>
              <w:fldChar w:fldCharType="begin"/>
            </w:r>
            <w:r w:rsidR="005E492B">
              <w:rPr>
                <w:noProof/>
                <w:webHidden/>
              </w:rPr>
              <w:instrText xml:space="preserve"> PAGEREF _Toc114258046 \h </w:instrText>
            </w:r>
            <w:r w:rsidR="005E492B">
              <w:rPr>
                <w:noProof/>
                <w:webHidden/>
              </w:rPr>
            </w:r>
            <w:r w:rsidR="005E492B">
              <w:rPr>
                <w:noProof/>
                <w:webHidden/>
              </w:rPr>
              <w:fldChar w:fldCharType="separate"/>
            </w:r>
            <w:r w:rsidR="00C42D79">
              <w:rPr>
                <w:noProof/>
                <w:webHidden/>
              </w:rPr>
              <w:t>50</w:t>
            </w:r>
            <w:r w:rsidR="005E492B">
              <w:rPr>
                <w:noProof/>
                <w:webHidden/>
              </w:rPr>
              <w:fldChar w:fldCharType="end"/>
            </w:r>
          </w:hyperlink>
        </w:p>
        <w:p w14:paraId="78AB5472" w14:textId="7FA5A33B" w:rsidR="005E492B" w:rsidRDefault="00467238">
          <w:pPr>
            <w:pStyle w:val="TOC3"/>
            <w:tabs>
              <w:tab w:val="right" w:leader="dot" w:pos="9350"/>
            </w:tabs>
            <w:rPr>
              <w:rFonts w:asciiTheme="minorHAnsi" w:hAnsiTheme="minorHAnsi" w:cstheme="minorBidi"/>
              <w:noProof/>
              <w:sz w:val="22"/>
              <w:szCs w:val="22"/>
            </w:rPr>
          </w:pPr>
          <w:hyperlink w:anchor="_Toc114258047" w:history="1">
            <w:r w:rsidR="005E492B" w:rsidRPr="000C4A6B">
              <w:rPr>
                <w:rStyle w:val="Hyperlink"/>
                <w:b/>
                <w:bCs/>
                <w:noProof/>
              </w:rPr>
              <w:t>3.3.1. DATA CONSIDERATIONS</w:t>
            </w:r>
            <w:r w:rsidR="005E492B">
              <w:rPr>
                <w:noProof/>
                <w:webHidden/>
              </w:rPr>
              <w:tab/>
            </w:r>
            <w:r w:rsidR="005E492B">
              <w:rPr>
                <w:noProof/>
                <w:webHidden/>
              </w:rPr>
              <w:fldChar w:fldCharType="begin"/>
            </w:r>
            <w:r w:rsidR="005E492B">
              <w:rPr>
                <w:noProof/>
                <w:webHidden/>
              </w:rPr>
              <w:instrText xml:space="preserve"> PAGEREF _Toc114258047 \h </w:instrText>
            </w:r>
            <w:r w:rsidR="005E492B">
              <w:rPr>
                <w:noProof/>
                <w:webHidden/>
              </w:rPr>
            </w:r>
            <w:r w:rsidR="005E492B">
              <w:rPr>
                <w:noProof/>
                <w:webHidden/>
              </w:rPr>
              <w:fldChar w:fldCharType="separate"/>
            </w:r>
            <w:r w:rsidR="00C42D79">
              <w:rPr>
                <w:noProof/>
                <w:webHidden/>
              </w:rPr>
              <w:t>50</w:t>
            </w:r>
            <w:r w:rsidR="005E492B">
              <w:rPr>
                <w:noProof/>
                <w:webHidden/>
              </w:rPr>
              <w:fldChar w:fldCharType="end"/>
            </w:r>
          </w:hyperlink>
        </w:p>
        <w:p w14:paraId="5FD39A24" w14:textId="4FCF900C" w:rsidR="005E492B" w:rsidRDefault="00467238">
          <w:pPr>
            <w:pStyle w:val="TOC3"/>
            <w:tabs>
              <w:tab w:val="right" w:leader="dot" w:pos="9350"/>
            </w:tabs>
            <w:rPr>
              <w:rFonts w:asciiTheme="minorHAnsi" w:hAnsiTheme="minorHAnsi" w:cstheme="minorBidi"/>
              <w:noProof/>
              <w:sz w:val="22"/>
              <w:szCs w:val="22"/>
            </w:rPr>
          </w:pPr>
          <w:hyperlink w:anchor="_Toc114258048" w:history="1">
            <w:r w:rsidR="005E492B" w:rsidRPr="000C4A6B">
              <w:rPr>
                <w:rStyle w:val="Hyperlink"/>
                <w:b/>
                <w:bCs/>
                <w:noProof/>
              </w:rPr>
              <w:t>3.3.2. MEASUREMENT CONSIDERATIONS</w:t>
            </w:r>
            <w:r w:rsidR="005E492B">
              <w:rPr>
                <w:noProof/>
                <w:webHidden/>
              </w:rPr>
              <w:tab/>
            </w:r>
            <w:r w:rsidR="005E492B">
              <w:rPr>
                <w:noProof/>
                <w:webHidden/>
              </w:rPr>
              <w:fldChar w:fldCharType="begin"/>
            </w:r>
            <w:r w:rsidR="005E492B">
              <w:rPr>
                <w:noProof/>
                <w:webHidden/>
              </w:rPr>
              <w:instrText xml:space="preserve"> PAGEREF _Toc114258048 \h </w:instrText>
            </w:r>
            <w:r w:rsidR="005E492B">
              <w:rPr>
                <w:noProof/>
                <w:webHidden/>
              </w:rPr>
            </w:r>
            <w:r w:rsidR="005E492B">
              <w:rPr>
                <w:noProof/>
                <w:webHidden/>
              </w:rPr>
              <w:fldChar w:fldCharType="separate"/>
            </w:r>
            <w:r w:rsidR="00C42D79">
              <w:rPr>
                <w:noProof/>
                <w:webHidden/>
              </w:rPr>
              <w:t>51</w:t>
            </w:r>
            <w:r w:rsidR="005E492B">
              <w:rPr>
                <w:noProof/>
                <w:webHidden/>
              </w:rPr>
              <w:fldChar w:fldCharType="end"/>
            </w:r>
          </w:hyperlink>
        </w:p>
        <w:p w14:paraId="53CD3350" w14:textId="73D42E60" w:rsidR="005E492B" w:rsidRDefault="00467238">
          <w:pPr>
            <w:pStyle w:val="TOC2"/>
            <w:tabs>
              <w:tab w:val="right" w:leader="dot" w:pos="9350"/>
            </w:tabs>
            <w:rPr>
              <w:rFonts w:asciiTheme="minorHAnsi" w:hAnsiTheme="minorHAnsi" w:cstheme="minorBidi"/>
              <w:noProof/>
              <w:sz w:val="22"/>
              <w:szCs w:val="22"/>
            </w:rPr>
          </w:pPr>
          <w:hyperlink w:anchor="_Toc114258049" w:history="1">
            <w:r w:rsidR="005E492B" w:rsidRPr="000C4A6B">
              <w:rPr>
                <w:rStyle w:val="Hyperlink"/>
                <w:b/>
                <w:bCs/>
                <w:noProof/>
              </w:rPr>
              <w:t>3.4. SUMMARIZING THE DIMENSIONS OF ACCESS IN HYBRID PHYSICAL-VIRTUAL SPACE</w:t>
            </w:r>
            <w:r w:rsidR="005E492B">
              <w:rPr>
                <w:noProof/>
                <w:webHidden/>
              </w:rPr>
              <w:tab/>
            </w:r>
            <w:r w:rsidR="005E492B">
              <w:rPr>
                <w:noProof/>
                <w:webHidden/>
              </w:rPr>
              <w:fldChar w:fldCharType="begin"/>
            </w:r>
            <w:r w:rsidR="005E492B">
              <w:rPr>
                <w:noProof/>
                <w:webHidden/>
              </w:rPr>
              <w:instrText xml:space="preserve"> PAGEREF _Toc114258049 \h </w:instrText>
            </w:r>
            <w:r w:rsidR="005E492B">
              <w:rPr>
                <w:noProof/>
                <w:webHidden/>
              </w:rPr>
            </w:r>
            <w:r w:rsidR="005E492B">
              <w:rPr>
                <w:noProof/>
                <w:webHidden/>
              </w:rPr>
              <w:fldChar w:fldCharType="separate"/>
            </w:r>
            <w:r w:rsidR="00C42D79">
              <w:rPr>
                <w:noProof/>
                <w:webHidden/>
              </w:rPr>
              <w:t>54</w:t>
            </w:r>
            <w:r w:rsidR="005E492B">
              <w:rPr>
                <w:noProof/>
                <w:webHidden/>
              </w:rPr>
              <w:fldChar w:fldCharType="end"/>
            </w:r>
          </w:hyperlink>
        </w:p>
        <w:p w14:paraId="023674E9" w14:textId="6F25FBDE" w:rsidR="005E492B" w:rsidRDefault="00467238">
          <w:pPr>
            <w:pStyle w:val="TOC1"/>
            <w:tabs>
              <w:tab w:val="right" w:leader="dot" w:pos="9350"/>
            </w:tabs>
            <w:rPr>
              <w:rFonts w:asciiTheme="minorHAnsi" w:hAnsiTheme="minorHAnsi" w:cstheme="minorBidi"/>
              <w:noProof/>
              <w:sz w:val="22"/>
              <w:szCs w:val="22"/>
            </w:rPr>
          </w:pPr>
          <w:hyperlink w:anchor="_Toc114258050" w:history="1">
            <w:r w:rsidR="005E492B" w:rsidRPr="000C4A6B">
              <w:rPr>
                <w:rStyle w:val="Hyperlink"/>
                <w:b/>
                <w:bCs/>
                <w:noProof/>
              </w:rPr>
              <w:t>CHAPTER 4. METHODOLOGICAL FRAMEWORK</w:t>
            </w:r>
            <w:r w:rsidR="005E492B">
              <w:rPr>
                <w:noProof/>
                <w:webHidden/>
              </w:rPr>
              <w:tab/>
            </w:r>
            <w:r w:rsidR="005E492B">
              <w:rPr>
                <w:noProof/>
                <w:webHidden/>
              </w:rPr>
              <w:fldChar w:fldCharType="begin"/>
            </w:r>
            <w:r w:rsidR="005E492B">
              <w:rPr>
                <w:noProof/>
                <w:webHidden/>
              </w:rPr>
              <w:instrText xml:space="preserve"> PAGEREF _Toc114258050 \h </w:instrText>
            </w:r>
            <w:r w:rsidR="005E492B">
              <w:rPr>
                <w:noProof/>
                <w:webHidden/>
              </w:rPr>
            </w:r>
            <w:r w:rsidR="005E492B">
              <w:rPr>
                <w:noProof/>
                <w:webHidden/>
              </w:rPr>
              <w:fldChar w:fldCharType="separate"/>
            </w:r>
            <w:r w:rsidR="00C42D79">
              <w:rPr>
                <w:noProof/>
                <w:webHidden/>
              </w:rPr>
              <w:t>57</w:t>
            </w:r>
            <w:r w:rsidR="005E492B">
              <w:rPr>
                <w:noProof/>
                <w:webHidden/>
              </w:rPr>
              <w:fldChar w:fldCharType="end"/>
            </w:r>
          </w:hyperlink>
        </w:p>
        <w:p w14:paraId="7E2FB0E2" w14:textId="6C6EECF0" w:rsidR="005E492B" w:rsidRDefault="00467238">
          <w:pPr>
            <w:pStyle w:val="TOC2"/>
            <w:tabs>
              <w:tab w:val="right" w:leader="dot" w:pos="9350"/>
            </w:tabs>
            <w:rPr>
              <w:rFonts w:asciiTheme="minorHAnsi" w:hAnsiTheme="minorHAnsi" w:cstheme="minorBidi"/>
              <w:noProof/>
              <w:sz w:val="22"/>
              <w:szCs w:val="22"/>
            </w:rPr>
          </w:pPr>
          <w:hyperlink w:anchor="_Toc114258051" w:history="1">
            <w:r w:rsidR="005E492B" w:rsidRPr="000C4A6B">
              <w:rPr>
                <w:rStyle w:val="Hyperlink"/>
                <w:b/>
                <w:bCs/>
                <w:noProof/>
              </w:rPr>
              <w:t>4.1. STUDY AREA</w:t>
            </w:r>
            <w:r w:rsidR="005E492B">
              <w:rPr>
                <w:noProof/>
                <w:webHidden/>
              </w:rPr>
              <w:tab/>
            </w:r>
            <w:r w:rsidR="005E492B">
              <w:rPr>
                <w:noProof/>
                <w:webHidden/>
              </w:rPr>
              <w:fldChar w:fldCharType="begin"/>
            </w:r>
            <w:r w:rsidR="005E492B">
              <w:rPr>
                <w:noProof/>
                <w:webHidden/>
              </w:rPr>
              <w:instrText xml:space="preserve"> PAGEREF _Toc114258051 \h </w:instrText>
            </w:r>
            <w:r w:rsidR="005E492B">
              <w:rPr>
                <w:noProof/>
                <w:webHidden/>
              </w:rPr>
            </w:r>
            <w:r w:rsidR="005E492B">
              <w:rPr>
                <w:noProof/>
                <w:webHidden/>
              </w:rPr>
              <w:fldChar w:fldCharType="separate"/>
            </w:r>
            <w:r w:rsidR="00C42D79">
              <w:rPr>
                <w:noProof/>
                <w:webHidden/>
              </w:rPr>
              <w:t>57</w:t>
            </w:r>
            <w:r w:rsidR="005E492B">
              <w:rPr>
                <w:noProof/>
                <w:webHidden/>
              </w:rPr>
              <w:fldChar w:fldCharType="end"/>
            </w:r>
          </w:hyperlink>
        </w:p>
        <w:p w14:paraId="06A1CEAF" w14:textId="5A8704CC" w:rsidR="005E492B" w:rsidRDefault="00467238">
          <w:pPr>
            <w:pStyle w:val="TOC2"/>
            <w:tabs>
              <w:tab w:val="right" w:leader="dot" w:pos="9350"/>
            </w:tabs>
            <w:rPr>
              <w:rFonts w:asciiTheme="minorHAnsi" w:hAnsiTheme="minorHAnsi" w:cstheme="minorBidi"/>
              <w:noProof/>
              <w:sz w:val="22"/>
              <w:szCs w:val="22"/>
            </w:rPr>
          </w:pPr>
          <w:hyperlink w:anchor="_Toc114258052" w:history="1">
            <w:r w:rsidR="005E492B" w:rsidRPr="000C4A6B">
              <w:rPr>
                <w:rStyle w:val="Hyperlink"/>
                <w:b/>
                <w:bCs/>
                <w:noProof/>
              </w:rPr>
              <w:t>4.2.</w:t>
            </w:r>
            <w:r w:rsidR="005E492B" w:rsidRPr="000C4A6B">
              <w:rPr>
                <w:rStyle w:val="Hyperlink"/>
                <w:noProof/>
              </w:rPr>
              <w:t xml:space="preserve"> </w:t>
            </w:r>
            <w:r w:rsidR="005E492B" w:rsidRPr="000C4A6B">
              <w:rPr>
                <w:rStyle w:val="Hyperlink"/>
                <w:b/>
                <w:bCs/>
                <w:noProof/>
              </w:rPr>
              <w:t>DATA AND METHODOLOGY</w:t>
            </w:r>
            <w:r w:rsidR="005E492B">
              <w:rPr>
                <w:noProof/>
                <w:webHidden/>
              </w:rPr>
              <w:tab/>
            </w:r>
            <w:r w:rsidR="005E492B">
              <w:rPr>
                <w:noProof/>
                <w:webHidden/>
              </w:rPr>
              <w:fldChar w:fldCharType="begin"/>
            </w:r>
            <w:r w:rsidR="005E492B">
              <w:rPr>
                <w:noProof/>
                <w:webHidden/>
              </w:rPr>
              <w:instrText xml:space="preserve"> PAGEREF _Toc114258052 \h </w:instrText>
            </w:r>
            <w:r w:rsidR="005E492B">
              <w:rPr>
                <w:noProof/>
                <w:webHidden/>
              </w:rPr>
            </w:r>
            <w:r w:rsidR="005E492B">
              <w:rPr>
                <w:noProof/>
                <w:webHidden/>
              </w:rPr>
              <w:fldChar w:fldCharType="separate"/>
            </w:r>
            <w:r w:rsidR="00C42D79">
              <w:rPr>
                <w:noProof/>
                <w:webHidden/>
              </w:rPr>
              <w:t>58</w:t>
            </w:r>
            <w:r w:rsidR="005E492B">
              <w:rPr>
                <w:noProof/>
                <w:webHidden/>
              </w:rPr>
              <w:fldChar w:fldCharType="end"/>
            </w:r>
          </w:hyperlink>
        </w:p>
        <w:p w14:paraId="0882CE71" w14:textId="2BD4A7AC" w:rsidR="005E492B" w:rsidRDefault="00467238">
          <w:pPr>
            <w:pStyle w:val="TOC3"/>
            <w:tabs>
              <w:tab w:val="right" w:leader="dot" w:pos="9350"/>
            </w:tabs>
            <w:rPr>
              <w:rFonts w:asciiTheme="minorHAnsi" w:hAnsiTheme="minorHAnsi" w:cstheme="minorBidi"/>
              <w:noProof/>
              <w:sz w:val="22"/>
              <w:szCs w:val="22"/>
            </w:rPr>
          </w:pPr>
          <w:hyperlink w:anchor="_Toc114258053" w:history="1">
            <w:r w:rsidR="005E492B" w:rsidRPr="000C4A6B">
              <w:rPr>
                <w:rStyle w:val="Hyperlink"/>
                <w:b/>
                <w:bCs/>
                <w:noProof/>
              </w:rPr>
              <w:t>4.2.1. DATASET 1: FOOD STORES IN AND AROUND KNOX COUNTY, TENNESSEE</w:t>
            </w:r>
            <w:r w:rsidR="005E492B">
              <w:rPr>
                <w:noProof/>
                <w:webHidden/>
              </w:rPr>
              <w:tab/>
            </w:r>
            <w:r w:rsidR="005E492B">
              <w:rPr>
                <w:noProof/>
                <w:webHidden/>
              </w:rPr>
              <w:fldChar w:fldCharType="begin"/>
            </w:r>
            <w:r w:rsidR="005E492B">
              <w:rPr>
                <w:noProof/>
                <w:webHidden/>
              </w:rPr>
              <w:instrText xml:space="preserve"> PAGEREF _Toc114258053 \h </w:instrText>
            </w:r>
            <w:r w:rsidR="005E492B">
              <w:rPr>
                <w:noProof/>
                <w:webHidden/>
              </w:rPr>
            </w:r>
            <w:r w:rsidR="005E492B">
              <w:rPr>
                <w:noProof/>
                <w:webHidden/>
              </w:rPr>
              <w:fldChar w:fldCharType="separate"/>
            </w:r>
            <w:r w:rsidR="00C42D79">
              <w:rPr>
                <w:noProof/>
                <w:webHidden/>
              </w:rPr>
              <w:t>59</w:t>
            </w:r>
            <w:r w:rsidR="005E492B">
              <w:rPr>
                <w:noProof/>
                <w:webHidden/>
              </w:rPr>
              <w:fldChar w:fldCharType="end"/>
            </w:r>
          </w:hyperlink>
        </w:p>
        <w:p w14:paraId="1D3687BD" w14:textId="3423D7D8" w:rsidR="005E492B" w:rsidRDefault="00467238">
          <w:pPr>
            <w:pStyle w:val="TOC3"/>
            <w:tabs>
              <w:tab w:val="right" w:leader="dot" w:pos="9350"/>
            </w:tabs>
            <w:rPr>
              <w:rFonts w:asciiTheme="minorHAnsi" w:hAnsiTheme="minorHAnsi" w:cstheme="minorBidi"/>
              <w:noProof/>
              <w:sz w:val="22"/>
              <w:szCs w:val="22"/>
            </w:rPr>
          </w:pPr>
          <w:hyperlink w:anchor="_Toc114258054" w:history="1">
            <w:r w:rsidR="005E492B" w:rsidRPr="000C4A6B">
              <w:rPr>
                <w:rStyle w:val="Hyperlink"/>
                <w:b/>
                <w:bCs/>
                <w:noProof/>
              </w:rPr>
              <w:t>4.2.2. DATASET 2: SOCIOECONOMIC, DEMOGRAPHIC, AND PERCEIVED CHARACTERISTICS OF INDIVIDUALS</w:t>
            </w:r>
            <w:r w:rsidR="005E492B">
              <w:rPr>
                <w:noProof/>
                <w:webHidden/>
              </w:rPr>
              <w:tab/>
            </w:r>
            <w:r w:rsidR="005E492B">
              <w:rPr>
                <w:noProof/>
                <w:webHidden/>
              </w:rPr>
              <w:fldChar w:fldCharType="begin"/>
            </w:r>
            <w:r w:rsidR="005E492B">
              <w:rPr>
                <w:noProof/>
                <w:webHidden/>
              </w:rPr>
              <w:instrText xml:space="preserve"> PAGEREF _Toc114258054 \h </w:instrText>
            </w:r>
            <w:r w:rsidR="005E492B">
              <w:rPr>
                <w:noProof/>
                <w:webHidden/>
              </w:rPr>
            </w:r>
            <w:r w:rsidR="005E492B">
              <w:rPr>
                <w:noProof/>
                <w:webHidden/>
              </w:rPr>
              <w:fldChar w:fldCharType="separate"/>
            </w:r>
            <w:r w:rsidR="00C42D79">
              <w:rPr>
                <w:noProof/>
                <w:webHidden/>
              </w:rPr>
              <w:t>77</w:t>
            </w:r>
            <w:r w:rsidR="005E492B">
              <w:rPr>
                <w:noProof/>
                <w:webHidden/>
              </w:rPr>
              <w:fldChar w:fldCharType="end"/>
            </w:r>
          </w:hyperlink>
        </w:p>
        <w:p w14:paraId="50022A76" w14:textId="0055C822" w:rsidR="005E492B" w:rsidRDefault="00467238">
          <w:pPr>
            <w:pStyle w:val="TOC3"/>
            <w:tabs>
              <w:tab w:val="right" w:leader="dot" w:pos="9350"/>
            </w:tabs>
            <w:rPr>
              <w:rFonts w:asciiTheme="minorHAnsi" w:hAnsiTheme="minorHAnsi" w:cstheme="minorBidi"/>
              <w:noProof/>
              <w:sz w:val="22"/>
              <w:szCs w:val="22"/>
            </w:rPr>
          </w:pPr>
          <w:hyperlink w:anchor="_Toc114258055" w:history="1">
            <w:r w:rsidR="005E492B" w:rsidRPr="000C4A6B">
              <w:rPr>
                <w:rStyle w:val="Hyperlink"/>
                <w:b/>
                <w:bCs/>
                <w:noProof/>
              </w:rPr>
              <w:t>4.2.3. DATASET 3: INDIVIDUAL TRAJECTORIES AND ACTIVITIES</w:t>
            </w:r>
            <w:r w:rsidR="005E492B">
              <w:rPr>
                <w:noProof/>
                <w:webHidden/>
              </w:rPr>
              <w:tab/>
            </w:r>
            <w:r w:rsidR="005E492B">
              <w:rPr>
                <w:noProof/>
                <w:webHidden/>
              </w:rPr>
              <w:fldChar w:fldCharType="begin"/>
            </w:r>
            <w:r w:rsidR="005E492B">
              <w:rPr>
                <w:noProof/>
                <w:webHidden/>
              </w:rPr>
              <w:instrText xml:space="preserve"> PAGEREF _Toc114258055 \h </w:instrText>
            </w:r>
            <w:r w:rsidR="005E492B">
              <w:rPr>
                <w:noProof/>
                <w:webHidden/>
              </w:rPr>
            </w:r>
            <w:r w:rsidR="005E492B">
              <w:rPr>
                <w:noProof/>
                <w:webHidden/>
              </w:rPr>
              <w:fldChar w:fldCharType="separate"/>
            </w:r>
            <w:r w:rsidR="00C42D79">
              <w:rPr>
                <w:noProof/>
                <w:webHidden/>
              </w:rPr>
              <w:t>83</w:t>
            </w:r>
            <w:r w:rsidR="005E492B">
              <w:rPr>
                <w:noProof/>
                <w:webHidden/>
              </w:rPr>
              <w:fldChar w:fldCharType="end"/>
            </w:r>
          </w:hyperlink>
        </w:p>
        <w:p w14:paraId="7E23D1AC" w14:textId="649F1F7F" w:rsidR="005E492B" w:rsidRDefault="00467238">
          <w:pPr>
            <w:pStyle w:val="TOC3"/>
            <w:tabs>
              <w:tab w:val="right" w:leader="dot" w:pos="9350"/>
            </w:tabs>
            <w:rPr>
              <w:rFonts w:asciiTheme="minorHAnsi" w:hAnsiTheme="minorHAnsi" w:cstheme="minorBidi"/>
              <w:noProof/>
              <w:sz w:val="22"/>
              <w:szCs w:val="22"/>
            </w:rPr>
          </w:pPr>
          <w:hyperlink w:anchor="_Toc114258056" w:history="1">
            <w:r w:rsidR="005E492B" w:rsidRPr="000C4A6B">
              <w:rPr>
                <w:rStyle w:val="Hyperlink"/>
                <w:b/>
                <w:bCs/>
                <w:noProof/>
              </w:rPr>
              <w:t>4.2.4. DATASET 4: BLOCK GROUP-LEVEL ESTIMATES OF SOCIOECONOMIC AND DEMOGRAPHIC CHARACTERISTICS IN KNOX COUNTY, TENNESSEE</w:t>
            </w:r>
            <w:r w:rsidR="005E492B">
              <w:rPr>
                <w:noProof/>
                <w:webHidden/>
              </w:rPr>
              <w:tab/>
            </w:r>
            <w:r w:rsidR="005E492B">
              <w:rPr>
                <w:noProof/>
                <w:webHidden/>
              </w:rPr>
              <w:fldChar w:fldCharType="begin"/>
            </w:r>
            <w:r w:rsidR="005E492B">
              <w:rPr>
                <w:noProof/>
                <w:webHidden/>
              </w:rPr>
              <w:instrText xml:space="preserve"> PAGEREF _Toc114258056 \h </w:instrText>
            </w:r>
            <w:r w:rsidR="005E492B">
              <w:rPr>
                <w:noProof/>
                <w:webHidden/>
              </w:rPr>
            </w:r>
            <w:r w:rsidR="005E492B">
              <w:rPr>
                <w:noProof/>
                <w:webHidden/>
              </w:rPr>
              <w:fldChar w:fldCharType="separate"/>
            </w:r>
            <w:r w:rsidR="00C42D79">
              <w:rPr>
                <w:noProof/>
                <w:webHidden/>
              </w:rPr>
              <w:t>93</w:t>
            </w:r>
            <w:r w:rsidR="005E492B">
              <w:rPr>
                <w:noProof/>
                <w:webHidden/>
              </w:rPr>
              <w:fldChar w:fldCharType="end"/>
            </w:r>
          </w:hyperlink>
        </w:p>
        <w:p w14:paraId="3F2FA766" w14:textId="51FBA312" w:rsidR="005E492B" w:rsidRDefault="00467238">
          <w:pPr>
            <w:pStyle w:val="TOC2"/>
            <w:tabs>
              <w:tab w:val="right" w:leader="dot" w:pos="9350"/>
            </w:tabs>
            <w:rPr>
              <w:rFonts w:asciiTheme="minorHAnsi" w:hAnsiTheme="minorHAnsi" w:cstheme="minorBidi"/>
              <w:noProof/>
              <w:sz w:val="22"/>
              <w:szCs w:val="22"/>
            </w:rPr>
          </w:pPr>
          <w:hyperlink w:anchor="_Toc114258057" w:history="1">
            <w:r w:rsidR="005E492B" w:rsidRPr="000C4A6B">
              <w:rPr>
                <w:rStyle w:val="Hyperlink"/>
                <w:b/>
                <w:bCs/>
                <w:noProof/>
              </w:rPr>
              <w:t>4.3. A PROTOTYPE MULTIDIMENSIONAL MUTLISPACE GIS FOR ACCESS</w:t>
            </w:r>
            <w:r w:rsidR="005E492B">
              <w:rPr>
                <w:noProof/>
                <w:webHidden/>
              </w:rPr>
              <w:tab/>
            </w:r>
            <w:r w:rsidR="005E492B">
              <w:rPr>
                <w:noProof/>
                <w:webHidden/>
              </w:rPr>
              <w:fldChar w:fldCharType="begin"/>
            </w:r>
            <w:r w:rsidR="005E492B">
              <w:rPr>
                <w:noProof/>
                <w:webHidden/>
              </w:rPr>
              <w:instrText xml:space="preserve"> PAGEREF _Toc114258057 \h </w:instrText>
            </w:r>
            <w:r w:rsidR="005E492B">
              <w:rPr>
                <w:noProof/>
                <w:webHidden/>
              </w:rPr>
            </w:r>
            <w:r w:rsidR="005E492B">
              <w:rPr>
                <w:noProof/>
                <w:webHidden/>
              </w:rPr>
              <w:fldChar w:fldCharType="separate"/>
            </w:r>
            <w:r w:rsidR="00C42D79">
              <w:rPr>
                <w:noProof/>
                <w:webHidden/>
              </w:rPr>
              <w:t>96</w:t>
            </w:r>
            <w:r w:rsidR="005E492B">
              <w:rPr>
                <w:noProof/>
                <w:webHidden/>
              </w:rPr>
              <w:fldChar w:fldCharType="end"/>
            </w:r>
          </w:hyperlink>
        </w:p>
        <w:p w14:paraId="2235CDE5" w14:textId="03225E84" w:rsidR="005E492B" w:rsidRDefault="00467238">
          <w:pPr>
            <w:pStyle w:val="TOC3"/>
            <w:tabs>
              <w:tab w:val="right" w:leader="dot" w:pos="9350"/>
            </w:tabs>
            <w:rPr>
              <w:rFonts w:asciiTheme="minorHAnsi" w:hAnsiTheme="minorHAnsi" w:cstheme="minorBidi"/>
              <w:noProof/>
              <w:sz w:val="22"/>
              <w:szCs w:val="22"/>
            </w:rPr>
          </w:pPr>
          <w:hyperlink w:anchor="_Toc114258058" w:history="1">
            <w:r w:rsidR="005E492B" w:rsidRPr="000C4A6B">
              <w:rPr>
                <w:rStyle w:val="Hyperlink"/>
                <w:b/>
                <w:bCs/>
                <w:noProof/>
              </w:rPr>
              <w:t>4.3.1. INTERACTIVE PANEL DESCRIPTION</w:t>
            </w:r>
            <w:r w:rsidR="005E492B">
              <w:rPr>
                <w:noProof/>
                <w:webHidden/>
              </w:rPr>
              <w:tab/>
            </w:r>
            <w:r w:rsidR="005E492B">
              <w:rPr>
                <w:noProof/>
                <w:webHidden/>
              </w:rPr>
              <w:fldChar w:fldCharType="begin"/>
            </w:r>
            <w:r w:rsidR="005E492B">
              <w:rPr>
                <w:noProof/>
                <w:webHidden/>
              </w:rPr>
              <w:instrText xml:space="preserve"> PAGEREF _Toc114258058 \h </w:instrText>
            </w:r>
            <w:r w:rsidR="005E492B">
              <w:rPr>
                <w:noProof/>
                <w:webHidden/>
              </w:rPr>
            </w:r>
            <w:r w:rsidR="005E492B">
              <w:rPr>
                <w:noProof/>
                <w:webHidden/>
              </w:rPr>
              <w:fldChar w:fldCharType="separate"/>
            </w:r>
            <w:r w:rsidR="00C42D79">
              <w:rPr>
                <w:noProof/>
                <w:webHidden/>
              </w:rPr>
              <w:t>99</w:t>
            </w:r>
            <w:r w:rsidR="005E492B">
              <w:rPr>
                <w:noProof/>
                <w:webHidden/>
              </w:rPr>
              <w:fldChar w:fldCharType="end"/>
            </w:r>
          </w:hyperlink>
        </w:p>
        <w:p w14:paraId="05289BDE" w14:textId="3ED5D2EA" w:rsidR="005E492B" w:rsidRDefault="00467238">
          <w:pPr>
            <w:pStyle w:val="TOC3"/>
            <w:tabs>
              <w:tab w:val="right" w:leader="dot" w:pos="9350"/>
            </w:tabs>
            <w:rPr>
              <w:rFonts w:asciiTheme="minorHAnsi" w:hAnsiTheme="minorHAnsi" w:cstheme="minorBidi"/>
              <w:noProof/>
              <w:sz w:val="22"/>
              <w:szCs w:val="22"/>
            </w:rPr>
          </w:pPr>
          <w:hyperlink w:anchor="_Toc114258059" w:history="1">
            <w:r w:rsidR="005E492B" w:rsidRPr="000C4A6B">
              <w:rPr>
                <w:rStyle w:val="Hyperlink"/>
                <w:b/>
                <w:bCs/>
                <w:noProof/>
              </w:rPr>
              <w:t>4.3.2. ACCESSIBLE OPPORTUNITIES COUNTER</w:t>
            </w:r>
            <w:r w:rsidR="005E492B">
              <w:rPr>
                <w:noProof/>
                <w:webHidden/>
              </w:rPr>
              <w:tab/>
            </w:r>
            <w:r w:rsidR="005E492B">
              <w:rPr>
                <w:noProof/>
                <w:webHidden/>
              </w:rPr>
              <w:fldChar w:fldCharType="begin"/>
            </w:r>
            <w:r w:rsidR="005E492B">
              <w:rPr>
                <w:noProof/>
                <w:webHidden/>
              </w:rPr>
              <w:instrText xml:space="preserve"> PAGEREF _Toc114258059 \h </w:instrText>
            </w:r>
            <w:r w:rsidR="005E492B">
              <w:rPr>
                <w:noProof/>
                <w:webHidden/>
              </w:rPr>
            </w:r>
            <w:r w:rsidR="005E492B">
              <w:rPr>
                <w:noProof/>
                <w:webHidden/>
              </w:rPr>
              <w:fldChar w:fldCharType="separate"/>
            </w:r>
            <w:r w:rsidR="00C42D79">
              <w:rPr>
                <w:noProof/>
                <w:webHidden/>
              </w:rPr>
              <w:t>105</w:t>
            </w:r>
            <w:r w:rsidR="005E492B">
              <w:rPr>
                <w:noProof/>
                <w:webHidden/>
              </w:rPr>
              <w:fldChar w:fldCharType="end"/>
            </w:r>
          </w:hyperlink>
        </w:p>
        <w:p w14:paraId="01F046AE" w14:textId="7526BE11" w:rsidR="005E492B" w:rsidRDefault="00467238">
          <w:pPr>
            <w:pStyle w:val="TOC1"/>
            <w:tabs>
              <w:tab w:val="right" w:leader="dot" w:pos="9350"/>
            </w:tabs>
            <w:rPr>
              <w:rFonts w:asciiTheme="minorHAnsi" w:hAnsiTheme="minorHAnsi" w:cstheme="minorBidi"/>
              <w:noProof/>
              <w:sz w:val="22"/>
              <w:szCs w:val="22"/>
            </w:rPr>
          </w:pPr>
          <w:hyperlink w:anchor="_Toc114258060" w:history="1">
            <w:r w:rsidR="005E492B" w:rsidRPr="000C4A6B">
              <w:rPr>
                <w:rStyle w:val="Hyperlink"/>
                <w:b/>
                <w:bCs/>
                <w:noProof/>
              </w:rPr>
              <w:t>CHAPTER 5. CASE STUDIES</w:t>
            </w:r>
            <w:r w:rsidR="005E492B">
              <w:rPr>
                <w:noProof/>
                <w:webHidden/>
              </w:rPr>
              <w:tab/>
            </w:r>
            <w:r w:rsidR="005E492B">
              <w:rPr>
                <w:noProof/>
                <w:webHidden/>
              </w:rPr>
              <w:fldChar w:fldCharType="begin"/>
            </w:r>
            <w:r w:rsidR="005E492B">
              <w:rPr>
                <w:noProof/>
                <w:webHidden/>
              </w:rPr>
              <w:instrText xml:space="preserve"> PAGEREF _Toc114258060 \h </w:instrText>
            </w:r>
            <w:r w:rsidR="005E492B">
              <w:rPr>
                <w:noProof/>
                <w:webHidden/>
              </w:rPr>
            </w:r>
            <w:r w:rsidR="005E492B">
              <w:rPr>
                <w:noProof/>
                <w:webHidden/>
              </w:rPr>
              <w:fldChar w:fldCharType="separate"/>
            </w:r>
            <w:r w:rsidR="00C42D79">
              <w:rPr>
                <w:noProof/>
                <w:webHidden/>
              </w:rPr>
              <w:t>106</w:t>
            </w:r>
            <w:r w:rsidR="005E492B">
              <w:rPr>
                <w:noProof/>
                <w:webHidden/>
              </w:rPr>
              <w:fldChar w:fldCharType="end"/>
            </w:r>
          </w:hyperlink>
        </w:p>
        <w:p w14:paraId="79D42912" w14:textId="1385A43B" w:rsidR="005E492B" w:rsidRDefault="00467238">
          <w:pPr>
            <w:pStyle w:val="TOC2"/>
            <w:tabs>
              <w:tab w:val="right" w:leader="dot" w:pos="9350"/>
            </w:tabs>
            <w:rPr>
              <w:rFonts w:asciiTheme="minorHAnsi" w:hAnsiTheme="minorHAnsi" w:cstheme="minorBidi"/>
              <w:noProof/>
              <w:sz w:val="22"/>
              <w:szCs w:val="22"/>
            </w:rPr>
          </w:pPr>
          <w:hyperlink w:anchor="_Toc114258061" w:history="1">
            <w:r w:rsidR="005E492B" w:rsidRPr="000C4A6B">
              <w:rPr>
                <w:rStyle w:val="Hyperlink"/>
                <w:b/>
                <w:bCs/>
                <w:noProof/>
              </w:rPr>
              <w:t>5.1. CASE STUDY 1: What food opportunities can people access that are nearby an individual as they travel to and visit different places in their daily lives?</w:t>
            </w:r>
            <w:r w:rsidR="005E492B">
              <w:rPr>
                <w:noProof/>
                <w:webHidden/>
              </w:rPr>
              <w:tab/>
            </w:r>
            <w:r w:rsidR="005E492B">
              <w:rPr>
                <w:noProof/>
                <w:webHidden/>
              </w:rPr>
              <w:fldChar w:fldCharType="begin"/>
            </w:r>
            <w:r w:rsidR="005E492B">
              <w:rPr>
                <w:noProof/>
                <w:webHidden/>
              </w:rPr>
              <w:instrText xml:space="preserve"> PAGEREF _Toc114258061 \h </w:instrText>
            </w:r>
            <w:r w:rsidR="005E492B">
              <w:rPr>
                <w:noProof/>
                <w:webHidden/>
              </w:rPr>
            </w:r>
            <w:r w:rsidR="005E492B">
              <w:rPr>
                <w:noProof/>
                <w:webHidden/>
              </w:rPr>
              <w:fldChar w:fldCharType="separate"/>
            </w:r>
            <w:r w:rsidR="00C42D79">
              <w:rPr>
                <w:noProof/>
                <w:webHidden/>
              </w:rPr>
              <w:t>106</w:t>
            </w:r>
            <w:r w:rsidR="005E492B">
              <w:rPr>
                <w:noProof/>
                <w:webHidden/>
              </w:rPr>
              <w:fldChar w:fldCharType="end"/>
            </w:r>
          </w:hyperlink>
        </w:p>
        <w:p w14:paraId="5B3889A8" w14:textId="7FE23268" w:rsidR="005E492B" w:rsidRDefault="00467238">
          <w:pPr>
            <w:pStyle w:val="TOC2"/>
            <w:tabs>
              <w:tab w:val="right" w:leader="dot" w:pos="9350"/>
            </w:tabs>
            <w:rPr>
              <w:rFonts w:asciiTheme="minorHAnsi" w:hAnsiTheme="minorHAnsi" w:cstheme="minorBidi"/>
              <w:noProof/>
              <w:sz w:val="22"/>
              <w:szCs w:val="22"/>
            </w:rPr>
          </w:pPr>
          <w:hyperlink w:anchor="_Toc114258062" w:history="1">
            <w:r w:rsidR="005E492B" w:rsidRPr="000C4A6B">
              <w:rPr>
                <w:rStyle w:val="Hyperlink"/>
                <w:b/>
                <w:bCs/>
                <w:noProof/>
              </w:rPr>
              <w:t>5.2. CASE STUDY 2: What opportunities may be accessed by an individual and by what modalities, e.g., in person, online, or both?</w:t>
            </w:r>
            <w:r w:rsidR="005E492B">
              <w:rPr>
                <w:noProof/>
                <w:webHidden/>
              </w:rPr>
              <w:tab/>
            </w:r>
            <w:r w:rsidR="005E492B">
              <w:rPr>
                <w:noProof/>
                <w:webHidden/>
              </w:rPr>
              <w:fldChar w:fldCharType="begin"/>
            </w:r>
            <w:r w:rsidR="005E492B">
              <w:rPr>
                <w:noProof/>
                <w:webHidden/>
              </w:rPr>
              <w:instrText xml:space="preserve"> PAGEREF _Toc114258062 \h </w:instrText>
            </w:r>
            <w:r w:rsidR="005E492B">
              <w:rPr>
                <w:noProof/>
                <w:webHidden/>
              </w:rPr>
            </w:r>
            <w:r w:rsidR="005E492B">
              <w:rPr>
                <w:noProof/>
                <w:webHidden/>
              </w:rPr>
              <w:fldChar w:fldCharType="separate"/>
            </w:r>
            <w:r w:rsidR="00C42D79">
              <w:rPr>
                <w:noProof/>
                <w:webHidden/>
              </w:rPr>
              <w:t>122</w:t>
            </w:r>
            <w:r w:rsidR="005E492B">
              <w:rPr>
                <w:noProof/>
                <w:webHidden/>
              </w:rPr>
              <w:fldChar w:fldCharType="end"/>
            </w:r>
          </w:hyperlink>
        </w:p>
        <w:p w14:paraId="2305D503" w14:textId="66EB6717" w:rsidR="005E492B" w:rsidRDefault="00467238">
          <w:pPr>
            <w:pStyle w:val="TOC2"/>
            <w:tabs>
              <w:tab w:val="right" w:leader="dot" w:pos="9350"/>
            </w:tabs>
            <w:rPr>
              <w:rFonts w:asciiTheme="minorHAnsi" w:hAnsiTheme="minorHAnsi" w:cstheme="minorBidi"/>
              <w:noProof/>
              <w:sz w:val="22"/>
              <w:szCs w:val="22"/>
            </w:rPr>
          </w:pPr>
          <w:hyperlink w:anchor="_Toc114258063" w:history="1">
            <w:r w:rsidR="005E492B" w:rsidRPr="000C4A6B">
              <w:rPr>
                <w:rStyle w:val="Hyperlink"/>
                <w:b/>
                <w:bCs/>
                <w:noProof/>
              </w:rPr>
              <w:t>5.3. CASE STUDY 3: What opportunities may be accessed by an individual via their social networks, in other words, what are the second, third, nth-order opportunities accessible to people based on who they know?</w:t>
            </w:r>
            <w:r w:rsidR="005E492B">
              <w:rPr>
                <w:noProof/>
                <w:webHidden/>
              </w:rPr>
              <w:tab/>
            </w:r>
            <w:r w:rsidR="005E492B">
              <w:rPr>
                <w:noProof/>
                <w:webHidden/>
              </w:rPr>
              <w:fldChar w:fldCharType="begin"/>
            </w:r>
            <w:r w:rsidR="005E492B">
              <w:rPr>
                <w:noProof/>
                <w:webHidden/>
              </w:rPr>
              <w:instrText xml:space="preserve"> PAGEREF _Toc114258063 \h </w:instrText>
            </w:r>
            <w:r w:rsidR="005E492B">
              <w:rPr>
                <w:noProof/>
                <w:webHidden/>
              </w:rPr>
            </w:r>
            <w:r w:rsidR="005E492B">
              <w:rPr>
                <w:noProof/>
                <w:webHidden/>
              </w:rPr>
              <w:fldChar w:fldCharType="separate"/>
            </w:r>
            <w:r w:rsidR="00C42D79">
              <w:rPr>
                <w:noProof/>
                <w:webHidden/>
              </w:rPr>
              <w:t>129</w:t>
            </w:r>
            <w:r w:rsidR="005E492B">
              <w:rPr>
                <w:noProof/>
                <w:webHidden/>
              </w:rPr>
              <w:fldChar w:fldCharType="end"/>
            </w:r>
          </w:hyperlink>
        </w:p>
        <w:p w14:paraId="31C9ABE8" w14:textId="501DD434" w:rsidR="005E492B" w:rsidRDefault="00467238">
          <w:pPr>
            <w:pStyle w:val="TOC2"/>
            <w:tabs>
              <w:tab w:val="right" w:leader="dot" w:pos="9350"/>
            </w:tabs>
            <w:rPr>
              <w:rFonts w:asciiTheme="minorHAnsi" w:hAnsiTheme="minorHAnsi" w:cstheme="minorBidi"/>
              <w:noProof/>
              <w:sz w:val="22"/>
              <w:szCs w:val="22"/>
            </w:rPr>
          </w:pPr>
          <w:hyperlink w:anchor="_Toc114258064" w:history="1">
            <w:r w:rsidR="005E492B" w:rsidRPr="000C4A6B">
              <w:rPr>
                <w:rStyle w:val="Hyperlink"/>
                <w:b/>
                <w:bCs/>
                <w:noProof/>
              </w:rPr>
              <w:t>5.4. CASE STUDY 4: What opportunities are accessible based on an individual’s physical needs and mental preferences?</w:t>
            </w:r>
            <w:r w:rsidR="005E492B">
              <w:rPr>
                <w:noProof/>
                <w:webHidden/>
              </w:rPr>
              <w:tab/>
            </w:r>
            <w:r w:rsidR="005E492B">
              <w:rPr>
                <w:noProof/>
                <w:webHidden/>
              </w:rPr>
              <w:fldChar w:fldCharType="begin"/>
            </w:r>
            <w:r w:rsidR="005E492B">
              <w:rPr>
                <w:noProof/>
                <w:webHidden/>
              </w:rPr>
              <w:instrText xml:space="preserve"> PAGEREF _Toc114258064 \h </w:instrText>
            </w:r>
            <w:r w:rsidR="005E492B">
              <w:rPr>
                <w:noProof/>
                <w:webHidden/>
              </w:rPr>
            </w:r>
            <w:r w:rsidR="005E492B">
              <w:rPr>
                <w:noProof/>
                <w:webHidden/>
              </w:rPr>
              <w:fldChar w:fldCharType="separate"/>
            </w:r>
            <w:r w:rsidR="00C42D79">
              <w:rPr>
                <w:noProof/>
                <w:webHidden/>
              </w:rPr>
              <w:t>138</w:t>
            </w:r>
            <w:r w:rsidR="005E492B">
              <w:rPr>
                <w:noProof/>
                <w:webHidden/>
              </w:rPr>
              <w:fldChar w:fldCharType="end"/>
            </w:r>
          </w:hyperlink>
        </w:p>
        <w:p w14:paraId="20D4B8A0" w14:textId="1C0992EF" w:rsidR="005E492B" w:rsidRDefault="00467238">
          <w:pPr>
            <w:pStyle w:val="TOC2"/>
            <w:tabs>
              <w:tab w:val="right" w:leader="dot" w:pos="9350"/>
            </w:tabs>
            <w:rPr>
              <w:rFonts w:asciiTheme="minorHAnsi" w:hAnsiTheme="minorHAnsi" w:cstheme="minorBidi"/>
              <w:noProof/>
              <w:sz w:val="22"/>
              <w:szCs w:val="22"/>
            </w:rPr>
          </w:pPr>
          <w:hyperlink w:anchor="_Toc114258065" w:history="1">
            <w:r w:rsidR="005E492B" w:rsidRPr="000C4A6B">
              <w:rPr>
                <w:rStyle w:val="Hyperlink"/>
                <w:b/>
                <w:bCs/>
                <w:noProof/>
              </w:rPr>
              <w:t>5.5. NOTE ABOUT TOTAL OPPORTUNITIES</w:t>
            </w:r>
            <w:r w:rsidR="005E492B">
              <w:rPr>
                <w:noProof/>
                <w:webHidden/>
              </w:rPr>
              <w:tab/>
            </w:r>
            <w:r w:rsidR="005E492B">
              <w:rPr>
                <w:noProof/>
                <w:webHidden/>
              </w:rPr>
              <w:fldChar w:fldCharType="begin"/>
            </w:r>
            <w:r w:rsidR="005E492B">
              <w:rPr>
                <w:noProof/>
                <w:webHidden/>
              </w:rPr>
              <w:instrText xml:space="preserve"> PAGEREF _Toc114258065 \h </w:instrText>
            </w:r>
            <w:r w:rsidR="005E492B">
              <w:rPr>
                <w:noProof/>
                <w:webHidden/>
              </w:rPr>
            </w:r>
            <w:r w:rsidR="005E492B">
              <w:rPr>
                <w:noProof/>
                <w:webHidden/>
              </w:rPr>
              <w:fldChar w:fldCharType="separate"/>
            </w:r>
            <w:r w:rsidR="00C42D79">
              <w:rPr>
                <w:noProof/>
                <w:webHidden/>
              </w:rPr>
              <w:t>145</w:t>
            </w:r>
            <w:r w:rsidR="005E492B">
              <w:rPr>
                <w:noProof/>
                <w:webHidden/>
              </w:rPr>
              <w:fldChar w:fldCharType="end"/>
            </w:r>
          </w:hyperlink>
        </w:p>
        <w:p w14:paraId="1BBBA7B2" w14:textId="34445320" w:rsidR="005E492B" w:rsidRDefault="00467238">
          <w:pPr>
            <w:pStyle w:val="TOC1"/>
            <w:tabs>
              <w:tab w:val="right" w:leader="dot" w:pos="9350"/>
            </w:tabs>
            <w:rPr>
              <w:rFonts w:asciiTheme="minorHAnsi" w:hAnsiTheme="minorHAnsi" w:cstheme="minorBidi"/>
              <w:noProof/>
              <w:sz w:val="22"/>
              <w:szCs w:val="22"/>
            </w:rPr>
          </w:pPr>
          <w:hyperlink w:anchor="_Toc114258066" w:history="1">
            <w:r w:rsidR="005E492B" w:rsidRPr="000C4A6B">
              <w:rPr>
                <w:rStyle w:val="Hyperlink"/>
                <w:b/>
                <w:bCs/>
                <w:noProof/>
              </w:rPr>
              <w:t>CHAPTER 6. DISCUSSION AND CONCLUSION</w:t>
            </w:r>
            <w:r w:rsidR="005E492B">
              <w:rPr>
                <w:noProof/>
                <w:webHidden/>
              </w:rPr>
              <w:tab/>
            </w:r>
            <w:r w:rsidR="005E492B">
              <w:rPr>
                <w:noProof/>
                <w:webHidden/>
              </w:rPr>
              <w:fldChar w:fldCharType="begin"/>
            </w:r>
            <w:r w:rsidR="005E492B">
              <w:rPr>
                <w:noProof/>
                <w:webHidden/>
              </w:rPr>
              <w:instrText xml:space="preserve"> PAGEREF _Toc114258066 \h </w:instrText>
            </w:r>
            <w:r w:rsidR="005E492B">
              <w:rPr>
                <w:noProof/>
                <w:webHidden/>
              </w:rPr>
            </w:r>
            <w:r w:rsidR="005E492B">
              <w:rPr>
                <w:noProof/>
                <w:webHidden/>
              </w:rPr>
              <w:fldChar w:fldCharType="separate"/>
            </w:r>
            <w:r w:rsidR="00C42D79">
              <w:rPr>
                <w:noProof/>
                <w:webHidden/>
              </w:rPr>
              <w:t>147</w:t>
            </w:r>
            <w:r w:rsidR="005E492B">
              <w:rPr>
                <w:noProof/>
                <w:webHidden/>
              </w:rPr>
              <w:fldChar w:fldCharType="end"/>
            </w:r>
          </w:hyperlink>
        </w:p>
        <w:p w14:paraId="091D1BC7" w14:textId="74DB1AF4" w:rsidR="005E492B" w:rsidRDefault="00467238">
          <w:pPr>
            <w:pStyle w:val="TOC2"/>
            <w:tabs>
              <w:tab w:val="right" w:leader="dot" w:pos="9350"/>
            </w:tabs>
            <w:rPr>
              <w:rFonts w:asciiTheme="minorHAnsi" w:hAnsiTheme="minorHAnsi" w:cstheme="minorBidi"/>
              <w:noProof/>
              <w:sz w:val="22"/>
              <w:szCs w:val="22"/>
            </w:rPr>
          </w:pPr>
          <w:hyperlink w:anchor="_Toc114258067" w:history="1">
            <w:r w:rsidR="005E492B" w:rsidRPr="000C4A6B">
              <w:rPr>
                <w:rStyle w:val="Hyperlink"/>
                <w:b/>
                <w:bCs/>
                <w:noProof/>
              </w:rPr>
              <w:t>6.1. Research Summary</w:t>
            </w:r>
            <w:r w:rsidR="005E492B">
              <w:rPr>
                <w:noProof/>
                <w:webHidden/>
              </w:rPr>
              <w:tab/>
            </w:r>
            <w:r w:rsidR="005E492B">
              <w:rPr>
                <w:noProof/>
                <w:webHidden/>
              </w:rPr>
              <w:fldChar w:fldCharType="begin"/>
            </w:r>
            <w:r w:rsidR="005E492B">
              <w:rPr>
                <w:noProof/>
                <w:webHidden/>
              </w:rPr>
              <w:instrText xml:space="preserve"> PAGEREF _Toc114258067 \h </w:instrText>
            </w:r>
            <w:r w:rsidR="005E492B">
              <w:rPr>
                <w:noProof/>
                <w:webHidden/>
              </w:rPr>
            </w:r>
            <w:r w:rsidR="005E492B">
              <w:rPr>
                <w:noProof/>
                <w:webHidden/>
              </w:rPr>
              <w:fldChar w:fldCharType="separate"/>
            </w:r>
            <w:r w:rsidR="00C42D79">
              <w:rPr>
                <w:noProof/>
                <w:webHidden/>
              </w:rPr>
              <w:t>147</w:t>
            </w:r>
            <w:r w:rsidR="005E492B">
              <w:rPr>
                <w:noProof/>
                <w:webHidden/>
              </w:rPr>
              <w:fldChar w:fldCharType="end"/>
            </w:r>
          </w:hyperlink>
        </w:p>
        <w:p w14:paraId="3CBF590A" w14:textId="3F99EC49" w:rsidR="005E492B" w:rsidRDefault="00467238">
          <w:pPr>
            <w:pStyle w:val="TOC2"/>
            <w:tabs>
              <w:tab w:val="right" w:leader="dot" w:pos="9350"/>
            </w:tabs>
            <w:rPr>
              <w:rFonts w:asciiTheme="minorHAnsi" w:hAnsiTheme="minorHAnsi" w:cstheme="minorBidi"/>
              <w:noProof/>
              <w:sz w:val="22"/>
              <w:szCs w:val="22"/>
            </w:rPr>
          </w:pPr>
          <w:hyperlink w:anchor="_Toc114258068" w:history="1">
            <w:r w:rsidR="005E492B" w:rsidRPr="000C4A6B">
              <w:rPr>
                <w:rStyle w:val="Hyperlink"/>
                <w:b/>
                <w:bCs/>
                <w:noProof/>
              </w:rPr>
              <w:t>6.2. Future Directions</w:t>
            </w:r>
            <w:r w:rsidR="005E492B">
              <w:rPr>
                <w:noProof/>
                <w:webHidden/>
              </w:rPr>
              <w:tab/>
            </w:r>
            <w:r w:rsidR="005E492B">
              <w:rPr>
                <w:noProof/>
                <w:webHidden/>
              </w:rPr>
              <w:fldChar w:fldCharType="begin"/>
            </w:r>
            <w:r w:rsidR="005E492B">
              <w:rPr>
                <w:noProof/>
                <w:webHidden/>
              </w:rPr>
              <w:instrText xml:space="preserve"> PAGEREF _Toc114258068 \h </w:instrText>
            </w:r>
            <w:r w:rsidR="005E492B">
              <w:rPr>
                <w:noProof/>
                <w:webHidden/>
              </w:rPr>
            </w:r>
            <w:r w:rsidR="005E492B">
              <w:rPr>
                <w:noProof/>
                <w:webHidden/>
              </w:rPr>
              <w:fldChar w:fldCharType="separate"/>
            </w:r>
            <w:r w:rsidR="00C42D79">
              <w:rPr>
                <w:noProof/>
                <w:webHidden/>
              </w:rPr>
              <w:t>156</w:t>
            </w:r>
            <w:r w:rsidR="005E492B">
              <w:rPr>
                <w:noProof/>
                <w:webHidden/>
              </w:rPr>
              <w:fldChar w:fldCharType="end"/>
            </w:r>
          </w:hyperlink>
        </w:p>
        <w:p w14:paraId="13C7B3DF" w14:textId="212D7078" w:rsidR="005E492B" w:rsidRDefault="00467238">
          <w:pPr>
            <w:pStyle w:val="TOC1"/>
            <w:tabs>
              <w:tab w:val="right" w:leader="dot" w:pos="9350"/>
            </w:tabs>
            <w:rPr>
              <w:rFonts w:asciiTheme="minorHAnsi" w:hAnsiTheme="minorHAnsi" w:cstheme="minorBidi"/>
              <w:noProof/>
              <w:sz w:val="22"/>
              <w:szCs w:val="22"/>
            </w:rPr>
          </w:pPr>
          <w:hyperlink w:anchor="_Toc114258069" w:history="1">
            <w:r w:rsidR="005E492B" w:rsidRPr="000C4A6B">
              <w:rPr>
                <w:rStyle w:val="Hyperlink"/>
                <w:b/>
                <w:bCs/>
                <w:noProof/>
              </w:rPr>
              <w:t>REFERENCES</w:t>
            </w:r>
            <w:r w:rsidR="005E492B">
              <w:rPr>
                <w:noProof/>
                <w:webHidden/>
              </w:rPr>
              <w:tab/>
            </w:r>
            <w:r w:rsidR="005E492B">
              <w:rPr>
                <w:noProof/>
                <w:webHidden/>
              </w:rPr>
              <w:fldChar w:fldCharType="begin"/>
            </w:r>
            <w:r w:rsidR="005E492B">
              <w:rPr>
                <w:noProof/>
                <w:webHidden/>
              </w:rPr>
              <w:instrText xml:space="preserve"> PAGEREF _Toc114258069 \h </w:instrText>
            </w:r>
            <w:r w:rsidR="005E492B">
              <w:rPr>
                <w:noProof/>
                <w:webHidden/>
              </w:rPr>
            </w:r>
            <w:r w:rsidR="005E492B">
              <w:rPr>
                <w:noProof/>
                <w:webHidden/>
              </w:rPr>
              <w:fldChar w:fldCharType="separate"/>
            </w:r>
            <w:r w:rsidR="00C42D79">
              <w:rPr>
                <w:noProof/>
                <w:webHidden/>
              </w:rPr>
              <w:t>165</w:t>
            </w:r>
            <w:r w:rsidR="005E492B">
              <w:rPr>
                <w:noProof/>
                <w:webHidden/>
              </w:rPr>
              <w:fldChar w:fldCharType="end"/>
            </w:r>
          </w:hyperlink>
        </w:p>
        <w:p w14:paraId="6F4C2051" w14:textId="2C2FDFD7" w:rsidR="005E492B" w:rsidRDefault="00467238">
          <w:pPr>
            <w:pStyle w:val="TOC1"/>
            <w:tabs>
              <w:tab w:val="right" w:leader="dot" w:pos="9350"/>
            </w:tabs>
            <w:rPr>
              <w:rFonts w:asciiTheme="minorHAnsi" w:hAnsiTheme="minorHAnsi" w:cstheme="minorBidi"/>
              <w:noProof/>
              <w:sz w:val="22"/>
              <w:szCs w:val="22"/>
            </w:rPr>
          </w:pPr>
          <w:hyperlink w:anchor="_Toc114258070" w:history="1">
            <w:r w:rsidR="005E492B" w:rsidRPr="000C4A6B">
              <w:rPr>
                <w:rStyle w:val="Hyperlink"/>
                <w:b/>
                <w:bCs/>
                <w:noProof/>
              </w:rPr>
              <w:t>APPENDIX</w:t>
            </w:r>
            <w:r w:rsidR="005E492B">
              <w:rPr>
                <w:noProof/>
                <w:webHidden/>
              </w:rPr>
              <w:tab/>
            </w:r>
            <w:r w:rsidR="005E492B">
              <w:rPr>
                <w:noProof/>
                <w:webHidden/>
              </w:rPr>
              <w:fldChar w:fldCharType="begin"/>
            </w:r>
            <w:r w:rsidR="005E492B">
              <w:rPr>
                <w:noProof/>
                <w:webHidden/>
              </w:rPr>
              <w:instrText xml:space="preserve"> PAGEREF _Toc114258070 \h </w:instrText>
            </w:r>
            <w:r w:rsidR="005E492B">
              <w:rPr>
                <w:noProof/>
                <w:webHidden/>
              </w:rPr>
            </w:r>
            <w:r w:rsidR="005E492B">
              <w:rPr>
                <w:noProof/>
                <w:webHidden/>
              </w:rPr>
              <w:fldChar w:fldCharType="separate"/>
            </w:r>
            <w:r w:rsidR="00C42D79">
              <w:rPr>
                <w:noProof/>
                <w:webHidden/>
              </w:rPr>
              <w:t>180</w:t>
            </w:r>
            <w:r w:rsidR="005E492B">
              <w:rPr>
                <w:noProof/>
                <w:webHidden/>
              </w:rPr>
              <w:fldChar w:fldCharType="end"/>
            </w:r>
          </w:hyperlink>
        </w:p>
        <w:p w14:paraId="5680A701" w14:textId="14890283" w:rsidR="005E492B" w:rsidRDefault="00467238">
          <w:pPr>
            <w:pStyle w:val="TOC2"/>
            <w:tabs>
              <w:tab w:val="right" w:leader="dot" w:pos="9350"/>
            </w:tabs>
            <w:rPr>
              <w:rFonts w:asciiTheme="minorHAnsi" w:hAnsiTheme="minorHAnsi" w:cstheme="minorBidi"/>
              <w:noProof/>
              <w:sz w:val="22"/>
              <w:szCs w:val="22"/>
            </w:rPr>
          </w:pPr>
          <w:hyperlink w:anchor="_Toc114258071" w:history="1">
            <w:r w:rsidR="005E492B" w:rsidRPr="000C4A6B">
              <w:rPr>
                <w:rStyle w:val="Hyperlink"/>
                <w:b/>
                <w:bCs/>
                <w:noProof/>
              </w:rPr>
              <w:t>APPENDIX 1. OVERVIEW CHART OF ACCESSIBILITY MEASURES</w:t>
            </w:r>
            <w:r w:rsidR="005E492B">
              <w:rPr>
                <w:noProof/>
                <w:webHidden/>
              </w:rPr>
              <w:tab/>
            </w:r>
            <w:r w:rsidR="005E492B">
              <w:rPr>
                <w:noProof/>
                <w:webHidden/>
              </w:rPr>
              <w:fldChar w:fldCharType="begin"/>
            </w:r>
            <w:r w:rsidR="005E492B">
              <w:rPr>
                <w:noProof/>
                <w:webHidden/>
              </w:rPr>
              <w:instrText xml:space="preserve"> PAGEREF _Toc114258071 \h </w:instrText>
            </w:r>
            <w:r w:rsidR="005E492B">
              <w:rPr>
                <w:noProof/>
                <w:webHidden/>
              </w:rPr>
            </w:r>
            <w:r w:rsidR="005E492B">
              <w:rPr>
                <w:noProof/>
                <w:webHidden/>
              </w:rPr>
              <w:fldChar w:fldCharType="separate"/>
            </w:r>
            <w:r w:rsidR="00C42D79">
              <w:rPr>
                <w:noProof/>
                <w:webHidden/>
              </w:rPr>
              <w:t>180</w:t>
            </w:r>
            <w:r w:rsidR="005E492B">
              <w:rPr>
                <w:noProof/>
                <w:webHidden/>
              </w:rPr>
              <w:fldChar w:fldCharType="end"/>
            </w:r>
          </w:hyperlink>
        </w:p>
        <w:p w14:paraId="2093BAA4" w14:textId="08C61657" w:rsidR="005E492B" w:rsidRDefault="00467238">
          <w:pPr>
            <w:pStyle w:val="TOC1"/>
            <w:tabs>
              <w:tab w:val="right" w:leader="dot" w:pos="9350"/>
            </w:tabs>
            <w:rPr>
              <w:rFonts w:asciiTheme="minorHAnsi" w:hAnsiTheme="minorHAnsi" w:cstheme="minorBidi"/>
              <w:noProof/>
              <w:sz w:val="22"/>
              <w:szCs w:val="22"/>
            </w:rPr>
          </w:pPr>
          <w:hyperlink w:anchor="_Toc114258072" w:history="1">
            <w:r w:rsidR="005E492B" w:rsidRPr="000C4A6B">
              <w:rPr>
                <w:rStyle w:val="Hyperlink"/>
                <w:b/>
                <w:bCs/>
                <w:noProof/>
              </w:rPr>
              <w:t>VITA</w:t>
            </w:r>
            <w:r w:rsidR="005E492B">
              <w:rPr>
                <w:noProof/>
                <w:webHidden/>
              </w:rPr>
              <w:tab/>
            </w:r>
            <w:r w:rsidR="005E492B">
              <w:rPr>
                <w:noProof/>
                <w:webHidden/>
              </w:rPr>
              <w:fldChar w:fldCharType="begin"/>
            </w:r>
            <w:r w:rsidR="005E492B">
              <w:rPr>
                <w:noProof/>
                <w:webHidden/>
              </w:rPr>
              <w:instrText xml:space="preserve"> PAGEREF _Toc114258072 \h </w:instrText>
            </w:r>
            <w:r w:rsidR="005E492B">
              <w:rPr>
                <w:noProof/>
                <w:webHidden/>
              </w:rPr>
            </w:r>
            <w:r w:rsidR="005E492B">
              <w:rPr>
                <w:noProof/>
                <w:webHidden/>
              </w:rPr>
              <w:fldChar w:fldCharType="separate"/>
            </w:r>
            <w:r w:rsidR="00C42D79">
              <w:rPr>
                <w:noProof/>
                <w:webHidden/>
              </w:rPr>
              <w:t>186</w:t>
            </w:r>
            <w:r w:rsidR="005E492B">
              <w:rPr>
                <w:noProof/>
                <w:webHidden/>
              </w:rPr>
              <w:fldChar w:fldCharType="end"/>
            </w:r>
          </w:hyperlink>
        </w:p>
        <w:p w14:paraId="3BB05C5A" w14:textId="5E6BE0EB" w:rsidR="000D0A85" w:rsidRDefault="000D0A85">
          <w:r>
            <w:rPr>
              <w:b/>
              <w:bCs/>
              <w:noProof/>
            </w:rPr>
            <w:fldChar w:fldCharType="end"/>
          </w:r>
        </w:p>
      </w:sdtContent>
    </w:sdt>
    <w:p w14:paraId="4E5CC7F4" w14:textId="2782E07D" w:rsidR="00EC36AE" w:rsidRDefault="00EC36AE">
      <w:pPr>
        <w:rPr>
          <w:rFonts w:asciiTheme="majorHAnsi" w:eastAsiaTheme="majorEastAsia" w:hAnsiTheme="majorHAnsi" w:cstheme="majorBidi"/>
          <w:color w:val="2F5496" w:themeColor="accent1" w:themeShade="BF"/>
          <w:sz w:val="32"/>
          <w:szCs w:val="32"/>
          <w:lang w:eastAsia="en-US"/>
        </w:rPr>
      </w:pPr>
      <w:r>
        <w:br w:type="page"/>
      </w:r>
    </w:p>
    <w:p w14:paraId="307E6051" w14:textId="585E0F79" w:rsidR="00911FD9" w:rsidRPr="00A43D75" w:rsidRDefault="00EC36AE" w:rsidP="00A43D75">
      <w:pPr>
        <w:pStyle w:val="TOCHeading"/>
        <w:spacing w:after="24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LIST OF FIGURES</w:t>
      </w:r>
    </w:p>
    <w:p w14:paraId="5A1642EB" w14:textId="20BF220A" w:rsidR="00435025" w:rsidRDefault="00A43D75">
      <w:pPr>
        <w:pStyle w:val="TableofFigures"/>
        <w:tabs>
          <w:tab w:val="right" w:leader="dot" w:pos="9350"/>
        </w:tabs>
        <w:rPr>
          <w:rFonts w:asciiTheme="minorHAnsi" w:hAnsiTheme="minorHAnsi" w:cstheme="minorBidi"/>
          <w:noProof/>
          <w:sz w:val="22"/>
          <w:szCs w:val="22"/>
        </w:rPr>
      </w:pPr>
      <w:r>
        <w:fldChar w:fldCharType="begin"/>
      </w:r>
      <w:r>
        <w:instrText xml:space="preserve"> TOC \h \z \c "Figure" </w:instrText>
      </w:r>
      <w:r>
        <w:fldChar w:fldCharType="separate"/>
      </w:r>
      <w:hyperlink w:anchor="_Toc114258099" w:history="1">
        <w:r w:rsidR="00435025" w:rsidRPr="00812ADE">
          <w:rPr>
            <w:rStyle w:val="Hyperlink"/>
            <w:noProof/>
          </w:rPr>
          <w:t>Figure 1. A conceptual framework for access related to different types of space in physical-virtual space</w:t>
        </w:r>
        <w:r w:rsidR="00435025">
          <w:rPr>
            <w:noProof/>
            <w:webHidden/>
          </w:rPr>
          <w:tab/>
        </w:r>
        <w:r w:rsidR="00435025">
          <w:rPr>
            <w:noProof/>
            <w:webHidden/>
          </w:rPr>
          <w:fldChar w:fldCharType="begin"/>
        </w:r>
        <w:r w:rsidR="00435025">
          <w:rPr>
            <w:noProof/>
            <w:webHidden/>
          </w:rPr>
          <w:instrText xml:space="preserve"> PAGEREF _Toc114258099 \h </w:instrText>
        </w:r>
        <w:r w:rsidR="00435025">
          <w:rPr>
            <w:noProof/>
            <w:webHidden/>
          </w:rPr>
        </w:r>
        <w:r w:rsidR="00435025">
          <w:rPr>
            <w:noProof/>
            <w:webHidden/>
          </w:rPr>
          <w:fldChar w:fldCharType="separate"/>
        </w:r>
        <w:r w:rsidR="00C42D79">
          <w:rPr>
            <w:noProof/>
            <w:webHidden/>
          </w:rPr>
          <w:t>32</w:t>
        </w:r>
        <w:r w:rsidR="00435025">
          <w:rPr>
            <w:noProof/>
            <w:webHidden/>
          </w:rPr>
          <w:fldChar w:fldCharType="end"/>
        </w:r>
      </w:hyperlink>
    </w:p>
    <w:p w14:paraId="2312218A" w14:textId="3CFF8570" w:rsidR="00435025" w:rsidRDefault="00467238">
      <w:pPr>
        <w:pStyle w:val="TableofFigures"/>
        <w:tabs>
          <w:tab w:val="right" w:leader="dot" w:pos="9350"/>
        </w:tabs>
        <w:rPr>
          <w:rFonts w:asciiTheme="minorHAnsi" w:hAnsiTheme="minorHAnsi" w:cstheme="minorBidi"/>
          <w:noProof/>
          <w:sz w:val="22"/>
          <w:szCs w:val="22"/>
        </w:rPr>
      </w:pPr>
      <w:hyperlink w:anchor="_Toc114258100" w:history="1">
        <w:r w:rsidR="00435025" w:rsidRPr="00812ADE">
          <w:rPr>
            <w:rStyle w:val="Hyperlink"/>
            <w:noProof/>
          </w:rPr>
          <w:t>Figure 2. Coherence plot of topics</w:t>
        </w:r>
        <w:r w:rsidR="00435025">
          <w:rPr>
            <w:noProof/>
            <w:webHidden/>
          </w:rPr>
          <w:tab/>
        </w:r>
        <w:r w:rsidR="00435025">
          <w:rPr>
            <w:noProof/>
            <w:webHidden/>
          </w:rPr>
          <w:fldChar w:fldCharType="begin"/>
        </w:r>
        <w:r w:rsidR="00435025">
          <w:rPr>
            <w:noProof/>
            <w:webHidden/>
          </w:rPr>
          <w:instrText xml:space="preserve"> PAGEREF _Toc114258100 \h </w:instrText>
        </w:r>
        <w:r w:rsidR="00435025">
          <w:rPr>
            <w:noProof/>
            <w:webHidden/>
          </w:rPr>
        </w:r>
        <w:r w:rsidR="00435025">
          <w:rPr>
            <w:noProof/>
            <w:webHidden/>
          </w:rPr>
          <w:fldChar w:fldCharType="separate"/>
        </w:r>
        <w:r w:rsidR="00C42D79">
          <w:rPr>
            <w:noProof/>
            <w:webHidden/>
          </w:rPr>
          <w:t>68</w:t>
        </w:r>
        <w:r w:rsidR="00435025">
          <w:rPr>
            <w:noProof/>
            <w:webHidden/>
          </w:rPr>
          <w:fldChar w:fldCharType="end"/>
        </w:r>
      </w:hyperlink>
    </w:p>
    <w:p w14:paraId="099D81C1" w14:textId="1D2391DA" w:rsidR="00435025" w:rsidRDefault="00467238">
      <w:pPr>
        <w:pStyle w:val="TableofFigures"/>
        <w:tabs>
          <w:tab w:val="right" w:leader="dot" w:pos="9350"/>
        </w:tabs>
        <w:rPr>
          <w:rFonts w:asciiTheme="minorHAnsi" w:hAnsiTheme="minorHAnsi" w:cstheme="minorBidi"/>
          <w:noProof/>
          <w:sz w:val="22"/>
          <w:szCs w:val="22"/>
        </w:rPr>
      </w:pPr>
      <w:hyperlink w:anchor="_Toc114258101" w:history="1">
        <w:r w:rsidR="00435025" w:rsidRPr="00812ADE">
          <w:rPr>
            <w:rStyle w:val="Hyperlink"/>
            <w:noProof/>
          </w:rPr>
          <w:t>Figure 3. Perplexity plot of topics</w:t>
        </w:r>
        <w:r w:rsidR="00435025">
          <w:rPr>
            <w:noProof/>
            <w:webHidden/>
          </w:rPr>
          <w:tab/>
        </w:r>
        <w:r w:rsidR="00435025">
          <w:rPr>
            <w:noProof/>
            <w:webHidden/>
          </w:rPr>
          <w:fldChar w:fldCharType="begin"/>
        </w:r>
        <w:r w:rsidR="00435025">
          <w:rPr>
            <w:noProof/>
            <w:webHidden/>
          </w:rPr>
          <w:instrText xml:space="preserve"> PAGEREF _Toc114258101 \h </w:instrText>
        </w:r>
        <w:r w:rsidR="00435025">
          <w:rPr>
            <w:noProof/>
            <w:webHidden/>
          </w:rPr>
        </w:r>
        <w:r w:rsidR="00435025">
          <w:rPr>
            <w:noProof/>
            <w:webHidden/>
          </w:rPr>
          <w:fldChar w:fldCharType="separate"/>
        </w:r>
        <w:r w:rsidR="00C42D79">
          <w:rPr>
            <w:noProof/>
            <w:webHidden/>
          </w:rPr>
          <w:t>68</w:t>
        </w:r>
        <w:r w:rsidR="00435025">
          <w:rPr>
            <w:noProof/>
            <w:webHidden/>
          </w:rPr>
          <w:fldChar w:fldCharType="end"/>
        </w:r>
      </w:hyperlink>
    </w:p>
    <w:p w14:paraId="7A877BB0" w14:textId="08A975FF" w:rsidR="00435025" w:rsidRDefault="00467238">
      <w:pPr>
        <w:pStyle w:val="TableofFigures"/>
        <w:tabs>
          <w:tab w:val="right" w:leader="dot" w:pos="9350"/>
        </w:tabs>
        <w:rPr>
          <w:rFonts w:asciiTheme="minorHAnsi" w:hAnsiTheme="minorHAnsi" w:cstheme="minorBidi"/>
          <w:noProof/>
          <w:sz w:val="22"/>
          <w:szCs w:val="22"/>
        </w:rPr>
      </w:pPr>
      <w:hyperlink w:anchor="_Toc114258102" w:history="1">
        <w:r w:rsidR="00435025" w:rsidRPr="00812ADE">
          <w:rPr>
            <w:rStyle w:val="Hyperlink"/>
            <w:noProof/>
          </w:rPr>
          <w:t>Figure 4. Topic-word mixtures and proportions when n=6</w:t>
        </w:r>
        <w:r w:rsidR="00435025">
          <w:rPr>
            <w:noProof/>
            <w:webHidden/>
          </w:rPr>
          <w:tab/>
        </w:r>
        <w:r w:rsidR="00435025">
          <w:rPr>
            <w:noProof/>
            <w:webHidden/>
          </w:rPr>
          <w:fldChar w:fldCharType="begin"/>
        </w:r>
        <w:r w:rsidR="00435025">
          <w:rPr>
            <w:noProof/>
            <w:webHidden/>
          </w:rPr>
          <w:instrText xml:space="preserve"> PAGEREF _Toc114258102 \h </w:instrText>
        </w:r>
        <w:r w:rsidR="00435025">
          <w:rPr>
            <w:noProof/>
            <w:webHidden/>
          </w:rPr>
        </w:r>
        <w:r w:rsidR="00435025">
          <w:rPr>
            <w:noProof/>
            <w:webHidden/>
          </w:rPr>
          <w:fldChar w:fldCharType="separate"/>
        </w:r>
        <w:r w:rsidR="00C42D79">
          <w:rPr>
            <w:noProof/>
            <w:webHidden/>
          </w:rPr>
          <w:t>69</w:t>
        </w:r>
        <w:r w:rsidR="00435025">
          <w:rPr>
            <w:noProof/>
            <w:webHidden/>
          </w:rPr>
          <w:fldChar w:fldCharType="end"/>
        </w:r>
      </w:hyperlink>
    </w:p>
    <w:p w14:paraId="3AA10014" w14:textId="3EDC87A8" w:rsidR="00435025" w:rsidRDefault="00467238">
      <w:pPr>
        <w:pStyle w:val="TableofFigures"/>
        <w:tabs>
          <w:tab w:val="right" w:leader="dot" w:pos="9350"/>
        </w:tabs>
        <w:rPr>
          <w:rFonts w:asciiTheme="minorHAnsi" w:hAnsiTheme="minorHAnsi" w:cstheme="minorBidi"/>
          <w:noProof/>
          <w:sz w:val="22"/>
          <w:szCs w:val="22"/>
        </w:rPr>
      </w:pPr>
      <w:hyperlink w:anchor="_Toc114258103" w:history="1">
        <w:r w:rsidR="00435025" w:rsidRPr="00812ADE">
          <w:rPr>
            <w:rStyle w:val="Hyperlink"/>
            <w:noProof/>
          </w:rPr>
          <w:t>Figure 5. Snapshot of data on socioeconomic, demographic, and perceived characteristics of plausible individuals in Knox County, Tennessee</w:t>
        </w:r>
        <w:r w:rsidR="00435025">
          <w:rPr>
            <w:noProof/>
            <w:webHidden/>
          </w:rPr>
          <w:tab/>
        </w:r>
        <w:r w:rsidR="00435025">
          <w:rPr>
            <w:noProof/>
            <w:webHidden/>
          </w:rPr>
          <w:fldChar w:fldCharType="begin"/>
        </w:r>
        <w:r w:rsidR="00435025">
          <w:rPr>
            <w:noProof/>
            <w:webHidden/>
          </w:rPr>
          <w:instrText xml:space="preserve"> PAGEREF _Toc114258103 \h </w:instrText>
        </w:r>
        <w:r w:rsidR="00435025">
          <w:rPr>
            <w:noProof/>
            <w:webHidden/>
          </w:rPr>
        </w:r>
        <w:r w:rsidR="00435025">
          <w:rPr>
            <w:noProof/>
            <w:webHidden/>
          </w:rPr>
          <w:fldChar w:fldCharType="separate"/>
        </w:r>
        <w:r w:rsidR="00C42D79">
          <w:rPr>
            <w:noProof/>
            <w:webHidden/>
          </w:rPr>
          <w:t>78</w:t>
        </w:r>
        <w:r w:rsidR="00435025">
          <w:rPr>
            <w:noProof/>
            <w:webHidden/>
          </w:rPr>
          <w:fldChar w:fldCharType="end"/>
        </w:r>
      </w:hyperlink>
    </w:p>
    <w:p w14:paraId="4D8CE3E5" w14:textId="7EF8BD99" w:rsidR="00435025" w:rsidRDefault="00467238">
      <w:pPr>
        <w:pStyle w:val="TableofFigures"/>
        <w:tabs>
          <w:tab w:val="right" w:leader="dot" w:pos="9350"/>
        </w:tabs>
        <w:rPr>
          <w:rFonts w:asciiTheme="minorHAnsi" w:hAnsiTheme="minorHAnsi" w:cstheme="minorBidi"/>
          <w:noProof/>
          <w:sz w:val="22"/>
          <w:szCs w:val="22"/>
        </w:rPr>
      </w:pPr>
      <w:hyperlink w:anchor="_Toc114258104" w:history="1">
        <w:r w:rsidR="00435025" w:rsidRPr="00812ADE">
          <w:rPr>
            <w:rStyle w:val="Hyperlink"/>
            <w:noProof/>
          </w:rPr>
          <w:t>Figure 6. Snapshot of data on individual trajectories of people</w:t>
        </w:r>
        <w:r w:rsidR="00435025">
          <w:rPr>
            <w:noProof/>
            <w:webHidden/>
          </w:rPr>
          <w:tab/>
        </w:r>
        <w:r w:rsidR="00435025">
          <w:rPr>
            <w:noProof/>
            <w:webHidden/>
          </w:rPr>
          <w:fldChar w:fldCharType="begin"/>
        </w:r>
        <w:r w:rsidR="00435025">
          <w:rPr>
            <w:noProof/>
            <w:webHidden/>
          </w:rPr>
          <w:instrText xml:space="preserve"> PAGEREF _Toc114258104 \h </w:instrText>
        </w:r>
        <w:r w:rsidR="00435025">
          <w:rPr>
            <w:noProof/>
            <w:webHidden/>
          </w:rPr>
        </w:r>
        <w:r w:rsidR="00435025">
          <w:rPr>
            <w:noProof/>
            <w:webHidden/>
          </w:rPr>
          <w:fldChar w:fldCharType="separate"/>
        </w:r>
        <w:r w:rsidR="00C42D79">
          <w:rPr>
            <w:noProof/>
            <w:webHidden/>
          </w:rPr>
          <w:t>84</w:t>
        </w:r>
        <w:r w:rsidR="00435025">
          <w:rPr>
            <w:noProof/>
            <w:webHidden/>
          </w:rPr>
          <w:fldChar w:fldCharType="end"/>
        </w:r>
      </w:hyperlink>
    </w:p>
    <w:p w14:paraId="310F9FDC" w14:textId="21898DCF" w:rsidR="00435025" w:rsidRDefault="00467238">
      <w:pPr>
        <w:pStyle w:val="TableofFigures"/>
        <w:tabs>
          <w:tab w:val="right" w:leader="dot" w:pos="9350"/>
        </w:tabs>
        <w:rPr>
          <w:rFonts w:asciiTheme="minorHAnsi" w:hAnsiTheme="minorHAnsi" w:cstheme="minorBidi"/>
          <w:noProof/>
          <w:sz w:val="22"/>
          <w:szCs w:val="22"/>
        </w:rPr>
      </w:pPr>
      <w:hyperlink w:anchor="_Toc114258105" w:history="1">
        <w:r w:rsidR="00435025" w:rsidRPr="00812ADE">
          <w:rPr>
            <w:rStyle w:val="Hyperlink"/>
            <w:noProof/>
          </w:rPr>
          <w:t>Figure 7. Screenshot of code for recording activity and travel type of the following row in the trajectory dataset</w:t>
        </w:r>
        <w:r w:rsidR="00435025">
          <w:rPr>
            <w:noProof/>
            <w:webHidden/>
          </w:rPr>
          <w:tab/>
        </w:r>
        <w:r w:rsidR="00435025">
          <w:rPr>
            <w:noProof/>
            <w:webHidden/>
          </w:rPr>
          <w:fldChar w:fldCharType="begin"/>
        </w:r>
        <w:r w:rsidR="00435025">
          <w:rPr>
            <w:noProof/>
            <w:webHidden/>
          </w:rPr>
          <w:instrText xml:space="preserve"> PAGEREF _Toc114258105 \h </w:instrText>
        </w:r>
        <w:r w:rsidR="00435025">
          <w:rPr>
            <w:noProof/>
            <w:webHidden/>
          </w:rPr>
        </w:r>
        <w:r w:rsidR="00435025">
          <w:rPr>
            <w:noProof/>
            <w:webHidden/>
          </w:rPr>
          <w:fldChar w:fldCharType="separate"/>
        </w:r>
        <w:r w:rsidR="00C42D79">
          <w:rPr>
            <w:noProof/>
            <w:webHidden/>
          </w:rPr>
          <w:t>88</w:t>
        </w:r>
        <w:r w:rsidR="00435025">
          <w:rPr>
            <w:noProof/>
            <w:webHidden/>
          </w:rPr>
          <w:fldChar w:fldCharType="end"/>
        </w:r>
      </w:hyperlink>
    </w:p>
    <w:p w14:paraId="3F748254" w14:textId="0C296EC2" w:rsidR="00435025" w:rsidRDefault="00467238">
      <w:pPr>
        <w:pStyle w:val="TableofFigures"/>
        <w:tabs>
          <w:tab w:val="right" w:leader="dot" w:pos="9350"/>
        </w:tabs>
        <w:rPr>
          <w:rFonts w:asciiTheme="minorHAnsi" w:hAnsiTheme="minorHAnsi" w:cstheme="minorBidi"/>
          <w:noProof/>
          <w:sz w:val="22"/>
          <w:szCs w:val="22"/>
        </w:rPr>
      </w:pPr>
      <w:hyperlink w:anchor="_Toc114258106" w:history="1">
        <w:r w:rsidR="00435025" w:rsidRPr="00812ADE">
          <w:rPr>
            <w:rStyle w:val="Hyperlink"/>
            <w:noProof/>
          </w:rPr>
          <w:t>Figure 8. Screenshot of Interactive GIS Platform for Food Access</w:t>
        </w:r>
        <w:r w:rsidR="00435025">
          <w:rPr>
            <w:noProof/>
            <w:webHidden/>
          </w:rPr>
          <w:tab/>
        </w:r>
        <w:r w:rsidR="00435025">
          <w:rPr>
            <w:noProof/>
            <w:webHidden/>
          </w:rPr>
          <w:fldChar w:fldCharType="begin"/>
        </w:r>
        <w:r w:rsidR="00435025">
          <w:rPr>
            <w:noProof/>
            <w:webHidden/>
          </w:rPr>
          <w:instrText xml:space="preserve"> PAGEREF _Toc114258106 \h </w:instrText>
        </w:r>
        <w:r w:rsidR="00435025">
          <w:rPr>
            <w:noProof/>
            <w:webHidden/>
          </w:rPr>
        </w:r>
        <w:r w:rsidR="00435025">
          <w:rPr>
            <w:noProof/>
            <w:webHidden/>
          </w:rPr>
          <w:fldChar w:fldCharType="separate"/>
        </w:r>
        <w:r w:rsidR="00C42D79">
          <w:rPr>
            <w:noProof/>
            <w:webHidden/>
          </w:rPr>
          <w:t>97</w:t>
        </w:r>
        <w:r w:rsidR="00435025">
          <w:rPr>
            <w:noProof/>
            <w:webHidden/>
          </w:rPr>
          <w:fldChar w:fldCharType="end"/>
        </w:r>
      </w:hyperlink>
    </w:p>
    <w:p w14:paraId="73B8AE53" w14:textId="5F7946E9" w:rsidR="00435025" w:rsidRDefault="00467238">
      <w:pPr>
        <w:pStyle w:val="TableofFigures"/>
        <w:tabs>
          <w:tab w:val="right" w:leader="dot" w:pos="9350"/>
        </w:tabs>
        <w:rPr>
          <w:rFonts w:asciiTheme="minorHAnsi" w:hAnsiTheme="minorHAnsi" w:cstheme="minorBidi"/>
          <w:noProof/>
          <w:sz w:val="22"/>
          <w:szCs w:val="22"/>
        </w:rPr>
      </w:pPr>
      <w:hyperlink w:anchor="_Toc114258107" w:history="1">
        <w:r w:rsidR="00435025" w:rsidRPr="00812ADE">
          <w:rPr>
            <w:rStyle w:val="Hyperlink"/>
            <w:noProof/>
          </w:rPr>
          <w:t>Figure 9. Map overlay to contextualize the total population throughout the study area</w:t>
        </w:r>
        <w:r w:rsidR="00435025">
          <w:rPr>
            <w:noProof/>
            <w:webHidden/>
          </w:rPr>
          <w:tab/>
        </w:r>
        <w:r w:rsidR="00435025">
          <w:rPr>
            <w:noProof/>
            <w:webHidden/>
          </w:rPr>
          <w:fldChar w:fldCharType="begin"/>
        </w:r>
        <w:r w:rsidR="00435025">
          <w:rPr>
            <w:noProof/>
            <w:webHidden/>
          </w:rPr>
          <w:instrText xml:space="preserve"> PAGEREF _Toc114258107 \h </w:instrText>
        </w:r>
        <w:r w:rsidR="00435025">
          <w:rPr>
            <w:noProof/>
            <w:webHidden/>
          </w:rPr>
        </w:r>
        <w:r w:rsidR="00435025">
          <w:rPr>
            <w:noProof/>
            <w:webHidden/>
          </w:rPr>
          <w:fldChar w:fldCharType="separate"/>
        </w:r>
        <w:r w:rsidR="00C42D79">
          <w:rPr>
            <w:noProof/>
            <w:webHidden/>
          </w:rPr>
          <w:t>100</w:t>
        </w:r>
        <w:r w:rsidR="00435025">
          <w:rPr>
            <w:noProof/>
            <w:webHidden/>
          </w:rPr>
          <w:fldChar w:fldCharType="end"/>
        </w:r>
      </w:hyperlink>
    </w:p>
    <w:p w14:paraId="0F048FE1" w14:textId="4B0D3581" w:rsidR="00435025" w:rsidRDefault="00467238">
      <w:pPr>
        <w:pStyle w:val="TableofFigures"/>
        <w:tabs>
          <w:tab w:val="right" w:leader="dot" w:pos="9350"/>
        </w:tabs>
        <w:rPr>
          <w:rFonts w:asciiTheme="minorHAnsi" w:hAnsiTheme="minorHAnsi" w:cstheme="minorBidi"/>
          <w:noProof/>
          <w:sz w:val="22"/>
          <w:szCs w:val="22"/>
        </w:rPr>
      </w:pPr>
      <w:hyperlink w:anchor="_Toc114258108" w:history="1">
        <w:r w:rsidR="00435025" w:rsidRPr="00812ADE">
          <w:rPr>
            <w:rStyle w:val="Hyperlink"/>
            <w:noProof/>
          </w:rPr>
          <w:t>Figure 10. Opportunities near Person A's (1) Home</w:t>
        </w:r>
        <w:r w:rsidR="00435025">
          <w:rPr>
            <w:noProof/>
            <w:webHidden/>
          </w:rPr>
          <w:tab/>
        </w:r>
        <w:r w:rsidR="00435025">
          <w:rPr>
            <w:noProof/>
            <w:webHidden/>
          </w:rPr>
          <w:fldChar w:fldCharType="begin"/>
        </w:r>
        <w:r w:rsidR="00435025">
          <w:rPr>
            <w:noProof/>
            <w:webHidden/>
          </w:rPr>
          <w:instrText xml:space="preserve"> PAGEREF _Toc114258108 \h </w:instrText>
        </w:r>
        <w:r w:rsidR="00435025">
          <w:rPr>
            <w:noProof/>
            <w:webHidden/>
          </w:rPr>
        </w:r>
        <w:r w:rsidR="00435025">
          <w:rPr>
            <w:noProof/>
            <w:webHidden/>
          </w:rPr>
          <w:fldChar w:fldCharType="separate"/>
        </w:r>
        <w:r w:rsidR="00C42D79">
          <w:rPr>
            <w:noProof/>
            <w:webHidden/>
          </w:rPr>
          <w:t>110</w:t>
        </w:r>
        <w:r w:rsidR="00435025">
          <w:rPr>
            <w:noProof/>
            <w:webHidden/>
          </w:rPr>
          <w:fldChar w:fldCharType="end"/>
        </w:r>
      </w:hyperlink>
    </w:p>
    <w:p w14:paraId="3D10699B" w14:textId="74F58084" w:rsidR="00435025" w:rsidRDefault="00467238">
      <w:pPr>
        <w:pStyle w:val="TableofFigures"/>
        <w:tabs>
          <w:tab w:val="right" w:leader="dot" w:pos="9350"/>
        </w:tabs>
        <w:rPr>
          <w:rFonts w:asciiTheme="minorHAnsi" w:hAnsiTheme="minorHAnsi" w:cstheme="minorBidi"/>
          <w:noProof/>
          <w:sz w:val="22"/>
          <w:szCs w:val="22"/>
        </w:rPr>
      </w:pPr>
      <w:hyperlink w:anchor="_Toc114258109" w:history="1">
        <w:r w:rsidR="00435025" w:rsidRPr="00812ADE">
          <w:rPr>
            <w:rStyle w:val="Hyperlink"/>
            <w:noProof/>
          </w:rPr>
          <w:t>Figure 11. Opportunities near Person A's Workplace during a two-day period</w:t>
        </w:r>
        <w:r w:rsidR="00435025">
          <w:rPr>
            <w:noProof/>
            <w:webHidden/>
          </w:rPr>
          <w:tab/>
        </w:r>
        <w:r w:rsidR="00435025">
          <w:rPr>
            <w:noProof/>
            <w:webHidden/>
          </w:rPr>
          <w:fldChar w:fldCharType="begin"/>
        </w:r>
        <w:r w:rsidR="00435025">
          <w:rPr>
            <w:noProof/>
            <w:webHidden/>
          </w:rPr>
          <w:instrText xml:space="preserve"> PAGEREF _Toc114258109 \h </w:instrText>
        </w:r>
        <w:r w:rsidR="00435025">
          <w:rPr>
            <w:noProof/>
            <w:webHidden/>
          </w:rPr>
        </w:r>
        <w:r w:rsidR="00435025">
          <w:rPr>
            <w:noProof/>
            <w:webHidden/>
          </w:rPr>
          <w:fldChar w:fldCharType="separate"/>
        </w:r>
        <w:r w:rsidR="00C42D79">
          <w:rPr>
            <w:noProof/>
            <w:webHidden/>
          </w:rPr>
          <w:t>110</w:t>
        </w:r>
        <w:r w:rsidR="00435025">
          <w:rPr>
            <w:noProof/>
            <w:webHidden/>
          </w:rPr>
          <w:fldChar w:fldCharType="end"/>
        </w:r>
      </w:hyperlink>
    </w:p>
    <w:p w14:paraId="39B021FF" w14:textId="68181669" w:rsidR="00435025" w:rsidRDefault="00467238">
      <w:pPr>
        <w:pStyle w:val="TableofFigures"/>
        <w:tabs>
          <w:tab w:val="right" w:leader="dot" w:pos="9350"/>
        </w:tabs>
        <w:rPr>
          <w:rFonts w:asciiTheme="minorHAnsi" w:hAnsiTheme="minorHAnsi" w:cstheme="minorBidi"/>
          <w:noProof/>
          <w:sz w:val="22"/>
          <w:szCs w:val="22"/>
        </w:rPr>
      </w:pPr>
      <w:hyperlink w:anchor="_Toc114258110" w:history="1">
        <w:r w:rsidR="00435025" w:rsidRPr="00812ADE">
          <w:rPr>
            <w:rStyle w:val="Hyperlink"/>
            <w:noProof/>
          </w:rPr>
          <w:t>Figure 12. Opportunities near Person A's Workplace during their working hours on Friday</w:t>
        </w:r>
        <w:r w:rsidR="00435025">
          <w:rPr>
            <w:noProof/>
            <w:webHidden/>
          </w:rPr>
          <w:tab/>
        </w:r>
        <w:r w:rsidR="00435025">
          <w:rPr>
            <w:noProof/>
            <w:webHidden/>
          </w:rPr>
          <w:fldChar w:fldCharType="begin"/>
        </w:r>
        <w:r w:rsidR="00435025">
          <w:rPr>
            <w:noProof/>
            <w:webHidden/>
          </w:rPr>
          <w:instrText xml:space="preserve"> PAGEREF _Toc114258110 \h </w:instrText>
        </w:r>
        <w:r w:rsidR="00435025">
          <w:rPr>
            <w:noProof/>
            <w:webHidden/>
          </w:rPr>
        </w:r>
        <w:r w:rsidR="00435025">
          <w:rPr>
            <w:noProof/>
            <w:webHidden/>
          </w:rPr>
          <w:fldChar w:fldCharType="separate"/>
        </w:r>
        <w:r w:rsidR="00C42D79">
          <w:rPr>
            <w:noProof/>
            <w:webHidden/>
          </w:rPr>
          <w:t>112</w:t>
        </w:r>
        <w:r w:rsidR="00435025">
          <w:rPr>
            <w:noProof/>
            <w:webHidden/>
          </w:rPr>
          <w:fldChar w:fldCharType="end"/>
        </w:r>
      </w:hyperlink>
    </w:p>
    <w:p w14:paraId="35150070" w14:textId="241B6B35" w:rsidR="00435025" w:rsidRDefault="00467238">
      <w:pPr>
        <w:pStyle w:val="TableofFigures"/>
        <w:tabs>
          <w:tab w:val="right" w:leader="dot" w:pos="9350"/>
        </w:tabs>
        <w:rPr>
          <w:rFonts w:asciiTheme="minorHAnsi" w:hAnsiTheme="minorHAnsi" w:cstheme="minorBidi"/>
          <w:noProof/>
          <w:sz w:val="22"/>
          <w:szCs w:val="22"/>
        </w:rPr>
      </w:pPr>
      <w:hyperlink w:anchor="_Toc114258111" w:history="1">
        <w:r w:rsidR="00435025" w:rsidRPr="00812ADE">
          <w:rPr>
            <w:rStyle w:val="Hyperlink"/>
            <w:noProof/>
          </w:rPr>
          <w:t>Figure 13. Opportunities near Person A as they travel home after church and lunch at a restaurant. Note that the plot on the right looks different than those in the previous two figures due to a slight change in perspective, but the trajectory remains the same.</w:t>
        </w:r>
        <w:r w:rsidR="00435025">
          <w:rPr>
            <w:noProof/>
            <w:webHidden/>
          </w:rPr>
          <w:tab/>
        </w:r>
        <w:r w:rsidR="00435025">
          <w:rPr>
            <w:noProof/>
            <w:webHidden/>
          </w:rPr>
          <w:fldChar w:fldCharType="begin"/>
        </w:r>
        <w:r w:rsidR="00435025">
          <w:rPr>
            <w:noProof/>
            <w:webHidden/>
          </w:rPr>
          <w:instrText xml:space="preserve"> PAGEREF _Toc114258111 \h </w:instrText>
        </w:r>
        <w:r w:rsidR="00435025">
          <w:rPr>
            <w:noProof/>
            <w:webHidden/>
          </w:rPr>
        </w:r>
        <w:r w:rsidR="00435025">
          <w:rPr>
            <w:noProof/>
            <w:webHidden/>
          </w:rPr>
          <w:fldChar w:fldCharType="separate"/>
        </w:r>
        <w:r w:rsidR="00C42D79">
          <w:rPr>
            <w:noProof/>
            <w:webHidden/>
          </w:rPr>
          <w:t>115</w:t>
        </w:r>
        <w:r w:rsidR="00435025">
          <w:rPr>
            <w:noProof/>
            <w:webHidden/>
          </w:rPr>
          <w:fldChar w:fldCharType="end"/>
        </w:r>
      </w:hyperlink>
    </w:p>
    <w:p w14:paraId="01BEA980" w14:textId="701E9C3D" w:rsidR="00435025" w:rsidRDefault="00467238">
      <w:pPr>
        <w:pStyle w:val="TableofFigures"/>
        <w:tabs>
          <w:tab w:val="right" w:leader="dot" w:pos="9350"/>
        </w:tabs>
        <w:rPr>
          <w:rFonts w:asciiTheme="minorHAnsi" w:hAnsiTheme="minorHAnsi" w:cstheme="minorBidi"/>
          <w:noProof/>
          <w:sz w:val="22"/>
          <w:szCs w:val="22"/>
        </w:rPr>
      </w:pPr>
      <w:hyperlink w:anchor="_Toc114258112" w:history="1">
        <w:r w:rsidR="00435025" w:rsidRPr="00812ADE">
          <w:rPr>
            <w:rStyle w:val="Hyperlink"/>
            <w:noProof/>
          </w:rPr>
          <w:t>Figure 14. Mexican food stores accessible to A during her non-working hours on a Saturday</w:t>
        </w:r>
        <w:r w:rsidR="00435025">
          <w:rPr>
            <w:noProof/>
            <w:webHidden/>
          </w:rPr>
          <w:tab/>
        </w:r>
        <w:r w:rsidR="00435025">
          <w:rPr>
            <w:noProof/>
            <w:webHidden/>
          </w:rPr>
          <w:fldChar w:fldCharType="begin"/>
        </w:r>
        <w:r w:rsidR="00435025">
          <w:rPr>
            <w:noProof/>
            <w:webHidden/>
          </w:rPr>
          <w:instrText xml:space="preserve"> PAGEREF _Toc114258112 \h </w:instrText>
        </w:r>
        <w:r w:rsidR="00435025">
          <w:rPr>
            <w:noProof/>
            <w:webHidden/>
          </w:rPr>
        </w:r>
        <w:r w:rsidR="00435025">
          <w:rPr>
            <w:noProof/>
            <w:webHidden/>
          </w:rPr>
          <w:fldChar w:fldCharType="separate"/>
        </w:r>
        <w:r w:rsidR="00C42D79">
          <w:rPr>
            <w:noProof/>
            <w:webHidden/>
          </w:rPr>
          <w:t>115</w:t>
        </w:r>
        <w:r w:rsidR="00435025">
          <w:rPr>
            <w:noProof/>
            <w:webHidden/>
          </w:rPr>
          <w:fldChar w:fldCharType="end"/>
        </w:r>
      </w:hyperlink>
    </w:p>
    <w:p w14:paraId="0A793AB1" w14:textId="3F2B631F" w:rsidR="00435025" w:rsidRDefault="00467238">
      <w:pPr>
        <w:pStyle w:val="TableofFigures"/>
        <w:tabs>
          <w:tab w:val="right" w:leader="dot" w:pos="9350"/>
        </w:tabs>
        <w:rPr>
          <w:rFonts w:asciiTheme="minorHAnsi" w:hAnsiTheme="minorHAnsi" w:cstheme="minorBidi"/>
          <w:noProof/>
          <w:sz w:val="22"/>
          <w:szCs w:val="22"/>
        </w:rPr>
      </w:pPr>
      <w:hyperlink w:anchor="_Toc114258113" w:history="1">
        <w:r w:rsidR="00435025" w:rsidRPr="00812ADE">
          <w:rPr>
            <w:rStyle w:val="Hyperlink"/>
            <w:noProof/>
          </w:rPr>
          <w:t>Figure 15. A lack of opportunities near the home of Person B (3)</w:t>
        </w:r>
        <w:r w:rsidR="00435025">
          <w:rPr>
            <w:noProof/>
            <w:webHidden/>
          </w:rPr>
          <w:tab/>
        </w:r>
        <w:r w:rsidR="00435025">
          <w:rPr>
            <w:noProof/>
            <w:webHidden/>
          </w:rPr>
          <w:fldChar w:fldCharType="begin"/>
        </w:r>
        <w:r w:rsidR="00435025">
          <w:rPr>
            <w:noProof/>
            <w:webHidden/>
          </w:rPr>
          <w:instrText xml:space="preserve"> PAGEREF _Toc114258113 \h </w:instrText>
        </w:r>
        <w:r w:rsidR="00435025">
          <w:rPr>
            <w:noProof/>
            <w:webHidden/>
          </w:rPr>
        </w:r>
        <w:r w:rsidR="00435025">
          <w:rPr>
            <w:noProof/>
            <w:webHidden/>
          </w:rPr>
          <w:fldChar w:fldCharType="separate"/>
        </w:r>
        <w:r w:rsidR="00C42D79">
          <w:rPr>
            <w:noProof/>
            <w:webHidden/>
          </w:rPr>
          <w:t>117</w:t>
        </w:r>
        <w:r w:rsidR="00435025">
          <w:rPr>
            <w:noProof/>
            <w:webHidden/>
          </w:rPr>
          <w:fldChar w:fldCharType="end"/>
        </w:r>
      </w:hyperlink>
    </w:p>
    <w:p w14:paraId="67CD4BB4" w14:textId="0628C3BC" w:rsidR="00435025" w:rsidRDefault="00467238">
      <w:pPr>
        <w:pStyle w:val="TableofFigures"/>
        <w:tabs>
          <w:tab w:val="right" w:leader="dot" w:pos="9350"/>
        </w:tabs>
        <w:rPr>
          <w:rFonts w:asciiTheme="minorHAnsi" w:hAnsiTheme="minorHAnsi" w:cstheme="minorBidi"/>
          <w:noProof/>
          <w:sz w:val="22"/>
          <w:szCs w:val="22"/>
        </w:rPr>
      </w:pPr>
      <w:hyperlink w:anchor="_Toc114258114" w:history="1">
        <w:r w:rsidR="00435025" w:rsidRPr="00812ADE">
          <w:rPr>
            <w:rStyle w:val="Hyperlink"/>
            <w:noProof/>
          </w:rPr>
          <w:t>Figure 16. Population overlay with opportunities accessible to Person B</w:t>
        </w:r>
        <w:r w:rsidR="00435025">
          <w:rPr>
            <w:noProof/>
            <w:webHidden/>
          </w:rPr>
          <w:tab/>
        </w:r>
        <w:r w:rsidR="00435025">
          <w:rPr>
            <w:noProof/>
            <w:webHidden/>
          </w:rPr>
          <w:fldChar w:fldCharType="begin"/>
        </w:r>
        <w:r w:rsidR="00435025">
          <w:rPr>
            <w:noProof/>
            <w:webHidden/>
          </w:rPr>
          <w:instrText xml:space="preserve"> PAGEREF _Toc114258114 \h </w:instrText>
        </w:r>
        <w:r w:rsidR="00435025">
          <w:rPr>
            <w:noProof/>
            <w:webHidden/>
          </w:rPr>
        </w:r>
        <w:r w:rsidR="00435025">
          <w:rPr>
            <w:noProof/>
            <w:webHidden/>
          </w:rPr>
          <w:fldChar w:fldCharType="separate"/>
        </w:r>
        <w:r w:rsidR="00C42D79">
          <w:rPr>
            <w:noProof/>
            <w:webHidden/>
          </w:rPr>
          <w:t>117</w:t>
        </w:r>
        <w:r w:rsidR="00435025">
          <w:rPr>
            <w:noProof/>
            <w:webHidden/>
          </w:rPr>
          <w:fldChar w:fldCharType="end"/>
        </w:r>
      </w:hyperlink>
    </w:p>
    <w:p w14:paraId="49DE1A16" w14:textId="75D35310" w:rsidR="00435025" w:rsidRDefault="00467238">
      <w:pPr>
        <w:pStyle w:val="TableofFigures"/>
        <w:tabs>
          <w:tab w:val="right" w:leader="dot" w:pos="9350"/>
        </w:tabs>
        <w:rPr>
          <w:rFonts w:asciiTheme="minorHAnsi" w:hAnsiTheme="minorHAnsi" w:cstheme="minorBidi"/>
          <w:noProof/>
          <w:sz w:val="22"/>
          <w:szCs w:val="22"/>
        </w:rPr>
      </w:pPr>
      <w:hyperlink w:anchor="_Toc114258115" w:history="1">
        <w:r w:rsidR="00435025" w:rsidRPr="00812ADE">
          <w:rPr>
            <w:rStyle w:val="Hyperlink"/>
            <w:noProof/>
          </w:rPr>
          <w:t>Figure 17. Poverty map overlay on stores that can be accessed by A</w:t>
        </w:r>
        <w:r w:rsidR="00435025">
          <w:rPr>
            <w:noProof/>
            <w:webHidden/>
          </w:rPr>
          <w:tab/>
        </w:r>
        <w:r w:rsidR="00435025">
          <w:rPr>
            <w:noProof/>
            <w:webHidden/>
          </w:rPr>
          <w:fldChar w:fldCharType="begin"/>
        </w:r>
        <w:r w:rsidR="00435025">
          <w:rPr>
            <w:noProof/>
            <w:webHidden/>
          </w:rPr>
          <w:instrText xml:space="preserve"> PAGEREF _Toc114258115 \h </w:instrText>
        </w:r>
        <w:r w:rsidR="00435025">
          <w:rPr>
            <w:noProof/>
            <w:webHidden/>
          </w:rPr>
        </w:r>
        <w:r w:rsidR="00435025">
          <w:rPr>
            <w:noProof/>
            <w:webHidden/>
          </w:rPr>
          <w:fldChar w:fldCharType="separate"/>
        </w:r>
        <w:r w:rsidR="00C42D79">
          <w:rPr>
            <w:noProof/>
            <w:webHidden/>
          </w:rPr>
          <w:t>119</w:t>
        </w:r>
        <w:r w:rsidR="00435025">
          <w:rPr>
            <w:noProof/>
            <w:webHidden/>
          </w:rPr>
          <w:fldChar w:fldCharType="end"/>
        </w:r>
      </w:hyperlink>
    </w:p>
    <w:p w14:paraId="689BA983" w14:textId="2C672AED" w:rsidR="00435025" w:rsidRDefault="00467238">
      <w:pPr>
        <w:pStyle w:val="TableofFigures"/>
        <w:tabs>
          <w:tab w:val="right" w:leader="dot" w:pos="9350"/>
        </w:tabs>
        <w:rPr>
          <w:rFonts w:asciiTheme="minorHAnsi" w:hAnsiTheme="minorHAnsi" w:cstheme="minorBidi"/>
          <w:noProof/>
          <w:sz w:val="22"/>
          <w:szCs w:val="22"/>
        </w:rPr>
      </w:pPr>
      <w:hyperlink w:anchor="_Toc114258116" w:history="1">
        <w:r w:rsidR="00435025" w:rsidRPr="00812ADE">
          <w:rPr>
            <w:rStyle w:val="Hyperlink"/>
            <w:noProof/>
          </w:rPr>
          <w:t>Figure 18. Opportunities accessible to Person C (5)</w:t>
        </w:r>
        <w:r w:rsidR="00435025">
          <w:rPr>
            <w:noProof/>
            <w:webHidden/>
          </w:rPr>
          <w:tab/>
        </w:r>
        <w:r w:rsidR="00435025">
          <w:rPr>
            <w:noProof/>
            <w:webHidden/>
          </w:rPr>
          <w:fldChar w:fldCharType="begin"/>
        </w:r>
        <w:r w:rsidR="00435025">
          <w:rPr>
            <w:noProof/>
            <w:webHidden/>
          </w:rPr>
          <w:instrText xml:space="preserve"> PAGEREF _Toc114258116 \h </w:instrText>
        </w:r>
        <w:r w:rsidR="00435025">
          <w:rPr>
            <w:noProof/>
            <w:webHidden/>
          </w:rPr>
        </w:r>
        <w:r w:rsidR="00435025">
          <w:rPr>
            <w:noProof/>
            <w:webHidden/>
          </w:rPr>
          <w:fldChar w:fldCharType="separate"/>
        </w:r>
        <w:r w:rsidR="00C42D79">
          <w:rPr>
            <w:noProof/>
            <w:webHidden/>
          </w:rPr>
          <w:t>124</w:t>
        </w:r>
        <w:r w:rsidR="00435025">
          <w:rPr>
            <w:noProof/>
            <w:webHidden/>
          </w:rPr>
          <w:fldChar w:fldCharType="end"/>
        </w:r>
      </w:hyperlink>
    </w:p>
    <w:p w14:paraId="36C2F988" w14:textId="052B3C07" w:rsidR="00435025" w:rsidRDefault="00467238">
      <w:pPr>
        <w:pStyle w:val="TableofFigures"/>
        <w:tabs>
          <w:tab w:val="right" w:leader="dot" w:pos="9350"/>
        </w:tabs>
        <w:rPr>
          <w:rFonts w:asciiTheme="minorHAnsi" w:hAnsiTheme="minorHAnsi" w:cstheme="minorBidi"/>
          <w:noProof/>
          <w:sz w:val="22"/>
          <w:szCs w:val="22"/>
        </w:rPr>
      </w:pPr>
      <w:hyperlink w:anchor="_Toc114258117" w:history="1">
        <w:r w:rsidR="00435025" w:rsidRPr="00812ADE">
          <w:rPr>
            <w:rStyle w:val="Hyperlink"/>
            <w:noProof/>
          </w:rPr>
          <w:t>Figure 19. Opportunities accessible to Person D (27)</w:t>
        </w:r>
        <w:r w:rsidR="00435025">
          <w:rPr>
            <w:noProof/>
            <w:webHidden/>
          </w:rPr>
          <w:tab/>
        </w:r>
        <w:r w:rsidR="00435025">
          <w:rPr>
            <w:noProof/>
            <w:webHidden/>
          </w:rPr>
          <w:fldChar w:fldCharType="begin"/>
        </w:r>
        <w:r w:rsidR="00435025">
          <w:rPr>
            <w:noProof/>
            <w:webHidden/>
          </w:rPr>
          <w:instrText xml:space="preserve"> PAGEREF _Toc114258117 \h </w:instrText>
        </w:r>
        <w:r w:rsidR="00435025">
          <w:rPr>
            <w:noProof/>
            <w:webHidden/>
          </w:rPr>
        </w:r>
        <w:r w:rsidR="00435025">
          <w:rPr>
            <w:noProof/>
            <w:webHidden/>
          </w:rPr>
          <w:fldChar w:fldCharType="separate"/>
        </w:r>
        <w:r w:rsidR="00C42D79">
          <w:rPr>
            <w:noProof/>
            <w:webHidden/>
          </w:rPr>
          <w:t>127</w:t>
        </w:r>
        <w:r w:rsidR="00435025">
          <w:rPr>
            <w:noProof/>
            <w:webHidden/>
          </w:rPr>
          <w:fldChar w:fldCharType="end"/>
        </w:r>
      </w:hyperlink>
    </w:p>
    <w:p w14:paraId="70EBA24E" w14:textId="3A2EB1F1" w:rsidR="00435025" w:rsidRDefault="00467238">
      <w:pPr>
        <w:pStyle w:val="TableofFigures"/>
        <w:tabs>
          <w:tab w:val="right" w:leader="dot" w:pos="9350"/>
        </w:tabs>
        <w:rPr>
          <w:rFonts w:asciiTheme="minorHAnsi" w:hAnsiTheme="minorHAnsi" w:cstheme="minorBidi"/>
          <w:noProof/>
          <w:sz w:val="22"/>
          <w:szCs w:val="22"/>
        </w:rPr>
      </w:pPr>
      <w:hyperlink w:anchor="_Toc114258118" w:history="1">
        <w:r w:rsidR="00435025" w:rsidRPr="00812ADE">
          <w:rPr>
            <w:rStyle w:val="Hyperlink"/>
            <w:noProof/>
          </w:rPr>
          <w:t>Figure 20. Opportunities near Person E's (18) Workplace without considering wheelchair accessibility</w:t>
        </w:r>
        <w:r w:rsidR="00435025">
          <w:rPr>
            <w:noProof/>
            <w:webHidden/>
          </w:rPr>
          <w:tab/>
        </w:r>
        <w:r w:rsidR="00435025">
          <w:rPr>
            <w:noProof/>
            <w:webHidden/>
          </w:rPr>
          <w:fldChar w:fldCharType="begin"/>
        </w:r>
        <w:r w:rsidR="00435025">
          <w:rPr>
            <w:noProof/>
            <w:webHidden/>
          </w:rPr>
          <w:instrText xml:space="preserve"> PAGEREF _Toc114258118 \h </w:instrText>
        </w:r>
        <w:r w:rsidR="00435025">
          <w:rPr>
            <w:noProof/>
            <w:webHidden/>
          </w:rPr>
        </w:r>
        <w:r w:rsidR="00435025">
          <w:rPr>
            <w:noProof/>
            <w:webHidden/>
          </w:rPr>
          <w:fldChar w:fldCharType="separate"/>
        </w:r>
        <w:r w:rsidR="00C42D79">
          <w:rPr>
            <w:noProof/>
            <w:webHidden/>
          </w:rPr>
          <w:t>133</w:t>
        </w:r>
        <w:r w:rsidR="00435025">
          <w:rPr>
            <w:noProof/>
            <w:webHidden/>
          </w:rPr>
          <w:fldChar w:fldCharType="end"/>
        </w:r>
      </w:hyperlink>
    </w:p>
    <w:p w14:paraId="1ABE8A9E" w14:textId="77839AE2" w:rsidR="00435025" w:rsidRDefault="00467238">
      <w:pPr>
        <w:pStyle w:val="TableofFigures"/>
        <w:tabs>
          <w:tab w:val="right" w:leader="dot" w:pos="9350"/>
        </w:tabs>
        <w:rPr>
          <w:rFonts w:asciiTheme="minorHAnsi" w:hAnsiTheme="minorHAnsi" w:cstheme="minorBidi"/>
          <w:noProof/>
          <w:sz w:val="22"/>
          <w:szCs w:val="22"/>
        </w:rPr>
      </w:pPr>
      <w:hyperlink w:anchor="_Toc114258119" w:history="1">
        <w:r w:rsidR="00435025" w:rsidRPr="00812ADE">
          <w:rPr>
            <w:rStyle w:val="Hyperlink"/>
            <w:noProof/>
          </w:rPr>
          <w:t>Figure 21. Opportunities accessible to Person E (18) considering wheelchair accessibility</w:t>
        </w:r>
        <w:r w:rsidR="00435025">
          <w:rPr>
            <w:noProof/>
            <w:webHidden/>
          </w:rPr>
          <w:tab/>
        </w:r>
        <w:r w:rsidR="00435025">
          <w:rPr>
            <w:noProof/>
            <w:webHidden/>
          </w:rPr>
          <w:fldChar w:fldCharType="begin"/>
        </w:r>
        <w:r w:rsidR="00435025">
          <w:rPr>
            <w:noProof/>
            <w:webHidden/>
          </w:rPr>
          <w:instrText xml:space="preserve"> PAGEREF _Toc114258119 \h </w:instrText>
        </w:r>
        <w:r w:rsidR="00435025">
          <w:rPr>
            <w:noProof/>
            <w:webHidden/>
          </w:rPr>
        </w:r>
        <w:r w:rsidR="00435025">
          <w:rPr>
            <w:noProof/>
            <w:webHidden/>
          </w:rPr>
          <w:fldChar w:fldCharType="separate"/>
        </w:r>
        <w:r w:rsidR="00C42D79">
          <w:rPr>
            <w:noProof/>
            <w:webHidden/>
          </w:rPr>
          <w:t>134</w:t>
        </w:r>
        <w:r w:rsidR="00435025">
          <w:rPr>
            <w:noProof/>
            <w:webHidden/>
          </w:rPr>
          <w:fldChar w:fldCharType="end"/>
        </w:r>
      </w:hyperlink>
    </w:p>
    <w:p w14:paraId="1AD881AE" w14:textId="558EECB4" w:rsidR="00435025" w:rsidRDefault="00467238">
      <w:pPr>
        <w:pStyle w:val="TableofFigures"/>
        <w:tabs>
          <w:tab w:val="right" w:leader="dot" w:pos="9350"/>
        </w:tabs>
        <w:rPr>
          <w:rFonts w:asciiTheme="minorHAnsi" w:hAnsiTheme="minorHAnsi" w:cstheme="minorBidi"/>
          <w:noProof/>
          <w:sz w:val="22"/>
          <w:szCs w:val="22"/>
        </w:rPr>
      </w:pPr>
      <w:hyperlink w:anchor="_Toc114258120" w:history="1">
        <w:r w:rsidR="00435025" w:rsidRPr="00812ADE">
          <w:rPr>
            <w:rStyle w:val="Hyperlink"/>
            <w:noProof/>
          </w:rPr>
          <w:t>Figure 22. First- and Second-order Opportunities accessible to Person E</w:t>
        </w:r>
        <w:r w:rsidR="00435025">
          <w:rPr>
            <w:noProof/>
            <w:webHidden/>
          </w:rPr>
          <w:tab/>
        </w:r>
        <w:r w:rsidR="00435025">
          <w:rPr>
            <w:noProof/>
            <w:webHidden/>
          </w:rPr>
          <w:fldChar w:fldCharType="begin"/>
        </w:r>
        <w:r w:rsidR="00435025">
          <w:rPr>
            <w:noProof/>
            <w:webHidden/>
          </w:rPr>
          <w:instrText xml:space="preserve"> PAGEREF _Toc114258120 \h </w:instrText>
        </w:r>
        <w:r w:rsidR="00435025">
          <w:rPr>
            <w:noProof/>
            <w:webHidden/>
          </w:rPr>
        </w:r>
        <w:r w:rsidR="00435025">
          <w:rPr>
            <w:noProof/>
            <w:webHidden/>
          </w:rPr>
          <w:fldChar w:fldCharType="separate"/>
        </w:r>
        <w:r w:rsidR="00C42D79">
          <w:rPr>
            <w:noProof/>
            <w:webHidden/>
          </w:rPr>
          <w:t>135</w:t>
        </w:r>
        <w:r w:rsidR="00435025">
          <w:rPr>
            <w:noProof/>
            <w:webHidden/>
          </w:rPr>
          <w:fldChar w:fldCharType="end"/>
        </w:r>
      </w:hyperlink>
    </w:p>
    <w:p w14:paraId="7EF39F1D" w14:textId="2AAE1570" w:rsidR="00435025" w:rsidRDefault="00467238">
      <w:pPr>
        <w:pStyle w:val="TableofFigures"/>
        <w:tabs>
          <w:tab w:val="right" w:leader="dot" w:pos="9350"/>
        </w:tabs>
        <w:rPr>
          <w:rFonts w:asciiTheme="minorHAnsi" w:hAnsiTheme="minorHAnsi" w:cstheme="minorBidi"/>
          <w:noProof/>
          <w:sz w:val="22"/>
          <w:szCs w:val="22"/>
        </w:rPr>
      </w:pPr>
      <w:hyperlink w:anchor="_Toc114258121" w:history="1">
        <w:r w:rsidR="00435025" w:rsidRPr="00812ADE">
          <w:rPr>
            <w:rStyle w:val="Hyperlink"/>
            <w:noProof/>
          </w:rPr>
          <w:t>Figure 23. First-, Second-, and Third-order Opportunities accessible to Person E</w:t>
        </w:r>
        <w:r w:rsidR="00435025">
          <w:rPr>
            <w:noProof/>
            <w:webHidden/>
          </w:rPr>
          <w:tab/>
        </w:r>
        <w:r w:rsidR="00435025">
          <w:rPr>
            <w:noProof/>
            <w:webHidden/>
          </w:rPr>
          <w:fldChar w:fldCharType="begin"/>
        </w:r>
        <w:r w:rsidR="00435025">
          <w:rPr>
            <w:noProof/>
            <w:webHidden/>
          </w:rPr>
          <w:instrText xml:space="preserve"> PAGEREF _Toc114258121 \h </w:instrText>
        </w:r>
        <w:r w:rsidR="00435025">
          <w:rPr>
            <w:noProof/>
            <w:webHidden/>
          </w:rPr>
        </w:r>
        <w:r w:rsidR="00435025">
          <w:rPr>
            <w:noProof/>
            <w:webHidden/>
          </w:rPr>
          <w:fldChar w:fldCharType="separate"/>
        </w:r>
        <w:r w:rsidR="00C42D79">
          <w:rPr>
            <w:noProof/>
            <w:webHidden/>
          </w:rPr>
          <w:t>137</w:t>
        </w:r>
        <w:r w:rsidR="00435025">
          <w:rPr>
            <w:noProof/>
            <w:webHidden/>
          </w:rPr>
          <w:fldChar w:fldCharType="end"/>
        </w:r>
      </w:hyperlink>
    </w:p>
    <w:p w14:paraId="632C107F" w14:textId="0D5FCC62" w:rsidR="00435025" w:rsidRDefault="00467238">
      <w:pPr>
        <w:pStyle w:val="TableofFigures"/>
        <w:tabs>
          <w:tab w:val="right" w:leader="dot" w:pos="9350"/>
        </w:tabs>
        <w:rPr>
          <w:rFonts w:asciiTheme="minorHAnsi" w:hAnsiTheme="minorHAnsi" w:cstheme="minorBidi"/>
          <w:noProof/>
          <w:sz w:val="22"/>
          <w:szCs w:val="22"/>
        </w:rPr>
      </w:pPr>
      <w:hyperlink w:anchor="_Toc114258122" w:history="1">
        <w:r w:rsidR="00435025" w:rsidRPr="00812ADE">
          <w:rPr>
            <w:rStyle w:val="Hyperlink"/>
            <w:noProof/>
          </w:rPr>
          <w:t>Figure 24. Opportunities accessible to Person H (6)</w:t>
        </w:r>
        <w:r w:rsidR="00435025">
          <w:rPr>
            <w:noProof/>
            <w:webHidden/>
          </w:rPr>
          <w:tab/>
        </w:r>
        <w:r w:rsidR="00435025">
          <w:rPr>
            <w:noProof/>
            <w:webHidden/>
          </w:rPr>
          <w:fldChar w:fldCharType="begin"/>
        </w:r>
        <w:r w:rsidR="00435025">
          <w:rPr>
            <w:noProof/>
            <w:webHidden/>
          </w:rPr>
          <w:instrText xml:space="preserve"> PAGEREF _Toc114258122 \h </w:instrText>
        </w:r>
        <w:r w:rsidR="00435025">
          <w:rPr>
            <w:noProof/>
            <w:webHidden/>
          </w:rPr>
        </w:r>
        <w:r w:rsidR="00435025">
          <w:rPr>
            <w:noProof/>
            <w:webHidden/>
          </w:rPr>
          <w:fldChar w:fldCharType="separate"/>
        </w:r>
        <w:r w:rsidR="00C42D79">
          <w:rPr>
            <w:noProof/>
            <w:webHidden/>
          </w:rPr>
          <w:t>140</w:t>
        </w:r>
        <w:r w:rsidR="00435025">
          <w:rPr>
            <w:noProof/>
            <w:webHidden/>
          </w:rPr>
          <w:fldChar w:fldCharType="end"/>
        </w:r>
      </w:hyperlink>
    </w:p>
    <w:p w14:paraId="2C81C6CF" w14:textId="739BE785" w:rsidR="00435025" w:rsidRDefault="00467238">
      <w:pPr>
        <w:pStyle w:val="TableofFigures"/>
        <w:tabs>
          <w:tab w:val="right" w:leader="dot" w:pos="9350"/>
        </w:tabs>
        <w:rPr>
          <w:rFonts w:asciiTheme="minorHAnsi" w:hAnsiTheme="minorHAnsi" w:cstheme="minorBidi"/>
          <w:noProof/>
          <w:sz w:val="22"/>
          <w:szCs w:val="22"/>
        </w:rPr>
      </w:pPr>
      <w:hyperlink w:anchor="_Toc114258123" w:history="1">
        <w:r w:rsidR="00435025" w:rsidRPr="00812ADE">
          <w:rPr>
            <w:rStyle w:val="Hyperlink"/>
            <w:noProof/>
          </w:rPr>
          <w:t>Figure 25. Opportunities that accept SNAP benefits accessible to Person H</w:t>
        </w:r>
        <w:r w:rsidR="00435025">
          <w:rPr>
            <w:noProof/>
            <w:webHidden/>
          </w:rPr>
          <w:tab/>
        </w:r>
        <w:r w:rsidR="00435025">
          <w:rPr>
            <w:noProof/>
            <w:webHidden/>
          </w:rPr>
          <w:fldChar w:fldCharType="begin"/>
        </w:r>
        <w:r w:rsidR="00435025">
          <w:rPr>
            <w:noProof/>
            <w:webHidden/>
          </w:rPr>
          <w:instrText xml:space="preserve"> PAGEREF _Toc114258123 \h </w:instrText>
        </w:r>
        <w:r w:rsidR="00435025">
          <w:rPr>
            <w:noProof/>
            <w:webHidden/>
          </w:rPr>
        </w:r>
        <w:r w:rsidR="00435025">
          <w:rPr>
            <w:noProof/>
            <w:webHidden/>
          </w:rPr>
          <w:fldChar w:fldCharType="separate"/>
        </w:r>
        <w:r w:rsidR="00C42D79">
          <w:rPr>
            <w:noProof/>
            <w:webHidden/>
          </w:rPr>
          <w:t>141</w:t>
        </w:r>
        <w:r w:rsidR="00435025">
          <w:rPr>
            <w:noProof/>
            <w:webHidden/>
          </w:rPr>
          <w:fldChar w:fldCharType="end"/>
        </w:r>
      </w:hyperlink>
    </w:p>
    <w:p w14:paraId="09B4B18B" w14:textId="0F816A89" w:rsidR="00435025" w:rsidRDefault="00467238">
      <w:pPr>
        <w:pStyle w:val="TableofFigures"/>
        <w:tabs>
          <w:tab w:val="right" w:leader="dot" w:pos="9350"/>
        </w:tabs>
        <w:rPr>
          <w:rFonts w:asciiTheme="minorHAnsi" w:hAnsiTheme="minorHAnsi" w:cstheme="minorBidi"/>
          <w:noProof/>
          <w:sz w:val="22"/>
          <w:szCs w:val="22"/>
        </w:rPr>
      </w:pPr>
      <w:hyperlink w:anchor="_Toc114258124" w:history="1">
        <w:r w:rsidR="00435025" w:rsidRPr="00812ADE">
          <w:rPr>
            <w:rStyle w:val="Hyperlink"/>
            <w:noProof/>
          </w:rPr>
          <w:t>Figure 26. Opportunities that both accept SNAP benefits and are moderately priced accessible to person H</w:t>
        </w:r>
        <w:r w:rsidR="00435025">
          <w:rPr>
            <w:noProof/>
            <w:webHidden/>
          </w:rPr>
          <w:tab/>
        </w:r>
        <w:r w:rsidR="00435025">
          <w:rPr>
            <w:noProof/>
            <w:webHidden/>
          </w:rPr>
          <w:fldChar w:fldCharType="begin"/>
        </w:r>
        <w:r w:rsidR="00435025">
          <w:rPr>
            <w:noProof/>
            <w:webHidden/>
          </w:rPr>
          <w:instrText xml:space="preserve"> PAGEREF _Toc114258124 \h </w:instrText>
        </w:r>
        <w:r w:rsidR="00435025">
          <w:rPr>
            <w:noProof/>
            <w:webHidden/>
          </w:rPr>
        </w:r>
        <w:r w:rsidR="00435025">
          <w:rPr>
            <w:noProof/>
            <w:webHidden/>
          </w:rPr>
          <w:fldChar w:fldCharType="separate"/>
        </w:r>
        <w:r w:rsidR="00C42D79">
          <w:rPr>
            <w:noProof/>
            <w:webHidden/>
          </w:rPr>
          <w:t>143</w:t>
        </w:r>
        <w:r w:rsidR="00435025">
          <w:rPr>
            <w:noProof/>
            <w:webHidden/>
          </w:rPr>
          <w:fldChar w:fldCharType="end"/>
        </w:r>
      </w:hyperlink>
    </w:p>
    <w:p w14:paraId="38C5B584" w14:textId="740BD9C4" w:rsidR="00911FD9" w:rsidRPr="000901FB" w:rsidRDefault="00A43D75" w:rsidP="00911FD9">
      <w:pPr>
        <w:spacing w:line="480" w:lineRule="auto"/>
        <w:sectPr w:rsidR="00911FD9" w:rsidRPr="000901FB" w:rsidSect="00F3527F">
          <w:footerReference w:type="default" r:id="rId12"/>
          <w:pgSz w:w="12240" w:h="15840"/>
          <w:pgMar w:top="1440" w:right="1440" w:bottom="1440" w:left="1440" w:header="720" w:footer="720" w:gutter="0"/>
          <w:pgNumType w:fmt="lowerRoman" w:start="1"/>
          <w:cols w:space="720"/>
          <w:titlePg/>
          <w:docGrid w:linePitch="360"/>
        </w:sectPr>
      </w:pPr>
      <w:r>
        <w:fldChar w:fldCharType="end"/>
      </w:r>
    </w:p>
    <w:p w14:paraId="594E48DA" w14:textId="2BE39F4F" w:rsidR="00835444" w:rsidRPr="000D0A85" w:rsidRDefault="00A13D59" w:rsidP="000D0A85">
      <w:pPr>
        <w:pStyle w:val="Heading1"/>
        <w:spacing w:after="240"/>
        <w:jc w:val="center"/>
        <w:rPr>
          <w:rFonts w:ascii="Times New Roman" w:hAnsi="Times New Roman" w:cs="Times New Roman"/>
          <w:b/>
          <w:bCs/>
          <w:color w:val="auto"/>
        </w:rPr>
      </w:pPr>
      <w:bookmarkStart w:id="2" w:name="_Toc114258029"/>
      <w:r>
        <w:rPr>
          <w:rFonts w:ascii="Times New Roman" w:hAnsi="Times New Roman" w:cs="Times New Roman"/>
          <w:b/>
          <w:bCs/>
          <w:color w:val="auto"/>
        </w:rPr>
        <w:lastRenderedPageBreak/>
        <w:t xml:space="preserve">CHAPTER 1. </w:t>
      </w:r>
      <w:r w:rsidR="00485559" w:rsidRPr="000D0A85">
        <w:rPr>
          <w:rFonts w:ascii="Times New Roman" w:hAnsi="Times New Roman" w:cs="Times New Roman"/>
          <w:b/>
          <w:bCs/>
          <w:color w:val="auto"/>
        </w:rPr>
        <w:t>INTRODUCTION</w:t>
      </w:r>
      <w:bookmarkEnd w:id="2"/>
    </w:p>
    <w:p w14:paraId="72E9A951" w14:textId="07EFCBCB" w:rsidR="00CD2D68" w:rsidRPr="00CD2D68" w:rsidRDefault="00CD2D68" w:rsidP="00156BEA">
      <w:pPr>
        <w:spacing w:line="480" w:lineRule="auto"/>
        <w:ind w:firstLine="720"/>
      </w:pPr>
      <w:r w:rsidRPr="00CD2D68">
        <w:t>Access to human needs such as food, medical care, education, jobs, and greenspaces are integral for quality of life and well-being. Unequal distribution of services, resources,</w:t>
      </w:r>
      <w:r w:rsidR="00B459AB">
        <w:t xml:space="preserve"> </w:t>
      </w:r>
      <w:proofErr w:type="gramStart"/>
      <w:r w:rsidR="00B459AB">
        <w:t>activities</w:t>
      </w:r>
      <w:proofErr w:type="gramEnd"/>
      <w:r w:rsidRPr="00CD2D68">
        <w:t xml:space="preserve"> and facilities (hereafter, opportunities) is a social inequality requiring greater attention (Knox, 1980; van Wee, 2016; van Wee &amp; </w:t>
      </w:r>
      <w:proofErr w:type="spellStart"/>
      <w:r w:rsidRPr="00CD2D68">
        <w:t>Geurs</w:t>
      </w:r>
      <w:proofErr w:type="spellEnd"/>
      <w:r w:rsidRPr="00CD2D68">
        <w:t xml:space="preserve">, 2011). </w:t>
      </w:r>
      <w:r w:rsidR="00DC19E4">
        <w:t>Access is a construct describing whether people can or cannot reach and/or use their desired opportunities but o</w:t>
      </w:r>
      <w:r w:rsidRPr="00CD2D68">
        <w:t xml:space="preserve">ne problem in research and practice is the ambiguity of what access requires. Its meaning is often unclear and without standardized methods and approaches (Handy, 2020; Handy &amp; </w:t>
      </w:r>
      <w:proofErr w:type="spellStart"/>
      <w:r w:rsidRPr="00CD2D68">
        <w:t>Niemeier</w:t>
      </w:r>
      <w:proofErr w:type="spellEnd"/>
      <w:r w:rsidRPr="00CD2D68">
        <w:t>, 1997; E. J. Miller, 2018). Literature is typified by spatial (geographic/physical) accessibility measures focusing on the attractiveness of opportunities and accessibility or ease to which these opportunity locations can be reached with existing land-use and transport systems under temporal constraints and considering individual characteristics of people (</w:t>
      </w:r>
      <w:proofErr w:type="spellStart"/>
      <w:r w:rsidRPr="00CD2D68">
        <w:t>Geurs</w:t>
      </w:r>
      <w:proofErr w:type="spellEnd"/>
      <w:r w:rsidRPr="00CD2D68">
        <w:t xml:space="preserve"> &amp; van Wee, 2004). </w:t>
      </w:r>
      <w:r w:rsidR="00AD7F5E">
        <w:t>In this sense,</w:t>
      </w:r>
      <w:r w:rsidR="00232C6F">
        <w:t xml:space="preserve"> </w:t>
      </w:r>
      <w:r w:rsidR="00AD7F5E">
        <w:t xml:space="preserve">accessibility refers to the ability of people </w:t>
      </w:r>
      <w:r w:rsidR="00730128">
        <w:t xml:space="preserve">(or ease) </w:t>
      </w:r>
      <w:r w:rsidR="00AD7F5E">
        <w:t xml:space="preserve">to reach desired opportunities. </w:t>
      </w:r>
      <w:r w:rsidRPr="00CD2D68">
        <w:t>Perhaps, one important reason</w:t>
      </w:r>
      <w:r w:rsidR="00BA3A8F">
        <w:t xml:space="preserve"> for the ambiguity in measuring access</w:t>
      </w:r>
      <w:r w:rsidRPr="00CD2D68">
        <w:t xml:space="preserve"> is the lack of a common conceptual understanding of the factors relevant to the interaction between individuals and the broader system of opportunities that influences access. </w:t>
      </w:r>
      <w:proofErr w:type="spellStart"/>
      <w:r w:rsidRPr="00CD2D68">
        <w:t>Penchansky</w:t>
      </w:r>
      <w:proofErr w:type="spellEnd"/>
      <w:r w:rsidRPr="00CD2D68">
        <w:t xml:space="preserve"> and Thomas (1981) proposed a framework highlighting five interrelated dimensions contributing to individual ability or willingness to use the healthcare system. Availability is the ratio between the volume, diversity, and quality of opportunities and demand by people. Accessibility reflects the ease to which people can overcome the spatial separation between their location and of desired opportunities. Accommodation reflects the appropriateness of the organization of opportunities to accept people with respect to the abilities and willingness of people, e.g., operational hours and parking. Affordability describes the relationship of prices and accepted payment options </w:t>
      </w:r>
      <w:r w:rsidR="00C14440">
        <w:t xml:space="preserve">of opportunities </w:t>
      </w:r>
      <w:r w:rsidRPr="00CD2D68">
        <w:lastRenderedPageBreak/>
        <w:t>with the capacity and willingness of people to pay. Acceptability refers to the relationship between the perceptions and expectations of people and opportunities—for example, preferences for a particular race, gender, etc. These five dimensions repeatedly emerge in the literature to contexts beyond healthcare</w:t>
      </w:r>
      <w:r w:rsidR="00022E96">
        <w:t xml:space="preserve"> and as causal factors influencing procurement of opportunities</w:t>
      </w:r>
      <w:r w:rsidRPr="00CD2D68">
        <w:t xml:space="preserve">, suggesting </w:t>
      </w:r>
      <w:r w:rsidR="00022E96">
        <w:t>they</w:t>
      </w:r>
      <w:r w:rsidRPr="00CD2D68">
        <w:t xml:space="preserve"> can be broadened to different human needs.</w:t>
      </w:r>
    </w:p>
    <w:p w14:paraId="09116E68" w14:textId="77777777" w:rsidR="00CD2D68" w:rsidRPr="00CD2D68" w:rsidRDefault="00CD2D68" w:rsidP="00156BEA">
      <w:pPr>
        <w:spacing w:line="480" w:lineRule="auto"/>
        <w:ind w:firstLine="720"/>
      </w:pPr>
      <w:r w:rsidRPr="00CD2D68">
        <w:t xml:space="preserve">Despite widespread acknowledgment of access as a multidimensional concept, extant literature is largely premised in physical space with a fixation on the physical locations of people who access opportunities, e.g., customers, patients, </w:t>
      </w:r>
      <w:proofErr w:type="gramStart"/>
      <w:r w:rsidRPr="00CD2D68">
        <w:t>job-seekers</w:t>
      </w:r>
      <w:proofErr w:type="gramEnd"/>
      <w:r w:rsidRPr="00CD2D68">
        <w:t>, etc., and people and entities that are the source of these opportunities, e.g., stores, hospitals, employers, etc., (hereafter, destinations) in Euclidean space with a Cartesian coordinate system. But with increasing use of information and communication technology (ICT), conceptualization and operationalization of spatial accessibility based on static spatial frameworks is insufficient to capture contemporary situations of access and spatiotemporal experiences of people (Kwan, 2007, 2013). ICT advancements foster virtual space (Janelle &amp; Hodge, 2000) which affords greater flexibility and freedom for people to carry out activities and interactions in space-time and fulfill their needs by minimizing various constraints and facilitating new opportunities (Yu &amp; Shaw, 2007, 2008; Shaw &amp; Yu, 2009). This includes the popularization of online shopping, telehealth, telecommuting, and e-learning (van Wee, 2016). ICT transforms contemporary activity-travel behavior and renders core spatial accessibility concepts including proximity, propinquity, and friction of distance less important (</w:t>
      </w:r>
      <w:proofErr w:type="spellStart"/>
      <w:r w:rsidRPr="00CD2D68">
        <w:t>Afradi</w:t>
      </w:r>
      <w:proofErr w:type="spellEnd"/>
      <w:r w:rsidRPr="00CD2D68">
        <w:t xml:space="preserve"> &amp; </w:t>
      </w:r>
      <w:proofErr w:type="spellStart"/>
      <w:r w:rsidRPr="00CD2D68">
        <w:t>Nourian</w:t>
      </w:r>
      <w:proofErr w:type="spellEnd"/>
      <w:r w:rsidRPr="00CD2D68">
        <w:t xml:space="preserve">, 2020). </w:t>
      </w:r>
    </w:p>
    <w:p w14:paraId="30D8F86F" w14:textId="48C247ED" w:rsidR="00EB6305" w:rsidRDefault="00CD2D68" w:rsidP="00156BEA">
      <w:pPr>
        <w:spacing w:line="480" w:lineRule="auto"/>
        <w:ind w:firstLine="420"/>
      </w:pPr>
      <w:r w:rsidRPr="00CD2D68">
        <w:t xml:space="preserve">Conventional approaches and indicators of accessibility calculated with spatial data are insufficient in holistically and accurately capturing the distribution of available opportunities between people. They ignore important components including ICT, local context, social </w:t>
      </w:r>
      <w:proofErr w:type="gramStart"/>
      <w:r w:rsidRPr="00CD2D68">
        <w:lastRenderedPageBreak/>
        <w:t>networks</w:t>
      </w:r>
      <w:proofErr w:type="gramEnd"/>
      <w:r w:rsidRPr="00CD2D68">
        <w:t xml:space="preserve"> and mental perceptions. Scholars have increasingly argued that the conventional static approach to calculating access </w:t>
      </w:r>
      <w:r w:rsidR="00C71055">
        <w:t xml:space="preserve">to </w:t>
      </w:r>
      <w:r w:rsidR="00D70F31">
        <w:t xml:space="preserve">human needs </w:t>
      </w:r>
      <w:r w:rsidRPr="00CD2D68">
        <w:t>is devoid of recognizing the mobilities of people and their contextual environments as they carry out different activities over space-time beyond places such as home and work (Kwan, 2013; McLafferty, 2020; Ren &amp; Kwan, 2009). Relational aspects including social capital, networks, relationships, and interactions also influence access (Bergmann &amp; O’Sullivan, 2018; Paul et al., 2019; Andris, 2016). Access too is mediated by individual perceptions of the environment and land-use and transport systems (Handy, 2020; Pot et al., 2021; Ryan &amp; Pereira, 2021).</w:t>
      </w:r>
      <w:r w:rsidR="008F213E">
        <w:t xml:space="preserve"> </w:t>
      </w:r>
      <w:r w:rsidR="006D5BE9">
        <w:t>R</w:t>
      </w:r>
      <w:r w:rsidR="008F213E">
        <w:t>esearch on food access can be characterized with the same critique.</w:t>
      </w:r>
      <w:r w:rsidRPr="00CD2D68">
        <w:t xml:space="preserve"> While scholars </w:t>
      </w:r>
      <w:r w:rsidR="00157279">
        <w:t xml:space="preserve">have </w:t>
      </w:r>
      <w:r w:rsidRPr="00CD2D68">
        <w:t>explore</w:t>
      </w:r>
      <w:r w:rsidR="00157279">
        <w:t>d</w:t>
      </w:r>
      <w:r w:rsidRPr="00CD2D68">
        <w:t xml:space="preserve"> access beyond spatial accessibility, there lacks a holistic framework relating access to the complexity of diverse human experiences</w:t>
      </w:r>
      <w:r w:rsidR="00F27BA4">
        <w:t xml:space="preserve"> let alone a</w:t>
      </w:r>
      <w:r w:rsidR="00132D99">
        <w:t xml:space="preserve"> </w:t>
      </w:r>
      <w:r w:rsidR="006A614F">
        <w:t xml:space="preserve">GIS environment capable of </w:t>
      </w:r>
      <w:r w:rsidR="00132D99">
        <w:t xml:space="preserve">modeling and analyzing </w:t>
      </w:r>
      <w:r w:rsidR="00213E8C">
        <w:t xml:space="preserve">access that </w:t>
      </w:r>
      <w:r w:rsidR="000E5667">
        <w:t xml:space="preserve">simultaneously </w:t>
      </w:r>
      <w:r w:rsidR="00213E8C">
        <w:t>takes into consideration</w:t>
      </w:r>
      <w:r w:rsidR="000E5667">
        <w:t xml:space="preserve"> </w:t>
      </w:r>
      <w:r w:rsidR="007B45C2">
        <w:t xml:space="preserve">absolute locations, </w:t>
      </w:r>
      <w:r w:rsidR="000E5667">
        <w:t xml:space="preserve">local context, social relations, </w:t>
      </w:r>
      <w:r w:rsidR="007B45C2">
        <w:t xml:space="preserve">and </w:t>
      </w:r>
      <w:r w:rsidR="000E5667">
        <w:t>human perceptions</w:t>
      </w:r>
      <w:r w:rsidR="007B45C2">
        <w:t xml:space="preserve"> in a hybrid physical-virtual world</w:t>
      </w:r>
      <w:r w:rsidRPr="00CD2D68">
        <w:t xml:space="preserve">. </w:t>
      </w:r>
    </w:p>
    <w:p w14:paraId="3586FD2F" w14:textId="77367EA0" w:rsidR="00835444" w:rsidRPr="000D0A85" w:rsidRDefault="0013507A" w:rsidP="000D0A85">
      <w:pPr>
        <w:pStyle w:val="Heading2"/>
        <w:spacing w:after="240"/>
        <w:jc w:val="center"/>
        <w:rPr>
          <w:rFonts w:ascii="Times New Roman" w:hAnsi="Times New Roman" w:cs="Times New Roman"/>
          <w:b/>
          <w:bCs/>
          <w:color w:val="auto"/>
        </w:rPr>
      </w:pPr>
      <w:bookmarkStart w:id="3" w:name="_Toc114258030"/>
      <w:r>
        <w:rPr>
          <w:rFonts w:ascii="Times New Roman" w:hAnsi="Times New Roman" w:cs="Times New Roman"/>
          <w:b/>
          <w:bCs/>
          <w:color w:val="auto"/>
        </w:rPr>
        <w:t xml:space="preserve">1.1. </w:t>
      </w:r>
      <w:r w:rsidR="000D0A85" w:rsidRPr="000D0A85">
        <w:rPr>
          <w:rFonts w:ascii="Times New Roman" w:hAnsi="Times New Roman" w:cs="Times New Roman"/>
          <w:b/>
          <w:bCs/>
          <w:color w:val="auto"/>
        </w:rPr>
        <w:t>RESEARCH QUESTIONS</w:t>
      </w:r>
      <w:bookmarkEnd w:id="3"/>
    </w:p>
    <w:p w14:paraId="6DB7E112" w14:textId="499E383F" w:rsidR="00A135A8" w:rsidRPr="00A135A8" w:rsidRDefault="00A135A8" w:rsidP="00156BEA">
      <w:pPr>
        <w:spacing w:line="480" w:lineRule="auto"/>
        <w:ind w:firstLine="420"/>
      </w:pPr>
      <w:r>
        <w:t xml:space="preserve">A few questions arise that guide this dissertation research: </w:t>
      </w:r>
    </w:p>
    <w:p w14:paraId="12AC8EBD" w14:textId="564ED406" w:rsidR="004450A2" w:rsidRDefault="00BA1094" w:rsidP="00156BEA">
      <w:pPr>
        <w:spacing w:line="480" w:lineRule="auto"/>
        <w:ind w:left="720"/>
      </w:pPr>
      <w:r>
        <w:t xml:space="preserve">1. </w:t>
      </w:r>
      <w:r w:rsidR="004450A2">
        <w:t>What are the relationships between different dimensions of access—availability, accessibility, affordability, accommodation, and acceptability—and various conceptions of space? How and to what extent are different dimensions of access changing in an increasingly physical-virtual world?</w:t>
      </w:r>
    </w:p>
    <w:p w14:paraId="2177D2D8" w14:textId="35D65E9C" w:rsidR="005641E0" w:rsidRDefault="004450A2" w:rsidP="00156BEA">
      <w:pPr>
        <w:spacing w:line="480" w:lineRule="auto"/>
        <w:ind w:left="720"/>
      </w:pPr>
      <w:r>
        <w:t xml:space="preserve">2. What types of data can reflect upon people’s contextual environments, </w:t>
      </w:r>
      <w:r w:rsidR="00556461">
        <w:t>relations</w:t>
      </w:r>
      <w:r w:rsidR="00921BF5">
        <w:t>hips and interactions</w:t>
      </w:r>
      <w:r>
        <w:t xml:space="preserve">, and mental perceptions </w:t>
      </w:r>
      <w:r w:rsidR="00BB24D3">
        <w:t>related to food</w:t>
      </w:r>
      <w:r>
        <w:t xml:space="preserve"> access?</w:t>
      </w:r>
      <w:r w:rsidR="005641E0">
        <w:t xml:space="preserve"> How can the</w:t>
      </w:r>
      <w:r w:rsidR="00BD49AC">
        <w:t>se data</w:t>
      </w:r>
      <w:r w:rsidR="005641E0">
        <w:t xml:space="preserve"> </w:t>
      </w:r>
      <w:r w:rsidR="00BD49AC">
        <w:t>be integrated in a GIS to better understand the potential opportunities accessible to people?</w:t>
      </w:r>
      <w:r w:rsidR="005641E0">
        <w:t xml:space="preserve"> </w:t>
      </w:r>
    </w:p>
    <w:p w14:paraId="4FAC299B" w14:textId="64355D05" w:rsidR="00BA1094" w:rsidRDefault="00BD49AC" w:rsidP="00156BEA">
      <w:pPr>
        <w:spacing w:line="480" w:lineRule="auto"/>
        <w:ind w:left="720"/>
      </w:pPr>
      <w:r>
        <w:lastRenderedPageBreak/>
        <w:t>3</w:t>
      </w:r>
      <w:r w:rsidR="004450A2">
        <w:t xml:space="preserve">. What space-time GIS and other relevant methods are useful to explore how local context, social </w:t>
      </w:r>
      <w:proofErr w:type="gramStart"/>
      <w:r w:rsidR="000D66DB">
        <w:t>relations</w:t>
      </w:r>
      <w:proofErr w:type="gramEnd"/>
      <w:r w:rsidR="004450A2">
        <w:t xml:space="preserve"> and mental perceptions shape access to </w:t>
      </w:r>
      <w:r w:rsidR="00D36A38">
        <w:t>opportunities</w:t>
      </w:r>
      <w:r w:rsidR="004450A2">
        <w:t>?</w:t>
      </w:r>
    </w:p>
    <w:p w14:paraId="12D47638" w14:textId="2CD940E1" w:rsidR="00A13D59" w:rsidRDefault="00970A19" w:rsidP="00156BEA">
      <w:pPr>
        <w:spacing w:line="480" w:lineRule="auto"/>
      </w:pPr>
      <w:r>
        <w:t>These research questions</w:t>
      </w:r>
      <w:r w:rsidR="00624A4D">
        <w:t xml:space="preserve"> signify </w:t>
      </w:r>
      <w:r w:rsidR="004B37EE">
        <w:t xml:space="preserve">the need to </w:t>
      </w:r>
      <w:r w:rsidR="00F349D1">
        <w:t xml:space="preserve">expand </w:t>
      </w:r>
      <w:r w:rsidR="00DB35C6">
        <w:t>conventional</w:t>
      </w:r>
      <w:r w:rsidR="00A30EF2">
        <w:t xml:space="preserve"> understanding of food access in a </w:t>
      </w:r>
      <w:r w:rsidR="0097046C">
        <w:t xml:space="preserve">hybrid </w:t>
      </w:r>
      <w:r w:rsidR="00A30EF2">
        <w:t>physical-virtual world</w:t>
      </w:r>
      <w:r w:rsidR="00624A4D">
        <w:t xml:space="preserve"> </w:t>
      </w:r>
      <w:r w:rsidR="0097046C">
        <w:t>and to develop GIS capable of representing</w:t>
      </w:r>
      <w:r w:rsidR="00DB35C6">
        <w:t xml:space="preserve"> </w:t>
      </w:r>
      <w:r w:rsidR="00C41A6E">
        <w:t>contemporary concepts and handling different human experiences</w:t>
      </w:r>
      <w:r w:rsidR="00A13D59">
        <w:t>.</w:t>
      </w:r>
    </w:p>
    <w:p w14:paraId="437B9073" w14:textId="5198D65B" w:rsidR="00A13D59" w:rsidRPr="00A13D59" w:rsidRDefault="0013507A" w:rsidP="00A13D59">
      <w:pPr>
        <w:pStyle w:val="Heading2"/>
        <w:spacing w:after="240"/>
        <w:jc w:val="center"/>
        <w:rPr>
          <w:rFonts w:ascii="Times New Roman" w:hAnsi="Times New Roman" w:cs="Times New Roman"/>
          <w:b/>
          <w:bCs/>
          <w:color w:val="auto"/>
        </w:rPr>
      </w:pPr>
      <w:bookmarkStart w:id="4" w:name="_Toc114258031"/>
      <w:r>
        <w:rPr>
          <w:rFonts w:ascii="Times New Roman" w:hAnsi="Times New Roman" w:cs="Times New Roman"/>
          <w:b/>
          <w:bCs/>
          <w:color w:val="auto"/>
        </w:rPr>
        <w:t xml:space="preserve">1.2. </w:t>
      </w:r>
      <w:r w:rsidR="00A13D59" w:rsidRPr="00A13D59">
        <w:rPr>
          <w:rFonts w:ascii="Times New Roman" w:hAnsi="Times New Roman" w:cs="Times New Roman"/>
          <w:b/>
          <w:bCs/>
          <w:color w:val="auto"/>
        </w:rPr>
        <w:t>RESEARCH OBJECTIVES</w:t>
      </w:r>
      <w:bookmarkEnd w:id="4"/>
    </w:p>
    <w:p w14:paraId="553C58F5" w14:textId="7BC8052D" w:rsidR="0003561B" w:rsidRDefault="0003561B" w:rsidP="00156BEA">
      <w:pPr>
        <w:spacing w:line="480" w:lineRule="auto"/>
      </w:pPr>
      <w:r>
        <w:t xml:space="preserve">The </w:t>
      </w:r>
      <w:r w:rsidR="00E36776">
        <w:t>objectives</w:t>
      </w:r>
      <w:r>
        <w:t xml:space="preserve"> of this dissertation </w:t>
      </w:r>
      <w:r w:rsidR="00E36776">
        <w:t>are</w:t>
      </w:r>
      <w:r>
        <w:t>:</w:t>
      </w:r>
    </w:p>
    <w:p w14:paraId="70F5A778" w14:textId="729BB526" w:rsidR="004662CF" w:rsidRDefault="004662CF" w:rsidP="00156BEA">
      <w:pPr>
        <w:pStyle w:val="ListParagraph"/>
        <w:numPr>
          <w:ilvl w:val="0"/>
          <w:numId w:val="8"/>
        </w:numPr>
        <w:spacing w:line="480" w:lineRule="auto"/>
      </w:pPr>
      <w:r>
        <w:t xml:space="preserve">To </w:t>
      </w:r>
      <w:r w:rsidR="0048634A">
        <w:t xml:space="preserve">develop a </w:t>
      </w:r>
      <w:proofErr w:type="spellStart"/>
      <w:r w:rsidR="0048634A">
        <w:t>multispace</w:t>
      </w:r>
      <w:proofErr w:type="spellEnd"/>
      <w:r w:rsidR="0048634A">
        <w:t xml:space="preserve"> multidimensional conceptual framework of access that </w:t>
      </w:r>
      <w:r w:rsidR="00206D57">
        <w:t xml:space="preserve">synthesizes extant literature on the </w:t>
      </w:r>
      <w:r w:rsidR="00FF5505">
        <w:t>role of local context, relations</w:t>
      </w:r>
      <w:r w:rsidR="007D2BC6">
        <w:t>hips</w:t>
      </w:r>
      <w:r w:rsidR="00FF5505">
        <w:t>, and perceptions in access.</w:t>
      </w:r>
    </w:p>
    <w:p w14:paraId="2F31533B" w14:textId="692F85FA" w:rsidR="00DE570F" w:rsidRDefault="00DE570F" w:rsidP="00156BEA">
      <w:pPr>
        <w:pStyle w:val="ListParagraph"/>
        <w:numPr>
          <w:ilvl w:val="0"/>
          <w:numId w:val="8"/>
        </w:numPr>
        <w:spacing w:line="480" w:lineRule="auto"/>
      </w:pPr>
      <w:r>
        <w:t>To identify app</w:t>
      </w:r>
      <w:r w:rsidR="00D976E8">
        <w:t>ropriate data that can reflect upon people’s local context, relations</w:t>
      </w:r>
      <w:r w:rsidR="005E639A">
        <w:t>hips</w:t>
      </w:r>
      <w:r w:rsidR="00D976E8">
        <w:t xml:space="preserve">, and mental perceptions </w:t>
      </w:r>
      <w:r w:rsidR="00A20C8F">
        <w:t xml:space="preserve">and be integrated in </w:t>
      </w:r>
      <w:r w:rsidR="00D9738E">
        <w:t xml:space="preserve">a </w:t>
      </w:r>
      <w:r w:rsidR="00A20C8F">
        <w:t>GIS</w:t>
      </w:r>
      <w:r w:rsidR="000F367C">
        <w:t xml:space="preserve"> for researching individual food access</w:t>
      </w:r>
      <w:r w:rsidR="00A20C8F">
        <w:t>.</w:t>
      </w:r>
    </w:p>
    <w:p w14:paraId="6D1BCB56" w14:textId="35AC4A14" w:rsidR="0003561B" w:rsidRDefault="00A20C8F" w:rsidP="00156BEA">
      <w:pPr>
        <w:pStyle w:val="ListParagraph"/>
        <w:numPr>
          <w:ilvl w:val="0"/>
          <w:numId w:val="8"/>
        </w:numPr>
        <w:spacing w:line="480" w:lineRule="auto"/>
      </w:pPr>
      <w:r>
        <w:t xml:space="preserve">To </w:t>
      </w:r>
      <w:r w:rsidR="003A02D9">
        <w:t xml:space="preserve">develop a GIS web application capable of handling </w:t>
      </w:r>
      <w:r w:rsidR="002D5DE6">
        <w:t xml:space="preserve">multiple data streams reflecting upon people’s access </w:t>
      </w:r>
      <w:r w:rsidR="00157E66">
        <w:t xml:space="preserve">and </w:t>
      </w:r>
      <w:r w:rsidR="0003561B">
        <w:t xml:space="preserve">that can reveal disparities in accessible food opportunities based on people’s </w:t>
      </w:r>
      <w:r w:rsidR="00D842AC">
        <w:t>mobilities</w:t>
      </w:r>
      <w:r w:rsidR="0003561B">
        <w:t xml:space="preserve">, </w:t>
      </w:r>
      <w:r w:rsidR="00F972CE">
        <w:t xml:space="preserve">local context, </w:t>
      </w:r>
      <w:r w:rsidR="00D842AC">
        <w:t>relations</w:t>
      </w:r>
      <w:r w:rsidR="005E639A">
        <w:t>hips and interactions,</w:t>
      </w:r>
      <w:r w:rsidR="0003561B">
        <w:t xml:space="preserve"> and mental perceptions</w:t>
      </w:r>
      <w:r w:rsidR="00B0390E">
        <w:t>.</w:t>
      </w:r>
    </w:p>
    <w:p w14:paraId="52A0CE3C" w14:textId="77777777" w:rsidR="003C1250" w:rsidRDefault="00F77C2E" w:rsidP="00156BEA">
      <w:pPr>
        <w:spacing w:line="480" w:lineRule="auto"/>
      </w:pPr>
      <w:r>
        <w:t>The proposed GIS web application can be used to answer questions such as:</w:t>
      </w:r>
    </w:p>
    <w:p w14:paraId="72FA27A8" w14:textId="77777777" w:rsidR="003C1250" w:rsidRDefault="003C1250" w:rsidP="00156BEA">
      <w:pPr>
        <w:pStyle w:val="ListParagraph"/>
        <w:numPr>
          <w:ilvl w:val="0"/>
          <w:numId w:val="15"/>
        </w:numPr>
        <w:spacing w:line="480" w:lineRule="auto"/>
      </w:pPr>
      <w:r>
        <w:t>What opportunities can people visit with sufficient time that are nearby an individual as they travel to and visit different places in their daily lives?</w:t>
      </w:r>
    </w:p>
    <w:p w14:paraId="05AFB259" w14:textId="0231E49A" w:rsidR="003C1250" w:rsidRDefault="003C1250" w:rsidP="00156BEA">
      <w:pPr>
        <w:pStyle w:val="ListParagraph"/>
        <w:numPr>
          <w:ilvl w:val="0"/>
          <w:numId w:val="15"/>
        </w:numPr>
        <w:spacing w:line="480" w:lineRule="auto"/>
      </w:pPr>
      <w:r>
        <w:t>How can we determine what opportunities may be accessed by an individual and by what modalities, e.g., in person</w:t>
      </w:r>
      <w:r w:rsidR="003147E5">
        <w:t xml:space="preserve"> (physically)</w:t>
      </w:r>
      <w:r>
        <w:t>, online</w:t>
      </w:r>
      <w:r w:rsidR="003147E5">
        <w:t xml:space="preserve"> (virtually)</w:t>
      </w:r>
      <w:r>
        <w:t>, or both</w:t>
      </w:r>
      <w:r w:rsidR="003147E5">
        <w:t xml:space="preserve"> (hybrid)</w:t>
      </w:r>
      <w:r>
        <w:t>?</w:t>
      </w:r>
    </w:p>
    <w:p w14:paraId="101A1D6A" w14:textId="70D2F3A8" w:rsidR="003C1250" w:rsidRDefault="003C1250" w:rsidP="00156BEA">
      <w:pPr>
        <w:pStyle w:val="ListParagraph"/>
        <w:numPr>
          <w:ilvl w:val="0"/>
          <w:numId w:val="15"/>
        </w:numPr>
        <w:spacing w:line="480" w:lineRule="auto"/>
      </w:pPr>
      <w:r>
        <w:lastRenderedPageBreak/>
        <w:t>What opportunities may be accessed by an individual via their social networks</w:t>
      </w:r>
      <w:r w:rsidR="003147E5">
        <w:t>;</w:t>
      </w:r>
      <w:r>
        <w:t xml:space="preserve"> in other words, what are the second, third, n-order opportunities accessible to people based on who they know?</w:t>
      </w:r>
    </w:p>
    <w:p w14:paraId="697D160D" w14:textId="36A6BE24" w:rsidR="00F77C2E" w:rsidRDefault="003C1250" w:rsidP="00156BEA">
      <w:pPr>
        <w:pStyle w:val="ListParagraph"/>
        <w:numPr>
          <w:ilvl w:val="0"/>
          <w:numId w:val="15"/>
        </w:numPr>
        <w:spacing w:line="480" w:lineRule="auto"/>
      </w:pPr>
      <w:r>
        <w:t>What opportunities are accessible based on an individual’s physical needs and mental preferences?</w:t>
      </w:r>
    </w:p>
    <w:p w14:paraId="35D94D89" w14:textId="40C49BC2" w:rsidR="00AA27BD" w:rsidRDefault="00DC1C77" w:rsidP="00156BEA">
      <w:pPr>
        <w:pStyle w:val="ListParagraph"/>
        <w:numPr>
          <w:ilvl w:val="0"/>
          <w:numId w:val="15"/>
        </w:numPr>
        <w:spacing w:line="480" w:lineRule="auto"/>
      </w:pPr>
      <w:r>
        <w:t xml:space="preserve">What opportunities can people </w:t>
      </w:r>
      <w:r w:rsidR="0096038C">
        <w:t xml:space="preserve">with different socioeconomic and demographic characteristics </w:t>
      </w:r>
      <w:r>
        <w:t>access</w:t>
      </w:r>
      <w:r w:rsidR="0096038C">
        <w:t>?</w:t>
      </w:r>
    </w:p>
    <w:p w14:paraId="3B0F4E51" w14:textId="710B2F03" w:rsidR="0003561B" w:rsidRDefault="00A135A8" w:rsidP="005E639A">
      <w:pPr>
        <w:spacing w:line="480" w:lineRule="auto"/>
        <w:ind w:firstLine="720"/>
      </w:pPr>
      <w:r w:rsidRPr="00A135A8">
        <w:t xml:space="preserve">Thus, this dissertation develops a general </w:t>
      </w:r>
      <w:proofErr w:type="spellStart"/>
      <w:r w:rsidRPr="00A135A8">
        <w:t>multispace</w:t>
      </w:r>
      <w:proofErr w:type="spellEnd"/>
      <w:r w:rsidRPr="00A135A8">
        <w:t xml:space="preserve"> and multidimensional conceptual framework of access for various kinds of human needs in a hybrid physical-virtual space with </w:t>
      </w:r>
      <w:commentRangeStart w:id="5"/>
      <w:commentRangeStart w:id="6"/>
      <w:r w:rsidRPr="00A135A8">
        <w:t xml:space="preserve">food access </w:t>
      </w:r>
      <w:commentRangeEnd w:id="5"/>
      <w:r w:rsidR="007E3C05">
        <w:rPr>
          <w:rStyle w:val="CommentReference"/>
        </w:rPr>
        <w:commentReference w:id="5"/>
      </w:r>
      <w:commentRangeEnd w:id="6"/>
      <w:r w:rsidR="007E3C05">
        <w:rPr>
          <w:rStyle w:val="CommentReference"/>
        </w:rPr>
        <w:commentReference w:id="6"/>
      </w:r>
      <w:r w:rsidRPr="00A135A8">
        <w:t>as a case study illustrating how the framework can be operationalized.</w:t>
      </w:r>
      <w:r w:rsidR="00253D07">
        <w:t xml:space="preserve"> Food access is</w:t>
      </w:r>
      <w:r w:rsidR="002227EB">
        <w:t xml:space="preserve"> chosen in this study because of its </w:t>
      </w:r>
      <w:r w:rsidR="00E6464B">
        <w:t xml:space="preserve">intrinsic linkage to human existence </w:t>
      </w:r>
      <w:r w:rsidR="004E05E4">
        <w:t xml:space="preserve">as a physiological need </w:t>
      </w:r>
      <w:r w:rsidR="004E05E4">
        <w:fldChar w:fldCharType="begin"/>
      </w:r>
      <w:r w:rsidR="004E05E4">
        <w:instrText xml:space="preserve"> ADDIN ZOTERO_ITEM CSL_CITATION {"citationID":"1EilnYJ2","properties":{"formattedCitation":"(Maslow &amp; Green, 1943)","plainCitation":"(Maslow &amp; Green, 1943)","noteIndex":0},"citationItems":[{"id":290,"uris":["http://zotero.org/users/5090392/items/ZLGGV4EA"],"itemData":{"id":290,"type":"article-journal","abstract":"In a previous paper (13) various propositions were presented which would have to be included in any theory of human motivation that could lay claim to being definitive. These conclusions may be briefly summarized as follows: 1. The integrated wholeness of the organism must be one of the foundation","container-title":"Psychological Review","page":"370–396","source":"CiteSeer","title":"A theory of human motivation","author":[{"family":"Maslow","given":"A. H."},{"family":"Green","given":"Christopher D."}],"issued":{"date-parts":[["1943"]]}}}],"schema":"https://github.com/citation-style-language/schema/raw/master/csl-citation.json"} </w:instrText>
      </w:r>
      <w:r w:rsidR="004E05E4">
        <w:fldChar w:fldCharType="separate"/>
      </w:r>
      <w:r w:rsidR="00967900" w:rsidRPr="00967900">
        <w:t>(Maslow &amp; Green, 1943)</w:t>
      </w:r>
      <w:r w:rsidR="004E05E4">
        <w:fldChar w:fldCharType="end"/>
      </w:r>
      <w:r w:rsidR="00A82FF5">
        <w:t xml:space="preserve"> </w:t>
      </w:r>
      <w:r w:rsidR="00E6464B">
        <w:t>and the role of good n</w:t>
      </w:r>
      <w:r w:rsidR="00ED7DEA">
        <w:t>utrition in the health and well-being of people</w:t>
      </w:r>
      <w:r w:rsidR="00744321">
        <w:t xml:space="preserve">. </w:t>
      </w:r>
      <w:r w:rsidR="00507524">
        <w:t>For example, n</w:t>
      </w:r>
      <w:r w:rsidR="00744321">
        <w:t xml:space="preserve">early a third of the global population </w:t>
      </w:r>
      <w:r w:rsidR="0015733F">
        <w:t>in 2020 lacked access to adequate foods</w:t>
      </w:r>
      <w:r w:rsidRPr="00A135A8">
        <w:t xml:space="preserve"> </w:t>
      </w:r>
      <w:r w:rsidR="0035672B">
        <w:fldChar w:fldCharType="begin"/>
      </w:r>
      <w:r w:rsidR="0035672B">
        <w:instrText xml:space="preserve"> ADDIN ZOTERO_ITEM CSL_CITATION {"citationID":"fePyJESE","properties":{"formattedCitation":"(Food and Agriculture Organization of the United Nations, 2021)","plainCitation":"(Food and Agriculture Organization of the United Nations, 2021)","noteIndex":0},"citationItems":[{"id":1890,"uris":["http://zotero.org/users/5090392/items/SBQWTL27"],"itemData":{"id":1890,"type":"webpage","abstract":"How fragile are our agri-food systems and how can they affect the number of people going hungry? Find out with our State of Food Security and Nutrition in the World 2021 report.","container-title":"www.fao.org","language":"en","note":"DOI: 10.4060/CB4474EN","title":"The State of Food Security and Nutrition in the World 2021","URL":"https://www.fao.org/state-of-food-security-nutrition/en","author":[{"literal":"Food and Agriculture Organization of the United Nations"}],"accessed":{"date-parts":[["2022",8,9]]},"issued":{"date-parts":[["2021"]]}}}],"schema":"https://github.com/citation-style-language/schema/raw/master/csl-citation.json"} </w:instrText>
      </w:r>
      <w:r w:rsidR="0035672B">
        <w:fldChar w:fldCharType="separate"/>
      </w:r>
      <w:r w:rsidR="00967900" w:rsidRPr="00967900">
        <w:t>(Food and Agriculture Organization of the United Nations, 2021)</w:t>
      </w:r>
      <w:r w:rsidR="0035672B">
        <w:fldChar w:fldCharType="end"/>
      </w:r>
      <w:r w:rsidR="004E05E4">
        <w:t xml:space="preserve">, with </w:t>
      </w:r>
      <w:r w:rsidR="00A82FF5">
        <w:t>Covid-19 further exacerbating weaknesses in food systems</w:t>
      </w:r>
      <w:r w:rsidR="00507524">
        <w:t>.</w:t>
      </w:r>
      <w:r w:rsidR="006E0C69">
        <w:t xml:space="preserve"> In the U.S.,</w:t>
      </w:r>
      <w:r w:rsidR="00694F09">
        <w:t xml:space="preserve"> over one in ten </w:t>
      </w:r>
      <w:r w:rsidR="000737F0">
        <w:t xml:space="preserve">(10.5%) </w:t>
      </w:r>
      <w:r w:rsidR="00694F09">
        <w:t>families experience food insecurity</w:t>
      </w:r>
      <w:r w:rsidR="00426153">
        <w:t xml:space="preserve">, i.e., lack consistent access to sufficient healthy and nutritious food </w:t>
      </w:r>
      <w:r w:rsidR="00426153">
        <w:fldChar w:fldCharType="begin"/>
      </w:r>
      <w:r w:rsidR="00426153">
        <w:instrText xml:space="preserve"> ADDIN ZOTERO_ITEM CSL_CITATION {"citationID":"0JWm6faW","properties":{"formattedCitation":"(George &amp; Tomer, 2021; USDA Economic Research Service, 2022)","plainCitation":"(George &amp; Tomer, 2021; USDA Economic Research Service, 2022)","noteIndex":0},"citationItems":[{"id":1893,"uris":["http://zotero.org/users/5090392/items/EPJYZWDT"],"itemData":{"id":1893,"type":"post-weblog","abstract":"Lessons can be drawn from decades of food access analysis to inform new methods to better measure the geography of food insecurity in the United States, and modernize our country’s nutritional assistance policies.","container-title":"Brookings","language":"en-US","title":"Beyond ‘food deserts’: America needs a new approach to mapping food insecurity","title-short":"Beyond ‘food deserts’","URL":"https://www.brookings.edu/research/beyond-food-deserts-america-needs-a-new-approach-to-mapping-food-insecurity/","author":[{"family":"George","given":"Caroline"},{"family":"Tomer","given":"Adie"}],"accessed":{"date-parts":[["2022",8,9]]},"issued":{"date-parts":[["2021",8,17]]}}},{"id":1895,"uris":["http://zotero.org/users/5090392/items/TV3DU8NB"],"itemData":{"id":1895,"type":"webpage","title":"Definitions of Food Security","URL":"https://www.ers.usda.gov/topics/food-nutrition-assistance/food-security-in-the-u-s/definitions-of-food-security/","author":[{"literal":"USDA Economic Research Service"}],"accessed":{"date-parts":[["2022",8,9]]},"issued":{"date-parts":[["2022",4,22]]}}}],"schema":"https://github.com/citation-style-language/schema/raw/master/csl-citation.json"} </w:instrText>
      </w:r>
      <w:r w:rsidR="00426153">
        <w:fldChar w:fldCharType="separate"/>
      </w:r>
      <w:r w:rsidR="00967900" w:rsidRPr="00967900">
        <w:t>(George &amp; Tomer, 2021; USDA Economic Research Service, 2022)</w:t>
      </w:r>
      <w:r w:rsidR="00426153">
        <w:fldChar w:fldCharType="end"/>
      </w:r>
      <w:r w:rsidR="00426153">
        <w:t>.</w:t>
      </w:r>
      <w:r w:rsidR="000737F0">
        <w:t xml:space="preserve"> In contrast</w:t>
      </w:r>
      <w:r w:rsidR="00400936">
        <w:t xml:space="preserve"> to white households (7.9%)</w:t>
      </w:r>
      <w:r w:rsidR="000737F0">
        <w:t>,</w:t>
      </w:r>
      <w:r w:rsidR="006E0C69">
        <w:t xml:space="preserve"> the </w:t>
      </w:r>
      <w:r w:rsidR="000737F0">
        <w:t xml:space="preserve">rate of food insecurity is disproportionately higher for those who are </w:t>
      </w:r>
      <w:r w:rsidR="006E0C69">
        <w:t>impoverished</w:t>
      </w:r>
      <w:r w:rsidR="000737F0">
        <w:t xml:space="preserve"> (34.9%)</w:t>
      </w:r>
      <w:r w:rsidR="006E0C69">
        <w:t>, in single-mother households</w:t>
      </w:r>
      <w:r w:rsidR="000737F0">
        <w:t xml:space="preserve"> (</w:t>
      </w:r>
      <w:r w:rsidR="00400936">
        <w:t>28.7%)</w:t>
      </w:r>
      <w:r w:rsidR="006E0C69">
        <w:t xml:space="preserve">, and </w:t>
      </w:r>
      <w:r w:rsidR="00941165">
        <w:t xml:space="preserve">in </w:t>
      </w:r>
      <w:r w:rsidR="006E0C69">
        <w:t>La</w:t>
      </w:r>
      <w:r w:rsidR="00941165">
        <w:t>tino, Hispanic</w:t>
      </w:r>
      <w:r w:rsidR="00400936">
        <w:t xml:space="preserve"> (15.6%)</w:t>
      </w:r>
      <w:r w:rsidR="00941165">
        <w:t xml:space="preserve">, and Black </w:t>
      </w:r>
      <w:r w:rsidR="00400936">
        <w:t xml:space="preserve">(19.1%) </w:t>
      </w:r>
      <w:r w:rsidR="00941165">
        <w:t>households</w:t>
      </w:r>
      <w:r w:rsidR="00400936">
        <w:t xml:space="preserve">. </w:t>
      </w:r>
      <w:r w:rsidR="006423BA">
        <w:t xml:space="preserve">The demonstrable differences in access to food between different groups of people </w:t>
      </w:r>
      <w:r w:rsidR="00400936">
        <w:t xml:space="preserve">illustrates the need for more disaggregate and </w:t>
      </w:r>
      <w:r w:rsidR="00DD7FD2">
        <w:t>nuanced approaches to access that can identify such disparities in access.</w:t>
      </w:r>
      <w:r w:rsidR="00EB37CC">
        <w:t xml:space="preserve"> </w:t>
      </w:r>
      <w:r w:rsidRPr="00A135A8">
        <w:t>The next section</w:t>
      </w:r>
      <w:r w:rsidR="008F317C">
        <w:t xml:space="preserve"> provides a review of the literature</w:t>
      </w:r>
      <w:r w:rsidR="00043751">
        <w:t>. Section 3 presents</w:t>
      </w:r>
      <w:r w:rsidR="003E5C63">
        <w:t xml:space="preserve"> the conceptual framework. Section 4 </w:t>
      </w:r>
      <w:r w:rsidR="00936FF9">
        <w:t xml:space="preserve">discusses data sources and methodology </w:t>
      </w:r>
      <w:r w:rsidR="00936FF9">
        <w:lastRenderedPageBreak/>
        <w:t xml:space="preserve">to clean and integrate the data in a prototype web GIS platform. </w:t>
      </w:r>
      <w:r w:rsidR="00F74CE0">
        <w:t xml:space="preserve">Section 5 presents four case studies </w:t>
      </w:r>
      <w:r w:rsidR="00C06B2E">
        <w:t>that demonstrate how the GIS can be used to answer different questions related to food access. Finally, Section 6 discusses and summarizes main conclusions.</w:t>
      </w:r>
    </w:p>
    <w:p w14:paraId="4325A184" w14:textId="77777777" w:rsidR="00F30C1D" w:rsidRDefault="00F30C1D">
      <w:pPr>
        <w:rPr>
          <w:rFonts w:eastAsiaTheme="majorEastAsia"/>
          <w:b/>
          <w:bCs/>
          <w:sz w:val="32"/>
          <w:szCs w:val="32"/>
        </w:rPr>
      </w:pPr>
      <w:r>
        <w:rPr>
          <w:b/>
          <w:bCs/>
        </w:rPr>
        <w:br w:type="page"/>
      </w:r>
    </w:p>
    <w:p w14:paraId="7048DE88" w14:textId="779C52E9" w:rsidR="001F63DF" w:rsidRPr="00A13D59" w:rsidRDefault="00A13D59" w:rsidP="00A13D59">
      <w:pPr>
        <w:pStyle w:val="Heading1"/>
        <w:spacing w:after="240"/>
        <w:jc w:val="center"/>
        <w:rPr>
          <w:rFonts w:ascii="Times New Roman" w:hAnsi="Times New Roman" w:cs="Times New Roman"/>
          <w:b/>
          <w:bCs/>
          <w:color w:val="auto"/>
        </w:rPr>
      </w:pPr>
      <w:bookmarkStart w:id="7" w:name="_Toc114258032"/>
      <w:r w:rsidRPr="00A13D59">
        <w:rPr>
          <w:rFonts w:ascii="Times New Roman" w:hAnsi="Times New Roman" w:cs="Times New Roman"/>
          <w:b/>
          <w:bCs/>
          <w:color w:val="auto"/>
        </w:rPr>
        <w:lastRenderedPageBreak/>
        <w:t>CHAPTER 2. LITERATURE REVIEW</w:t>
      </w:r>
      <w:bookmarkEnd w:id="7"/>
    </w:p>
    <w:p w14:paraId="52112379" w14:textId="3D9FBF5C" w:rsidR="00564BEF" w:rsidRPr="00A13D59" w:rsidRDefault="00564BEF" w:rsidP="00A13D59">
      <w:pPr>
        <w:pStyle w:val="Heading2"/>
        <w:spacing w:after="240"/>
        <w:jc w:val="center"/>
        <w:rPr>
          <w:rFonts w:ascii="Times New Roman" w:hAnsi="Times New Roman" w:cs="Times New Roman"/>
          <w:b/>
          <w:bCs/>
          <w:color w:val="auto"/>
        </w:rPr>
      </w:pPr>
      <w:bookmarkStart w:id="8" w:name="_Toc114258033"/>
      <w:r w:rsidRPr="00A13D59">
        <w:rPr>
          <w:rFonts w:ascii="Times New Roman" w:hAnsi="Times New Roman" w:cs="Times New Roman"/>
          <w:b/>
          <w:bCs/>
          <w:color w:val="auto"/>
        </w:rPr>
        <w:t>2.1. O</w:t>
      </w:r>
      <w:r w:rsidR="0013507A">
        <w:rPr>
          <w:rFonts w:ascii="Times New Roman" w:hAnsi="Times New Roman" w:cs="Times New Roman"/>
          <w:b/>
          <w:bCs/>
          <w:color w:val="auto"/>
        </w:rPr>
        <w:t>VERVIEW OF ACCESS</w:t>
      </w:r>
      <w:r w:rsidR="002F0237">
        <w:rPr>
          <w:rFonts w:ascii="Times New Roman" w:hAnsi="Times New Roman" w:cs="Times New Roman"/>
          <w:b/>
          <w:bCs/>
          <w:color w:val="auto"/>
        </w:rPr>
        <w:t>IBILITY</w:t>
      </w:r>
      <w:r w:rsidR="0013507A">
        <w:rPr>
          <w:rFonts w:ascii="Times New Roman" w:hAnsi="Times New Roman" w:cs="Times New Roman"/>
          <w:b/>
          <w:bCs/>
          <w:color w:val="auto"/>
        </w:rPr>
        <w:t xml:space="preserve"> DEFINITIONS AND MEASURES</w:t>
      </w:r>
      <w:bookmarkEnd w:id="8"/>
    </w:p>
    <w:p w14:paraId="768AB677" w14:textId="102F3495" w:rsidR="00564BEF" w:rsidRDefault="00564BEF" w:rsidP="00156BEA">
      <w:pPr>
        <w:spacing w:line="480" w:lineRule="auto"/>
        <w:ind w:firstLine="720"/>
      </w:pPr>
      <w:r>
        <w:t>Access</w:t>
      </w:r>
      <w:r w:rsidR="009C6C4B">
        <w:t>ibility</w:t>
      </w:r>
      <w:r>
        <w:t xml:space="preserve"> to opportunities for human needs </w:t>
      </w:r>
      <w:r>
        <w:fldChar w:fldCharType="begin"/>
      </w:r>
      <w:r>
        <w:instrText xml:space="preserve"> ADDIN ZOTERO_ITEM CSL_CITATION {"citationID":"wqQ3D6FJ","properties":{"formattedCitation":"(Maslow &amp; Green, 1943)","plainCitation":"(Maslow &amp; Green, 1943)","noteIndex":0},"citationItems":[{"id":290,"uris":["http://zotero.org/users/5090392/items/ZLGGV4EA"],"itemData":{"id":290,"type":"article-journal","abstract":"In a previous paper (13) various propositions were presented which would have to be included in any theory of human motivation that could lay claim to being definitive. These conclusions may be briefly summarized as follows: 1. The integrated wholeness of the organism must be one of the foundation","container-title":"Psychological Review","page":"370–396","source":"CiteSeer","title":"A theory of human motivation","author":[{"family":"Maslow","given":"A. H."},{"family":"Green","given":"Christopher D."}],"issued":{"date-parts":[["1943"]]}}}],"schema":"https://github.com/citation-style-language/schema/raw/master/csl-citation.json"} </w:instrText>
      </w:r>
      <w:r>
        <w:fldChar w:fldCharType="separate"/>
      </w:r>
      <w:r w:rsidR="00967900" w:rsidRPr="00967900">
        <w:t>(Maslow &amp; Green, 1943)</w:t>
      </w:r>
      <w:r>
        <w:fldChar w:fldCharType="end"/>
      </w:r>
      <w:r>
        <w:t xml:space="preserve"> including food, jobs, health care facilities, and social services is a central focus of much research. Efforts across disciplines (civil engineering, geography, regional science, urban planning, etc.) have highlighted inequitable </w:t>
      </w:r>
      <w:proofErr w:type="spellStart"/>
      <w:r>
        <w:t>sociospatial</w:t>
      </w:r>
      <w:proofErr w:type="spellEnd"/>
      <w:r>
        <w:t xml:space="preserve"> patterns and sought to understand the role of the built environment and individual characteristics with people’s access. The involvement of multiple disciplines and consequently different approaches perhaps leads to what many agree as “</w:t>
      </w:r>
      <w:r w:rsidRPr="00AD586B">
        <w:t>a slippery notion</w:t>
      </w:r>
      <w:r>
        <w:t xml:space="preserve"> … </w:t>
      </w:r>
      <w:r w:rsidRPr="00AD586B">
        <w:t xml:space="preserve">one of those common terms that everyone uses until faced with the problem of defining and measuring it” </w:t>
      </w:r>
      <w:r w:rsidRPr="00AD586B">
        <w:fldChar w:fldCharType="begin"/>
      </w:r>
      <w:r>
        <w:instrText xml:space="preserve"> ADDIN ZOTERO_ITEM CSL_CITATION {"citationID":"18vxTo53","properties":{"formattedCitation":"(Gould, 1969, p. 64)","plainCitation":"(Gould, 1969, p. 64)","noteIndex":0},"citationItems":[{"id":887,"uris":["http://zotero.org/users/5090392/items/XMSZJI5Y"],"itemData":{"id":887,"type":"article-journal","abstract":"This resource paper on geographical spatial diffusion is part of a series designed to supplement undergraduate geography courses. Focusing on the unfolding of man's patterns over geographic space and through time, the paper provides the basic theoretical background of this new, rapidly growing area of geography. Following a short introductory section, chapter two outlines the various carriers and barriers to both physical and cultural diffusion. Carrier processes may take the form of expansion, relocation, hierarchical filtering, or contagious diffusion as with diseases. Barriers to diffusion may be physical or cultural, such as differences in languages or levels of technology. Since spatial diffusion takes place on many different scales, chapter three focuses on the various  models of individual or micro-level diffusion, urban diffusion, regional diffusion, and macro-level (or national and international) diffusion. Chapter four discusses the frontiers of diffusion research. Also included is a list of further readings and illustrative references. (Author/DE)","language":"en","note":"publisher: Association of American Geographers, 1710 Sixteenth Street, N","source":"ERIC","title":"Spatial Diffusion, Resource Paper No. 4","URL":"https://eric.ed.gov/?id=ED120029","author":[{"family":"Gould","given":"Peter R."}],"accessed":{"date-parts":[["2021",2,21]]},"issued":{"date-parts":[["1969"]]}},"locator":"64"}],"schema":"https://github.com/citation-style-language/schema/raw/master/csl-citation.json"} </w:instrText>
      </w:r>
      <w:r w:rsidRPr="00AD586B">
        <w:fldChar w:fldCharType="separate"/>
      </w:r>
      <w:r w:rsidR="00967900" w:rsidRPr="00967900">
        <w:t>(Gould, 1969, p. 64)</w:t>
      </w:r>
      <w:r w:rsidRPr="00AD586B">
        <w:fldChar w:fldCharType="end"/>
      </w:r>
      <w:r w:rsidRPr="00AD586B">
        <w:t>.</w:t>
      </w:r>
      <w:r>
        <w:t xml:space="preserve"> Definitions of a similar flavor in the literature include the “inherent characteristic (or advantage) of a place with respect to overcoming some form of spatially operating source of friction” </w:t>
      </w:r>
      <w:r>
        <w:fldChar w:fldCharType="begin"/>
      </w:r>
      <w:r>
        <w:instrText xml:space="preserve"> ADDIN ZOTERO_ITEM CSL_CITATION {"citationID":"iDYMJpAa","properties":{"formattedCitation":"(Ingram, 1971, p. 101)","plainCitation":"(Ingram, 1971, p. 101)","noteIndex":0},"citationItems":[{"id":890,"uris":["http://zotero.org/users/5090392/items/BJFAEIXF"],"itemData":{"id":890,"type":"article-journal","abstract":"Ingram D. R. (1971) The concept of accessibility: A search for an operational form, Reg. Studies 5, 101–107. The importance of the concept of accessibility in the literature of urban studies requires that a method be found of describing quantitatively the accessibility at a point. The paper is concerned with, firstly, a set of definitions related to the concept of accessibility. A distinction is made between the relative accessibility between two points and the integral, or total, accessibility at a point. Secondly, various operational forms of these definitions are illustrated with reference to the Hamilton, Ontario, urban area. The derivation of the various measures that are developed is discussed. A measure based on the normal, or Gaussian curve is recommended as the most suitable form for determining the integral accessibility at a given point.","container-title":"Regional Studies","DOI":"10.1080/09595237100185131","ISSN":"0034-3404","issue":"2","note":"publisher: Routledge\n_eprint: https://doi.org/10.1080/09595237100185131","page":"101-107","source":"Taylor and Francis+NEJM","title":"The concept of accessibility: A search for an operational form","title-short":"The concept of accessibility","URL":"https://doi.org/10.1080/09595237100185131","volume":"5","author":[{"family":"Ingram","given":"D. R."}],"accessed":{"date-parts":[["2021",2,21]]},"issued":{"date-parts":[["1971",7,1]]}},"locator":"101"}],"schema":"https://github.com/citation-style-language/schema/raw/master/csl-citation.json"} </w:instrText>
      </w:r>
      <w:r>
        <w:fldChar w:fldCharType="separate"/>
      </w:r>
      <w:r w:rsidR="00967900" w:rsidRPr="00967900">
        <w:t>(Ingram, 1971, p. 101)</w:t>
      </w:r>
      <w:r>
        <w:fldChar w:fldCharType="end"/>
      </w:r>
      <w:r>
        <w:t xml:space="preserve">, “potential of opportunities for interaction” </w:t>
      </w:r>
      <w:r>
        <w:fldChar w:fldCharType="begin"/>
      </w:r>
      <w:r>
        <w:instrText xml:space="preserve"> ADDIN ZOTERO_ITEM CSL_CITATION {"citationID":"O1EJ0pFr","properties":{"formattedCitation":"(Hansen, 1959, p. 73)","plainCitation":"(Hansen, 1959, p. 73)","noteIndex":0},"citationItems":[{"id":9,"uris":["http://zotero.org/users/5090392/items/3GDFWZ5A"],"itemData":{"id":9,"type":"article-journal","abstract":"An empirical examination of the residential development patterns illustrates that accessibility and the availability of vacant developable land can be used as the basis of a residential land use model. The author presents an operational definition and suggests a method for determining accessibility patterns within metropolitan areas. This is a process of distributing forecasted metropolitan population to small areas within the metropolitan region. Although the model presented is not yet sufficiently well refined for estimating purposes, the concept and the approach may be potentially useful tools for metropolitan planning purposes.","container-title":"Journal of the American Institute of Planners","DOI":"10.1080/01944365908978307","ISSN":"0002-8991","issue":"2","page":"73-76","source":"Taylor and Francis+NEJM","title":"How Accessibility Shapes Land Use","URL":"https://doi.org/10.1080/01944365908978307","volume":"25","author":[{"family":"Hansen","given":"Walter G."}],"accessed":{"date-parts":[["2018",8,28]]},"issued":{"date-parts":[["1959",5,1]]}},"locator":"73"}],"schema":"https://github.com/citation-style-language/schema/raw/master/csl-citation.json"} </w:instrText>
      </w:r>
      <w:r>
        <w:fldChar w:fldCharType="separate"/>
      </w:r>
      <w:r w:rsidR="00967900" w:rsidRPr="00967900">
        <w:t>(Hansen, 1959, p. 73)</w:t>
      </w:r>
      <w:r>
        <w:fldChar w:fldCharType="end"/>
      </w:r>
      <w:r>
        <w:t xml:space="preserve">, “number or density of travel opportunities of particular types within certain time distances or travel-cost ranges from the residential locations of population groups of interest” </w:t>
      </w:r>
      <w:r>
        <w:fldChar w:fldCharType="begin"/>
      </w:r>
      <w:r>
        <w:instrText xml:space="preserve"> ADDIN ZOTERO_ITEM CSL_CITATION {"citationID":"UHTWcGR0","properties":{"formattedCitation":"(Wachs &amp; Kumagai, 1973, p. 441)","plainCitation":"(Wachs &amp; Kumagai, 1973, p. 441)","noteIndex":0},"citationItems":[{"id":920,"uris":["http://zotero.org/users/5090392/items/QU3E26PY"],"itemData":{"id":920,"type":"article-journal","container-title":"Socio-Economic Planning Sciences","ISSN":"00380121","issue":"5","note":"publisher: Elsevier","page":"437-456","source":"RePEc - Econpapers","title":"Physical accessibility as a social indicator","URL":"https://econpapers.repec.org/article/eeesoceps/v_3a7_3ay_3a1973_3ai_3a5_3ap_3a437-456.htm","volume":"7","author":[{"family":"Wachs","given":"Martin"},{"family":"Kumagai","given":"T. Gordon"}],"accessed":{"date-parts":[["2021",2,23]]},"issued":{"date-parts":[["1973"]]}},"locator":"441"}],"schema":"https://github.com/citation-style-language/schema/raw/master/csl-citation.json"} </w:instrText>
      </w:r>
      <w:r>
        <w:fldChar w:fldCharType="separate"/>
      </w:r>
      <w:r w:rsidR="00967900" w:rsidRPr="00967900">
        <w:t>(Wachs &amp; Kumagai, 1973, p. 441)</w:t>
      </w:r>
      <w:r>
        <w:fldChar w:fldCharType="end"/>
      </w:r>
      <w:r>
        <w:t xml:space="preserve">, benefits provided by the transportation and land-use system, often couched in monetary terms </w:t>
      </w:r>
      <w:r>
        <w:fldChar w:fldCharType="begin"/>
      </w:r>
      <w:r>
        <w:instrText xml:space="preserve"> ADDIN ZOTERO_ITEM CSL_CITATION {"citationID":"mj6VzgKB","properties":{"formattedCitation":"(Ben-Akiva &amp; Lerman, 1985)","plainCitation":"(Ben-Akiva &amp; Lerman, 1985)","noteIndex":0},"citationItems":[{"id":916,"uris":["http://zotero.org/users/5090392/items/YN82FL6W"],"itemData":{"id":916,"type":"book","abstract":"Discrete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planning.The methods of discrete choice analysis and their applications in the modelling of transportation systems constitute a comparatively new field that has largely evolved over the past 15 years. Since its inception, however, the field has developed rapidly, and this is the first text and reference work to cover the material systematically, bringing together the scattered and often inaccessible results for graduate students and professionals. 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 The introductory chapter presents the background of discrete choice analysis and context of transportation demand forecasting. Subsequent chapters cover, among other topics, the theories of individual choice behavior, binary and multinomial choice models, aggregate forecasting techniques, estimation methods, tests used in the process of model development, sampling theory, the nested-logit model, and systems of models. Discrete Choice Analysis is ninth in the MIT Press Series in Transportation Studies, edited by Marvin Manheim.","ISBN":"978-0-262-53640-0","language":"en","note":"Google-Books-ID: 7L34DwAAQBAJ","number-of-pages":"414","publisher":"MIT Press","source":"Google Books","title":"Discrete Choice Analysis: Theory and Application to Travel Demand","title-short":"Discrete Choice Analysis","author":[{"family":"Ben-Akiva","given":"Moshe"},{"family":"Lerman","given":"Steven R."}],"issued":{"date-parts":[["1985"]]}}}],"schema":"https://github.com/citation-style-language/schema/raw/master/csl-citation.json"} </w:instrText>
      </w:r>
      <w:r>
        <w:fldChar w:fldCharType="separate"/>
      </w:r>
      <w:r w:rsidR="00967900" w:rsidRPr="00967900">
        <w:t>(Ben-Akiva &amp; Lerman, 1985)</w:t>
      </w:r>
      <w:r>
        <w:fldChar w:fldCharType="end"/>
      </w:r>
      <w:r>
        <w:t xml:space="preserve">, and space-time feasibility </w:t>
      </w:r>
      <w:r w:rsidR="00B6531A">
        <w:t xml:space="preserve">based </w:t>
      </w:r>
      <w:r w:rsidR="00DE7A23">
        <w:t>on the spatiotemporal organization of opportunities</w:t>
      </w:r>
      <w:r w:rsidR="00545D6B">
        <w:t xml:space="preserve"> and transportation networks</w:t>
      </w:r>
      <w:r w:rsidR="00DE7A23">
        <w:t xml:space="preserve"> and</w:t>
      </w:r>
      <w:r w:rsidR="008E56E0">
        <w:t>/or</w:t>
      </w:r>
      <w:r w:rsidR="00DE7A23">
        <w:t xml:space="preserve"> </w:t>
      </w:r>
      <w:r w:rsidR="00DB4CE7">
        <w:t xml:space="preserve">activity schedule </w:t>
      </w:r>
      <w:r w:rsidR="00DE7A23">
        <w:t>of people</w:t>
      </w:r>
      <w:r w:rsidR="0044356E">
        <w:t>, including their unique constraints</w:t>
      </w:r>
      <w:r w:rsidR="00545D6B">
        <w:t>, time budgets,</w:t>
      </w:r>
      <w:r w:rsidR="0044356E">
        <w:t xml:space="preserve"> and travel behaviors</w:t>
      </w:r>
      <w:r w:rsidR="00DE7A23">
        <w:t xml:space="preserve"> </w:t>
      </w:r>
      <w:r>
        <w:fldChar w:fldCharType="begin"/>
      </w:r>
      <w:r w:rsidR="00C809FB">
        <w:instrText xml:space="preserve"> ADDIN ZOTERO_ITEM CSL_CITATION {"citationID":"CRbHN0HC","properties":{"formattedCitation":"(Delafontaine et al., 2011; H.-M. Kim &amp; Kwan, 2003; Kwan, 2013; H. J. Miller, 1991; Neutens et al., 2012; Widener et al., 2013, 2015)","plainCitation":"(Delafontaine et al., 2011; H.-M. Kim &amp; Kwan, 2003; Kwan, 2013; H. J. Miller, 1991; Neutens et al., 2012; Widener et al., 2013, 2015)","noteIndex":0},"citationItems":[{"id":971,"uris":["http://zotero.org/users/5090392/items/C472VRFV"],"itemData":{"id":971,"type":"article-journal","abstract":"While many studies have concentrated on the effects of the spatial distribution of services on individual accessibility, only little is known about the ways in which equity of individual accessibility is affected by the temporal organisation of service delivery. This paper seeks to deepen our understanding about the relationship between accessibility, equity and the opening hours of public service facilities on the basis of space–time accessibility measures. Three approaches based on different equity principles are presented to schedule the opening hours of public service facilities: a utilitarian, an egalitarian and a distributive approach. A case study of public libraries in Ghent (Belgium) demonstrates the relevance of these approaches for amending the opening hours of public services to control the equity of accessibility levels across individuals.","container-title":"Computers, Environment and Urban Systems","DOI":"10.1016/j.compenvurbsys.2011.02.005","ISSN":"0198-9715","issue":"4","journalAbbreviation":"Computers, Environment and Urban Systems","language":"en","page":"276-288","source":"ScienceDirect","title":"The impact of opening hours on the equity of individual space–time accessibility","URL":"https://www.sciencedirect.com/science/article/pii/S0198971511000263","volume":"35","author":[{"family":"Delafontaine","given":"Matthias"},{"family":"Neutens","given":"Tijs"},{"family":"Schwanen","given":"Tim"},{"family":"Weghe","given":"Nico Van","dropping-particle":"de"}],"accessed":{"date-parts":[["2021",3,3]]},"issued":{"date-parts":[["2011",7,1]]}}},{"id":820,"uris":["http://zotero.org/users/5090392/items/QD4SKWPE"],"itemData":{"id":820,"type":"article-journal","abstract":"Space-time accessibility measures have received much attention in recent years due to their sensitivity to differences in individual ability to participate in activities in space and time. Despite the conceptual attractiveness and robustness of space-time measures, only few attempts have been made to operationalize them to date. Research that seeks to improve space-time accessibility measures is still sorely needed. This study seeks to enhance space-time accessibility measures through developing a new operational method and GIS-based algorithm that better represents the space-time characteristics of urban opportunities (e.g. their geographical distribution and opening hours) and human activity-travel behavior (e.g. delay times, minimum activity participation time, and maximum travel time threshold). The proposed method not only takes into account the number and size of opportunities, but also the possible activity duration at each activity location given its opening hours and the effect of transport network topology (e.g. one-way streets, turn restrictions and over-pass). Incorporating these elements into space-time measures helps overcome several shortcomings of previous approaches to evaluating space-time accessibility.","container-title":"Journal of Geographical Systems","DOI":"10.1007/s101090300104","ISSN":"1435-5930","issue":"1","journalAbbreviation":"J Geograph Syst","language":"en","page":"71-91","source":"Springer Link","title":"Space-time accessibility measures: A geocomputational algorithm with a focus on the feasible opportunity set and possible activity duration","title-short":"Space-time accessibility measures","URL":"https://doi.org/10.1007/s101090300104","volume":"5","author":[{"family":"Kim","given":"Hyun-Mi"},{"family":"Kwan","given":"Mei-Po"}],"accessed":{"date-parts":[["2021",2,4]]},"issued":{"date-parts":[["2003",5,1]]}}},{"id":732,"uris":["http://zotero.org/users/5090392/items/M8GKY6U4"],"itemData":{"id":732,"type":"article-journal","abstract":"Many fundamental notions in geographic and social science research still tend to be conceptualized largely in static spatial terms, ignoring how our understanding of the issues we study can be greatly enriched through the lenses of time and human mobility. This article revisits three such notions: racial segregation, environmental exposure, and accessibility. It argues for the need to expand our analytical focus from static residential spaces to other relevant places and times in people's everyday lives. Mobility is an essential element of people's spatiotemporal experiences, and these complex experiences cannot be fully understood by just looking at where people live. As many social scientists are interested in studying segregation, environmental exposure, and accessibility, geographers can contribute to advancing temporally integrated analysis of these issues through careful examination of people's everyday experiences as their lives unfold in space and time. Interdisciplinary research along this line could have a broad impact on many disciplines beyond geography.","container-title":"Annals of the Association of American Geographers","DOI":"10.1080/00045608.2013.792177","ISSN":"0004-5608","issue":"5","note":"publisher: Routledge\n_eprint: https://doi.org/10.1080/00045608.2013.792177","page":"1078-1086","source":"Taylor and Francis+NEJM","title":"Beyond Space (As We Knew It): Toward Temporally Integrated Geographies of Segregation, Health, and Accessibility","title-short":"Beyond Space (As We Knew It)","URL":"https://doi.org/10.1080/00045608.2013.792177","volume":"103","author":[{"family":"Kwan","given":"Mei-Po"}],"accessed":{"date-parts":[["2021",1,9]]},"issued":{"date-parts":[["2013",9,1]]}}},{"id":834,"uris":["http://zotero.org/users/5090392/items/NUPEY98B"],"itemData":{"id":834,"type":"article-journal","abstract":"The space-time 0 .. time geographical framework is a powerful perspective from which to analyse human behaviour. One of the central concepts in this framework is the space-time prism, which models individual accessibility to an environment. In this paper, the derivation and manipulation of space-time prism concepts within a geographical information system (GIS) are discussed. The required system inputs and desired outputs are identified and a generic GIS based procedure is presented. Given these basic requirements, issues are discussed which can determine the feasibility of current GIS technology to handle the derivation of space-time prism concepts.","container-title":"International journal of geographical information systems","DOI":"10.1080/02693799108927856","ISSN":"0269-3798","issue":"3","journalAbbreviation":"International journal of geographical information systems","language":"en","page":"287-301","source":"DOI.org (Crossref)","title":"Modelling accessibility using space-time prism concepts within geographical information systems","URL":"http://www.tandfonline.com/doi/abs/10.1080/02693799108927856","volume":"5","author":[{"family":"Miller","given":"Harvey J."}],"accessed":{"date-parts":[["2021",2,7]]},"issued":{"date-parts":[["1991",1]]}}},{"id":1867,"uris":["http://zotero.org/users/5090392/items/BEVB6C6R"],"itemData":{"id":1867,"type":"article-journal","abstract":"Traditional studies about the planning and equality of public service delivery have treated accessibility of services as if it were a static concept of physical proximity. This paper extends and empirically substantiates the conceptual argument for the incorporation of time in measures of accessibility. It does so by examining the variability in person-based accessibility to urban opportunities over a 1-week period. Accessibility is specified on the basis of persons rather than places and measured for each day of the week rather than for a single day. An empirical case of government offices in the city of Ghent (Belgium) is used to demonstrate how space–time accessibility may fluctuate between persons and per person from day to day. The case study provides evidence that, even for fulltime workers on weekdays, considerable day-to-day variability in the accessibility level of a single person can exist as a consequence of differences in space–time constraints.","collection-title":"Special Issue on Time Geography","container-title":"Journal of Transport Geography","DOI":"10.1016/j.jtrangeo.2012.04.001","ISSN":"0966-6923","journalAbbreviation":"Journal of Transport Geography","language":"en","page":"81-91","source":"ScienceDirect","title":"An analysis of day-to-day variations in individual space–time accessibility","URL":"https://www.sciencedirect.com/science/article/pii/S0966692312000877","volume":"23","author":[{"family":"Neutens","given":"Tijs"},{"family":"Delafontaine","given":"Matthias"},{"family":"Scott","given":"Darren M."},{"family":"De Maeyer","given":"Philippe"}],"accessed":{"date-parts":[["2022",8,9]]},"issued":{"date-parts":[["2012",7,1]]}}},{"id":1807,"uris":["http://zotero.org/users/5090392/items/XK6JE8M4"],"itemData":{"id":1807,"type":"article-journal","abstract":"Improving spatial access to healthy foods in urban regions is recognized as an important component of reducing the prevalence of chronic illness and achieving better health outcomes. Previously, researchers exploring this domain have calculated accessibility measures derived from the travel cost from home locations to nearby food stores. This approach disregards additional opportunities that present themselves as residents move throughout the city. A time-geographic accessibility measure is utilized to explore how single-occupancy automobile commuting affords access to supermarkets. Results show residents in some TAZs have more access when accounting for their commuting behavior than when measuring access from their home. This finding suggests more nuanced calculations of accessibility are necessary to fully understand which urban populations have greater access to healthy food.","container-title":"Health &amp; Place","DOI":"10.1016/j.healthplace.2013.01.004","ISSN":"1353-8292","journalAbbreviation":"Health &amp; Place","language":"en","page":"1-9","source":"ScienceDirect","title":"Using urban commuting data to calculate a spatiotemporal accessibility measure for food environment studies","URL":"https://www.sciencedirect.com/science/article/pii/S1353829213000105","volume":"21","author":[{"family":"Widener","given":"Michael J."},{"family":"Farber","given":"Steven"},{"family":"Neutens","given":"Tijs"},{"family":"Horner","given":"Mark W."}],"accessed":{"date-parts":[["2022",7,10]]},"issued":{"date-parts":[["2013",5,1]]}}},{"id":969,"uris":["http://zotero.org/users/5090392/items/ZPCCUHLC"],"itemData":{"id":969,"type":"article-journal","abstract":"Improving nutrition in urban regions involves understanding which neighborhoods and populations lack access to stores that sell healthy foods, such as fruits and vegetables. To this end, recent work has focused on mapping regions without access to places like supermarkets, often terming them ‘food deserts’. Until recently, this work has not considered residents’ mobility as facilitated by transportation systems, and even among those that do, few have considered alternative forms of transportation, like public transit, opting for automobile-oriented travel assumptions. This paper analyzes people’s spatio-temporal constraints to accessing supermarkets, and focuses on the transit commuting population. Analysis of commute data from Cincinnati, Ohio shows there are a significant number of residents that have improved access to supermarkets when a grocery shopping trip is made on the way home from work, than if they were to depart from their home location. These results extend previous work showing relatively few automobile commuting residents have better access to supermarkets given their work locations.","container-title":"Journal of Transport Geography","DOI":"10.1016/j.jtrangeo.2014.11.004","ISSN":"0966-6923","journalAbbreviation":"Journal of Transport Geography","language":"en","page":"72-83","source":"ScienceDirect","title":"Spatiotemporal accessibility to supermarkets using public transit: an interaction potential approach in Cincinnati, Ohio","title-short":"Spatiotemporal accessibility to supermarkets using public transit","URL":"https://www.sciencedirect.com/science/article/pii/S0966692314002403","volume":"42","author":[{"family":"Widener","given":"Michael J."},{"family":"Farber","given":"Steven"},{"family":"Neutens","given":"Tijs"},{"family":"Horner","given":"Mark"}],"accessed":{"date-parts":[["2021",3,3]]},"issued":{"date-parts":[["2015",1,1]]}}}],"schema":"https://github.com/citation-style-language/schema/raw/master/csl-citation.json"} </w:instrText>
      </w:r>
      <w:r>
        <w:fldChar w:fldCharType="separate"/>
      </w:r>
      <w:r w:rsidR="00967900" w:rsidRPr="00967900">
        <w:t>(Delafontaine et al., 2011; Kim &amp; Kwan, 2003; Kwan, 2013; Miller, 1991; Neutens et al., 2012; Widener et al., 2013, 2015)</w:t>
      </w:r>
      <w:r>
        <w:fldChar w:fldCharType="end"/>
      </w:r>
      <w:r>
        <w:t>.</w:t>
      </w:r>
    </w:p>
    <w:p w14:paraId="56D9A660" w14:textId="3E31BDCC" w:rsidR="00EC4549" w:rsidRPr="00AD586B" w:rsidRDefault="00564BEF" w:rsidP="00156BEA">
      <w:pPr>
        <w:spacing w:line="480" w:lineRule="auto"/>
        <w:ind w:firstLine="720"/>
      </w:pPr>
      <w:r>
        <w:t>These definitions represent some popular spatial accessibility measures</w:t>
      </w:r>
      <w:r w:rsidR="0094469C">
        <w:t xml:space="preserve"> (see Appendix 1</w:t>
      </w:r>
      <w:r w:rsidR="00056A5F">
        <w:t xml:space="preserve"> for a chart overview and citations</w:t>
      </w:r>
      <w:r>
        <w:t>.</w:t>
      </w:r>
      <w:r w:rsidR="00056A5F">
        <w:t>)</w:t>
      </w:r>
      <w:r>
        <w:t xml:space="preserve"> Simple distance measures focus on the physical separation between two points or one point to all others</w:t>
      </w:r>
      <w:r w:rsidR="00022D97">
        <w:t xml:space="preserve"> and</w:t>
      </w:r>
      <w:r w:rsidR="00EC4549" w:rsidRPr="00AD586B">
        <w:t xml:space="preserve"> have been operationalized as the Euclidean </w:t>
      </w:r>
      <w:r w:rsidR="00EC4549" w:rsidRPr="00AD586B">
        <w:lastRenderedPageBreak/>
        <w:t>(straight-line) or network path-based distance between supply and demand location</w:t>
      </w:r>
      <w:r w:rsidR="00022D97">
        <w:t>(s)</w:t>
      </w:r>
      <w:r w:rsidR="00EC4549" w:rsidRPr="00AD586B">
        <w:t xml:space="preserve">. In other words, the time or cost needed to traverse from one location to another, or the physical length between two locations provide a point of comparison for </w:t>
      </w:r>
      <w:r w:rsidR="00EC4549">
        <w:t>the degree to which</w:t>
      </w:r>
      <w:r w:rsidR="00EC4549" w:rsidRPr="00AD586B">
        <w:t xml:space="preserve"> </w:t>
      </w:r>
      <w:r w:rsidR="00022D97">
        <w:t>opportunities</w:t>
      </w:r>
      <w:r w:rsidR="00EC4549" w:rsidRPr="00AD586B">
        <w:t xml:space="preserve"> </w:t>
      </w:r>
      <w:r w:rsidR="00022D97">
        <w:t>are</w:t>
      </w:r>
      <w:r w:rsidR="00EC4549">
        <w:t xml:space="preserve"> (not)</w:t>
      </w:r>
      <w:r w:rsidR="00EC4549" w:rsidRPr="00AD586B">
        <w:t xml:space="preserve"> a</w:t>
      </w:r>
      <w:r w:rsidR="00022D97">
        <w:t>ccessi</w:t>
      </w:r>
      <w:r w:rsidR="00EC4549" w:rsidRPr="00AD586B">
        <w:t>ble. Network path-based distances are almost always preferred because t</w:t>
      </w:r>
      <w:r w:rsidR="00022D97">
        <w:t>hey are</w:t>
      </w:r>
      <w:r w:rsidR="00EC4549" w:rsidRPr="00AD586B">
        <w:t xml:space="preserve"> based on realistic transportation networks that take into consideration physical impediments and barriers (e.g.</w:t>
      </w:r>
      <w:r w:rsidR="00022D97">
        <w:t>,</w:t>
      </w:r>
      <w:r w:rsidR="00EC4549" w:rsidRPr="00AD586B">
        <w:t xml:space="preserve"> water bodies, buildings, train lines, etc.)</w:t>
      </w:r>
      <w:r w:rsidR="00854E2E">
        <w:t>.</w:t>
      </w:r>
      <w:r w:rsidR="00EC4549" w:rsidRPr="00AD586B">
        <w:t xml:space="preserve"> Such measures can further be refined to account for the mode of travel, whether by foot, bike, car, or some form of public transit, and the time of day. They are often employed in research studies that establish time or geographic space as the unit of measurement, treated as (</w:t>
      </w:r>
      <w:proofErr w:type="spellStart"/>
      <w:r w:rsidR="00EC4549" w:rsidRPr="00AD586B">
        <w:t>i</w:t>
      </w:r>
      <w:proofErr w:type="spellEnd"/>
      <w:r w:rsidR="00EC4549" w:rsidRPr="00AD586B">
        <w:t xml:space="preserve">) proximity: physical distance or travel time to the closest supply location </w:t>
      </w:r>
      <w:r w:rsidR="00EC4549" w:rsidRPr="00AD586B">
        <w:fldChar w:fldCharType="begin"/>
      </w:r>
      <w:r w:rsidR="00753723">
        <w:instrText xml:space="preserve"> ADDIN ZOTERO_ITEM CSL_CITATION {"citationID":"HOUYJHp4","properties":{"formattedCitation":"(Ploeg et al., 2012; USDA Economic Research Service, 2019)","plainCitation":"(Ploeg et al., 2012; USDA Economic Research Service, 2019)","noteIndex":0},"citationItems":[{"id":606,"uris":["http://zotero.org/users/5090392/items/XLMFPRDJ"],"itemData":{"id":606,"type":"report","genre":"Report Summary","language":"en","publisher":"United States Department of Agriculture, Economic Research Service","source":"Zotero","title":"Access to Affordable and Nutritious Food:  Updated Estimates of Distance to Supermarkets Using 2010 Data","URL":"https://www.ers.usda.gov/webdocs/publications/45032/33844_err143_summary.pdf?v=9280.8","author":[{"family":"Ploeg","given":"Michele Ver"},{"family":"Breneman","given":"Vince"},{"family":"Dutko","given":"Paula"},{"family":"Williams","given":"Ryan"},{"family":"Snyder","given":"Samantha"},{"family":"Dicken","given":"Chris"},{"family":"Kaufman","given":"Phil"}],"issued":{"date-parts":[["2012",11]]}}},{"id":875,"uris":["http://zotero.org/users/5090392/items/TWN8QTSP"],"itemData":{"id":875,"type":"webpage","container-title":"Food Access Research Atlas: Documentation","title":"USDA ERS - Documentation","URL":"https://www.ers.usda.gov/data-products/food-access-research-atlas/documentation/","author":[{"literal":"USDA Economic Research Service"}],"accessed":{"date-parts":[["2021",2,18]]},"issued":{"date-parts":[["2019",10,31]]}}}],"schema":"https://github.com/citation-style-language/schema/raw/master/csl-citation.json"} </w:instrText>
      </w:r>
      <w:r w:rsidR="00EC4549" w:rsidRPr="00AD586B">
        <w:fldChar w:fldCharType="separate"/>
      </w:r>
      <w:r w:rsidR="00967900" w:rsidRPr="00967900">
        <w:t>(Ploeg et al., 2012; USDA Economic Research Service, 2019)</w:t>
      </w:r>
      <w:r w:rsidR="00EC4549" w:rsidRPr="00AD586B">
        <w:fldChar w:fldCharType="end"/>
      </w:r>
      <w:r w:rsidR="00EC4549" w:rsidRPr="00AD586B">
        <w:t xml:space="preserve">; (ii) diversity: number of </w:t>
      </w:r>
      <w:r w:rsidR="00F15745">
        <w:t>opportunity</w:t>
      </w:r>
      <w:r w:rsidR="00EC4549" w:rsidRPr="00AD586B">
        <w:t xml:space="preserve"> locations within a given time or distance threshold (i.e. service area) </w:t>
      </w:r>
      <w:r w:rsidR="00EC4549" w:rsidRPr="00AD586B">
        <w:fldChar w:fldCharType="begin"/>
      </w:r>
      <w:r w:rsidR="00753723">
        <w:instrText xml:space="preserve"> ADDIN ZOTERO_ITEM CSL_CITATION {"citationID":"lGwsgxqW","properties":{"formattedCitation":"(Apparicio et al., 2007; dos Anjos Luis &amp; Cabral, 2016)","plainCitation":"(Apparicio et al., 2007; dos Anjos Luis &amp; Cabral, 2016)","noteIndex":0},"citationItems":[{"id":877,"uris":["http://zotero.org/users/5090392/items/ABZW4BRG"],"itemData":{"id":877,"type":"article-journal","abstract":"Access to varied, healthy and inexpensive foods is an important public health concern that has been widely documented. Consequently, there is an increasing interest in identifying food deserts, that is, socially deprived areas within cities that have poor access to food retailers. In this paper we propose a methodology based on three measures of accessibility to supermarkets calculated using geographic information systems (GIS), and on exploratory multivariate statistical analysis (hierarchical cluster analysis), which we use to identify food deserts in Montréal.","container-title":"International Journal of Health Geographics","DOI":"10.1186/1476-072X-6-4","ISSN":"1476-072X","issue":"1","journalAbbreviation":"International Journal of Health Geographics","page":"4","source":"BioMed Central","title":"The case of Montréal's missing food deserts: Evaluation of accessibility to food supermarkets","title-short":"The case of Montréal's missing food deserts","URL":"https://doi.org/10.1186/1476-072X-6-4","volume":"6","author":[{"family":"Apparicio","given":"Philippe"},{"family":"Cloutier","given":"Marie-Soleil"},{"family":"Shearmur","given":"Richard"}],"accessed":{"date-parts":[["2021",2,18]]},"issued":{"date-parts":[["2007",2,12]]}}},{"id":872,"uris":["http://zotero.org/users/5090392/items/CUBAZ2X4"],"itemData":{"id":872,"type":"article-journal","abstract":"Access to healthcare services has an essential role in promoting health equity and quality of life. Knowing where the places are and how much of the population is covered by the existing healthcare network is important information that can be extracted from Geographical Information Systems (GIS) and used in effective healthcare planning. The aim of this study is to measure the geographic accessibility of population to existing Healthcare Centers (HC), and to estimate the number of persons served by the health network of Mozambique.","container-title":"International Journal for Equity in Health","DOI":"10.1186/s12939-016-0455-0","ISSN":"1475-9276","issue":"1","journalAbbreviation":"International Journal for Equity in Health","page":"173","source":"BioMed Central","title":"Geographic accessibility to primary healthcare centers in Mozambique","URL":"https://doi.org/10.1186/s12939-016-0455-0","volume":"15","author":[{"family":"Anjos Luis","given":"António","non-dropping-particle":"dos"},{"family":"Cabral","given":"Pedro"}],"accessed":{"date-parts":[["2021",2,18]]},"issued":{"date-parts":[["2016",10,18]]}}}],"schema":"https://github.com/citation-style-language/schema/raw/master/csl-citation.json"} </w:instrText>
      </w:r>
      <w:r w:rsidR="00EC4549" w:rsidRPr="00AD586B">
        <w:fldChar w:fldCharType="separate"/>
      </w:r>
      <w:r w:rsidR="00967900" w:rsidRPr="00967900">
        <w:t>(Apparicio et al., 2007; dos Anjos Luis &amp; Cabral, 2016)</w:t>
      </w:r>
      <w:r w:rsidR="00EC4549" w:rsidRPr="00AD586B">
        <w:fldChar w:fldCharType="end"/>
      </w:r>
      <w:r w:rsidR="00EC4549" w:rsidRPr="00AD586B">
        <w:t xml:space="preserve">, or (iii) variety: average distance to a specified number </w:t>
      </w:r>
      <w:r w:rsidR="00EC4549" w:rsidRPr="00AD586B">
        <w:rPr>
          <w:i/>
          <w:iCs/>
        </w:rPr>
        <w:t>n</w:t>
      </w:r>
      <w:r w:rsidR="00EC4549" w:rsidRPr="00AD586B">
        <w:t xml:space="preserve"> of </w:t>
      </w:r>
      <w:r w:rsidR="00F15745">
        <w:t>opportunity</w:t>
      </w:r>
      <w:r w:rsidR="00EC4549" w:rsidRPr="00AD586B">
        <w:t xml:space="preserve"> locations</w:t>
      </w:r>
      <w:r w:rsidR="00022D97">
        <w:t xml:space="preserve">. </w:t>
      </w:r>
      <w:r w:rsidR="00EC4549" w:rsidRPr="00AD586B">
        <w:t xml:space="preserve">Similarly, travel time has been used to assess accessibility to food in the United States </w:t>
      </w:r>
      <w:r w:rsidR="00EC4549" w:rsidRPr="00AD586B">
        <w:fldChar w:fldCharType="begin"/>
      </w:r>
      <w:r w:rsidR="00753723">
        <w:instrText xml:space="preserve"> ADDIN ZOTERO_ITEM CSL_CITATION {"citationID":"PEd0dADe","properties":{"formattedCitation":"(Ploeg et al., 2009; Rhone et al., 2017)","plainCitation":"(Ploeg et al., 2009; Rhone et al., 2017)","noteIndex":0},"citationItems":[{"id":610,"uris":["http://zotero.org/users/5090392/items/WAVYRLK9"],"itemData":{"id":610,"type":"report","abstract":"The Food, Conservation, and Energy Act of 2008 directed the U.S. Department of Agriculture to conduct a 1-year study to assess the extent of areas with limited access to affordable and nutritious food, identify characteristics and causes of such areas, consider how limited access affects local populations, and outline recommendations to address the problem. This report presents the ﬁndings of the study, which include results from two conferences of national and international authorities on food deserts and a set of commissioned research studies done in cooperation with the National Poverty Center at the University of Michigan. It also includes reviews of existing literature, a national-level assessment of access to supermarkets and large grocery stores, analysis of the economic and public health effects of limited access, and a discussion of existing policy interventions. The study uses a variety of analytical methods and data to assess the extent of limited access to affordable and nutritious food and characteristics of areas with limited access. Overall, ﬁndings show that a small percentage of consumers are constrained in their ability to access affordable nutritious food because they live far from a supermarket or large grocery store and do not have easy access to transportation. Urban core areas with limited food access are characterized by higher levels of racial segregation and greater income inequality. In small-town and rural areas with limited food access, the lack of transportation infrastructure is the most deﬁning characteristic. Existing data and research are insufﬁcient to conclusively determine whether areas with limited access have inadequate access.","genre":"Report to Congress","language":"en","page":"1-160","publisher":"United States Department of Agriculture, Economic Research Service","source":"Zotero","title":"Access to Affordable and Nutritious Food:  Measuring and Understanding Food  Deserts and Their Consequences","URL":"https://www.ers.usda.gov/webdocs/publications/42711/12716_ap036_1_.pdf?v=62.2","author":[{"family":"Ploeg","given":"Michele Ver"},{"family":"Breneman","given":"Vince"},{"family":"Farrigan","given":"Tracey"},{"family":"Hamrick","given":"Karen"},{"family":"Hopkins","given":"David"},{"family":"Kaufman","given":"Phil"},{"family":"Lin","given":"Biing-Hwan"},{"family":"Nord","given":"Mark"},{"family":"Smith","given":"Travis"},{"family":"Williams","given":"Ryan"},{"family":"Kinnison","given":"Kelly"},{"family":"Olander","given":"Carol"},{"family":"Singh","given":"Anita"},{"family":"Tuckermanty","given":"Elizabeth"},{"family":"Krantz-Kent","given":"Rachel"},{"family":"Polen","given":"Curtis"},{"family":"McGowan","given":"Howard"},{"family":"Kim","given":"Stella"}],"issued":{"date-parts":[["2009",6]]}}},{"id":706,"uris":["http://zotero.org/users/5090392/items/PL4Y3R8Y"],"itemData":{"id":706,"type":"report","abstract":"Limited access to supermarkets or other sources of healthy and affordable food may impede the ability of some Americans to eat a healthy diet. Income, transportation, and distance may be barriers to food access for some. This brief updates estimates of low-income and low-supermarket-access census tracts (as found in ERS’ Food Access Research Atlas) using a 2015 directory of supermarkets and 2010-2014 American Community Survey data on household vehicle access and family income. The number of tracts classified as low income (LI), based on the poverty rate and median income, increased 5.41 percent from 2010 to 2015. The number of tracts that are classified as low access (LA) solely by proximity to the nearest supermarket decreased from 2010 to 2015—that is, fewer tracts had a significant number or share of people more than 0.5 or 1.0 mile (10 or 20 miles) from the nearest supermarket in urban (rural) areas. For these proximity-only measures, the increase in low-income tracts outnumbered the decrease in low-access tracts so that there was a small net increase in the number of tracts that are both low-income and low-access (LILA) in 2015. The number of low-access tracts with a significant number of vehicle-less housing units more than 0.5 mile from the nearest supermarket grew by 412 from 2010 to 2015. This increase (4 percent) largely reflects lower levels of vehicle access across all U.S. housing units relative to 2010.","language":"en","number":"EIB-165","page":"1-21","publisher":"U.S. Department of Agriculture, Economic Research Service","source":"Zotero","title":"Low-Income and Low-Supermarket-Access Census Tracts, 2010-2015","URL":"https://www.ers.usda.gov/webdocs/publications/82101/eib-165.pdf?v=42752","author":[{"family":"Rhone","given":"Alana"},{"family":"Ver Ploeg","given":"Michele"},{"family":"Dicken","given":"Chris"},{"family":"Williams","given":"Ryan"},{"family":"Brenemen","given":"Vince"}],"issued":{"date-parts":[["2017",1]]}}}],"schema":"https://github.com/citation-style-language/schema/raw/master/csl-citation.json"} </w:instrText>
      </w:r>
      <w:r w:rsidR="00EC4549" w:rsidRPr="00AD586B">
        <w:fldChar w:fldCharType="separate"/>
      </w:r>
      <w:r w:rsidR="00967900" w:rsidRPr="00967900">
        <w:t>(Ploeg et al., 2009; Rhone et al., 2017)</w:t>
      </w:r>
      <w:r w:rsidR="00EC4549" w:rsidRPr="00AD586B">
        <w:fldChar w:fldCharType="end"/>
      </w:r>
      <w:r w:rsidR="00EC4549" w:rsidRPr="00AD586B">
        <w:t xml:space="preserve">, cities for rural populations globally </w:t>
      </w:r>
      <w:r w:rsidR="00EC4549" w:rsidRPr="00AD586B">
        <w:fldChar w:fldCharType="begin"/>
      </w:r>
      <w:r w:rsidR="00854690">
        <w:instrText xml:space="preserve"> ADDIN ZOTERO_ITEM CSL_CITATION {"citationID":"Us2gZjOd","properties":{"formattedCitation":"(Weiss et al., 2018)","plainCitation":"(Weiss et al., 2018)","noteIndex":0},"citationItems":[{"id":243,"uris":["http://zotero.org/users/5090392/items/VPJ4TF6L"],"itemData":{"id":243,"type":"article-journal","abstract":"The economic and man-made resources that sustain human wellbeing are not distributed evenly across the world, but are instead heavily concentrated in cities. Poor access to opportunities and services offered by urban centres (a function of distance, transport infrastructure, and the spatial distribution of cities) is a major barrier to improved livelihoods and overall development. Advancing accessibility worldwide underpins the equity agenda of ‘leaving no one behind’ established by the Sustainable Development Goals of the United Nations1. This has renewed international efforts to accurately measure accessibility and generate a metric that can inform the design and implementation of development policies. The only previous attempt to reliably map accessibility worldwide, which was published nearly a decade ago2, predated the baseline for the Sustainable Development Goals and excluded the recent expansion in infrastructure networks, particularly in lower-resource settings. In parallel, new data sources provided by Open Street Map and Google now capture transportation networks with unprecedented detail and precision. Here we develop and validate a map that quantifies travel time to cities for 2015 at a spatial resolution of approximately one by one kilometre by integrating ten global-scale surfaces that characterize factors affecting human movement rates and 13,840 high-density urban centres within an established geospatial-modelling framework. Our results highlight disparities in accessibility relative to wealth as 50.9% of individuals living in low-income settings (concentrated in sub-Saharan Africa) reside within an hour of a city compared to 90.7% of individuals in high-income settings. By further triangulating this map against socioeconomic datasets, we demonstrate how access to urban centres stratifies the economic, educational, and health status of humanity.","container-title":"Nature","DOI":"10.1038/nature25181","ISSN":"1476-4687","issue":"7688","language":"en","license":"2018 Nature Publishing Group","page":"333-336","source":"www.nature.com","title":"A global map of travel time to cities to assess inequalities in accessibility in 2015","URL":"https://www.nature.com/articles/nature25181","volume":"553","author":[{"family":"Weiss","given":"D. J."},{"family":"Nelson","given":"A."},{"family":"Gibson","given":"H. S."},{"family":"Temperley","given":"W."},{"family":"Peedell","given":"S."},{"family":"Lieber","given":"A."},{"family":"Hancher","given":"M."},{"family":"Poyart","given":"E."},{"family":"Belchior","given":"S."},{"family":"Fullman","given":"N."},{"family":"Mappin","given":"B."},{"family":"Dalrymple","given":"U."},{"family":"Rozier","given":"J."},{"family":"Lucas","given":"T. C. D."},{"family":"Howes","given":"R. E."},{"family":"Tusting","given":"L. S."},{"family":"Kang","given":"S. Y."},{"family":"Cameron","given":"E."},{"family":"Bisanzio","given":"D."},{"family":"Battle","given":"K. E."},{"family":"Bhatt","given":"S."},{"family":"Gething","given":"P. W."}],"accessed":{"date-parts":[["2019",6,5]]},"issued":{"date-parts":[["2018",1]]}}}],"schema":"https://github.com/citation-style-language/schema/raw/master/csl-citation.json"} </w:instrText>
      </w:r>
      <w:r w:rsidR="00EC4549" w:rsidRPr="00AD586B">
        <w:fldChar w:fldCharType="separate"/>
      </w:r>
      <w:r w:rsidR="00967900" w:rsidRPr="00967900">
        <w:t>(Weiss et al., 2018)</w:t>
      </w:r>
      <w:r w:rsidR="00EC4549" w:rsidRPr="00AD586B">
        <w:fldChar w:fldCharType="end"/>
      </w:r>
      <w:r w:rsidR="00EC4549" w:rsidRPr="00AD586B">
        <w:t xml:space="preserve">, hospitals </w:t>
      </w:r>
      <w:r w:rsidR="00EC4549" w:rsidRPr="00AD586B">
        <w:fldChar w:fldCharType="begin"/>
      </w:r>
      <w:r w:rsidR="00753723">
        <w:instrText xml:space="preserve"> ADDIN ZOTERO_ITEM CSL_CITATION {"citationID":"8zXFObSu","properties":{"formattedCitation":"(Bosanac et al., 1976)","plainCitation":"(Bosanac et al., 1976)","noteIndex":0},"citationItems":[{"id":867,"uris":["http://zotero.org/users/5090392/items/43I8GYS9"],"itemData":{"id":867,"type":"article-journal","abstract":"A review of literature focusing upon geographic accessibility to health facilities indicates that while distance has been the traditional measure, travel time may now be a more meaningful indicator. Applying a 30-minute travel time standard to general hospitals, as advocated by various health plans, this paper illustrates an approach to the determination of geographic accessibility through a combination of a travel time file and sociodemographic profiles. Focusing upon all residents of West Virginia, the study identifies the number and characteristics of persons who reside within and beyond the 30-minute standard. More than 10 per cent of the entire population and nearly 20 per cent of the rural residents live in areas which are, by this standard, inaccessible to general hospitals. The “inaccessible” populations are characterized as having sociodemographic attributes associated with high medical needs. Other applications of travel time data are discussed.","container-title":"Medical Care","ISSN":"0025-7079","issue":"7","language":"en-US","page":"616–623","source":"journals.lww.com","title":"Geographic Access to Hospital Care: A 30-Minute Travel Time Standard","title-short":"Geographic Access to Hospital Care","URL":"https://journals.lww.com/lww-medicalcare/Abstract/1976/07000/Geographic_Access_to_Hospital_Care__A_30_Minute.6.aspx","volume":"14","author":[{"family":"Bosanac","given":"Edward M."},{"family":"Parkinson","given":"Rosalind C."},{"family":"Hall","given":"David S."}],"accessed":{"date-parts":[["2021",2,18]]},"issued":{"date-parts":[["1976",7]]}}}],"schema":"https://github.com/citation-style-language/schema/raw/master/csl-citation.json"} </w:instrText>
      </w:r>
      <w:r w:rsidR="00EC4549" w:rsidRPr="00AD586B">
        <w:fldChar w:fldCharType="separate"/>
      </w:r>
      <w:r w:rsidR="00967900" w:rsidRPr="00967900">
        <w:t>(Bosanac et al., 1976)</w:t>
      </w:r>
      <w:r w:rsidR="00EC4549" w:rsidRPr="00AD586B">
        <w:fldChar w:fldCharType="end"/>
      </w:r>
      <w:r w:rsidR="00EC4549" w:rsidRPr="00AD586B">
        <w:t xml:space="preserve">, and other healthcare facilities </w:t>
      </w:r>
      <w:r w:rsidR="00EC4549" w:rsidRPr="00AD586B">
        <w:fldChar w:fldCharType="begin"/>
      </w:r>
      <w:r w:rsidR="00854690">
        <w:instrText xml:space="preserve"> ADDIN ZOTERO_ITEM CSL_CITATION {"citationID":"b91APwYW","properties":{"formattedCitation":"(Weiss et al., 2020)","plainCitation":"(Weiss et al., 2020)","noteIndex":0},"citationItems":[{"id":869,"uris":["http://zotero.org/users/5090392/items/QRYTZPT6"],"itemData":{"id":869,"type":"article-journal","abstract":"Access to healthcare is a requirement for human well-being that is constrained, in part, by the allocation of healthcare resources relative to the geographically dispersed human population1–3. Quantifying access to care globally is challenging due to the absence of a comprehensive database of healthcare facilities. We harness major data collection efforts underway by OpenStreetMap, Google Maps and academic researchers to compile the most complete collection of facility locations to date. Leveraging the geographically variable strengths of our facility datasets, we use an established methodology4 to characterize travel time to healthcare facilities in unprecedented detail. We produce maps of travel time with and without access to motorized transport, thus characterizing travel time to healthcare for populations distributed across the wealth spectrum. We find that just 8.9% of the global population (646 million people) cannot reach healthcare within one hour if they have access to motorized transport, and that 43.3% (3.16 billion people) cannot reach a healthcare facility by foot within one hour. Our maps highlight an additional vulnerability faced by poorer individuals in remote areas and can help to estimate whether individuals will seek healthcare when it is needed, as well as providing an evidence base for efficiently distributing limited healthcare and transportation resources to underserved populations both now and in the future.","container-title":"Nature Medicine","DOI":"10.1038/s41591-020-1059-1","ISSN":"1546-170X","issue":"12","language":"en","license":"2020 The Author(s), under exclusive licence to Springer Nature America, Inc.","note":"number: 12\npublisher: Nature Publishing Group","page":"1835-1838","source":"www.nature.com","title":"Global maps of travel time to healthcare facilities","URL":"https://www.nature.com/articles/s41591-020-1059-1","volume":"26","author":[{"family":"Weiss","given":"D. J."},{"family":"Nelson","given":"A."},{"family":"Vargas-Ruiz","given":"C. A."},{"family":"Gligorić","given":"K."},{"family":"Bavadekar","given":"S."},{"family":"Gabrilovich","given":"E."},{"family":"Bertozzi-Villa","given":"A."},{"family":"Rozier","given":"J."},{"family":"Gibson","given":"H. S."},{"family":"Shekel","given":"T."},{"family":"Kamath","given":"C."},{"family":"Lieber","given":"A."},{"family":"Schulman","given":"K."},{"family":"Shao","given":"Y."},{"family":"Qarkaxhija","given":"V."},{"family":"Nandi","given":"A. K."},{"family":"Keddie","given":"S. H."},{"family":"Rumisha","given":"S."},{"family":"Amratia","given":"P."},{"family":"Arambepola","given":"R."},{"family":"Chestnutt","given":"E. G."},{"family":"Millar","given":"J. J."},{"family":"Symons","given":"T. L."},{"family":"Cameron","given":"E."},{"family":"Battle","given":"K. E."},{"family":"Bhatt","given":"S."},{"family":"Gething","given":"P. W."}],"accessed":{"date-parts":[["2021",2,18]]},"issued":{"date-parts":[["2020",12]]}}}],"schema":"https://github.com/citation-style-language/schema/raw/master/csl-citation.json"} </w:instrText>
      </w:r>
      <w:r w:rsidR="00EC4549" w:rsidRPr="00AD586B">
        <w:fldChar w:fldCharType="separate"/>
      </w:r>
      <w:r w:rsidR="00967900" w:rsidRPr="00967900">
        <w:t>(Weiss et al., 2020)</w:t>
      </w:r>
      <w:r w:rsidR="00EC4549" w:rsidRPr="00AD586B">
        <w:fldChar w:fldCharType="end"/>
      </w:r>
      <w:r w:rsidR="00EC4549" w:rsidRPr="00AD586B">
        <w:t>. In proximity and variety distance measures, longer travel times or physical separation would suggest lower accessibility while shorter travel times and physical distances would indicate greater accessibility. Meanwhile, a larger value for diversity would indicate greater availability as there would be more options available. However, it is recognized that the choice of distance measure can significantly impact the obtained results; thus, conclusions may be highly sensitive to the choice of measure of access</w:t>
      </w:r>
      <w:r w:rsidR="00661870">
        <w:t>ibility</w:t>
      </w:r>
      <w:r w:rsidR="00EC4549" w:rsidRPr="00AD586B">
        <w:t xml:space="preserve"> </w:t>
      </w:r>
      <w:r w:rsidR="00EC4549" w:rsidRPr="00AD586B">
        <w:fldChar w:fldCharType="begin"/>
      </w:r>
      <w:r w:rsidR="00994C97">
        <w:instrText xml:space="preserve"> ADDIN ZOTERO_ITEM CSL_CITATION {"citationID":"DQwPuaok","properties":{"formattedCitation":"(Talen &amp; Anselin, 1998a)","plainCitation":"(Talen &amp; Anselin, 1998a)","noteIndex":0},"citationItems":[{"id":"aCCUDhF1/uakB9I5j","uris":["http://zotero.org/users/5090392/items/SHJ6NWPG"],"itemData":{"id":880,"type":"article-journal","abstract":"Geographical and political research on urban service delivery—who benefits and why—has proliferated during the past two decades. Overall, this literature is not characterized by a particular attention to the importance of method in drawing conclusions about spatial equity based on empirical studies. Specifically, there has been scant interest in the effect of geographic methodology on assessing the relationship between access and socioeconomic characteristics that are spatially defined. In this paper we take a spatial analytical perspective to evaluate the importance of methodology in assessing whether or not, or to what degree the distribution of urban public services is equitable. We approach this issue by means of an empirical case study of the spatial distribution of playgrounds in Tulsa, Oklahoma, relative to that of the targeted constituencies (children) and other socioeconomic indicators. In addition to the ‘traditional’ measure (count of facilities in an areal unit), we consider a potential measure (based on the gravity model), average travel distance, and distance to the nearest playground as indicators of accessibility. We find significant differences between the spatial patterns in these measures that are suggested by local indicators of spatial association and other techniques of exploratory spatial data analysis. The choice of access measure not only implies a particular treatment of spatial externalities but also affects conclusions about the existence of spatial mismatch and inequity.","container-title":"Environment and Planning A: Economy and Space","DOI":"10.1068/a300595","ISSN":"0308-518X","issue":"4","journalAbbreviation":"Environ Plan A","language":"en","note":"publisher: SAGE Publications Ltd","page":"595-613","source":"SAGE Journals","title":"Assessing Spatial Equity: An Evaluation of Measures of Accessibility to Public Playgrounds","title-short":"Assessing Spatial Equity","URL":"https://doi.org/10.1068/a300595","volume":"30","author":[{"family":"Talen","given":"E"},{"family":"Anselin","given":"L"}],"accessed":{"date-parts":[["2021",2,18]]},"issued":{"date-parts":[["1998",4,1]]}}}],"schema":"https://github.com/citation-style-language/schema/raw/master/csl-citation.json"} </w:instrText>
      </w:r>
      <w:r w:rsidR="00EC4549" w:rsidRPr="00AD586B">
        <w:fldChar w:fldCharType="separate"/>
      </w:r>
      <w:r w:rsidR="00967900" w:rsidRPr="00967900">
        <w:t>(Talen &amp; Anselin, 1998a)</w:t>
      </w:r>
      <w:r w:rsidR="00EC4549" w:rsidRPr="00AD586B">
        <w:fldChar w:fldCharType="end"/>
      </w:r>
      <w:r w:rsidR="00EC4549" w:rsidRPr="00AD586B">
        <w:t xml:space="preserve"> as well as the method of aggregation, i.e. the selection of the spatial unit of analysis </w:t>
      </w:r>
      <w:r w:rsidR="00EC4549" w:rsidRPr="00AD586B">
        <w:fldChar w:fldCharType="begin"/>
      </w:r>
      <w:r w:rsidR="00753723">
        <w:instrText xml:space="preserve"> ADDIN ZOTERO_ITEM CSL_CITATION {"citationID":"RlOvJN26","properties":{"formattedCitation":"(Apparicio et al., 2017)","plainCitation":"(Apparicio et al., 2017)","noteIndex":0},"citationItems":[{"id":830,"uris":["http://zotero.org/users/5090392/items/XHFYA2ZA"],"itemData":{"id":830,"type":"article-journal","abstract":"The potential spatial access to urban health services is an important issue in health geography, spatial epidemiology and public health. Computing geographical accessibility measures for residential areas (e.g. census tracts) depends on a type of distance, a method of aggregation, and a measure of accessibility. The aim of this paper is to compare discrepancies in results for the geographical accessibility of health services computed using six distance types (Euclidean and Manhattan distances; shortest network time on foot, by bicycle, by public transit, and by car), four aggregation methods, and fourteen accessibility measures.","container-title":"International Journal of Health Geographics","DOI":"10.1186/s12942-017-0105-9","ISSN":"1476-072X","issue":"1","journalAbbreviation":"International Journal of Health Geographics","page":"32","source":"BioMed Central","title":"The approaches to measuring the potential spatial access to urban health services revisited: distance types and aggregation-error issues","title-short":"The approaches to measuring the potential spatial access to urban health services revisited","URL":"https://doi.org/10.1186/s12942-017-0105-9","volume":"16","author":[{"family":"Apparicio","given":"Philippe"},{"family":"Gelb","given":"Jérémy"},{"family":"Dubé","given":"Anne-Sophie"},{"family":"Kingham","given":"Simon"},{"family":"Gauvin","given":"Lise"},{"family":"Robitaille","given":"Éric"}],"accessed":{"date-parts":[["2021",2,6]]},"issued":{"date-parts":[["2017",8,23]]}}}],"schema":"https://github.com/citation-style-language/schema/raw/master/csl-citation.json"} </w:instrText>
      </w:r>
      <w:r w:rsidR="00EC4549" w:rsidRPr="00AD586B">
        <w:fldChar w:fldCharType="separate"/>
      </w:r>
      <w:r w:rsidR="00967900" w:rsidRPr="00967900">
        <w:t>(Apparicio et al., 2017)</w:t>
      </w:r>
      <w:r w:rsidR="00EC4549" w:rsidRPr="00AD586B">
        <w:fldChar w:fldCharType="end"/>
      </w:r>
      <w:r w:rsidR="00EC4549" w:rsidRPr="00AD586B">
        <w:t xml:space="preserve">. Choosing only one of these measures does not adequately capture a </w:t>
      </w:r>
      <w:r w:rsidR="00EC4549" w:rsidRPr="00AD586B">
        <w:lastRenderedPageBreak/>
        <w:t xml:space="preserve">population’s spatial accessibility to a resource or service, and it is argued that no single simple distance measure can fully describe the geography of accessibility as they may reflect different aspects of opportunities for people to meet their various needs </w:t>
      </w:r>
      <w:r w:rsidR="00EC4549" w:rsidRPr="00AD586B">
        <w:fldChar w:fldCharType="begin"/>
      </w:r>
      <w:r w:rsidR="00753723">
        <w:instrText xml:space="preserve"> ADDIN ZOTERO_ITEM CSL_CITATION {"citationID":"gwUA02Ip","properties":{"formattedCitation":"(Apparicio et al., 2007)","plainCitation":"(Apparicio et al., 2007)","noteIndex":0},"citationItems":[{"id":877,"uris":["http://zotero.org/users/5090392/items/ABZW4BRG"],"itemData":{"id":877,"type":"article-journal","abstract":"Access to varied, healthy and inexpensive foods is an important public health concern that has been widely documented. Consequently, there is an increasing interest in identifying food deserts, that is, socially deprived areas within cities that have poor access to food retailers. In this paper we propose a methodology based on three measures of accessibility to supermarkets calculated using geographic information systems (GIS), and on exploratory multivariate statistical analysis (hierarchical cluster analysis), which we use to identify food deserts in Montréal.","container-title":"International Journal of Health Geographics","DOI":"10.1186/1476-072X-6-4","ISSN":"1476-072X","issue":"1","journalAbbreviation":"International Journal of Health Geographics","page":"4","source":"BioMed Central","title":"The case of Montréal's missing food deserts: Evaluation of accessibility to food supermarkets","title-short":"The case of Montréal's missing food deserts","URL":"https://doi.org/10.1186/1476-072X-6-4","volume":"6","author":[{"family":"Apparicio","given":"Philippe"},{"family":"Cloutier","given":"Marie-Soleil"},{"family":"Shearmur","given":"Richard"}],"accessed":{"date-parts":[["2021",2,18]]},"issued":{"date-parts":[["2007",2,12]]}}}],"schema":"https://github.com/citation-style-language/schema/raw/master/csl-citation.json"} </w:instrText>
      </w:r>
      <w:r w:rsidR="00EC4549" w:rsidRPr="00AD586B">
        <w:fldChar w:fldCharType="separate"/>
      </w:r>
      <w:r w:rsidR="00967900" w:rsidRPr="00967900">
        <w:t>(Apparicio et al., 2007)</w:t>
      </w:r>
      <w:r w:rsidR="00EC4549" w:rsidRPr="00AD586B">
        <w:fldChar w:fldCharType="end"/>
      </w:r>
      <w:r w:rsidR="00EC4549" w:rsidRPr="00AD586B">
        <w:t>.</w:t>
      </w:r>
    </w:p>
    <w:p w14:paraId="24B33A8C" w14:textId="7FC4CDA8" w:rsidR="00BA65A7" w:rsidRDefault="00564BEF" w:rsidP="00156BEA">
      <w:pPr>
        <w:spacing w:line="480" w:lineRule="auto"/>
        <w:ind w:firstLine="720"/>
      </w:pPr>
      <w:r>
        <w:t>The next two</w:t>
      </w:r>
      <w:r w:rsidRPr="00A06B42">
        <w:t xml:space="preserve"> exemplify </w:t>
      </w:r>
      <w:r>
        <w:t xml:space="preserve">the most </w:t>
      </w:r>
      <w:r w:rsidRPr="00A06B42">
        <w:t>popular measures: gravity measures that discount total attractiveness of an area with an impedance factor from</w:t>
      </w:r>
      <w:r>
        <w:t xml:space="preserve"> an</w:t>
      </w:r>
      <w:r w:rsidRPr="00A06B42">
        <w:t xml:space="preserve"> origin point</w:t>
      </w:r>
      <w:r>
        <w:t xml:space="preserve"> and</w:t>
      </w:r>
      <w:r w:rsidRPr="00A06B42">
        <w:t xml:space="preserve"> cumulative opportunities within a specified threshold</w:t>
      </w:r>
      <w:r>
        <w:t xml:space="preserve">. </w:t>
      </w:r>
      <w:r w:rsidR="00BA65A7" w:rsidRPr="00AD586B">
        <w:t xml:space="preserve">Adapted from Newton’s law of gravity, gravity models are used to explain or predict spatial interactions—to measure the interaction between all locations—and have been modified in different ways to measure accessibility, such as in </w:t>
      </w:r>
      <w:r w:rsidR="00BA65A7" w:rsidRPr="00AD586B">
        <w:fldChar w:fldCharType="begin"/>
      </w:r>
      <w:r w:rsidR="00753723">
        <w:instrText xml:space="preserve"> ADDIN ZOTERO_ITEM CSL_CITATION {"citationID":"E7Dx31lG","properties":{"formattedCitation":"(Dalvi &amp; Martin, 1976; Hansen, 1959; Kwan, 1998; Shen, 1998)","plainCitation":"(Dalvi &amp; Martin, 1976; Hansen, 1959; Kwan, 1998; Shen, 1998)","noteIndex":0},"citationItems":[{"id":912,"uris":["http://zotero.org/users/5090392/items/2XX9772Q"],"itemData":{"id":912,"type":"article-journal","abstract":"This paper presents an analysis of accessibility by private transport, using a Hansen type measure of accessibility. The data base is the 1962 London Travel Survey. The study is confined to car-owning households residing in inner London. A comparison of the patterns of accessibility associated with four measures of areal attractiveness - total employment, retail employment, households and population - is presented. The sensitivity of relative accessibilities to marginal changes in parameter values is analysed. Two aspects of the effect of the zoning system on the measurement of accessibility are investigated: the effects of zonal configuration and zonal aggregation. First, the implications of increasing the size of central area zones is analysed. Second, a comparison of patterns of accessibility calculated at the zonal and district levels is undertaken.[/p]","container-title":"Transportation","DOI":"10.1007/BF00165245","ISSN":"1572-9435","issue":"1","journalAbbreviation":"Transportation","language":"en","page":"17-42","source":"Springer Link","title":"The measurement of accessibility: Some preliminary results","title-short":"The measurement of accessibility","URL":"https://doi.org/10.1007/BF00165245","volume":"5","author":[{"family":"Dalvi","given":"M. Q."},{"family":"Martin","given":"K. M."}],"accessed":{"date-parts":[["2021",2,22]]},"issued":{"date-parts":[["1976",3,1]]}}},{"id":9,"uris":["http://zotero.org/users/5090392/items/3GDFWZ5A"],"itemData":{"id":9,"type":"article-journal","abstract":"An empirical examination of the residential development patterns illustrates that accessibility and the availability of vacant developable land can be used as the basis of a residential land use model. The author presents an operational definition and suggests a method for determining accessibility patterns within metropolitan areas. This is a process of distributing forecasted metropolitan population to small areas within the metropolitan region. Although the model presented is not yet sufficiently well refined for estimating purposes, the concept and the approach may be potentially useful tools for metropolitan planning purposes.","container-title":"Journal of the American Institute of Planners","DOI":"10.1080/01944365908978307","ISSN":"0002-8991","issue":"2","page":"73-76","source":"Taylor and Francis+NEJM","title":"How Accessibility Shapes Land Use","URL":"https://doi.org/10.1080/01944365908978307","volume":"25","author":[{"family":"Hansen","given":"Walter G."}],"accessed":{"date-parts":[["2018",8,28]]},"issued":{"date-parts":[["1959",5,1]]}}},{"id":744,"uris":["http://zotero.org/users/5090392/items/9P9XWARX"],"itemData":{"id":744,"type":"article-journal","abstract":"Conventional integral measures of accessibility, although valuable as indicators of place accessibility, have several limitations when used to evaluate individual accessibility. Two alternatives for overcoming some of the difficulties involved are explored in this study. One is to adapt these measures for evaluating individual accessibility using a disaggregate, nonzonal approach. The other is to develop different types of measures based on an alternative conceptual framework. To pursue the former alternative, this study specifies and examines eighteen gravity-type and cumulative-opportunity accessibility measures using a point-based spatial framework. For the latter option, twelve space-time accessibility measures are developed based on the construct of a prism-constrained feasible opportunity set. This paper compares the relationships and spatial patterns of these thirty measures using network-based GIS procedures. Travel diary data collected in Columbus, Ohio, and a digital data set of 10,727 selected land parcels are used for all computation. Results of this study indicate that space-time and integral indices are distinctive types of accessibility measures which reflect different dimensions of the accessibility experience of individuals. Since space-time measures are more capable of capturing interpersonal differences, especially the effect of space-time constraints, they are more “gender sensitive” and helpful for unraveling gender/ethnic differences in accessibility. An important methodological implication is that whether accessibility is observed to be important or different between individuals depends heavily on whether the measure used is capable of revealing the kind of differences the analyst intends to observe.","container-title":"Geographical Analysis","DOI":"https://doi.org/10.1111/j.1538-4632.1998.tb00396.x","ISSN":"1538-4632","issue":"3","language":"en","note":"_eprint: https://onlinelibrary.wiley.com/doi/pdf/10.1111/j.1538-4632.1998.tb00396.x","page":"191-216","source":"Wiley Online Library","title":"Space-Time and Integral Measures of Individual Accessibility: A Comparative Analysis Using a Point-based Framework","title-short":"Space-Time and Integral Measures of Individual Accessibility","URL":"https://onlinelibrary.wiley.com/doi/abs/10.1111/j.1538-4632.1998.tb00396.x","volume":"30","author":[{"family":"Kwan","given":"Mei-Po"}],"accessed":{"date-parts":[["2021",1,11]]},"issued":{"date-parts":[["1998"]]}}},{"id":908,"uris":["http://zotero.org/users/5090392/items/UUYBGQJK"],"itemData":{"id":908,"type":"article-journal","abstract":"Accessibility is both an important concept, and a powerful indicator, in the understanding of the impact of spatial technologies, i.e. transportation, communication, and information technologies. However, virtually all existing measures of intra-metropolitan accessibility incorporate only transportation without considering other means of spatial interaction. In this paper, the author argues that by carefully examining the relationship between transportation and communication, it is possible to develop measures that represent urban spatial structure more completely. Based on studies of teleworking in the United States, the author presents an accessibility measure that takes into account both travel and telecommuting. A case study of employment accessibility in the Boston Metropolitan Area indicates that advances in spatial technologies may generate the dual effect of locational equalization and socio-spatial polarization. In the urban space that is increasingly technologically delineated and socially constructed, low-income workers will very likely find themselves in a more and more disadvantaged position.","container-title":"Computers, Environment and Urban Systems","DOI":"10.1016/S0198-9715(98)00039-8","ISSN":"0198-9715","issue":"5","journalAbbreviation":"Computers, Environment and Urban Systems","language":"en","page":"447-464","source":"ScienceDirect","title":"Spatial technologies, accessibility, and the social construction of urban space","URL":"https://www.sciencedirect.com/science/article/pii/S0198971598000398","volume":"22","author":[{"family":"Shen","given":"Qing"}],"accessed":{"date-parts":[["2021",2,22]]},"issued":{"date-parts":[["1998",9,1]]}}}],"schema":"https://github.com/citation-style-language/schema/raw/master/csl-citation.json"} </w:instrText>
      </w:r>
      <w:r w:rsidR="00BA65A7" w:rsidRPr="00AD586B">
        <w:fldChar w:fldCharType="separate"/>
      </w:r>
      <w:r w:rsidR="00967900" w:rsidRPr="00967900">
        <w:t>(Dalvi &amp; Martin, 1976; Hansen, 1959; Kwan, 1998; Shen, 1998)</w:t>
      </w:r>
      <w:r w:rsidR="00BA65A7" w:rsidRPr="00AD586B">
        <w:fldChar w:fldCharType="end"/>
      </w:r>
      <w:r w:rsidR="00BA65A7" w:rsidRPr="00AD586B">
        <w:t xml:space="preserve">. Whereas the traditional gravity model measures spatial interactions between all possible pairs of locations, the potential model measures spatial interactions between a single location and all other locations. Hansen was one of the first to adapt the gravity model to study the relationship between the rate of residential development and accessibility to employment in Washington D.C. </w:t>
      </w:r>
      <w:r w:rsidR="00BA65A7" w:rsidRPr="00AD586B">
        <w:fldChar w:fldCharType="begin"/>
      </w:r>
      <w:r w:rsidR="00753723">
        <w:instrText xml:space="preserve"> ADDIN ZOTERO_ITEM CSL_CITATION {"citationID":"bZ0ohYnf","properties":{"formattedCitation":"(Hansen, 1959)","plainCitation":"(Hansen, 1959)","noteIndex":0},"citationItems":[{"id":9,"uris":["http://zotero.org/users/5090392/items/3GDFWZ5A"],"itemData":{"id":9,"type":"article-journal","abstract":"An empirical examination of the residential development patterns illustrates that accessibility and the availability of vacant developable land can be used as the basis of a residential land use model. The author presents an operational definition and suggests a method for determining accessibility patterns within metropolitan areas. This is a process of distributing forecasted metropolitan population to small areas within the metropolitan region. Although the model presented is not yet sufficiently well refined for estimating purposes, the concept and the approach may be potentially useful tools for metropolitan planning purposes.","container-title":"Journal of the American Institute of Planners","DOI":"10.1080/01944365908978307","ISSN":"0002-8991","issue":"2","page":"73-76","source":"Taylor and Francis+NEJM","title":"How Accessibility Shapes Land Use","URL":"https://doi.org/10.1080/01944365908978307","volume":"25","author":[{"family":"Hansen","given":"Walter G."}],"accessed":{"date-parts":[["2018",8,28]]},"issued":{"date-parts":[["1959",5,1]]}}}],"schema":"https://github.com/citation-style-language/schema/raw/master/csl-citation.json"} </w:instrText>
      </w:r>
      <w:r w:rsidR="00BA65A7" w:rsidRPr="00AD586B">
        <w:fldChar w:fldCharType="separate"/>
      </w:r>
      <w:r w:rsidR="00967900" w:rsidRPr="00967900">
        <w:t>(Hansen, 1959)</w:t>
      </w:r>
      <w:r w:rsidR="00BA65A7" w:rsidRPr="00AD586B">
        <w:fldChar w:fldCharType="end"/>
      </w:r>
      <w:r w:rsidR="00BA65A7" w:rsidRPr="00AD586B">
        <w:t>. He proposed that the accessibility, or attractiveness of opportunities (e.g.</w:t>
      </w:r>
      <w:r w:rsidR="002C4688">
        <w:t>,</w:t>
      </w:r>
      <w:r w:rsidR="00BA65A7" w:rsidRPr="00AD586B">
        <w:t xml:space="preserve"> jobs), of any individual zone could be obtained by discounting the available opportunities with the difficulty of reaching that zone. A distance decay effect, beta exponent, is often included to reflect varying levels of impedance and the ease to which the transport system facilitates interaction between locations. In other words, the attraction between two locations is proportional to the product of the importance of both locations divided by their distance. </w:t>
      </w:r>
      <w:commentRangeStart w:id="9"/>
      <w:commentRangeStart w:id="10"/>
      <w:r w:rsidR="00BA65A7" w:rsidRPr="00AD586B">
        <w:t xml:space="preserve">Another popular variant is the two-step floating catchment area (2SFCA) method </w:t>
      </w:r>
      <w:r w:rsidR="00642DE0">
        <w:t>that</w:t>
      </w:r>
      <w:r w:rsidR="000D00C5">
        <w:t xml:space="preserve"> </w:t>
      </w:r>
      <w:r w:rsidR="001F28A0">
        <w:t>additionally considers opportunity-to-population ratios</w:t>
      </w:r>
      <w:r w:rsidR="00B71595">
        <w:t>, and</w:t>
      </w:r>
      <w:r w:rsidR="00BA65A7" w:rsidRPr="00AD586B">
        <w:t xml:space="preserve"> has been used and further modified to measure accessibility to various health care services </w:t>
      </w:r>
      <w:r w:rsidR="00BA65A7" w:rsidRPr="00AD586B">
        <w:fldChar w:fldCharType="begin"/>
      </w:r>
      <w:r w:rsidR="00994C97">
        <w:instrText xml:space="preserve"> ADDIN ZOTERO_ITEM CSL_CITATION {"citationID":"rvc3nIP5","properties":{"formattedCitation":"(Luo &amp; Wang, 2003; F. Wang, 2012)","plainCitation":"(Luo &amp; Wang, 2003; F. Wang, 2012)","noteIndex":0},"citationItems":[{"id":619,"uris":["http://zotero.org/users/5090392/items/GMRM889I"],"itemData":{"id":619,"type":"article-journal","abstract":"This article synthesizes two GIS-based accessibility measures into one framework, and applies the methods to examining spatial accessibility to primary health care in the Chicago tencounty region. The floating catchment area (FCA) method defines the service area of physicians by a threshold travel time while accounting for the availability of physicians by their surrounded demands. The gravity-based method considers a nearby physician more accessible than a remote one and discounts a physician's availability by a gravity-based potential. The former is a special case of the latter. Based on the 2000 Census and primary care physician data, this research assesses the variation of spatial accessibility to primary care in the Chicago region, and analyzes the sensitivity of results by experimenting with ranges of threshold travel times in the FCA method and travel friction coefficients in the gravity model. The methods may be used to help the US Department of Health and Human Services and state health departments improve designation of Health Professional Shortage Areas.","container-title":"Environment and Planning B: Planning and Design","DOI":"10.1068/b29120","ISSN":"0265-8135, 1472-3417","issue":"6","language":"en","page":"865-884","source":"Crossref","title":"Measures of Spatial Accessibility to Health Care in a GIS Environment: Synthesis and a Case Study in the Chicago Region","title-short":"Measures of Spatial Accessibility to Health Care in a GIS Environment","URL":"http://journals.sagepub.com/doi/10.1068/b29120","volume":"30","author":[{"family":"Luo","given":"Wei"},{"family":"Wang","given":"Fahui"}],"accessed":{"date-parts":[["2020",9,1]]},"issued":{"date-parts":[["2003",12]]}}},{"id":"aCCUDhF1/0NxeiXtY","uris":["http://zotero.org/users/5090392/items/IJHDPH93"],"itemData":{"id":611,"type":"article-journal","abstract":"Despite spending more than any other nation on medical care per person, the United States ranks behind other industrialized nations in key health performance measures. A main cause is the deep disparities in access to care and health outcomes. Federal programs such as the designations of Medically Underserved Areas/Populations and Health Professional Shortage Areas are designed to boost the number of health professionals serving these areas and to help alleviate the access problem. Their effectiveness relies first and foremost on an accurate measure of accessibility so that resources can be allocated to truly needy areas. Various measures of accessibility need to be integrated into one framework for comparison and evaluation. Optimization methods can be used to improve the distribution and supply of health care providers to maximize service coverage, minimize travel needs of patients, limit the number of facilities, and maximize health or access equality. Inequality in health care access comes at a personal and societal price, evidenced in disparities in health outcomes, including late-stage cancer diagnosis. This review surveys recent literature on the three named issues with emphasis on methodological advancements and implications for public policy.","container-title":"Annals of the Association of American Geographers","DOI":"10.1080/00045608.2012.657146","ISSN":"0004-5608","issue":"5","note":"publisher: Routledge\n_eprint: https://doi.org/10.1080/00045608.2012.657146\nPMID: 23335813","page":"1104-1112","source":"Taylor and Francis+NEJM","title":"Measurement, Optimization, and Impact of Health Care Accessibility: A Methodological Review","title-short":"Measurement, Optimization, and Impact of Health Care Accessibility","URL":"https://doi.org/10.1080/00045608.2012.657146","volume":"102","author":[{"family":"Wang","given":"Fahui"}],"accessed":{"date-parts":[["2020",9,1]]},"issued":{"date-parts":[["2012",9,1]]}}}],"schema":"https://github.com/citation-style-language/schema/raw/master/csl-citation.json"} </w:instrText>
      </w:r>
      <w:r w:rsidR="00BA65A7" w:rsidRPr="00AD586B">
        <w:fldChar w:fldCharType="separate"/>
      </w:r>
      <w:r w:rsidR="00967900" w:rsidRPr="00967900">
        <w:t>(Luo &amp; Wang, 2003; Wang, 2012)</w:t>
      </w:r>
      <w:r w:rsidR="00BA65A7" w:rsidRPr="00AD586B">
        <w:fldChar w:fldCharType="end"/>
      </w:r>
      <w:r w:rsidR="00BA65A7" w:rsidRPr="00AD586B">
        <w:t xml:space="preserve"> and food locations </w:t>
      </w:r>
      <w:r w:rsidR="00BA65A7" w:rsidRPr="00AD586B">
        <w:fldChar w:fldCharType="begin"/>
      </w:r>
      <w:r w:rsidR="00222641">
        <w:instrText xml:space="preserve"> ADDIN ZOTERO_ITEM CSL_CITATION {"citationID":"C3o1gUiR","properties":{"formattedCitation":"(X. Chen, 2017)","plainCitation":"(X. Chen, 2017)","noteIndex":0},"citationItems":[{"id":649,"uris":["http://zotero.org/users/5090392/items/P5HMJEWE"],"itemData":{"id":649,"type":"article-journal","abstract":"Measures of geographic food access overlook an important source of statistical biases, termed the edge effect. The edge effect refers to the fallacy that events contributing to the spatial pattern of an analysis unit may be outside of that unit; thus merely summarizing events within the unit may lead to distortion of the estimation. Food procurement activities can happen beyond existing administrative boundaries. Delineating food access using unit-based metrics may misrepresent the true space within which food stores are accessible. To overcome this problem, this paper proposes a gravity-based accessibility measure to improve unit-based statistical approaches in food access research. In addition, this method accounts for the spatial interaction between food supply (e.g., food items in stock) and demand (e.g., population) as well as how this interaction is mediated by the spatiotemporal separation (e.g., travel time, modality). The method is applied to the case of Franklin County, OH and has revealed the food access inequity for African Americans by modes of transport, including walking, biking, and driving. The analysis of the correlation between mode-speciﬁc food access and socioeconomic status (SES) variables reveals that using a single modality in food access research may not fully capture the travel behavior and its relationship with local food environments. With modiﬁcations, the proposed method can help evaluate food access for a target population group, such as Supplemental Nutrition Assistance Program (SNAP) users or selected ethnic minorities who may face acute difﬁculties in procuring economically affordable and culturally appropriate foods.","container-title":"Applied Geography","DOI":"10.1016/j.apgeog.2017.07.013","ISSN":"01436228","language":"en","page":"149-159","source":"Crossref","title":"Take the edge off: A hybrid geographic food access measure","title-short":"Take the edge off","URL":"https://linkinghub.elsevier.com/retrieve/pii/S014362281730173X","volume":"87","author":[{"family":"Chen","given":"Xiang"}],"accessed":{"date-parts":[["2020",11,12]]},"issued":{"date-parts":[["2017",10]]}}}],"schema":"https://github.com/citation-style-language/schema/raw/master/csl-citation.json"} </w:instrText>
      </w:r>
      <w:r w:rsidR="00BA65A7" w:rsidRPr="00AD586B">
        <w:fldChar w:fldCharType="separate"/>
      </w:r>
      <w:r w:rsidR="00967900" w:rsidRPr="00967900">
        <w:t>(Chen, 2017)</w:t>
      </w:r>
      <w:r w:rsidR="00BA65A7" w:rsidRPr="00AD586B">
        <w:fldChar w:fldCharType="end"/>
      </w:r>
      <w:r w:rsidR="00BA65A7" w:rsidRPr="00AD586B">
        <w:t>. Accessibility is measured by the ratio of service opportunities (e.g.</w:t>
      </w:r>
      <w:r w:rsidR="002C4688">
        <w:t>,</w:t>
      </w:r>
      <w:r w:rsidR="00BA65A7" w:rsidRPr="00AD586B">
        <w:t xml:space="preserve"> hospitals, grocery stores) to the population, </w:t>
      </w:r>
      <w:r w:rsidR="00BA65A7" w:rsidRPr="00AD586B">
        <w:lastRenderedPageBreak/>
        <w:t>and obtained by first determining the availability at supply locations as ratios of various services to the surrounding population and then these ratios are summed up around each demand location</w:t>
      </w:r>
      <w:r w:rsidR="002C4688">
        <w:t xml:space="preserve">. </w:t>
      </w:r>
      <w:r w:rsidR="00BA65A7" w:rsidRPr="00AD586B">
        <w:t>Results of these gravity measures are relatively easy to understand but in practice are often used for comparison between aggregated units which cannot be used to explain individual access. They further suffer from issues of aggregation and scale such that the unit of analysis would influence the obtained results.</w:t>
      </w:r>
      <w:r w:rsidR="00353A66">
        <w:t xml:space="preserve"> </w:t>
      </w:r>
      <w:r w:rsidR="000E0B4C">
        <w:t xml:space="preserve">Another limitation is the inherent assumption that all people within a geographic unit have equal access to opportunities within the area and that people do not go beyond their local area to obtain the opportunities they desire. </w:t>
      </w:r>
      <w:r w:rsidR="006A28AD">
        <w:t xml:space="preserve">In other words, people may </w:t>
      </w:r>
      <w:r w:rsidR="001C72C5">
        <w:t xml:space="preserve">not weigh each opportunity the same and </w:t>
      </w:r>
      <w:r w:rsidR="006A28AD">
        <w:t>many opportunities that people access beyond the borders of their area could be overlooked.</w:t>
      </w:r>
      <w:commentRangeEnd w:id="9"/>
      <w:r w:rsidR="00FF35E9">
        <w:rPr>
          <w:rStyle w:val="CommentReference"/>
        </w:rPr>
        <w:commentReference w:id="9"/>
      </w:r>
      <w:commentRangeEnd w:id="10"/>
      <w:r w:rsidR="00FF35E9">
        <w:rPr>
          <w:rStyle w:val="CommentReference"/>
        </w:rPr>
        <w:commentReference w:id="10"/>
      </w:r>
    </w:p>
    <w:p w14:paraId="46E1266D" w14:textId="2771B42B" w:rsidR="002C4688" w:rsidRPr="00AD586B" w:rsidRDefault="002C4688" w:rsidP="00DA2AF5">
      <w:pPr>
        <w:spacing w:line="480" w:lineRule="auto"/>
        <w:ind w:firstLine="720"/>
      </w:pPr>
      <w:r>
        <w:t>Cumulative</w:t>
      </w:r>
      <w:r w:rsidRPr="00AD586B">
        <w:t xml:space="preserve"> opportunity measures assess spatial accessibility as the total amount of opportunities that can be reached from a person or population’s origin location(s) within a particular travel time or distance threshold. See for example: </w:t>
      </w:r>
      <w:r w:rsidRPr="00AD586B">
        <w:fldChar w:fldCharType="begin"/>
      </w:r>
      <w:r w:rsidR="00753723">
        <w:instrText xml:space="preserve"> ADDIN ZOTERO_ITEM CSL_CITATION {"citationID":"lFSui2TV","properties":{"formattedCitation":"(Wachs &amp; Kumagai, 1973)","plainCitation":"(Wachs &amp; Kumagai, 1973)","noteIndex":0},"citationItems":[{"id":920,"uris":["http://zotero.org/users/5090392/items/QU3E26PY"],"itemData":{"id":920,"type":"article-journal","container-title":"Socio-Economic Planning Sciences","ISSN":"00380121","issue":"5","note":"publisher: Elsevier","page":"437-456","source":"RePEc - Econpapers","title":"Physical accessibility as a social indicator","URL":"https://econpapers.repec.org/article/eeesoceps/v_3a7_3ay_3a1973_3ai_3a5_3ap_3a437-456.htm","volume":"7","author":[{"family":"Wachs","given":"Martin"},{"family":"Kumagai","given":"T. Gordon"}],"accessed":{"date-parts":[["2021",2,23]]},"issued":{"date-parts":[["1973"]]}}}],"schema":"https://github.com/citation-style-language/schema/raw/master/csl-citation.json"} </w:instrText>
      </w:r>
      <w:r w:rsidRPr="00AD586B">
        <w:fldChar w:fldCharType="separate"/>
      </w:r>
      <w:r w:rsidR="00967900" w:rsidRPr="00967900">
        <w:t>(Wachs &amp; Kumagai, 1973)</w:t>
      </w:r>
      <w:r w:rsidRPr="00AD586B">
        <w:fldChar w:fldCharType="end"/>
      </w:r>
      <w:r w:rsidRPr="00AD586B">
        <w:t xml:space="preserve">. </w:t>
      </w:r>
      <w:commentRangeStart w:id="11"/>
      <w:commentRangeStart w:id="12"/>
      <w:r w:rsidR="006F4101">
        <w:t>Implicitly, e</w:t>
      </w:r>
      <w:r w:rsidR="006814B8">
        <w:t xml:space="preserve">ach potential activity location </w:t>
      </w:r>
      <w:r w:rsidR="006F4101">
        <w:t xml:space="preserve">is weighted </w:t>
      </w:r>
      <w:r w:rsidR="006814B8">
        <w:t xml:space="preserve">the same </w:t>
      </w:r>
      <w:r w:rsidRPr="00AD586B">
        <w:t>(i.e.</w:t>
      </w:r>
      <w:r>
        <w:t>,</w:t>
      </w:r>
      <w:r w:rsidRPr="00AD586B">
        <w:t xml:space="preserve"> equally)</w:t>
      </w:r>
      <w:r w:rsidR="000A7538">
        <w:t xml:space="preserve">, </w:t>
      </w:r>
      <w:r w:rsidR="00E301DB">
        <w:t>but</w:t>
      </w:r>
      <w:r w:rsidR="008A6427">
        <w:t xml:space="preserve"> individuals</w:t>
      </w:r>
      <w:r w:rsidR="000A7538">
        <w:t xml:space="preserve"> </w:t>
      </w:r>
      <w:commentRangeEnd w:id="11"/>
      <w:r w:rsidR="00C3677B">
        <w:rPr>
          <w:rStyle w:val="CommentReference"/>
        </w:rPr>
        <w:commentReference w:id="11"/>
      </w:r>
      <w:commentRangeEnd w:id="12"/>
      <w:r w:rsidR="00C3677B">
        <w:rPr>
          <w:rStyle w:val="CommentReference"/>
        </w:rPr>
        <w:commentReference w:id="12"/>
      </w:r>
      <w:r w:rsidR="000A7538">
        <w:t xml:space="preserve">may consider opportunities </w:t>
      </w:r>
      <w:r w:rsidR="00751E74">
        <w:t>differently based on their travel and time preferences.</w:t>
      </w:r>
      <w:r w:rsidR="000A7538">
        <w:t xml:space="preserve"> </w:t>
      </w:r>
      <w:r w:rsidRPr="00AD586B">
        <w:t>For example, a population’s a</w:t>
      </w:r>
      <w:r w:rsidR="00DA2AF5">
        <w:t>vailability</w:t>
      </w:r>
      <w:r w:rsidR="003F0E35">
        <w:t xml:space="preserve"> </w:t>
      </w:r>
      <w:r w:rsidRPr="00AD586B">
        <w:t>would be contingent upon the number of possible health care facilities that could be reached within half an hour drive for that population’s origin location.</w:t>
      </w:r>
      <w:r w:rsidR="001051F9">
        <w:t xml:space="preserve"> </w:t>
      </w:r>
      <w:r w:rsidRPr="00AD586B">
        <w:t xml:space="preserve">The availability of a good or service would increase as the number of opportunities also increases. While a travel impedance, as some form of physical separation or travel time, is used as a threshold in the determination of the available opportunities, the emphasis is given on the sum of potential opportunities and as suggested, provides information about the diversity, or number of stores, available to people. Cumulative opportunity measures however are highly sensitive to the </w:t>
      </w:r>
      <w:r w:rsidRPr="00AD586B">
        <w:lastRenderedPageBreak/>
        <w:t>specified cutoff travel distance or time and may thus affect the resulting availability metrics. They are a unique variant of gravity-based measures.</w:t>
      </w:r>
    </w:p>
    <w:p w14:paraId="6A38DC16" w14:textId="5EA6253B" w:rsidR="003908AC" w:rsidRPr="00AD586B" w:rsidRDefault="006A598D" w:rsidP="00156BEA">
      <w:pPr>
        <w:spacing w:line="480" w:lineRule="auto"/>
        <w:ind w:firstLine="720"/>
      </w:pPr>
      <w:commentRangeStart w:id="13"/>
      <w:commentRangeStart w:id="14"/>
      <w:r>
        <w:t xml:space="preserve">These distance-based, gravity-based, and cumulative opportunity measures belong to a </w:t>
      </w:r>
      <w:r w:rsidR="00673A8D">
        <w:t xml:space="preserve">class of </w:t>
      </w:r>
      <w:r w:rsidR="00D16B18">
        <w:t>location</w:t>
      </w:r>
      <w:r w:rsidR="00673A8D">
        <w:t xml:space="preserve">-based measures which </w:t>
      </w:r>
      <w:r w:rsidR="00872828">
        <w:t>measures the number of opportunities that can be reached from a single location</w:t>
      </w:r>
      <w:r w:rsidR="001D6C9D">
        <w:t xml:space="preserve">, with the assumption that people in an area </w:t>
      </w:r>
      <w:r w:rsidR="00624AD0">
        <w:t>travel from that location</w:t>
      </w:r>
      <w:r w:rsidR="00872828">
        <w:t>.</w:t>
      </w:r>
      <w:commentRangeEnd w:id="13"/>
      <w:r w:rsidR="000C1FEC">
        <w:rPr>
          <w:rStyle w:val="CommentReference"/>
        </w:rPr>
        <w:commentReference w:id="13"/>
      </w:r>
      <w:commentRangeEnd w:id="14"/>
      <w:r w:rsidR="000C1FEC">
        <w:rPr>
          <w:rStyle w:val="CommentReference"/>
        </w:rPr>
        <w:commentReference w:id="14"/>
      </w:r>
      <w:r>
        <w:t xml:space="preserve"> </w:t>
      </w:r>
      <w:r w:rsidR="00564BEF">
        <w:t>In contrast</w:t>
      </w:r>
      <w:r w:rsidR="00A71E9E">
        <w:t>,</w:t>
      </w:r>
      <w:r w:rsidR="00564BEF">
        <w:t xml:space="preserve"> person-based measures model individuals or people with similar characteristics:</w:t>
      </w:r>
      <w:r w:rsidR="00564BEF" w:rsidRPr="00A06B42">
        <w:t xml:space="preserve"> utility measures estimat</w:t>
      </w:r>
      <w:r w:rsidR="00564BEF">
        <w:t>e</w:t>
      </w:r>
      <w:r w:rsidR="00564BEF" w:rsidRPr="00A06B42">
        <w:t xml:space="preserve"> the economic benefits (expected maximum utility) an individual would perceive </w:t>
      </w:r>
      <w:r w:rsidR="00564BEF">
        <w:t xml:space="preserve">from access to a set of spatially distributed opportunities, and space-time measures based on </w:t>
      </w:r>
      <w:proofErr w:type="spellStart"/>
      <w:r w:rsidR="00564BEF" w:rsidRPr="00832B2F">
        <w:t>Hägerstrand</w:t>
      </w:r>
      <w:proofErr w:type="spellEnd"/>
      <w:r w:rsidR="00564BEF">
        <w:t xml:space="preserve"> </w:t>
      </w:r>
      <w:r w:rsidR="00564BEF">
        <w:fldChar w:fldCharType="begin"/>
      </w:r>
      <w:r w:rsidR="00564BEF">
        <w:instrText xml:space="preserve"> ADDIN ZOTERO_ITEM CSL_CITATION {"citationID":"Bd1rXbW5","properties":{"formattedCitation":"(1970)","plainCitation":"(1970)","noteIndex":0},"citationItems":[{"id":31,"uris":["http://zotero.org/users/5090392/items/TLEME8FN"],"itemData":{"id":31,"type":"article-journal","container-title":"Papers in Regional Science","issue":"1","page":"6-21","title":"What about people in regional science?","URL":"https://onlinelibrary.wiley.com/doi/abs/10.1111/j.1435-5597.1970.tb01464.x","volume":"24","author":[{"family":"Hägerstrand","given":"Torsten"}],"accessed":{"date-parts":[["2018",8,30]]},"issued":{"date-parts":[["1970"]]}},"suppress-author":true}],"schema":"https://github.com/citation-style-language/schema/raw/master/csl-citation.json"} </w:instrText>
      </w:r>
      <w:r w:rsidR="00564BEF">
        <w:fldChar w:fldCharType="separate"/>
      </w:r>
      <w:r w:rsidR="00967900" w:rsidRPr="00967900">
        <w:t>(1970)</w:t>
      </w:r>
      <w:r w:rsidR="00564BEF">
        <w:fldChar w:fldCharType="end"/>
      </w:r>
      <w:r w:rsidR="00564BEF">
        <w:t>’s time-geography framework that consider the possible areas (activity spaces) one can reach over time given a set of constraints</w:t>
      </w:r>
      <w:r w:rsidR="00564BEF" w:rsidRPr="00A06B42">
        <w:t>.</w:t>
      </w:r>
      <w:r w:rsidR="003908AC">
        <w:t xml:space="preserve"> </w:t>
      </w:r>
      <w:r w:rsidR="003908AC" w:rsidRPr="00AD586B">
        <w:t xml:space="preserve">Utility-based measures (i.e. discrete choice models) enable for more nuanced personal characteristics to be included in the parameterization and assume that people select the opportunity (or alternative as is described in the literature), among many, that provides the maximum utility </w:t>
      </w:r>
      <w:r w:rsidR="003908AC" w:rsidRPr="00AD586B">
        <w:fldChar w:fldCharType="begin"/>
      </w:r>
      <w:r w:rsidR="00753723">
        <w:instrText xml:space="preserve"> ADDIN ZOTERO_ITEM CSL_CITATION {"citationID":"oF0sZogy","properties":{"formattedCitation":"(Ben-Akiva &amp; Lerman, 1985)","plainCitation":"(Ben-Akiva &amp; Lerman, 1985)","noteIndex":0},"citationItems":[{"id":916,"uris":["http://zotero.org/users/5090392/items/YN82FL6W"],"itemData":{"id":916,"type":"book","abstract":"Discrete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planning.The methods of discrete choice analysis and their applications in the modelling of transportation systems constitute a comparatively new field that has largely evolved over the past 15 years. Since its inception, however, the field has developed rapidly, and this is the first text and reference work to cover the material systematically, bringing together the scattered and often inaccessible results for graduate students and professionals. 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 The introductory chapter presents the background of discrete choice analysis and context of transportation demand forecasting. Subsequent chapters cover, among other topics, the theories of individual choice behavior, binary and multinomial choice models, aggregate forecasting techniques, estimation methods, tests used in the process of model development, sampling theory, the nested-logit model, and systems of models. Discrete Choice Analysis is ninth in the MIT Press Series in Transportation Studies, edited by Marvin Manheim.","ISBN":"978-0-262-53640-0","language":"en","note":"Google-Books-ID: 7L34DwAAQBAJ","number-of-pages":"414","publisher":"MIT Press","source":"Google Books","title":"Discrete Choice Analysis: Theory and Application to Travel Demand","title-short":"Discrete Choice Analysis","author":[{"family":"Ben-Akiva","given":"Moshe"},{"family":"Lerman","given":"Steven R."}],"issued":{"date-parts":[["1985"]]}}}],"schema":"https://github.com/citation-style-language/schema/raw/master/csl-citation.json"} </w:instrText>
      </w:r>
      <w:r w:rsidR="003908AC" w:rsidRPr="00AD586B">
        <w:fldChar w:fldCharType="separate"/>
      </w:r>
      <w:r w:rsidR="00967900" w:rsidRPr="00967900">
        <w:t>(Ben-Akiva &amp; Lerman, 1985)</w:t>
      </w:r>
      <w:r w:rsidR="003908AC" w:rsidRPr="00AD586B">
        <w:fldChar w:fldCharType="end"/>
      </w:r>
      <w:r w:rsidR="003908AC" w:rsidRPr="00AD586B">
        <w:t xml:space="preserve">. These utility-based measures are based on individual choice behavior and often premised on various theories, including Thurston’s random utility theory and Luce’s strict utility theory. The former postulates that the utility of all alternatives are stochastic (random) variables and the chosen alternative has the highest probability with the greatest utility among all others in the choice set </w:t>
      </w:r>
      <w:r w:rsidR="003908AC" w:rsidRPr="00AD586B">
        <w:fldChar w:fldCharType="begin"/>
      </w:r>
      <w:r w:rsidR="00753723">
        <w:instrText xml:space="preserve"> ADDIN ZOTERO_ITEM CSL_CITATION {"citationID":"djju4ys1","properties":{"formattedCitation":"(Ben-Akiva &amp; Lerman, 1985)","plainCitation":"(Ben-Akiva &amp; Lerman, 1985)","noteIndex":0},"citationItems":[{"id":916,"uris":["http://zotero.org/users/5090392/items/YN82FL6W"],"itemData":{"id":916,"type":"book","abstract":"Discrete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planning.The methods of discrete choice analysis and their applications in the modelling of transportation systems constitute a comparatively new field that has largely evolved over the past 15 years. Since its inception, however, the field has developed rapidly, and this is the first text and reference work to cover the material systematically, bringing together the scattered and often inaccessible results for graduate students and professionals. 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 The introductory chapter presents the background of discrete choice analysis and context of transportation demand forecasting. Subsequent chapters cover, among other topics, the theories of individual choice behavior, binary and multinomial choice models, aggregate forecasting techniques, estimation methods, tests used in the process of model development, sampling theory, the nested-logit model, and systems of models. Discrete Choice Analysis is ninth in the MIT Press Series in Transportation Studies, edited by Marvin Manheim.","ISBN":"978-0-262-53640-0","language":"en","note":"Google-Books-ID: 7L34DwAAQBAJ","number-of-pages":"414","publisher":"MIT Press","source":"Google Books","title":"Discrete Choice Analysis: Theory and Application to Travel Demand","title-short":"Discrete Choice Analysis","author":[{"family":"Ben-Akiva","given":"Moshe"},{"family":"Lerman","given":"Steven R."}],"issued":{"date-parts":[["1985"]]}}}],"schema":"https://github.com/citation-style-language/schema/raw/master/csl-citation.json"} </w:instrText>
      </w:r>
      <w:r w:rsidR="003908AC" w:rsidRPr="00AD586B">
        <w:fldChar w:fldCharType="separate"/>
      </w:r>
      <w:r w:rsidR="00967900" w:rsidRPr="00967900">
        <w:t>(Ben-Akiva &amp; Lerman, 1985)</w:t>
      </w:r>
      <w:r w:rsidR="003908AC" w:rsidRPr="00AD586B">
        <w:fldChar w:fldCharType="end"/>
      </w:r>
      <w:r w:rsidR="003908AC" w:rsidRPr="00AD586B">
        <w:t xml:space="preserve">. In contrast, the latter postulates that the probability of choosing a choice alternative is equal to the ratio of the utility of that choice alternative to the total utility of all choice alternatives in the choice set. Utility functions often take the form of a multinomial logit model and includes variables for the characteristics of alternatives in the choice set, the attractiveness of each alternative, the travel impedance, and socioeconomic characteristics of people. The </w:t>
      </w:r>
      <w:proofErr w:type="spellStart"/>
      <w:r w:rsidR="003908AC" w:rsidRPr="00AD586B">
        <w:t>logsum</w:t>
      </w:r>
      <w:proofErr w:type="spellEnd"/>
      <w:r w:rsidR="003908AC" w:rsidRPr="00AD586B">
        <w:t xml:space="preserve"> of the model is used to define an individual’s accessibility.</w:t>
      </w:r>
    </w:p>
    <w:p w14:paraId="639DF026" w14:textId="6D61F1F6" w:rsidR="00BE2EF9" w:rsidRPr="00AD586B" w:rsidRDefault="005C5BD4" w:rsidP="00025A0C">
      <w:pPr>
        <w:spacing w:line="480" w:lineRule="auto"/>
        <w:ind w:firstLine="720"/>
      </w:pPr>
      <w:r w:rsidRPr="00AD586B">
        <w:lastRenderedPageBreak/>
        <w:t xml:space="preserve">In contrast to measures of place accessibility, space-time measures principled on the time-geographic framework by </w:t>
      </w:r>
      <w:proofErr w:type="spellStart"/>
      <w:r w:rsidRPr="00AD586B">
        <w:t>Torsten</w:t>
      </w:r>
      <w:proofErr w:type="spellEnd"/>
      <w:r w:rsidRPr="00AD586B">
        <w:t xml:space="preserve"> </w:t>
      </w:r>
      <w:r w:rsidR="00E5088D">
        <w:fldChar w:fldCharType="begin"/>
      </w:r>
      <w:r w:rsidR="00E5088D">
        <w:instrText xml:space="preserve"> ADDIN ZOTERO_ITEM CSL_CITATION {"citationID":"qJwV6MFx","properties":{"formattedCitation":"(H\\uc0\\u228{}gerstrand, 1970, 1982)","plainCitation":"(Hägerstrand, 1970, 1982)","noteIndex":0},"citationItems":[{"id":31,"uris":["http://zotero.org/users/5090392/items/TLEME8FN"],"itemData":{"id":31,"type":"article-journal","container-title":"Papers in Regional Science","issue":"1","page":"6-21","title":"What about people in regional science?","URL":"https://onlinelibrary.wiley.com/doi/abs/10.1111/j.1435-5597.1970.tb01464.x","volume":"24","author":[{"family":"Hägerstrand","given":"Torsten"}],"accessed":{"date-parts":[["2018",8,30]]},"issued":{"date-parts":[["1970"]]}}},{"id":322,"uris":["http://zotero.org/users/5090392/items/TTFC59CA"],"itemData":{"id":322,"type":"article-journal","container-title":"Tijdschrift voor economische en sociale geografie","DOI":"10.1111/j.1467-9663.1982.tb01647.x","ISSN":"1467-9663","issue":"6","language":"en","page":"323-339","source":"Wiley Online Library","title":"Diorama, Path and Project","URL":"https://onlinelibrary.wiley.com/doi/abs/10.1111/j.1467-9663.1982.tb01647.x","volume":"73","author":[{"family":"Hägerstrand","given":"Torsten"}],"accessed":{"date-parts":[["2019",10,19]]},"issued":{"date-parts":[["1982"]]}}}],"schema":"https://github.com/citation-style-language/schema/raw/master/csl-citation.json"} </w:instrText>
      </w:r>
      <w:r w:rsidR="00E5088D">
        <w:fldChar w:fldCharType="separate"/>
      </w:r>
      <w:r w:rsidR="00967900" w:rsidRPr="00967900">
        <w:t>(</w:t>
      </w:r>
      <w:proofErr w:type="spellStart"/>
      <w:r w:rsidR="00967900" w:rsidRPr="00967900">
        <w:t>Hägerstrand</w:t>
      </w:r>
      <w:proofErr w:type="spellEnd"/>
      <w:r w:rsidR="00967900" w:rsidRPr="00967900">
        <w:t>, 1970, 1982)</w:t>
      </w:r>
      <w:r w:rsidR="00E5088D">
        <w:fldChar w:fldCharType="end"/>
      </w:r>
      <w:r w:rsidR="00E5088D">
        <w:t xml:space="preserve"> </w:t>
      </w:r>
      <w:r w:rsidRPr="00AD586B">
        <w:t xml:space="preserve">determine geographic accessibility as the feasible opportunities that can be reached given an individual’s sequence of daily activities and under various spatiotemporal constraints. </w:t>
      </w:r>
      <w:r w:rsidR="00BE2EF9" w:rsidRPr="00AD586B">
        <w:t xml:space="preserve">The time geography framework is comprised of various concepts that can help researchers analyze phenomena across absolute space and time. A </w:t>
      </w:r>
      <w:r w:rsidR="00BE2EF9" w:rsidRPr="00AD586B">
        <w:rPr>
          <w:i/>
          <w:iCs/>
        </w:rPr>
        <w:t>space-time path</w:t>
      </w:r>
      <w:r w:rsidR="00BE2EF9" w:rsidRPr="00AD586B">
        <w:t xml:space="preserve"> is comprised of an individual’s movements and activities across space and over time. </w:t>
      </w:r>
      <w:proofErr w:type="spellStart"/>
      <w:r w:rsidR="00BE2EF9" w:rsidRPr="00AD586B">
        <w:t>Hägerstrand</w:t>
      </w:r>
      <w:proofErr w:type="spellEnd"/>
      <w:r w:rsidR="00BE2EF9" w:rsidRPr="00AD586B">
        <w:t xml:space="preserve"> referred to a path beginning from one’s birth and ending with one’s death in one of his earlier papers but, in an analytical framework, a space-time path can be of an interval based on one’s question of interest. This realized path is one of many potential paths within a </w:t>
      </w:r>
      <w:r w:rsidR="00BE2EF9" w:rsidRPr="00AD586B">
        <w:rPr>
          <w:i/>
          <w:iCs/>
        </w:rPr>
        <w:t>space-time prism</w:t>
      </w:r>
      <w:r w:rsidR="00BE2EF9" w:rsidRPr="00AD586B">
        <w:t xml:space="preserve">, or the feasible areas that can be reached within a particular window of time and under different capability, coupling, and authoritative constraints. Projecting the space-time prism on to a planar geographic space (i.e. two-dimensional space) provides what is called the </w:t>
      </w:r>
      <w:r w:rsidR="00BE2EF9" w:rsidRPr="00AD586B">
        <w:rPr>
          <w:i/>
          <w:iCs/>
        </w:rPr>
        <w:t xml:space="preserve">potential path area </w:t>
      </w:r>
      <w:r w:rsidR="00BE2EF9" w:rsidRPr="00AD586B">
        <w:rPr>
          <w:i/>
          <w:iCs/>
        </w:rPr>
        <w:fldChar w:fldCharType="begin"/>
      </w:r>
      <w:r w:rsidR="00753723">
        <w:rPr>
          <w:i/>
          <w:iCs/>
        </w:rPr>
        <w:instrText xml:space="preserve"> ADDIN ZOTERO_ITEM CSL_CITATION {"citationID":"MLFW3yJq","properties":{"formattedCitation":"(Kwan, 2004; Lenntorp, 1976)","plainCitation":"(Kwan, 2004; Lenntorp, 1976)","noteIndex":0},"citationItems":[{"id":835,"uris":["http://zotero.org/users/5090392/items/5I6B4NIZ"],"itemData":{"id":835,"type":"article-journal","abstract":"Over the past 40 years or so, human activities and movements in space-time have attracted considerable research interest in geography. One of the earliest analytical perspectives for the analysis of human activity patterns and movements in space-time is time geography. Despite the usefulness of time geography in many areas of geographical research, there are very few studies that actually implemented its constructs as analytical methods up to the mid-1990s. With increasing availability of geo-referenced individual-level data and improvement in the geo-computational capabilities of Geographical Information Systems (GIS), it is now more feasible than ever before to operationalize and implement time-geographic constructs. This paper discusses recent applications of GIS-based geo-computation and three-dimensional (3-D) geo-visualization methods in time-geographic research. The usefulness of these methods is illustrated through examples drawn from the author's recent studies. The paper attempts to show that GIS provides an effective environment for implementing time-geographic constructs and for the future development of operational methods in time-geographic research.","container-title":"Geografiska Annaler. Series B, Human Geography","ISSN":"0435-3684","issue":"4","note":"publisher: [Swedish Society for Anthropology and Geography, Wiley]","page":"267-280","source":"JSTOR","title":"GIS Methods in Time-Geographic Research: Geocomputation and Geovisualization of Human Activity Patterns","title-short":"GIS Methods in Time-Geographic Research","URL":"https://www.jstor.org.proxy.lib.utk.edu:90/stable/3554351","volume":"86","author":[{"family":"Kwan","given":"Mei-Po"}],"accessed":{"date-parts":[["2021",2,7]]},"issued":{"date-parts":[["2004"]]}}},{"id":836,"uris":["http://zotero.org/users/5090392/items/NICQFED7"],"itemData":{"id":836,"type":"book","collection-title":"Lund studies in geography. Ser. B, Human geography. no. 44","event-place":"Lund","ISBN":"978-91-40-04376-4","language":"eng","number-of-pages":"150","publisher":"Royal University of Lund, Deptof Geography","publisher-place":"Lund","source":"utk.primo.exlibrisgroup.com","title":"Paths in space-time environments: a time-geographic study of movement possibilities of individuals","title-short":"Paths in space-time environments","author":[{"family":"Lenntorp","given":"Bo"}],"issued":{"date-parts":[["1976"]]}}}],"schema":"https://github.com/citation-style-language/schema/raw/master/csl-citation.json"} </w:instrText>
      </w:r>
      <w:r w:rsidR="00BE2EF9" w:rsidRPr="00AD586B">
        <w:rPr>
          <w:i/>
          <w:iCs/>
        </w:rPr>
        <w:fldChar w:fldCharType="separate"/>
      </w:r>
      <w:r w:rsidR="00967900" w:rsidRPr="00967900">
        <w:t>(Kwan, 2004; Lenntorp, 1976)</w:t>
      </w:r>
      <w:r w:rsidR="00BE2EF9" w:rsidRPr="00AD586B">
        <w:rPr>
          <w:i/>
          <w:iCs/>
        </w:rPr>
        <w:fldChar w:fldCharType="end"/>
      </w:r>
      <w:r w:rsidR="008E70D2">
        <w:t>.</w:t>
      </w:r>
      <w:r w:rsidR="00BE2EF9" w:rsidRPr="00AD586B">
        <w:rPr>
          <w:i/>
          <w:iCs/>
        </w:rPr>
        <w:t xml:space="preserve"> Capability constraints</w:t>
      </w:r>
      <w:r w:rsidR="00BE2EF9" w:rsidRPr="00AD586B">
        <w:t xml:space="preserve"> refer to limitations imposed by the </w:t>
      </w:r>
      <w:r w:rsidR="00C956A2">
        <w:t xml:space="preserve">biological nature of and </w:t>
      </w:r>
      <w:r w:rsidR="00DD0DE8">
        <w:t>skills and resources available to</w:t>
      </w:r>
      <w:r w:rsidR="00C956A2">
        <w:t xml:space="preserve"> people</w:t>
      </w:r>
      <w:r w:rsidR="00BE2EF9" w:rsidRPr="00AD586B">
        <w:t xml:space="preserve"> (e.g.</w:t>
      </w:r>
      <w:r w:rsidR="00025A0C">
        <w:t>,</w:t>
      </w:r>
      <w:r w:rsidR="00BE2EF9" w:rsidRPr="00AD586B">
        <w:t xml:space="preserve"> the necessity for rest, food, and water and the ability of the human body to traverse from one location to another)</w:t>
      </w:r>
      <w:r w:rsidR="001E73ED">
        <w:t>.</w:t>
      </w:r>
      <w:r w:rsidR="00BE2EF9" w:rsidRPr="00AD586B">
        <w:t xml:space="preserve"> </w:t>
      </w:r>
      <w:r w:rsidR="00BE2EF9" w:rsidRPr="00AD586B">
        <w:rPr>
          <w:i/>
          <w:iCs/>
        </w:rPr>
        <w:t>Coupling constraints</w:t>
      </w:r>
      <w:r w:rsidR="00BE2EF9" w:rsidRPr="00AD586B">
        <w:t xml:space="preserve"> refer to limitations imposed by the requirement of other entities and/or beings to engage in an activity (e.g.</w:t>
      </w:r>
      <w:r w:rsidR="00025A0C">
        <w:t>,</w:t>
      </w:r>
      <w:r w:rsidR="00BE2EF9" w:rsidRPr="00AD586B">
        <w:t xml:space="preserve"> a full-body checkup requires both the physician and patient to be in the same room). Similarly, </w:t>
      </w:r>
      <w:r w:rsidR="00BE2EF9" w:rsidRPr="00AD586B">
        <w:rPr>
          <w:i/>
          <w:iCs/>
        </w:rPr>
        <w:t>bundles</w:t>
      </w:r>
      <w:r w:rsidR="00BE2EF9" w:rsidRPr="00AD586B">
        <w:t xml:space="preserve"> are groupings of different space-time paths which necessitate that there be multiple entities engaging in the same area. In other words, the actors in a bundle are engaging in the same areas at </w:t>
      </w:r>
      <w:proofErr w:type="gramStart"/>
      <w:r w:rsidR="00BE2EF9" w:rsidRPr="00AD586B">
        <w:t>particular times</w:t>
      </w:r>
      <w:proofErr w:type="gramEnd"/>
      <w:r w:rsidR="00BE2EF9" w:rsidRPr="00AD586B">
        <w:t xml:space="preserve">. </w:t>
      </w:r>
      <w:r w:rsidR="00BE2EF9" w:rsidRPr="00AD586B">
        <w:rPr>
          <w:i/>
          <w:iCs/>
        </w:rPr>
        <w:t>Authorit</w:t>
      </w:r>
      <w:r w:rsidR="00025A0C">
        <w:rPr>
          <w:i/>
          <w:iCs/>
        </w:rPr>
        <w:t>y</w:t>
      </w:r>
      <w:r w:rsidR="00BE2EF9" w:rsidRPr="00AD586B">
        <w:rPr>
          <w:i/>
          <w:iCs/>
        </w:rPr>
        <w:t xml:space="preserve"> constraints</w:t>
      </w:r>
      <w:r w:rsidR="00BE2EF9" w:rsidRPr="00AD586B">
        <w:t xml:space="preserve"> refer to the restrictions imposed by those with control, influence and/or power (e.g.</w:t>
      </w:r>
      <w:r w:rsidR="00025A0C">
        <w:t>,</w:t>
      </w:r>
      <w:r w:rsidR="00BE2EF9" w:rsidRPr="00AD586B">
        <w:t xml:space="preserve"> a grocery store is only open according to the business hours of 7:00 AM to 11:00 PM)</w:t>
      </w:r>
      <w:r w:rsidR="001E73ED">
        <w:t>.</w:t>
      </w:r>
      <w:r w:rsidR="00BE2EF9" w:rsidRPr="00AD586B">
        <w:t xml:space="preserve"> As an extension of this concept, </w:t>
      </w:r>
      <w:r w:rsidR="00BE2EF9" w:rsidRPr="00AD586B">
        <w:rPr>
          <w:i/>
          <w:iCs/>
        </w:rPr>
        <w:t xml:space="preserve">fiats </w:t>
      </w:r>
      <w:r w:rsidR="00BE2EF9" w:rsidRPr="00AD586B">
        <w:t xml:space="preserve">or </w:t>
      </w:r>
      <w:r w:rsidR="00BE2EF9" w:rsidRPr="00AD586B">
        <w:rPr>
          <w:i/>
          <w:iCs/>
        </w:rPr>
        <w:t>domains</w:t>
      </w:r>
      <w:r w:rsidR="00BE2EF9" w:rsidRPr="00AD586B">
        <w:t xml:space="preserve"> describe the areas under control by </w:t>
      </w:r>
      <w:r w:rsidR="00BE2EF9" w:rsidRPr="00AD586B">
        <w:lastRenderedPageBreak/>
        <w:t xml:space="preserve">an authoritative entity. While </w:t>
      </w:r>
      <w:proofErr w:type="spellStart"/>
      <w:r w:rsidR="00BE2EF9" w:rsidRPr="00AD586B">
        <w:t>Hägerstrand</w:t>
      </w:r>
      <w:proofErr w:type="spellEnd"/>
      <w:r w:rsidR="00BE2EF9" w:rsidRPr="00AD586B">
        <w:t xml:space="preserve"> more clearly defines these concepts, he himself admits the fuzzy nature of projects and dioramas given the complexity of the world. Each individual/actor has their own </w:t>
      </w:r>
      <w:r w:rsidR="00BE2EF9" w:rsidRPr="00AD586B">
        <w:rPr>
          <w:i/>
          <w:iCs/>
        </w:rPr>
        <w:t>project</w:t>
      </w:r>
      <w:r w:rsidR="00BE2EF9" w:rsidRPr="00AD586B">
        <w:t xml:space="preserve"> comprised of their chain of different activities across space and over time towards the completion of their goal(s). </w:t>
      </w:r>
      <w:r w:rsidR="00BE2EF9" w:rsidRPr="00AD586B">
        <w:rPr>
          <w:i/>
          <w:iCs/>
        </w:rPr>
        <w:t>Dioramas</w:t>
      </w:r>
      <w:r w:rsidR="00BE2EF9" w:rsidRPr="00AD586B">
        <w:t xml:space="preserve"> embody the myriad projects of different actors/individuals and are inclusive of both biotic and abiotic elements in the environment, the heterogeneous nature of the system, and all the contexts in which actors/individuals are situated in. These concepts together form an ontological framework for which researchers across different disciplines can investigate people’s access to various needs at a disaggregate and individual level.</w:t>
      </w:r>
    </w:p>
    <w:p w14:paraId="1B556113" w14:textId="315B0131" w:rsidR="000A6121" w:rsidRDefault="005C5BD4" w:rsidP="00DE5D1C">
      <w:pPr>
        <w:spacing w:line="480" w:lineRule="auto"/>
        <w:ind w:firstLine="720"/>
      </w:pPr>
      <w:r w:rsidRPr="00AD586B">
        <w:t xml:space="preserve">Since </w:t>
      </w:r>
      <w:proofErr w:type="spellStart"/>
      <w:r w:rsidRPr="00AD586B">
        <w:t>Hägerstrand’s</w:t>
      </w:r>
      <w:proofErr w:type="spellEnd"/>
      <w:r w:rsidRPr="00AD586B">
        <w:t xml:space="preserve"> seminal work in </w:t>
      </w:r>
      <w:r w:rsidR="00025A0C">
        <w:fldChar w:fldCharType="begin"/>
      </w:r>
      <w:r w:rsidR="00025A0C">
        <w:instrText xml:space="preserve"> ADDIN ZOTERO_ITEM CSL_CITATION {"citationID":"0DBpiqwv","properties":{"formattedCitation":"(1970)","plainCitation":"(1970)","noteIndex":0},"citationItems":[{"id":31,"uris":["http://zotero.org/users/5090392/items/TLEME8FN"],"itemData":{"id":31,"type":"article-journal","container-title":"Papers in Regional Science","issue":"1","page":"6-21","title":"What about people in regional science?","URL":"https://onlinelibrary.wiley.com/doi/abs/10.1111/j.1435-5597.1970.tb01464.x","volume":"24","author":[{"family":"Hägerstrand","given":"Torsten"}],"accessed":{"date-parts":[["2018",8,30]]},"issued":{"date-parts":[["1970"]]}},"label":"page","suppress-author":true}],"schema":"https://github.com/citation-style-language/schema/raw/master/csl-citation.json"} </w:instrText>
      </w:r>
      <w:r w:rsidR="00025A0C">
        <w:fldChar w:fldCharType="separate"/>
      </w:r>
      <w:r w:rsidR="00967900" w:rsidRPr="00967900">
        <w:t>(1970)</w:t>
      </w:r>
      <w:r w:rsidR="00025A0C">
        <w:fldChar w:fldCharType="end"/>
      </w:r>
      <w:r w:rsidRPr="00AD586B">
        <w:t>, many have developed space-time measures to analyze individual accessibility</w:t>
      </w:r>
      <w:r w:rsidR="00944A20">
        <w:t xml:space="preserve"> that incorporates </w:t>
      </w:r>
      <w:r w:rsidR="00F70ED8">
        <w:t>different constraints.</w:t>
      </w:r>
      <w:r w:rsidR="00A249D4">
        <w:t xml:space="preserve"> </w:t>
      </w:r>
      <w:r w:rsidRPr="00AD586B">
        <w:t xml:space="preserve">Bo </w:t>
      </w:r>
      <w:proofErr w:type="spellStart"/>
      <w:r w:rsidRPr="00AD586B">
        <w:t>Lenntorp</w:t>
      </w:r>
      <w:proofErr w:type="spellEnd"/>
      <w:r w:rsidRPr="00AD586B">
        <w:t xml:space="preserve"> implemented time geography </w:t>
      </w:r>
      <w:r w:rsidR="00BE2EF9">
        <w:t xml:space="preserve">concepts </w:t>
      </w:r>
      <w:r w:rsidRPr="00AD586B">
        <w:t xml:space="preserve">in his Program Evaluating the Set of Alternative Sample Path (PESASP) computational model that was used to examine the individual accessibility of households to different activities over time in the </w:t>
      </w:r>
      <w:proofErr w:type="spellStart"/>
      <w:r w:rsidRPr="00AD586B">
        <w:t>Vällingby-Bromma</w:t>
      </w:r>
      <w:proofErr w:type="spellEnd"/>
      <w:r w:rsidRPr="00AD586B">
        <w:t xml:space="preserve"> area in Sweden </w:t>
      </w:r>
      <w:r w:rsidRPr="00AD586B">
        <w:fldChar w:fldCharType="begin"/>
      </w:r>
      <w:r w:rsidR="00753723">
        <w:instrText xml:space="preserve"> ADDIN ZOTERO_ITEM CSL_CITATION {"citationID":"erpMZa5C","properties":{"formattedCitation":"(Lenntorp, 1976)","plainCitation":"(Lenntorp, 1976)","noteIndex":0},"citationItems":[{"id":836,"uris":["http://zotero.org/users/5090392/items/NICQFED7"],"itemData":{"id":836,"type":"book","collection-title":"Lund studies in geography. Ser. B, Human geography. no. 44","event-place":"Lund","ISBN":"978-91-40-04376-4","language":"eng","number-of-pages":"150","publisher":"Royal University of Lund, Deptof Geography","publisher-place":"Lund","source":"utk.primo.exlibrisgroup.com","title":"Paths in space-time environments: a time-geographic study of movement possibilities of individuals","title-short":"Paths in space-time environments","author":[{"family":"Lenntorp","given":"Bo"}],"issued":{"date-parts":[["1976"]]}}}],"schema":"https://github.com/citation-style-language/schema/raw/master/csl-citation.json"} </w:instrText>
      </w:r>
      <w:r w:rsidRPr="00AD586B">
        <w:fldChar w:fldCharType="separate"/>
      </w:r>
      <w:r w:rsidR="00967900" w:rsidRPr="00967900">
        <w:t>(Lenntorp, 1976)</w:t>
      </w:r>
      <w:r w:rsidRPr="00AD586B">
        <w:fldChar w:fldCharType="end"/>
      </w:r>
      <w:r w:rsidRPr="00AD586B">
        <w:t xml:space="preserve">. Harvey Miller explored how space-time prism constructs could be implemented in a GIS and then used to identify the potential locations available to an individual (i.e. their </w:t>
      </w:r>
      <w:r w:rsidRPr="00AD586B">
        <w:rPr>
          <w:i/>
          <w:iCs/>
        </w:rPr>
        <w:t>choice set</w:t>
      </w:r>
      <w:r w:rsidRPr="00AD586B">
        <w:t xml:space="preserve">) relative to various constraints on the individual’s behavior </w:t>
      </w:r>
      <w:r w:rsidRPr="00AD586B">
        <w:fldChar w:fldCharType="begin"/>
      </w:r>
      <w:r w:rsidR="00753723">
        <w:instrText xml:space="preserve"> ADDIN ZOTERO_ITEM CSL_CITATION {"citationID":"fKeRB8Nw","properties":{"formattedCitation":"(H. J. Miller, 1991)","plainCitation":"(H. J. Miller, 1991)","noteIndex":0},"citationItems":[{"id":834,"uris":["http://zotero.org/users/5090392/items/NUPEY98B"],"itemData":{"id":834,"type":"article-journal","abstract":"The space-time 0 .. time geographical framework is a powerful perspective from which to analyse human behaviour. One of the central concepts in this framework is the space-time prism, which models individual accessibility to an environment. In this paper, the derivation and manipulation of space-time prism concepts within a geographical information system (GIS) are discussed. The required system inputs and desired outputs are identified and a generic GIS based procedure is presented. Given these basic requirements, issues are discussed which can determine the feasibility of current GIS technology to handle the derivation of space-time prism concepts.","container-title":"International journal of geographical information systems","DOI":"10.1080/02693799108927856","ISSN":"0269-3798","issue":"3","journalAbbreviation":"International journal of geographical information systems","language":"en","page":"287-301","source":"DOI.org (Crossref)","title":"Modelling accessibility using space-time prism concepts within geographical information systems","URL":"http://www.tandfonline.com/doi/abs/10.1080/02693799108927856","volume":"5","author":[{"family":"Miller","given":"Harvey J."}],"accessed":{"date-parts":[["2021",2,7]]},"issued":{"date-parts":[["1991",1]]}}}],"schema":"https://github.com/citation-style-language/schema/raw/master/csl-citation.json"} </w:instrText>
      </w:r>
      <w:r w:rsidRPr="00AD586B">
        <w:fldChar w:fldCharType="separate"/>
      </w:r>
      <w:r w:rsidR="00967900" w:rsidRPr="00967900">
        <w:t>(H. J. Miller, 1991)</w:t>
      </w:r>
      <w:r w:rsidRPr="00AD586B">
        <w:fldChar w:fldCharType="end"/>
      </w:r>
      <w:r w:rsidRPr="00AD586B">
        <w:t>. In a time when computational capabilities were relatively lacking, his work was one of the first to employ time geographic concepts into a GIS</w:t>
      </w:r>
      <w:r w:rsidR="00635670">
        <w:t xml:space="preserve"> to study accessibility</w:t>
      </w:r>
      <w:r w:rsidRPr="00AD586B">
        <w:t xml:space="preserve">. Mei-Po Kwan further developed space-time accessibility measures in a GIS with her study of individual access to urban opportunities for 39 men and 48 women in Columbus, Ohio </w:t>
      </w:r>
      <w:r w:rsidRPr="00AD586B">
        <w:fldChar w:fldCharType="begin"/>
      </w:r>
      <w:r w:rsidR="00753723">
        <w:instrText xml:space="preserve"> ADDIN ZOTERO_ITEM CSL_CITATION {"citationID":"yQhBY9rX","properties":{"formattedCitation":"(Kwan, 1998)","plainCitation":"(Kwan, 1998)","noteIndex":0},"citationItems":[{"id":744,"uris":["http://zotero.org/users/5090392/items/9P9XWARX"],"itemData":{"id":744,"type":"article-journal","abstract":"Conventional integral measures of accessibility, although valuable as indicators of place accessibility, have several limitations when used to evaluate individual accessibility. Two alternatives for overcoming some of the difficulties involved are explored in this study. One is to adapt these measures for evaluating individual accessibility using a disaggregate, nonzonal approach. The other is to develop different types of measures based on an alternative conceptual framework. To pursue the former alternative, this study specifies and examines eighteen gravity-type and cumulative-opportunity accessibility measures using a point-based spatial framework. For the latter option, twelve space-time accessibility measures are developed based on the construct of a prism-constrained feasible opportunity set. This paper compares the relationships and spatial patterns of these thirty measures using network-based GIS procedures. Travel diary data collected in Columbus, Ohio, and a digital data set of 10,727 selected land parcels are used for all computation. Results of this study indicate that space-time and integral indices are distinctive types of accessibility measures which reflect different dimensions of the accessibility experience of individuals. Since space-time measures are more capable of capturing interpersonal differences, especially the effect of space-time constraints, they are more “gender sensitive” and helpful for unraveling gender/ethnic differences in accessibility. An important methodological implication is that whether accessibility is observed to be important or different between individuals depends heavily on whether the measure used is capable of revealing the kind of differences the analyst intends to observe.","container-title":"Geographical Analysis","DOI":"https://doi.org/10.1111/j.1538-4632.1998.tb00396.x","ISSN":"1538-4632","issue":"3","language":"en","note":"_eprint: https://onlinelibrary.wiley.com/doi/pdf/10.1111/j.1538-4632.1998.tb00396.x","page":"191-216","source":"Wiley Online Library","title":"Space-Time and Integral Measures of Individual Accessibility: A Comparative Analysis Using a Point-based Framework","title-short":"Space-Time and Integral Measures of Individual Accessibility","URL":"https://onlinelibrary.wiley.com/doi/abs/10.1111/j.1538-4632.1998.tb00396.x","volume":"30","author":[{"family":"Kwan","given":"Mei-Po"}],"accessed":{"date-parts":[["2021",1,11]]},"issued":{"date-parts":[["1998"]]}}}],"schema":"https://github.com/citation-style-language/schema/raw/master/csl-citation.json"} </w:instrText>
      </w:r>
      <w:r w:rsidRPr="00AD586B">
        <w:fldChar w:fldCharType="separate"/>
      </w:r>
      <w:r w:rsidR="00967900" w:rsidRPr="00967900">
        <w:t>(Kwan, 1998)</w:t>
      </w:r>
      <w:r w:rsidRPr="00AD586B">
        <w:fldChar w:fldCharType="end"/>
      </w:r>
      <w:r w:rsidRPr="00AD586B">
        <w:t xml:space="preserve">. Drawing from two datasets, including 1) an activity-travel diary dataset detailing individual activity-travel characteristics, addresses of activity locations, and people’s perceptions of their space and time constraints, and </w:t>
      </w:r>
      <w:r w:rsidRPr="00AD586B">
        <w:lastRenderedPageBreak/>
        <w:t xml:space="preserve">2) a geographic database of the study area comprised of parcels, Kwan evaluated eighteen different measures of gravity and cumulative opportunity variants and thirteen space-time measures using an algorithm developed in </w:t>
      </w:r>
      <w:r w:rsidRPr="00AD586B">
        <w:fldChar w:fldCharType="begin"/>
      </w:r>
      <w:r w:rsidR="00753723">
        <w:instrText xml:space="preserve"> ADDIN ZOTERO_ITEM CSL_CITATION {"citationID":"gEljrTWC","properties":{"formattedCitation":"(Kwan &amp; Hong, 1998)","plainCitation":"(Kwan &amp; Hong, 1998)","noteIndex":0},"citationItems":[{"id":838,"uris":["http://zotero.org/users/5090392/items/GYY72ELK"],"itemData":{"id":838,"type":"article-journal","container-title":"Geographical Systems","ISSN":"1069-2665","issue":"1-2","language":"English (US)","note":"publisher: Springer Verlag","page":"139-162","source":"experts.illinois.edu","title":"Network-based constraints-oriented choice set formation using GIS","URL":"https://experts.illinois.edu/en/publications/network-based-constraints-oriented-choice-set-formation-using-gis","volume":"5","author":[{"family":"Kwan","given":"Mei-Po"},{"family":"Hong","given":"Xiao Dong"}],"accessed":{"date-parts":[["2021",2,7]]},"issued":{"date-parts":[["1998",12,1]]}}}],"schema":"https://github.com/citation-style-language/schema/raw/master/csl-citation.json"} </w:instrText>
      </w:r>
      <w:r w:rsidRPr="00AD586B">
        <w:fldChar w:fldCharType="separate"/>
      </w:r>
      <w:r w:rsidR="00967900" w:rsidRPr="00967900">
        <w:t>(Kwan &amp; Hong, 1998)</w:t>
      </w:r>
      <w:r w:rsidRPr="00AD586B">
        <w:fldChar w:fldCharType="end"/>
      </w:r>
      <w:r w:rsidRPr="00AD586B">
        <w:t xml:space="preserve">. The results from her study revealed the differences in spatial patterns between men and women </w:t>
      </w:r>
      <w:proofErr w:type="gramStart"/>
      <w:r w:rsidRPr="00AD586B">
        <w:t>and also</w:t>
      </w:r>
      <w:proofErr w:type="gramEnd"/>
      <w:r w:rsidRPr="00AD586B">
        <w:t xml:space="preserve"> between space-time measures compared to conventional measures of gravity and cumulative opportunity. She argued that the conventional gravity-based and cumulative-opportunity measures, while useful as indicators of place accessibility, were comparatively poor in evaluating person-based accessibility, and from her results concluded that space-time measures were more capable of identifying interpersonal differences in accessibility, including along gender and ethnic divides. This is because space-time measures are more attune to individual life situations and social differences along axes of gender, race, class, age, etc.</w:t>
      </w:r>
      <w:r w:rsidR="00DE5D1C">
        <w:t xml:space="preserve"> </w:t>
      </w:r>
      <w:r w:rsidR="00DE5D1C" w:rsidRPr="00AD586B">
        <w:t xml:space="preserve">These different types of measures are sensitive and may reflect upon different aspects of accessibility. Thus, space-time measures may more accurately reveal accessibility for different people. Kwan’s work brought to light the implications </w:t>
      </w:r>
      <w:r w:rsidR="00A719A3">
        <w:t>in social (e.g., gender) differences when</w:t>
      </w:r>
      <w:r w:rsidR="00DE5D1C" w:rsidRPr="00AD586B">
        <w:t xml:space="preserve"> using conventional measures of accessibility versus space-time approaches that, respectively, inform </w:t>
      </w:r>
      <w:r w:rsidR="00DE5D1C">
        <w:t>location</w:t>
      </w:r>
      <w:r w:rsidR="00DE5D1C" w:rsidRPr="00AD586B">
        <w:t>-based and person-based accessibility.</w:t>
      </w:r>
    </w:p>
    <w:p w14:paraId="372BF91D" w14:textId="41DA85AA" w:rsidR="00A719A3" w:rsidRDefault="0083581A" w:rsidP="00156BEA">
      <w:pPr>
        <w:spacing w:line="480" w:lineRule="auto"/>
        <w:ind w:firstLine="720"/>
      </w:pPr>
      <w:r>
        <w:t xml:space="preserve">Temporal variations as </w:t>
      </w:r>
      <w:r w:rsidR="00B83C72">
        <w:t>facility operational hours</w:t>
      </w:r>
      <w:r w:rsidR="00EA0773">
        <w:t>,</w:t>
      </w:r>
      <w:r w:rsidR="00FF4F22">
        <w:t xml:space="preserve"> time of day</w:t>
      </w:r>
      <w:r w:rsidR="00BB5206">
        <w:t xml:space="preserve"> </w:t>
      </w:r>
      <w:r w:rsidR="00BB5206">
        <w:fldChar w:fldCharType="begin"/>
      </w:r>
      <w:r w:rsidR="00BB5206">
        <w:instrText xml:space="preserve"> ADDIN ZOTERO_ITEM CSL_CITATION {"citationID":"0UH8KbxX","properties":{"formattedCitation":"(Weber, 2003)","plainCitation":"(Weber, 2003)","noteIndex":0},"citationItems":[{"id":1161,"uris":["http://zotero.org/users/5090392/items/VTTJKD7T"],"itemData":{"id":1161,"type":"article-journal","abstract":"Distance has often been assumed to be an influence on intraurban accessibility, whether in traditional proximity-based measures of accessibility, or through expectations about distance-minimizing travel behavior and the logic of the monocentric model. This paper examines the importance of distance from major employment centers to individual accessibility in Portland, Oregon, using space-time accessibility measures computed using GIS. The results of this research indicate that distance from these locations has mixed results on individual accessibility. This appears to reflect the importance of time, both the time of day activities are scheduled as well as time constraints, to individual activity patterns.","container-title":"Journal of Geographical Systems","DOI":"10.1007/s101090300103","ISSN":"1435-5930","issue":"1","journalAbbreviation":"J Geograph Syst","language":"en","page":"51-70","source":"Springer Link","title":"Individual accessibility and distance from major employment centers: An examination using space-time measures","title-short":"Individual accessibility and distance from major employment centers","URL":"https://doi.org/10.1007/s101090300103","volume":"5","author":[{"family":"Weber","given":"J."}],"accessed":{"date-parts":[["2021",9,21]]},"issued":{"date-parts":[["2003",5,1]]}}}],"schema":"https://github.com/citation-style-language/schema/raw/master/csl-citation.json"} </w:instrText>
      </w:r>
      <w:r w:rsidR="00BB5206">
        <w:fldChar w:fldCharType="separate"/>
      </w:r>
      <w:r w:rsidR="00BB5206" w:rsidRPr="00BB5206">
        <w:t>(Weber, 2003)</w:t>
      </w:r>
      <w:r w:rsidR="00BB5206">
        <w:fldChar w:fldCharType="end"/>
      </w:r>
      <w:r w:rsidR="00BB5206">
        <w:t>, time constraints,</w:t>
      </w:r>
      <w:r w:rsidR="00EA0773">
        <w:t xml:space="preserve"> stochastic travel times</w:t>
      </w:r>
      <w:r w:rsidR="00B43E4A">
        <w:t xml:space="preserve"> </w:t>
      </w:r>
      <w:r w:rsidR="00B43E4A">
        <w:fldChar w:fldCharType="begin"/>
      </w:r>
      <w:r w:rsidR="00B43E4A">
        <w:instrText xml:space="preserve"> ADDIN ZOTERO_ITEM CSL_CITATION {"citationID":"ddyzVCGw","properties":{"formattedCitation":"(Lee &amp; Miller, 2020)","plainCitation":"(Lee &amp; Miller, 2020)","noteIndex":0},"citationItems":[{"id":1610,"uris":["http://zotero.org/users/5090392/items/A4VW2BCE"],"itemData":{"id":1610,"type":"article-journal","abstract":"Uncertainties in travel times due to traffic congestion and delay are risks for drivers and public transit users. To avoid undesired consequences such as losing jobs or missing medical appointments, people can manage the risks of missing on-time arrivals to destinations using different strategies, including leaving earlier to create a safety margin and choosing routes that have more reliable rather than fastest travel times. This research develops a general analytical framework for measuring accessibility considering automobile or public transit travelers' heterogeneous strategies for dealing with travel time uncertainty. To represent different safety margin plans, we use effective travel time (expected time + safety margin), given specified on-time arrival probabilities. Heterogeneity in routing strategy is addressed using different Pareto-optimal routes with two main criteria: faster travel time vs. higher reliability. Based on various safety margin and routing strategy combinations, we examine how accessibility changes under varying safety margin plans and routing strategies. Also, we define and measure robust accessibility: geographic regions that are accessible regardless of the safety margin planning and routing strategy. Robust accessibility can provide a conservative and reasonable view of accessibility under travel time uncertainty. To demonstrate the applicability of the methods, we carry out an empirical study on measuring the impacts of new transit service on healthcare accessibility in a deprived neighborhood in Columbus, Ohio, USA.","container-title":"Journal of Transport Geography","DOI":"10.1016/j.jtrangeo.2020.102747","ISSN":"0966-6923","journalAbbreviation":"Journal of Transport Geography","language":"en","page":"102747","source":"ScienceDirect","title":"Robust accessibility: Measuring accessibility based on travelers' heterogeneous strategies for managing travel time uncertainty","title-short":"Robust accessibility","URL":"https://www.sciencedirect.com/science/article/pii/S0966692319309172","volume":"86","author":[{"family":"Lee","given":"Jinhyung"},{"family":"Miller","given":"Harvey J."}],"accessed":{"date-parts":[["2022",4,10]]},"issued":{"date-parts":[["2020",6,1]]}}}],"schema":"https://github.com/citation-style-language/schema/raw/master/csl-citation.json"} </w:instrText>
      </w:r>
      <w:r w:rsidR="00B43E4A">
        <w:fldChar w:fldCharType="separate"/>
      </w:r>
      <w:r w:rsidR="00967900" w:rsidRPr="00967900">
        <w:t>(Lee &amp; Miller, 2020)</w:t>
      </w:r>
      <w:r w:rsidR="00B43E4A">
        <w:fldChar w:fldCharType="end"/>
      </w:r>
      <w:r w:rsidR="00EA0773">
        <w:t>, and</w:t>
      </w:r>
      <w:r w:rsidR="009C0C02">
        <w:t xml:space="preserve"> more</w:t>
      </w:r>
      <w:r w:rsidR="00EA0773">
        <w:t xml:space="preserve"> </w:t>
      </w:r>
      <w:r w:rsidR="00B83C72">
        <w:t xml:space="preserve">have also been integrated </w:t>
      </w:r>
      <w:r w:rsidR="00BB5206">
        <w:t xml:space="preserve">in space-time measures </w:t>
      </w:r>
      <w:r w:rsidR="00B83C72">
        <w:t xml:space="preserve">to </w:t>
      </w:r>
      <w:r w:rsidR="005D5F67">
        <w:t xml:space="preserve">more accurately understand the opportunities accessible to </w:t>
      </w:r>
      <w:r w:rsidR="00BB5206">
        <w:t>individuals</w:t>
      </w:r>
      <w:r w:rsidR="005D5F67">
        <w:t xml:space="preserve">. Weber and Kwan </w:t>
      </w:r>
      <w:r w:rsidR="005D5F67">
        <w:fldChar w:fldCharType="begin"/>
      </w:r>
      <w:r w:rsidR="005D5F67">
        <w:instrText xml:space="preserve"> ADDIN ZOTERO_ITEM CSL_CITATION {"citationID":"EWFUr8ze","properties":{"formattedCitation":"(2003)","plainCitation":"(2003)","noteIndex":0},"citationItems":[{"id":1161,"uris":["http://zotero.org/users/5090392/items/VTTJKD7T"],"itemData":{"id":1161,"type":"article-journal","abstract":"Distance has often been assumed to be an influence on intraurban accessibility, whether in traditional proximity-based measures of accessibility, or through expectations about distance-minimizing travel behavior and the logic of the monocentric model. This paper examines the importance of distance from major employment centers to individual accessibility in Portland, Oregon, using space-time accessibility measures computed using GIS. The results of this research indicate that distance from these locations has mixed results on individual accessibility. This appears to reflect the importance of time, both the time of day activities are scheduled as well as time constraints, to individual activity patterns.","container-title":"Journal of Geographical Systems","DOI":"10.1007/s101090300103","ISSN":"1435-5930","issue":"1","journalAbbreviation":"J Geograph Syst","language":"en","page":"51-70","source":"Springer Link","title":"Individual accessibility and distance from major employment centers: An examination using space-time measures","title-short":"Individual accessibility and distance from major employment centers","URL":"https://doi.org/10.1007/s101090300103","volume":"5","author":[{"family":"Weber","given":"J."}],"accessed":{"date-parts":[["2021",9,21]]},"issued":{"date-parts":[["2003",5,1]]}},"label":"page","suppress-author":true}],"schema":"https://github.com/citation-style-language/schema/raw/master/csl-citation.json"} </w:instrText>
      </w:r>
      <w:r w:rsidR="005D5F67">
        <w:fldChar w:fldCharType="separate"/>
      </w:r>
      <w:r w:rsidR="00967900" w:rsidRPr="00967900">
        <w:t>(2003)</w:t>
      </w:r>
      <w:r w:rsidR="005D5F67">
        <w:fldChar w:fldCharType="end"/>
      </w:r>
      <w:r w:rsidR="00BE3E72">
        <w:t xml:space="preserve"> found that</w:t>
      </w:r>
      <w:r w:rsidR="000935BF">
        <w:t xml:space="preserve"> </w:t>
      </w:r>
      <w:r w:rsidR="00D9298B">
        <w:t>includ</w:t>
      </w:r>
      <w:r w:rsidR="00BE3E72">
        <w:t>ing</w:t>
      </w:r>
      <w:r w:rsidR="00D9298B">
        <w:t xml:space="preserve"> time </w:t>
      </w:r>
      <w:r w:rsidR="00F24C68">
        <w:t>due to</w:t>
      </w:r>
      <w:r w:rsidR="00D9298B">
        <w:t xml:space="preserve"> travel congestion</w:t>
      </w:r>
      <w:r w:rsidR="00033859">
        <w:t xml:space="preserve"> </w:t>
      </w:r>
      <w:r w:rsidR="00BE3E72">
        <w:t>reduced individual accessibility</w:t>
      </w:r>
      <w:r w:rsidR="00B11361">
        <w:t xml:space="preserve"> compared to measures without their inclusion.</w:t>
      </w:r>
      <w:r w:rsidR="00606E55">
        <w:t xml:space="preserve"> </w:t>
      </w:r>
      <w:r w:rsidR="00B72592">
        <w:t>Other s</w:t>
      </w:r>
      <w:r w:rsidR="00606E55">
        <w:t xml:space="preserve">cholars have also developed approaches </w:t>
      </w:r>
      <w:r w:rsidR="004F6C70">
        <w:t>that</w:t>
      </w:r>
      <w:r w:rsidR="00883AFA">
        <w:t xml:space="preserve"> </w:t>
      </w:r>
      <w:r w:rsidR="005A4098">
        <w:t xml:space="preserve">consider the probability by which </w:t>
      </w:r>
      <w:r w:rsidR="004F6C70">
        <w:t xml:space="preserve">individuals can </w:t>
      </w:r>
      <w:r w:rsidR="00EA1E9A">
        <w:t>participate in activities at</w:t>
      </w:r>
      <w:r w:rsidR="004F6C70">
        <w:t xml:space="preserve"> opportunity locations</w:t>
      </w:r>
      <w:r w:rsidR="00BE3E72">
        <w:t xml:space="preserve"> </w:t>
      </w:r>
      <w:r w:rsidR="00EA1E9A">
        <w:t xml:space="preserve">and return to their destination </w:t>
      </w:r>
      <w:r w:rsidR="00EA1E9A">
        <w:fldChar w:fldCharType="begin"/>
      </w:r>
      <w:r w:rsidR="00EA1E9A">
        <w:instrText xml:space="preserve"> ADDIN ZOTERO_ITEM CSL_CITATION {"citationID":"6PLUtdY0","properties":{"formattedCitation":"(B. Y. Chen et al., 2013)","plainCitation":"(B. Y. Chen et al., 2013)","noteIndex":0},"citationItems":[{"id":1897,"uris":["http://zotero.org/users/5090392/items/RQSUT9G8"],"itemData":{"id":1897,"type":"article-journal","abstract":"Time geography is a powerful framework for analyzing human activities under various space–time constraints. At the core of time geography is the concept of the space–time prism, which delimits an individual's potential activity locations in space and time. The classical space–time prism, however, admits only deterministic travel speeds and ignores the stochastic nature of travel environments. In this article, the classical space–time prism model is extended to congested road networks with travel time uncertainty. A reliable space–time prism is proposed to consider explicitly an individual's on-time arrival probability concerns in the face of travel time uncertainty. The reliable space–time prism is defined as the set of space–time locations where an individual can participate in an activity and return to his or her destination with a given on-time arrival probability. To construct such a reliable space–time prism in a road network, a solution algorithm is developed. A case study using real-world traffic information is carried out to demonstrate the applicability of the proposed prism model. The results of the case study indicate that the proposed prism model can represent well individuals’ space–time taking into account various on-time arrival probability concerns.","container-title":"Annals of the Association of American Geographers","DOI":"10.1080/00045608.2013.834236","ISSN":"0004-5608","issue":"6","note":"publisher: Routledge\n_eprint: https://doi.org/10.1080/00045608.2013.834236","page":"1502-1521","source":"Taylor and Francis+NEJM","title":"Reliable Space–Time Prisms Under Travel Time Uncertainty","URL":"https://doi.org/10.1080/00045608.2013.834236","volume":"103","author":[{"family":"Chen","given":"Bi Yu"},{"family":"Li","given":"Qingquan"},{"family":"Wang","given":"Donggen"},{"family":"Shaw","given":"Shih-Lung"},{"family":"Lam","given":"William H.K."},{"family":"Yuan","given":"Hui"},{"family":"Fang","given":"Zhixiang"}],"accessed":{"date-parts":[["2022",8,9]]},"issued":{"date-parts":[["2013",11,1]]}}}],"schema":"https://github.com/citation-style-language/schema/raw/master/csl-citation.json"} </w:instrText>
      </w:r>
      <w:r w:rsidR="00EA1E9A">
        <w:fldChar w:fldCharType="separate"/>
      </w:r>
      <w:r w:rsidR="00967900" w:rsidRPr="00967900">
        <w:t>(Chen et al., 2013)</w:t>
      </w:r>
      <w:r w:rsidR="00EA1E9A">
        <w:fldChar w:fldCharType="end"/>
      </w:r>
      <w:r w:rsidR="00115C3A">
        <w:t>.</w:t>
      </w:r>
      <w:r w:rsidR="00EA1E9A">
        <w:t xml:space="preserve"> </w:t>
      </w:r>
      <w:proofErr w:type="spellStart"/>
      <w:r>
        <w:t>Delafontaine</w:t>
      </w:r>
      <w:proofErr w:type="spellEnd"/>
      <w:r>
        <w:t xml:space="preserve"> et al. </w:t>
      </w:r>
      <w:r>
        <w:lastRenderedPageBreak/>
        <w:fldChar w:fldCharType="begin"/>
      </w:r>
      <w:r>
        <w:instrText xml:space="preserve"> ADDIN ZOTERO_ITEM CSL_CITATION {"citationID":"63eP54PK","properties":{"formattedCitation":"(2011)","plainCitation":"(2011)","noteIndex":0},"citationItems":[{"id":971,"uris":["http://zotero.org/users/5090392/items/C472VRFV"],"itemData":{"id":971,"type":"article-journal","abstract":"While many studies have concentrated on the effects of the spatial distribution of services on individual accessibility, only little is known about the ways in which equity of individual accessibility is affected by the temporal organisation of service delivery. This paper seeks to deepen our understanding about the relationship between accessibility, equity and the opening hours of public service facilities on the basis of space–time accessibility measures. Three approaches based on different equity principles are presented to schedule the opening hours of public service facilities: a utilitarian, an egalitarian and a distributive approach. A case study of public libraries in Ghent (Belgium) demonstrates the relevance of these approaches for amending the opening hours of public services to control the equity of accessibility levels across individuals.","container-title":"Computers, Environment and Urban Systems","DOI":"10.1016/j.compenvurbsys.2011.02.005","ISSN":"0198-9715","issue":"4","journalAbbreviation":"Computers, Environment and Urban Systems","language":"en","page":"276-288","source":"ScienceDirect","title":"The impact of opening hours on the equity of individual space–time accessibility","URL":"https://www.sciencedirect.com/science/article/pii/S0198971511000263","volume":"35","author":[{"family":"Delafontaine","given":"Matthias"},{"family":"Neutens","given":"Tijs"},{"family":"Schwanen","given":"Tim"},{"family":"Weghe","given":"Nico Van","dropping-particle":"de"}],"accessed":{"date-parts":[["2021",3,3]]},"issued":{"date-parts":[["2011",7,1]]}},"label":"page","suppress-author":true}],"schema":"https://github.com/citation-style-language/schema/raw/master/csl-citation.json"} </w:instrText>
      </w:r>
      <w:r>
        <w:fldChar w:fldCharType="separate"/>
      </w:r>
      <w:r w:rsidR="00967900" w:rsidRPr="00967900">
        <w:t>(2011)</w:t>
      </w:r>
      <w:r>
        <w:fldChar w:fldCharType="end"/>
      </w:r>
      <w:r w:rsidR="00B11361">
        <w:t xml:space="preserve"> similarly</w:t>
      </w:r>
      <w:r>
        <w:t xml:space="preserve"> demonstrated how equity of individual accessibility to various urban services is influenced by </w:t>
      </w:r>
      <w:r w:rsidR="003713D3">
        <w:t xml:space="preserve">adapting </w:t>
      </w:r>
      <w:r>
        <w:t>the operational hours of facilities</w:t>
      </w:r>
      <w:r w:rsidR="003713D3">
        <w:t xml:space="preserve"> to different schedules</w:t>
      </w:r>
      <w:r>
        <w:t>.</w:t>
      </w:r>
      <w:r w:rsidR="00CE4160">
        <w:t xml:space="preserve"> Chen and Clark </w:t>
      </w:r>
      <w:r w:rsidR="00CE4160">
        <w:fldChar w:fldCharType="begin"/>
      </w:r>
      <w:r w:rsidR="00CE4160">
        <w:instrText xml:space="preserve"> ADDIN ZOTERO_ITEM CSL_CITATION {"citationID":"bZJz49sc","properties":{"formattedCitation":"(2013)","plainCitation":"(2013)","noteIndex":0},"citationItems":[{"id":1842,"uris":["http://zotero.org/users/5090392/items/SBM2S2NU"],"itemData":{"id":1842,"type":"article-journal","abstract":"A majority of literature about food deserts is focused on geographic access to food retailers by a buffered distance differentiating high and low access. An overlooked facet in this representation is that food acquisition is not only geographically dictated, but it is also temporally constrained. Food retailers invariably have limited opening hours that create a temporal restriction for shoppers. In this paper, a three-dimensional (3D) construct was proposed to delineate the limited food access to a retailer location across space and over its time of operation. Food retailer data in Columbus, OH, USA were collected for examining the variation of food access on both spatial and temporal scales. This study also employed the technique of interactive 3D modeling in a geographic information system (GIS) to visualize the food environment to delimit where and when food is accessible on a daily basis. The interactive 3D geovisualization (visualization of geographic information) of space–time access contributed to improving the representation of food environment and exploring the inequity of food access across space and over time. The development of this geovisualization context for food science studies could assist public health professionals and government stakeholders in understanding the effect of temporal access and improving food access for regions with limited operation hours in policy formulation.","container-title":"Applied Geography","DOI":"10.1016/j.apgeog.2013.05.012","ISSN":"0143-6228","journalAbbreviation":"Applied Geography","language":"en","page":"81-86","source":"ScienceDirect","title":"Interactive three-dimensional geovisualization of space–time access to food","URL":"https://www.sciencedirect.com/science/article/pii/S0143622813001367","volume":"43","author":[{"family":"Chen","given":"Xiang"},{"family":"Clark","given":"Jill"}],"accessed":{"date-parts":[["2022",7,20]]},"issued":{"date-parts":[["2013",9,1]]}},"label":"page","suppress-author":true}],"schema":"https://github.com/citation-style-language/schema/raw/master/csl-citation.json"} </w:instrText>
      </w:r>
      <w:r w:rsidR="00CE4160">
        <w:fldChar w:fldCharType="separate"/>
      </w:r>
      <w:r w:rsidR="00967900" w:rsidRPr="00967900">
        <w:t>(2013)</w:t>
      </w:r>
      <w:r w:rsidR="00CE4160">
        <w:fldChar w:fldCharType="end"/>
      </w:r>
      <w:r w:rsidR="00676AF0">
        <w:t xml:space="preserve"> additionally noted that different types of facilities (e.g., with food stores, supermarkets, convenience stores, farmers’ markets, etc.) </w:t>
      </w:r>
      <w:r w:rsidR="00596EBD">
        <w:t>operate and close at different times.</w:t>
      </w:r>
    </w:p>
    <w:p w14:paraId="4C69CFC3" w14:textId="4D9F3B64" w:rsidR="00564BEF" w:rsidRDefault="00564BEF" w:rsidP="00156BEA">
      <w:pPr>
        <w:spacing w:line="480" w:lineRule="auto"/>
        <w:ind w:firstLine="720"/>
      </w:pPr>
      <w:r>
        <w:t>A</w:t>
      </w:r>
      <w:r w:rsidR="005C5BD4">
        <w:t>s suggested in this subsection,</w:t>
      </w:r>
      <w:r>
        <w:t xml:space="preserve"> recurrent debate in the literature concerns the trade-offs of </w:t>
      </w:r>
      <w:r w:rsidR="00534223">
        <w:t>location</w:t>
      </w:r>
      <w:r>
        <w:t xml:space="preserve">- and person-based approaches which are each useful for different types of questions. One major critique of </w:t>
      </w:r>
      <w:r w:rsidR="00E5088D">
        <w:t>location</w:t>
      </w:r>
      <w:r>
        <w:t xml:space="preserve">-based measures is the ignorance of idiosyncratic differences and the assumption of homogeneous aggregated populations reduced to geographic units in static fixed locations. Conventional applications focus mainly on the attractiveness of opportunities and some cost distance between locations and often fall short of capturing heterogeneous preferences and behaviors over space-time. They are, however, generally easier to use and interpret for questions relating to group behaviors and averages. Person-based measures in contrast are more computationally expensive, data intensive and difficult to interpret, but are more apt at accurately modeling and capturing fine-grained individual-level differences and the mobilities of people. (Dis)advantages aside, a general sentiment across these measures emerges whereby the transportation system enables individuals with access to places where they can participate in spatiotemporally distributed activities and exchange information, goods, and services </w:t>
      </w:r>
      <w:r>
        <w:fldChar w:fldCharType="begin"/>
      </w:r>
      <w:r w:rsidR="00753723">
        <w:instrText xml:space="preserve"> ADDIN ZOTERO_ITEM CSL_CITATION {"citationID":"dn3aP5k2","properties":{"formattedCitation":"(E. J. Miller, 2018)","plainCitation":"(E. J. Miller, 2018)","noteIndex":0},"citationItems":[{"id":864,"uris":["http://zotero.org/users/5090392/items/LRC4Z6TH"],"itemData":{"id":864,"type":"article-journal","container-title":"Transport Reviews","DOI":"10.1080/01441647.2018.1492778","ISSN":"0144-1647","issue":"5","note":"publisher: Routledge\n_eprint: https://doi.org/10.1080/01441647.2018.1492778","page":"551-555","source":"Taylor and Francis+NEJM","title":"Accessibility: measurement and application in transportation planning","title-short":"Accessibility","URL":"https://doi.org/10.1080/01441647.2018.1492778","volume":"38","author":[{"family":"Miller","given":"Eric J."}],"accessed":{"date-parts":[["2021",2,18]]},"issued":{"date-parts":[["2018",9,3]]}}}],"schema":"https://github.com/citation-style-language/schema/raw/master/csl-citation.json"} </w:instrText>
      </w:r>
      <w:r>
        <w:fldChar w:fldCharType="separate"/>
      </w:r>
      <w:r w:rsidR="00967900" w:rsidRPr="00967900">
        <w:t>(Miller, 2018)</w:t>
      </w:r>
      <w:r>
        <w:fldChar w:fldCharType="end"/>
      </w:r>
      <w:r>
        <w:t>.</w:t>
      </w:r>
    </w:p>
    <w:p w14:paraId="12545365" w14:textId="296423FB" w:rsidR="00564BEF" w:rsidRPr="00A13D59" w:rsidRDefault="00564BEF" w:rsidP="00A13D59">
      <w:pPr>
        <w:pStyle w:val="Heading2"/>
        <w:spacing w:after="240"/>
        <w:jc w:val="center"/>
        <w:rPr>
          <w:rFonts w:ascii="Times New Roman" w:hAnsi="Times New Roman" w:cs="Times New Roman"/>
          <w:b/>
          <w:bCs/>
          <w:color w:val="auto"/>
        </w:rPr>
      </w:pPr>
      <w:bookmarkStart w:id="15" w:name="_Toc114258034"/>
      <w:r w:rsidRPr="00A13D59">
        <w:rPr>
          <w:rFonts w:ascii="Times New Roman" w:hAnsi="Times New Roman" w:cs="Times New Roman"/>
          <w:b/>
          <w:bCs/>
          <w:color w:val="auto"/>
        </w:rPr>
        <w:t xml:space="preserve">2.2. A </w:t>
      </w:r>
      <w:r w:rsidR="0013507A">
        <w:rPr>
          <w:rFonts w:ascii="Times New Roman" w:hAnsi="Times New Roman" w:cs="Times New Roman"/>
          <w:b/>
          <w:bCs/>
          <w:color w:val="auto"/>
        </w:rPr>
        <w:t>MULTIDIMENSIONAL DEFINITION OF ACCESS</w:t>
      </w:r>
      <w:bookmarkEnd w:id="15"/>
    </w:p>
    <w:p w14:paraId="4C544C43" w14:textId="3EACBFF5" w:rsidR="00564BEF" w:rsidRDefault="00564BEF" w:rsidP="00F75ABC">
      <w:pPr>
        <w:spacing w:line="480" w:lineRule="auto"/>
        <w:ind w:firstLine="720"/>
      </w:pPr>
      <w:r>
        <w:t xml:space="preserve">Beyond measurement, an important but less popular focus concerns understanding the causal factors of access. </w:t>
      </w:r>
      <w:proofErr w:type="spellStart"/>
      <w:r>
        <w:t>Geurs</w:t>
      </w:r>
      <w:proofErr w:type="spellEnd"/>
      <w:r>
        <w:t xml:space="preserve"> and van Wee </w:t>
      </w:r>
      <w:r>
        <w:fldChar w:fldCharType="begin"/>
      </w:r>
      <w:r>
        <w:instrText xml:space="preserve"> ADDIN ZOTERO_ITEM CSL_CITATION {"citationID":"wYdh7xrT","properties":{"formattedCitation":"(2004)","plainCitation":"(2004)","noteIndex":0},"citationItems":[{"id":1090,"uris":["http://zotero.org/users/5090392/items/F8WQ9CHA"],"itemData":{"id":1090,"type":"article-journal","abstract":"A review of accessibility measures is presented for assessing the usability of these measures in evaluations of land-use and transport strategies and developments. Accessibility measures are reviewed using a broad range of relevant criteria, including theoretical basis, interpretability and communicability, and data requirements of the measures. Accessibility impacts of land-use and transport strategies are often evaluated using accessibility measures, which researchers and policy makers can easily operationalise and interpret, such as travelling speed, but which generally do not satisfy theoretical criteria. More complex and disaggregated accessibility measures, however, increase complexity and the eﬀort for calculations and the diﬃculty of interpretation. The current practice can be much improved by operationalising more advanced location-based and utility-based accessibility measures that are still relatively easy to interpret for researchers and policy makers, and can be computed with state-of-the-practice data and/or landuse and transport models. Research directions towards theoretically more advanced accessibility measures point towards the inclusion of individual’s spatial–temporal constraints and feedback mechanisms between accessibility, land-use and travel behaviour. Furthermore, there is a need for theoretical and empirical research on relationships between accessibility, option values and non-user beneﬁts, and the measurement of diﬀerent components of accessibility.","container-title":"Journal of Transport Geography","DOI":"10.1016/j.jtrangeo.2003.10.005","ISSN":"09666923","issue":"2","journalAbbreviation":"Journal of Transport Geography","language":"en","page":"127-140","source":"DOI.org (Crossref)","title":"Accessibility evaluation of land-use and transport strategies: review and research directions","title-short":"Accessibility evaluation of land-use and transport strategies","URL":"https://linkinghub.elsevier.com/retrieve/pii/S0966692303000607","volume":"12","author":[{"family":"Geurs","given":"Karst T."},{"family":"Wee","given":"Bert","non-dropping-particle":"van"}],"accessed":{"date-parts":[["2021",5,6]]},"issued":{"date-parts":[["2004",6]]}},"suppress-author":true}],"schema":"https://github.com/citation-style-language/schema/raw/master/csl-citation.json"} </w:instrText>
      </w:r>
      <w:r>
        <w:fldChar w:fldCharType="separate"/>
      </w:r>
      <w:r w:rsidR="00967900" w:rsidRPr="00967900">
        <w:t>(2004)</w:t>
      </w:r>
      <w:r>
        <w:fldChar w:fldCharType="end"/>
      </w:r>
      <w:r>
        <w:t xml:space="preserve"> identify four main theoretical components from different </w:t>
      </w:r>
      <w:r w:rsidR="00B937CE">
        <w:t xml:space="preserve">accessibility </w:t>
      </w:r>
      <w:r>
        <w:t>definitions and measures. The land-use component reflects attractiveness and availability (quantity, quality, diversity) of opportunities</w:t>
      </w:r>
      <w:r w:rsidRPr="007D723D">
        <w:t xml:space="preserve">, typically </w:t>
      </w:r>
      <w:r w:rsidRPr="007D723D">
        <w:lastRenderedPageBreak/>
        <w:t>operationalized as the size or magnitude of activity locations (e.g., facility area)</w:t>
      </w:r>
      <w:r w:rsidR="007C6DB0">
        <w:t>,</w:t>
      </w:r>
      <w:r w:rsidRPr="007D723D">
        <w:t xml:space="preserve"> </w:t>
      </w:r>
      <w:r>
        <w:t xml:space="preserve">in relation to the demand for them. The transportation component describes the transport system, expressed as the disutility of an individual to overcome the spatial separation between their origin and desired destination location with some transport mode. The temporal component captures temporal constraints, including the time available for individuals to engage in activities </w:t>
      </w:r>
      <w:r w:rsidRPr="00CC3A11">
        <w:t>vis-à-vis</w:t>
      </w:r>
      <w:r>
        <w:t xml:space="preserve"> opening hours of opportunities. The individual component reflects the needs, abilities, and preferences of people contingent upon their personal characteristics (sociodemographic attributes, financial situation, capabilities, attitudes, preferences, context, etc.) Pot et al. </w:t>
      </w:r>
      <w:r>
        <w:fldChar w:fldCharType="begin"/>
      </w:r>
      <w:r>
        <w:instrText xml:space="preserve"> ADDIN ZOTERO_ITEM CSL_CITATION {"citationID":"nUyJxrn0","properties":{"formattedCitation":"(2021)","plainCitation":"(2021)","noteIndex":0},"citationItems":[{"id":1195,"uris":["http://zotero.org/users/5090392/items/WEWGP49U"],"itemData":{"id":1195,"type":"article-journal","abstract":"Accessibility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uppress-author":true}],"schema":"https://github.com/citation-style-language/schema/raw/master/csl-citation.json"} </w:instrText>
      </w:r>
      <w:r>
        <w:fldChar w:fldCharType="separate"/>
      </w:r>
      <w:r w:rsidR="00967900" w:rsidRPr="00967900">
        <w:t>(2021)</w:t>
      </w:r>
      <w:r>
        <w:fldChar w:fldCharType="end"/>
      </w:r>
      <w:r>
        <w:t xml:space="preserve"> argue that these components hail from a tradition of using calculated indicators based on spatial data and must also consider how people perceive their environment; that the relationship between land-use and transport systems and individual behavior over time is mediated by perceptions. In other words, what people consider to be appropriate and are aware of are also important determinants of access. People </w:t>
      </w:r>
      <w:r w:rsidRPr="0074683F">
        <w:t xml:space="preserve">have varying physical aptitudes and preferences and thus require different infrastructure (e.g., parking lots, wheelchair accessible ramps) and policies (e.g., mask-wearing mandates) </w:t>
      </w:r>
      <w:r>
        <w:t>that can accommodate them</w:t>
      </w:r>
      <w:r w:rsidRPr="0074683F">
        <w:t>.</w:t>
      </w:r>
      <w:r>
        <w:t xml:space="preserve"> Additionally, people</w:t>
      </w:r>
      <w:r w:rsidRPr="0074683F">
        <w:t xml:space="preserve"> </w:t>
      </w:r>
      <w:r>
        <w:t>value opportunities differently and vary in their capacity and willingness to accept certain wages or afford resources and services. Their attitudes, preferences, and social and cultural contexts also influence what they consider to be acceptable.</w:t>
      </w:r>
    </w:p>
    <w:p w14:paraId="37292F24" w14:textId="7ACD56B0" w:rsidR="00564BEF" w:rsidRDefault="00564BEF" w:rsidP="00156BEA">
      <w:pPr>
        <w:spacing w:line="480" w:lineRule="auto"/>
        <w:ind w:firstLine="720"/>
      </w:pPr>
      <w:r>
        <w:t xml:space="preserve">These components reflect impediments to access which parallels the theory of five access dimensions by </w:t>
      </w:r>
      <w:proofErr w:type="spellStart"/>
      <w:r>
        <w:t>Penchansky</w:t>
      </w:r>
      <w:proofErr w:type="spellEnd"/>
      <w:r>
        <w:t xml:space="preserve"> and Thomas </w:t>
      </w:r>
      <w:r>
        <w:fldChar w:fldCharType="begin"/>
      </w:r>
      <w:r>
        <w:instrText xml:space="preserve"> ADDIN ZOTERO_ITEM CSL_CITATION {"citationID":"GcU1XAmW","properties":{"formattedCitation":"(1981)","plainCitation":"(1981)","noteIndex":0},"citationItems":[{"id":715,"uris":["http://zotero.org/users/5090392/items/6ZKKZ9WV"],"itemData":{"id":715,"type":"article-journal","abstract":"Access is an important concept in health policy and health services research, yet it is one which has not been defined or employed precisely. To some authors \"access\" refers to entry into or use of the health care system, while to others it characterizes factors influencing entry or use. The purpose of this article is to propose a taxonomic definition of \"access.\" Access is presented here as a general concept that summarizes a set of more specific dimensions describing the fit between the patient and the health care system. The specific dimensions are availability, accessibility, accommodation, affordability and acceptability. Using interview data on patient satisfaction, the discriminant validity of these dimensions is investigated. Results provide strong support for the view that differentiation does exist among the five areas and that the measures do relate to the phenomena with which they are identified.","container-title":"Medical Care","ISSN":"0025-7079","issue":"2","note":"publisher: Lippincott Williams &amp; Wilkins","page":"127-140","source":"JSTOR","title":"The Concept of Access: Definition and Relationship to Consumer Satisfaction","title-short":"The Concept of Access","URL":"https://www.jstor.org.proxy.lib.utk.edu:90/stable/3764310","volume":"19","author":[{"family":"Penchansky","given":"Roy"},{"family":"Thomas","given":"J. William"}],"accessed":{"date-parts":[["2020",12,16]]},"issued":{"date-parts":[["1981"]]}},"suppress-author":true}],"schema":"https://github.com/citation-style-language/schema/raw/master/csl-citation.json"} </w:instrText>
      </w:r>
      <w:r>
        <w:fldChar w:fldCharType="separate"/>
      </w:r>
      <w:r w:rsidR="00967900" w:rsidRPr="00967900">
        <w:t>(1981)</w:t>
      </w:r>
      <w:r>
        <w:fldChar w:fldCharType="end"/>
      </w:r>
      <w:r>
        <w:t xml:space="preserve">. Others have inquired into similar dimensions for food </w:t>
      </w:r>
      <w:r w:rsidR="007E3115">
        <w:t xml:space="preserve">access </w:t>
      </w:r>
      <w:r>
        <w:fldChar w:fldCharType="begin"/>
      </w:r>
      <w:r w:rsidR="002A0A57">
        <w:instrText xml:space="preserve"> ADDIN ZOTERO_ITEM CSL_CITATION {"citationID":"UmW23oVh","properties":{"formattedCitation":"(Caspi, Sorensen, et al., 2012; Widener, 2018)","plainCitation":"(Caspi, Sorensen, et al., 2012; Widener, 2018)","noteIndex":0},"citationItems":[{"id":712,"uris":["http://zotero.org/users/5090392/items/DNH6HFKZ"],"itemData":{"id":712,"type":"article-journal","abstract":"Despite growing attention to the problem of obesogenic environments, there has not been a comprehensive review evaluating the food environment–diet relationship. This study aims to evaluate this relationship in the current literature, focusing specifically on the method of exposure assessment (GIS, survey, or store audit). This study also explores 5 dimensions of “food access” (availability, accessibility, affordability, accommodation, acceptability) using a conceptual definition proposed by Penchansky and Thomas (1981). Articles were retrieved through a systematic keyword search in Web of Science and supplemented by the reference lists of included studies. Thirty-eight studies were reviewed and categorized by the exposure assessment method and the conceptual dimensions of access it captured. GIS-based measures were the most common measures, but were less consistently associated with diet than other measures. Few studies examined dimensions of affordability, accommodation, and acceptability. Because GIS-based measures on their own may not capture important non-geographic dimensions of access, a set of recommendations for future researchers is outlined.","container-title":"Health &amp; Place","DOI":"10.1016/j.healthplace.2012.05.006","ISSN":"1353-8292","issue":"5","journalAbbreviation":"Health &amp; Place","language":"en","page":"1172-1187","source":"ScienceDirect","title":"The local food environment and diet: A systematic review","title-short":"The local food environment and diet","URL":"http://www.sciencedirect.com/science/article/pii/S1353829212001037","volume":"18","author":[{"family":"Caspi","given":"Caitlin E."},{"family":"Sorensen","given":"Glorian"},{"family":"Subramanian","given":"S. V."},{"family":"Kawachi","given":"Ichiro"}],"accessed":{"date-parts":[["2020",12,9]]},"issued":{"date-parts":[["2012",9,1]]}}},{"id":684,"uris":["http://zotero.org/users/5090392/items/G23ENZGI"],"itemData":{"id":684,"type":"article-journal","abstract":"The food desert metaphor has been widely used over the past few decades as a way to identify regions as being at risk for having little or no access to healthy food. While the simplicity of the metaphor is attractive, this article argues that its usefulness to researchers interested in understanding the relationship between the geography of healthy food opportunities and dietary behaviours is limited. More nuanced approaches to incorporating geography into food access studies, like including transportation, economic factors, and time use, in addition to considering other dimensions of accessibility, are warranted.","collection-title":"The Pace of Life and Feeding: Health Implications","container-title":"Physiology &amp; Behavior","DOI":"10.1016/j.physbeh.2018.02.032","ISSN":"0031-9384","journalAbbreviation":"Physiology &amp; Behavior","language":"en","page":"257-260","source":"ScienceDirect","title":"Spatial access to food: Retiring the food desert metaphor","title-short":"Spatial access to food","URL":"http://www.sciencedirect.com/science/article/pii/S003193841830091X","volume":"193","author":[{"family":"Widener","given":"Michael J."}],"accessed":{"date-parts":[["2020",11,27]]},"issued":{"date-parts":[["2018",9,1]]}}}],"schema":"https://github.com/citation-style-language/schema/raw/master/csl-citation.json"} </w:instrText>
      </w:r>
      <w:r>
        <w:fldChar w:fldCharType="separate"/>
      </w:r>
      <w:r w:rsidR="00967900" w:rsidRPr="00967900">
        <w:t>(Caspi, Sorensen, et al., 2012; Widener, 2018)</w:t>
      </w:r>
      <w:r>
        <w:fldChar w:fldCharType="end"/>
      </w:r>
      <w:r>
        <w:t xml:space="preserve"> and job access, noting that focusing solely on </w:t>
      </w:r>
      <w:r w:rsidR="00C20168">
        <w:t>physical proximity and similar concepts rooted in physical space</w:t>
      </w:r>
      <w:r>
        <w:t xml:space="preserve"> omits important intervening economic, social, and cultural barriers</w:t>
      </w:r>
      <w:r w:rsidR="00B616D2">
        <w:t xml:space="preserve"> and facilitators</w:t>
      </w:r>
      <w:r>
        <w:t xml:space="preserve">. Despite widespread </w:t>
      </w:r>
      <w:r>
        <w:lastRenderedPageBreak/>
        <w:t>acknowledgement of access as a multidimensional concept, applied research on access is</w:t>
      </w:r>
      <w:r w:rsidRPr="00AD586B">
        <w:t xml:space="preserve"> </w:t>
      </w:r>
      <w:r>
        <w:t xml:space="preserve">often </w:t>
      </w:r>
      <w:r w:rsidRPr="00AD586B">
        <w:t xml:space="preserve">assessed with </w:t>
      </w:r>
      <w:r>
        <w:t xml:space="preserve">the </w:t>
      </w:r>
      <w:proofErr w:type="gramStart"/>
      <w:r>
        <w:t>aforementioned spatial</w:t>
      </w:r>
      <w:proofErr w:type="gramEnd"/>
      <w:r>
        <w:t xml:space="preserve"> accessibility </w:t>
      </w:r>
      <w:r w:rsidRPr="00AD586B">
        <w:t>measures</w:t>
      </w:r>
      <w:r>
        <w:t xml:space="preserve"> that mainly focus on the availability and accessibility dimensions.</w:t>
      </w:r>
      <w:r w:rsidRPr="00AD586B">
        <w:t xml:space="preserve"> </w:t>
      </w:r>
      <w:r>
        <w:t xml:space="preserve">Most measurements are based on proximity and connectivity in physical space </w:t>
      </w:r>
      <w:r>
        <w:fldChar w:fldCharType="begin"/>
      </w:r>
      <w:r>
        <w:instrText xml:space="preserve"> ADDIN ZOTERO_ITEM CSL_CITATION {"citationID":"A9EGcJ2w","properties":{"formattedCitation":"(Goodchild &amp; Sheppard, 2000)","plainCitation":"(Goodchild &amp; Sheppard, 2000)","noteIndex":0},"citationItems":[{"id":1142,"uris":["http://zotero.org/users/5090392/items/C9X4YA7N"],"itemData":{"id":1142,"type":"chapter","abstract":"This book explores how new communication and information technologies combine with transportation to modify human spatial and temporal relationships in everyday life. It targets the need to differentiate accessibility levels among a broad range of social groupings, the need to study disparities in electronic accessibility, and the need to investigate new measures and means of representing the geography of opportunity in the information age. It explores how models based on physical notions of distance and connectivity are insufficient for understanding the new structures and behaviors that characterize current regional realities, with examples drawn from Europe, New Zealand, and North America. While traditional notions of accessibility and spatial interaction remain important, information technologies are dramatically modifying and expanding the scope of these core geographical concepts.","collection-title":"Advances in Spatial Science","container-title":"Information, Place, and Cyberspace: Issues in Accessibility","event-place":"Berlin Heidelberg","ISBN":"978-3-540-67492-4","language":"en","note":"DOI: 10.1007/978-3-662-04027-0","page":"v-vi","publisher":"Springer-Verlag","publisher-place":"Berlin Heidelberg","source":"www.springer.com","title":"Foreword","URL":"https://www.springer.com/gp/book/9783540674924","editor":[{"family":"Janelle","given":"Donald G."},{"family":"Hodge","given":"David C."}],"author":[{"family":"Goodchild","given":"Michael F."},{"family":"Sheppard","given":"Eric"}],"accessed":{"date-parts":[["2021",9,16]]},"issued":{"date-parts":[["2000"]]}}}],"schema":"https://github.com/citation-style-language/schema/raw/master/csl-citation.json"} </w:instrText>
      </w:r>
      <w:r>
        <w:fldChar w:fldCharType="separate"/>
      </w:r>
      <w:r w:rsidR="00967900" w:rsidRPr="00967900">
        <w:t>(Goodchild &amp; Sheppard, 2000)</w:t>
      </w:r>
      <w:r>
        <w:fldChar w:fldCharType="end"/>
      </w:r>
      <w:r>
        <w:t xml:space="preserve">. But research finds an inconsistent relationship between the geographical distribution of activity opportunities with individual access </w:t>
      </w:r>
      <w:r>
        <w:fldChar w:fldCharType="begin"/>
      </w:r>
      <w:r>
        <w:instrText xml:space="preserve"> ADDIN ZOTERO_ITEM CSL_CITATION {"citationID":"WVG0eDWz","properties":{"formattedCitation":"(Weber, 2003)","plainCitation":"(Weber, 2003)","noteIndex":0},"citationItems":[{"id":1161,"uris":["http://zotero.org/users/5090392/items/VTTJKD7T"],"itemData":{"id":1161,"type":"article-journal","abstract":"Distance has often been assumed to be an influence on intraurban accessibility, whether in traditional proximity-based measures of accessibility, or through expectations about distance-minimizing travel behavior and the logic of the monocentric model. This paper examines the importance of distance from major employment centers to individual accessibility in Portland, Oregon, using space-time accessibility measures computed using GIS. The results of this research indicate that distance from these locations has mixed results on individual accessibility. This appears to reflect the importance of time, both the time of day activities are scheduled as well as time constraints, to individual activity patterns.","container-title":"Journal of Geographical Systems","DOI":"10.1007/s101090300103","ISSN":"1435-5930","issue":"1","journalAbbreviation":"J Geograph Syst","language":"en","page":"51-70","source":"Springer Link","title":"Individual accessibility and distance from major employment centers: An examination using space-time measures","title-short":"Individual accessibility and distance from major employment centers","URL":"https://doi.org/10.1007/s101090300103","volume":"5","author":[{"family":"Weber","given":"J."}],"accessed":{"date-parts":[["2021",9,21]]},"issued":{"date-parts":[["2003",5,1]]}}}],"schema":"https://github.com/citation-style-language/schema/raw/master/csl-citation.json"} </w:instrText>
      </w:r>
      <w:r>
        <w:fldChar w:fldCharType="separate"/>
      </w:r>
      <w:r w:rsidR="00967900" w:rsidRPr="00967900">
        <w:t>(Weber, 2003)</w:t>
      </w:r>
      <w:r>
        <w:fldChar w:fldCharType="end"/>
      </w:r>
      <w:r>
        <w:t xml:space="preserve">. Traditional conceptualization and operationalization of spatial accessibility based on static spatial frameworks, fixed locations, and distances are insufficient in capturing contemporary situations of access </w:t>
      </w:r>
      <w:r>
        <w:fldChar w:fldCharType="begin"/>
      </w:r>
      <w:r>
        <w:instrText xml:space="preserve"> ADDIN ZOTERO_ITEM CSL_CITATION {"citationID":"iL4ihako","properties":{"formattedCitation":"(Kwan, 2007, 2013)","plainCitation":"(Kwan, 2007, 2013)","noteIndex":0},"citationItems":[{"id":1163,"uris":["http://zotero.org/users/5090392/items/C22KP9K9"],"itemData":{"id":1163,"type":"article-journal","abstract":"The widespread use of mobile communications is leading to new practices in family life and social life, and these changes have significant implications for the study of urban travel. Because of the adoption of new modes of space-time coordination, changing time use and increasing mobility, changing use of existing urban nodes, the blurring of boundaries between home and work, the importance of social networks and social capital, and the shift to person-to-person connectivity, the spatial structure and processes of interaction among individuals have become much more complicated in this age of mobile communications. Static spatial frameworks based on fixed points (e.g., home or workplace) and distances among them are no longer adequate for understanding urban travel. The study of urban travel now needs new conceptualizations and new methodologies. </w:instrText>
      </w:r>
      <w:r>
        <w:rPr>
          <w:rFonts w:ascii="Cambria Math" w:hAnsi="Cambria Math" w:cs="Cambria Math"/>
        </w:rPr>
        <w:instrText>∗</w:instrText>
      </w:r>
      <w:r>
        <w:instrText xml:space="preserve">This article is based on the Fleming Lecture in Transportation Geography I delivered at the 102th Annual Meeting of the Association of American Geographers, Chicago, 7–11 March 2006. I thank Jean-Paul Rodrigue for making arrangements for the lecture, and the Department of Geography at the University of Washington for providing support to me for this lecture. I am also grateful to the audience, to Bill Black (who served as the discussant of the session), and to three anonymous reviewers for their very helpful comments. The views expressed in this article remain my responsibility.","container-title":"The Professional Geographer","DOI":"10.1111/j.1467-9272.2007.00633.x","ISSN":"0033-0124","issue":"4","note":"publisher: Routledge\n_eprint: https://doi.org/10.1111/j.1467-9272.2007.00633.x","page":"434-446","source":"Taylor and Francis+NEJM","title":"Mobile Communications, Social Networks, and Urban Travel: Hypertext as a New Metaphor for Conceptualizing Spatial Interaction","title-short":"Mobile Communications, Social Networks, and Urban Travel","URL":"https://doi.org/10.1111/j.1467-9272.2007.00633.x","volume":"59","author":[{"family":"Kwan","given":"Mei-Po"}],"accessed":{"date-parts":[["2021",9,21]]},"issued":{"date-parts":[["2007",11,1]]}}},{"id":732,"uris":["http://zotero.org/users/5090392/items/M8GKY6U4"],"itemData":{"id":732,"type":"article-journal","abstract":"Many fundamental notions in geographic and social science research still tend to be conceptualized largely in static spatial terms, ignoring how our understanding of the issues we study can be greatly enriched through the lenses of time and human mobility. This article revisits three such notions: racial segregation, environmental exposure, and accessibility. It argues for the need to expand our analytical focus from static residential spaces to other relevant places and times in people's everyday lives. Mobility is an essential element of people's spatiotemporal experiences, and these complex experiences cannot be fully understood by just looking at where people live. As many social scientists are interested in studying segregation, environmental exposure, and accessibility, geographers can contribute to advancing temporally integrated analysis of these issues through careful examination of people's everyday experiences as their lives unfold in space and time. Interdisciplinary research along this line could have a broad impact on many disciplines beyond geography.","container-title":"Annals of the Association of American Geographers","DOI":"10.1080/00045608.2013.792177","ISSN":"0004-5608","issue":"5","note":"publisher: Routledge\n_eprint: https://doi.org/10.1080/00045608.2013.792177","page":"1078-1086","source":"Taylor and Francis+NEJM","title":"Beyond Space (As We Knew It): Toward Temporally Integrated Geographies of Segregation, Health, and Accessibility","title-short":"Beyond Space (As We Knew It)","URL":"https://doi.org/10.1080/00045608.2013.792177","volume":"103","author":[{"family":"Kwan","given":"Mei-Po"}],"accessed":{"date-parts":[["2021",1,9]]},"issued":{"date-parts":[["2013",9,1]]}}}],"schema":"https://github.com/citation-style-language/schema/raw/master/csl-citation.json"} </w:instrText>
      </w:r>
      <w:r>
        <w:fldChar w:fldCharType="separate"/>
      </w:r>
      <w:r w:rsidR="00967900" w:rsidRPr="00967900">
        <w:t>(Kwan, 2007, 2013)</w:t>
      </w:r>
      <w:r>
        <w:fldChar w:fldCharType="end"/>
      </w:r>
      <w:r>
        <w:t>.</w:t>
      </w:r>
    </w:p>
    <w:p w14:paraId="420250DE" w14:textId="63FB8E4F" w:rsidR="00564BEF" w:rsidRPr="00A13D59" w:rsidRDefault="00564BEF" w:rsidP="00A13D59">
      <w:pPr>
        <w:pStyle w:val="Heading2"/>
        <w:spacing w:after="240"/>
        <w:jc w:val="center"/>
        <w:rPr>
          <w:rFonts w:ascii="Times New Roman" w:hAnsi="Times New Roman" w:cs="Times New Roman"/>
          <w:b/>
          <w:bCs/>
          <w:color w:val="auto"/>
        </w:rPr>
      </w:pPr>
      <w:bookmarkStart w:id="16" w:name="_Toc114258035"/>
      <w:r w:rsidRPr="00A13D59">
        <w:rPr>
          <w:rFonts w:ascii="Times New Roman" w:hAnsi="Times New Roman" w:cs="Times New Roman"/>
          <w:b/>
          <w:bCs/>
          <w:color w:val="auto"/>
        </w:rPr>
        <w:t xml:space="preserve">2.3. </w:t>
      </w:r>
      <w:r w:rsidR="0013507A">
        <w:rPr>
          <w:rFonts w:ascii="Times New Roman" w:hAnsi="Times New Roman" w:cs="Times New Roman"/>
          <w:b/>
          <w:bCs/>
          <w:color w:val="auto"/>
        </w:rPr>
        <w:t>ACCESS IN HYBRID PHYSICAL-VIRTUAL SPACE</w:t>
      </w:r>
      <w:bookmarkEnd w:id="16"/>
    </w:p>
    <w:p w14:paraId="0362FF11" w14:textId="1502F05D" w:rsidR="00647E72" w:rsidRDefault="00564BEF" w:rsidP="00156BEA">
      <w:pPr>
        <w:spacing w:line="480" w:lineRule="auto"/>
        <w:ind w:firstLine="720"/>
      </w:pPr>
      <w:r>
        <w:t xml:space="preserve">ICT transforms activity-travel behavior and renders central concepts of spatial accessibility including proximity, propinquity, and friction of distance less important </w:t>
      </w:r>
      <w:r>
        <w:fldChar w:fldCharType="begin"/>
      </w:r>
      <w:r>
        <w:instrText xml:space="preserve"> ADDIN ZOTERO_ITEM CSL_CITATION {"citationID":"acaZm8BE","properties":{"formattedCitation":"(Afradi &amp; Nourian, 2020)","plainCitation":"(Afradi &amp; Nourian, 2020)","noteIndex":0},"citationItems":[{"id":1158,"uris":["http://zotero.org/users/5090392/items/8ID6NTLV"],"itemData":{"id":1158,"type":"article-journal","abstract":"Since the 1980s, a considerable amount of research has dealt with the spatial impacts of services and devices related to Information and Communication Technology (ICT). In answering the question of “what are the ICT’s spatial impacts?”, a literature review reveals that a major part of the research is trapped in dualities such as the “centralization-decentralization” and “substitutionary-complementary” effects of ICT. Other studies have investigated the ICT’s spatial impacts regarding the discourses of the industrial age rather than the post-information age. Moving beyond the technology-centered and deterministic presumptions, this paper deals with a more fundamental question on defining the variables which play a role in the process through which ICT impacts urban spaces. We have conducted a qualitative content analysis in order to gain an understanding of these variables. Based on the review of 242 texts in the literature, 175 codes were extracted and organized into 18 subcategories, four generic categories, two main categories and one theme. The extracted theme points to a quadripartite dynamic co-evolution between the ICT, agents, societies and cities. This co-evolution—and considering the long history of technological changes in cities—mean that cohesive policies toward predetermined visions are needed for effective use of ICT in creating desired spatial impacts. In absence of such policies, the spatial impacts of ICT remain unpredictable.","container-title":"GeoJournal","DOI":"10.1007/s10708-020-10277-2","ISSN":"1572-9893","journalAbbreviation":"GeoJournal","language":"en","source":"Springer Link","title":"Understanding ICT’s impacts on urban spaces: a qualitative content analysis of literature","title-short":"Understanding ICT’s impacts on urban spaces","URL":"https://doi.org/10.1007/s10708-020-10277-2","author":[{"family":"Afradi","given":"Kazem"},{"family":"Nourian","given":"Farshad"}],"accessed":{"date-parts":[["2021",9,19]]},"issued":{"date-parts":[["2020",8,13]]}}}],"schema":"https://github.com/citation-style-language/schema/raw/master/csl-citation.json"} </w:instrText>
      </w:r>
      <w:r>
        <w:fldChar w:fldCharType="separate"/>
      </w:r>
      <w:r w:rsidR="00967900" w:rsidRPr="00967900">
        <w:t>(Afradi &amp; Nourian, 2020)</w:t>
      </w:r>
      <w:r>
        <w:fldChar w:fldCharType="end"/>
      </w:r>
      <w:r>
        <w:t>.</w:t>
      </w:r>
      <w:r w:rsidR="00FB4B30">
        <w:t xml:space="preserve"> </w:t>
      </w:r>
      <w:r>
        <w:t xml:space="preserve">Growing ubiquity </w:t>
      </w:r>
      <w:r w:rsidRPr="002A0BD6">
        <w:t xml:space="preserve">in ICT, especially the Internet and mobile devices, </w:t>
      </w:r>
      <w:r>
        <w:t>introduce</w:t>
      </w:r>
      <w:r w:rsidRPr="002A0BD6">
        <w:t xml:space="preserve"> a virtual space </w:t>
      </w:r>
      <w:r>
        <w:t>characterizing the</w:t>
      </w:r>
      <w:r w:rsidRPr="002A0BD6">
        <w:t xml:space="preserve"> world of </w:t>
      </w:r>
      <w:r>
        <w:t xml:space="preserve">data </w:t>
      </w:r>
      <w:r w:rsidRPr="002A0BD6">
        <w:t xml:space="preserve">bits and information </w:t>
      </w:r>
      <w:r>
        <w:t>which</w:t>
      </w:r>
      <w:r w:rsidRPr="002A0BD6">
        <w:t xml:space="preserve"> complements physical space </w:t>
      </w:r>
      <w:r w:rsidRPr="002A0BD6">
        <w:fldChar w:fldCharType="begin"/>
      </w:r>
      <w:r>
        <w:instrText xml:space="preserve"> ADDIN ZOTERO_ITEM CSL_CITATION {"citationID":"IWSwyF59","properties":{"formattedCitation":"(Janelle &amp; Hodge, 2000)","plainCitation":"(Janelle &amp; Hodge, 2000)","noteIndex":0},"citationItems":[{"id":764,"uris":["http://zotero.org/users/5090392/items/52GKQ45L"],"itemData":{"id":764,"type":"chapter","abstract":"This chapter provides a broad overview of alternate ways for seeing the operative linkages between human experiences on the ground (in place) and user experi ences in cyberspace. Information is treated as the resource that binds these realms into functional human systems, while computer, telecommunication, and transpor tation technologies are viewed as tools of accessibility that are allocated differen tially among people, institutions, and regions. Two general propositions guide the discussion. First, there are significant structural linkages among information re sources, traditional places, and cyberspace; and second, grasping these linkages requires expanded models of space (and time) that encompass both the physical and virtual worlds.","collection-title":"Advances in Spatial Science","container-title":"Information, Place, and Cyberspace: Issues in Accessibility","event-place":"Berlin, Heidelberg","ISBN":"978-3-662-04027-0","language":"en","note":"DOI: 10.1007/978-3-662-04027-0_1","page":"3-11","publisher":"Springer","publisher-place":"Berlin, Heidelberg","source":"Springer Link","title":"Information, Place, Cyberspace, and Accessibility","URL":"https://doi.org/10.1007/978-3-662-04027-0_1","author":[{"family":"Janelle","given":"Donald G."},{"family":"Hodge","given":"David C."}],"editor":[{"family":"Janelle","given":"Donald G."},{"family":"Hodge","given":"David C."}],"accessed":{"date-parts":[["2021",1,26]]},"issued":{"date-parts":[["2000"]]}}}],"schema":"https://github.com/citation-style-language/schema/raw/master/csl-citation.json"} </w:instrText>
      </w:r>
      <w:r w:rsidRPr="002A0BD6">
        <w:fldChar w:fldCharType="separate"/>
      </w:r>
      <w:r w:rsidR="00967900" w:rsidRPr="00967900">
        <w:t>(Janelle &amp; Hodge, 2000)</w:t>
      </w:r>
      <w:r w:rsidRPr="002A0BD6">
        <w:fldChar w:fldCharType="end"/>
      </w:r>
      <w:r>
        <w:t>.</w:t>
      </w:r>
      <w:r w:rsidRPr="002A0BD6">
        <w:t xml:space="preserve"> Telecommunications, the transformation of information as </w:t>
      </w:r>
      <w:r>
        <w:t>digital</w:t>
      </w:r>
      <w:r w:rsidRPr="002A0BD6">
        <w:t xml:space="preserve"> signals transmitted via </w:t>
      </w:r>
      <w:r>
        <w:t>computing devices</w:t>
      </w:r>
      <w:r w:rsidRPr="002A0BD6">
        <w:t xml:space="preserve">, </w:t>
      </w:r>
      <w:r>
        <w:t>enable</w:t>
      </w:r>
      <w:r w:rsidRPr="002A0BD6">
        <w:t xml:space="preserve"> </w:t>
      </w:r>
      <w:r>
        <w:t xml:space="preserve">human </w:t>
      </w:r>
      <w:r w:rsidRPr="002A0BD6">
        <w:t xml:space="preserve">activities </w:t>
      </w:r>
      <w:r>
        <w:t xml:space="preserve">and interactions </w:t>
      </w:r>
      <w:r w:rsidRPr="002A0BD6">
        <w:t>to take place remotely</w:t>
      </w:r>
      <w:r>
        <w:t xml:space="preserve"> and outside of traditional physical space</w:t>
      </w:r>
      <w:r w:rsidRPr="002A0BD6">
        <w:t xml:space="preserve">. </w:t>
      </w:r>
      <w:r>
        <w:t xml:space="preserve">In contrast to physical space, spatial separation becomes less important as people are less inhibited by travel impedance and can reach opportunities with telecommunications </w:t>
      </w:r>
      <w:r>
        <w:fldChar w:fldCharType="begin"/>
      </w:r>
      <w:r>
        <w:instrText xml:space="preserve"> ADDIN ZOTERO_ITEM CSL_CITATION {"citationID":"NG21u08K","properties":{"formattedCitation":"(Shen, 2000)","plainCitation":"(Shen, 2000)","noteIndex":0},"citationItems":[{"id":1146,"uris":["http://zotero.org/users/5090392/items/YQR4EYLS"],"itemData":{"id":1146,"type":"chapter","abstract":"New telecommunications — digital information and communication technologies that support interaction and transaction over long distances — are emerging as a primary force in shaping cities. And more fundamentally, they are becoming one of the most important variables in defining spatial relationships among people and organizations located in metropolitan areas. Manifested by the rapid growth of the Internet, ATMs, and mobile phones, telecommunications are permeating the physical structure, the economic production, and the social life of cities. Visibly and invisibly, these technologies are creating new spatial paths and barriers that will profoundly affect people’s access to economic opportunities and social services. Therefore, one of the most important tasks for urban researchers in the information age is to help policy makers and the general public to understand, monitor, predict, and respond to spatial consequences resulting from a massive-scale deployment of new telecommunications.","collection-title":"Advances in Spatial Science","container-title":"Information, Place, and Cyberspace: Issues in Accessibility","event-place":"Berlin, Heidelberg","ISBN":"978-3-662-04027-0","language":"en","note":"DOI: 10.1007/978-3-662-04027-0_4","page":"47-72","publisher":"Springer","publisher-place":"Berlin, Heidelberg","source":"Springer Link","title":"Transportation, Telecommunications, and the Changing Geography of Opportunity","URL":"https://doi.org/10.1007/978-3-662-04027-0_4","author":[{"family":"Shen","given":"Qing"}],"editor":[{"family":"Janelle","given":"Donald G."},{"family":"Hodge","given":"David C."}],"accessed":{"date-parts":[["2021",9,18]]},"issued":{"date-parts":[["2000"]]}}}],"schema":"https://github.com/citation-style-language/schema/raw/master/csl-citation.json"} </w:instrText>
      </w:r>
      <w:r>
        <w:fldChar w:fldCharType="separate"/>
      </w:r>
      <w:r w:rsidR="00967900" w:rsidRPr="00967900">
        <w:t>(Shen, 2000)</w:t>
      </w:r>
      <w:r>
        <w:fldChar w:fldCharType="end"/>
      </w:r>
      <w:r>
        <w:t>. V</w:t>
      </w:r>
      <w:r w:rsidRPr="002A0BD6">
        <w:t xml:space="preserve">irtual space </w:t>
      </w:r>
      <w:r>
        <w:t>enhances access of people</w:t>
      </w:r>
      <w:r w:rsidRPr="002A0BD6">
        <w:t xml:space="preserve">, notably with </w:t>
      </w:r>
      <w:proofErr w:type="spellStart"/>
      <w:r>
        <w:t>teleactivities</w:t>
      </w:r>
      <w:proofErr w:type="spellEnd"/>
      <w:r>
        <w:t xml:space="preserve"> including </w:t>
      </w:r>
      <w:r w:rsidRPr="002A0BD6">
        <w:t xml:space="preserve">e-grocery, telehealth, e-work, </w:t>
      </w:r>
      <w:r>
        <w:t xml:space="preserve">and </w:t>
      </w:r>
      <w:r w:rsidRPr="002A0BD6">
        <w:t xml:space="preserve">e-learning </w:t>
      </w:r>
      <w:r w:rsidRPr="002A0BD6">
        <w:fldChar w:fldCharType="begin"/>
      </w:r>
      <w:r>
        <w:instrText xml:space="preserve"> ADDIN ZOTERO_ITEM CSL_CITATION {"citationID":"ar5qRq1W","properties":{"formattedCitation":"(Afradi &amp; Nourian, 2020; van Wee, 2016)","plainCitation":"(Afradi &amp; Nourian, 2020; van Wee, 2016)","noteIndex":0},"citationItems":[{"id":1158,"uris":["http://zotero.org/users/5090392/items/8ID6NTLV"],"itemData":{"id":1158,"type":"article-journal","abstract":"Since the 1980s, a considerable amount of research has dealt with the spatial impacts of services and devices related to Information and Communication Technology (ICT). In answering the question of “what are the ICT’s spatial impacts?”, a literature review reveals that a major part of the research is trapped in dualities such as the “centralization-decentralization” and “substitutionary-complementary” effects of ICT. Other studies have investigated the ICT’s spatial impacts regarding the discourses of the industrial age rather than the post-information age. Moving beyond the technology-centered and deterministic presumptions, this paper deals with a more fundamental question on defining the variables which play a role in the process through which ICT impacts urban spaces. We have conducted a qualitative content analysis in order to gain an understanding of these variables. Based on the review of 242 texts in the literature, 175 codes were extracted and organized into 18 subcategories, four generic categories, two main categories and one theme. The extracted theme points to a quadripartite dynamic co-evolution between the ICT, agents, societies and cities. This co-evolution—and considering the long history of technological changes in cities—mean that cohesive policies toward predetermined visions are needed for effective use of ICT in creating desired spatial impacts. In absence of such policies, the spatial impacts of ICT remain unpredictable.","container-title":"GeoJournal","DOI":"10.1007/s10708-020-10277-2","ISSN":"1572-9893","journalAbbreviation":"GeoJournal","language":"en","source":"Springer Link","title":"Understanding ICT’s impacts on urban spaces: a qualitative content analysis of literature","title-short":"Understanding ICT’s impacts on urban spaces","URL":"https://doi.org/10.1007/s10708-020-10277-2","author":[{"family":"Afradi","given":"Kazem"},{"family":"Nourian","given":"Farshad"}],"accessed":{"date-parts":[["2021",9,19]]},"issued":{"date-parts":[["2020",8,13]]}}},{"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rsidRPr="002A0BD6">
        <w:fldChar w:fldCharType="separate"/>
      </w:r>
      <w:r w:rsidR="00967900" w:rsidRPr="00967900">
        <w:t>(Afradi &amp; Nourian, 2020; van Wee, 2016)</w:t>
      </w:r>
      <w:r w:rsidRPr="002A0BD6">
        <w:fldChar w:fldCharType="end"/>
      </w:r>
      <w:r w:rsidRPr="002A0BD6">
        <w:t>.</w:t>
      </w:r>
      <w:r>
        <w:t xml:space="preserve"> The Internet and world wide web permits greater interaction with different communities and has substitution, complementarity, modification, and neutrality effects whereby travel and other activities are performed remotely or with hybrid modes </w:t>
      </w:r>
      <w:r>
        <w:fldChar w:fldCharType="begin"/>
      </w:r>
      <w:r>
        <w:instrText xml:space="preserve"> ADDIN ZOTERO_ITEM CSL_CITATION {"citationID":"cI8IYpJP","properties":{"unsorted":true,"formattedCitation":"(Mokhtarian, 2002; Kenyon, 2010; Yousefi &amp; Dadashpoor, 2020)","plainCitation":"(Mokhtarian, 2002; Kenyon, 2010; Yousefi &amp; Dadashpoor, 2020)","noteIndex":0},"citationItems":[{"id":65,"uris":["http://zotero.org/users/5090392/items/4HDYH3F9"],"itemData":{"id":65,"type":"article-journal","abstract":"This article examines the conceptual, theoretical, and empirical evidence with respect to the impact of telecommunications on travel. The primary focus is on passenger travel, but goods movement is addressed briefly. I argue that although direct, short-term studies focusing on a single application (such as telecommuting) have often found substitution effects, such studies are likely to miss the more subtle, indirect, and longer-term complementarity effects that are typically observed in more comprehensive analyses. Overall, substitution, complementarity, modification, and neutrality within and across communication modes are all happening simultaneously. The net outcome of these partially counteracting effects, if current trends continue, is likely to be faster growth in telecommunications than in travel, resulting in an increasing share of interactions falling to telecommunications, but with continued growth in travel in absolute terms. The empirical evidence to date is quite limited in its ability to assess the extent of true causality between telecommunications and travel, and more research is needed in that area. At this point, what we can say with confidence is that the empirical evidence for net complementarity is substantial, although not definitive, and the empirical evidence for net substitution appears to be virtually nonexistent.","container-title":"Journal of Industrial Ecology","DOI":"10.1162/108819802763471771","ISSN":"1530-9290","issue":"2","language":"en","page":"43-57","source":"Wiley Online Library","title":"Telecommunications and Travel: The Case for Complementarity","title-short":"Telecommunications and Travel","URL":"https://onlinelibrary.wiley.com/doi/abs/10.1162/108819802763471771","volume":"6","author":[{"family":"Mokhtarian","given":"Patricia L."}],"accessed":{"date-parts":[["2018",9,18]]},"issued":{"date-parts":[["2002",4,1]]}}},{"id":1148,"uris":["http://zotero.org/users/5090392/items/KDANYHA9"],"itemData":{"id":1148,"type":"article-journal","abstract":"At the outset of this research, two fields of transport research were in the ascendant. The first reflected technological change, considering the growth of new information and communications technologies and their impacts for transport systems and travel behaviour. The second reflected social change, considering the growth in inequality and disadvantage and the contribution of transport systems and travel behaviour to the same. This paper investigates a potential link between the two, exploring the hypothesis that virtual mobility, via the Internet, could provide a viable alternative to physical mobility in reducing mobility-related social exclusion. The paper presents data from a longitudinal, panel-based diary study. Results support the hypothesis that virtual mobility can provide a viable alternative to physical mobility in reducing aspects of mobility-related exclusion, by providing additional accessibility (virtual accessibility) without an increase in physical mobility. Furthermore, there is no evidence in this research to support a link between physical mobility and virtual mobility; and no evidence to suggest a negative effect of virtual mobility for sociability.","collection-title":"Information/Communication Technologies and Travel Behaviour","container-title":"Transportation Research Part C: Emerging Technologies","DOI":"10.1016/j.trc.2009.04.014","ISSN":"0968-090X","issue":"1","journalAbbreviation":"Transportation Research Part C: Emerging Technologies","language":"en","page":"21-35","source":"ScienceDirect","title":"The impacts of Internet use upon activity participation and travel: Results from a longitudinal diary-based panel study","title-short":"The impacts of Internet use upon activity participation and travel","URL":"https://www.sciencedirect.com/science/article/pii/S0968090X09000382","volume":"18","author":[{"family":"Kenyon","given":"Susan"}],"accessed":{"date-parts":[["2021",9,18]]},"issued":{"date-parts":[["2010",2,1]]}}},{"id":1157,"uris":["http://zotero.org/users/5090392/items/KXVFKTZ6"],"itemData":{"id":1157,"type":"article-journal","abstract":"This study attempts to shed light on the eﬀects of ICTs on urban spatial structure through a systematic literature review by exploring the relationship between ICTs and the factors that shape this structure. Four scientiﬁc databases covering a period from 2000 to 2018 were searched for related literature using a vast variety of keywords. As a result, 130 articles were selected for this literature review. After studying these articles, their main ﬁndings were extracted and their major results were categorized based on a conceptual model. This model addresses the relationship between ICTs and four aspects of urban spatial structure: (a) spatial and physical aspects, (b) human aspects, (c) mobility and ﬂows, and (d) activities (i.e., work, shopping, leisure). Generally, it can be concluded that ICTs have signiﬁcant eﬀects on the elements that shape urban spatial structure, and they can play a signiﬁcant role in transforming this structure in the future.","container-title":"Journal of Urban Technology","DOI":"10.1080/10630732.2019.1689593","ISSN":"1063-0732, 1466-1853","issue":"1","journalAbbreviation":"Journal of Urban Technology","language":"en","page":"47-65","source":"DOI.org (Crossref)","title":"How Do ICTs Affect Urban Spatial Structure? A Systematic Literature Review","title-short":"How Do ICTs Affect Urban Spatial Structure?","URL":"https://www.tandfonline.com/doi/full/10.1080/10630732.2019.1689593","volume":"27","author":[{"family":"Yousefi","given":"Zahed"},{"family":"Dadashpoor","given":"Hashem"}],"accessed":{"date-parts":[["2021",9,19]]},"issued":{"date-parts":[["2020",1,2]]}}}],"schema":"https://github.com/citation-style-language/schema/raw/master/csl-citation.json"} </w:instrText>
      </w:r>
      <w:r>
        <w:fldChar w:fldCharType="separate"/>
      </w:r>
      <w:r w:rsidR="00967900" w:rsidRPr="00967900">
        <w:t>(Mokhtarian, 2002; Kenyon, 2010; Yousefi &amp; Dadashpoor, 2020)</w:t>
      </w:r>
      <w:r>
        <w:fldChar w:fldCharType="end"/>
      </w:r>
      <w:r>
        <w:t xml:space="preserve"> and subsequently alters how </w:t>
      </w:r>
      <w:r>
        <w:lastRenderedPageBreak/>
        <w:t xml:space="preserve">people perceive their environments </w:t>
      </w:r>
      <w:r>
        <w:fldChar w:fldCharType="begin"/>
      </w:r>
      <w:r>
        <w:instrText xml:space="preserve"> ADDIN ZOTERO_ITEM CSL_CITATION {"citationID":"QuhOu17Z","properties":{"formattedCitation":"(Pot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The ease to which activity locations can be reached then can involve both transportation and telecommunication but requires that people have the appropriate resources (e.g., cars, computers) and skills (e.g., driving ability, technological aptitude)</w:t>
      </w:r>
      <w:r w:rsidR="007C6DB0">
        <w:t>.</w:t>
      </w:r>
      <w:r>
        <w:t xml:space="preserve"> ICT can increase the abilities of people to engage with others and access opportunities previously inaccessible, namely by reducing travel resistance and improving capabilities in virtual space.</w:t>
      </w:r>
    </w:p>
    <w:p w14:paraId="6936ADFA" w14:textId="59DE61AB" w:rsidR="00647E72" w:rsidRDefault="00647E72" w:rsidP="00156BEA">
      <w:pPr>
        <w:spacing w:line="480" w:lineRule="auto"/>
        <w:ind w:firstLine="720"/>
      </w:pPr>
      <w:r>
        <w:t xml:space="preserve">Access to ICT is essential for inclusion in an increasingly physical-virtual world </w:t>
      </w:r>
      <w:r>
        <w:fldChar w:fldCharType="begin"/>
      </w:r>
      <w:r>
        <w:instrText xml:space="preserve"> ADDIN ZOTERO_ITEM CSL_CITATION {"citationID":"SYIsZXA8","properties":{"formattedCitation":"(Nemer, 2015; Shaw et al., 2016; Shaw &amp; Sui, 2020; Yu &amp; Shaw, 2007)","plainCitation":"(Nemer, 2015; Shaw et al., 2016; Shaw &amp; Sui, 2020; Yu &amp; Shaw, 2007)","noteIndex":0},"citationItems":[{"id":1267,"uris":["http://zotero.org/users/5090392/items/XD9XCX79"],"itemData":{"id":1267,"type":"article-journal","abstract":"This literature review examines how scholars approached issues around the digital divide and moves on to analyzing initiatives to use digital technology to decrease the inequalities that exist between groups of different socioeconomic backgrounds. The intention is to highlight some useful references that are relevant in addressing how Information and Communication Technologies (ICTs) are used in different socioeconomic contexts. It presents references that follow several ideologies when approaching digital divide and digital inclusion. These ideologies go from providing physical access to a multifaceted approach of access that involves cognitive, economic, cultural and social factors, as well as differentiated uses of the internet.","container-title":"The Journal of Community Informatics","DOI":"10.15353/joci.v11i1.2857","ISSN":"1712-4441","issue":"1","language":"en","license":"Copyright (c)","note":"number: 1","source":"openjournals.uwaterloo.ca","title":"From Digital Divide to Digital Inclusion and Beyond","URL":"https://openjournals.uwaterloo.ca/index.php/JoCI/article/view/2857","volume":"11","author":[{"family":"Nemer","given":"David"}],"accessed":{"date-parts":[["2022",2,5]]},"issued":{"date-parts":[["2015",4,14]]}}},{"id":430,"uris":["http://zotero.org/users/5090392/items/K5HNTY9F"],"itemData":{"id":430,"type":"article-journal","container-title":"International Journal of Geographical Information Science","DOI":"10.1080/13658816.2016.1164317","ISSN":"1365-8816","issue":"9","note":"publisher: Taylor &amp; Francis\n_eprint: https://doi.org/10.1080/13658816.2016.1164317","page":"1687-1693","source":"Taylor and Francis+NEJM","title":"Editorial: human dynamics in the mobile and big data era","title-short":"Editorial","URL":"https://doi.org/10.1080/13658816.2016.1164317","volume":"30","author":[{"family":"Shaw","given":"Shih-Lung"},{"family":"Tsou","given":"Ming-Hsiang"},{"family":"Ye","given":"Xinyue"}],"accessed":{"date-parts":[["2020",3,11]]},"issued":{"date-parts":[["2016",9,1]]}}},{"id":335,"uris":["http://zotero.org/users/5090392/items/Q85RS2WV"],"itemData":{"id":335,"type":"article-journal","abstract":"The smart technologies led by advances in artificial intelligence, machine learning, and the emerging data science in recent years are transforming many facets of society in profound ways. One of these affected areas is the experience of human dynamics in general and human mobility in particular with the growing maturity of smart technologies. The goal of this article is to critically examine the concepts of space and place in geography in general and in geographic information science (GIScience) in particular so that intelligent geographic information systems incorporating concepts of smart space and smart place can be developed to support human dynamics research. We argue that the current discussions on smart technologies are conceptually constrained due to their confinement to absolute space and physical place. By engaging research on smart technologies with geography and GIScience, we seek to move beyond the crude, and often simplistic, conceptualizations of space and place by synthesizing the multiple dimensions of both space and place. By doing so, we can better understand human dynamics through a synergistic perspective of both space and place. The space–place (splatial) framework proposed in this article will enable us to creatively study the human dynamics in the age of smart technologies. Our approach will not only allow us to better understand human dynamics but also advance and enrich our theoretical and methodological frameworks for studying smart technologies and the profound social impacts from a geographic perspective. Challenges for the implementation of the proposed framework are discussed and directions for future research are highlighted. Key Words: GIScience, human dynamics, place, space, splatial framework.","container-title":"Annals of the American Association of Geographers","DOI":"10.1080/24694452.2019.1631145","ISSN":"2469-4452","issue":"0","page":"339-348","source":"Taylor and Francis+NEJM","title":"Understanding the New Human Dynamics in Smart Spaces and Places: Toward a Splatial Framework","title-short":"Understanding the New Human Dynamics in Smart Spaces and Places","URL":"https://doi.org/10.1080/24694452.2019.1631145","volume":"0","author":[{"family":"Shaw","given":"Shih-Lung"},{"family":"Sui","given":"Daniel"}],"accessed":{"date-parts":[["2019",10,19]]},"issued":{"date-parts":[["2020",3]]}}},{"id":1115,"uris":["http://zotero.org/users/5090392/items/KAKXPZQZ"],"itemData":{"id":1115,"type":"chapter","container-title":"Societies and Cities in the Age of Instant Access","event-place":"Dordrecht","ISBN":"978-1-4020-5426-6","language":"en","note":"collection-title: The GeoJournal Library\nDOI: 10.1007/1-4020-5427-0_7","page":"103-118","publisher":"Springer Netherlands","publisher-place":"Dordrecht","source":"DOI.org (Crossref)","title":"Revisiting Hägerstrand’s time-geographic framework for individual activities in the age of instant access","URL":"http://link.springer.com/10.1007/1-4020-5427-0_7","volume":"88","collection-editor":[{"family":"Barlow","given":"Max"},{"family":"Tietze","given":"Wolf"},{"family":"Claval","given":"Paul"},{"family":"Gradus","given":"Yehuda"},{"family":"Park","given":"Sam Ock"},{"family":"Wusten","given":"Herman","non-dropping-particle":"van der"}],"editor":[{"family":"Miller","given":"Harvey J."}],"author":[{"family":"Yu","given":"Hongbo"},{"family":"Shaw","given":"Shih-Lung"}],"accessed":{"date-parts":[["2021",8,31]]},"issued":{"date-parts":[["2007"]]}}}],"schema":"https://github.com/citation-style-language/schema/raw/master/csl-citation.json"} </w:instrText>
      </w:r>
      <w:r>
        <w:fldChar w:fldCharType="separate"/>
      </w:r>
      <w:r w:rsidR="00967900" w:rsidRPr="00967900">
        <w:t>(Nemer, 2015; Shaw et al., 2016; Shaw &amp; Sui, 2020; Yu &amp; Shaw, 2007)</w:t>
      </w:r>
      <w:r>
        <w:fldChar w:fldCharType="end"/>
      </w:r>
      <w:r>
        <w:t xml:space="preserve">. Widespread movement online of essential activities in daily life during COVID-19 revealed the struggles by many municipalities to support disadvantaged constituents </w:t>
      </w:r>
      <w:r>
        <w:fldChar w:fldCharType="begin"/>
      </w:r>
      <w:r>
        <w:instrText xml:space="preserve"> ADDIN ZOTERO_ITEM CSL_CITATION {"citationID":"bDbVf7Qv","properties":{"formattedCitation":"(C. Chen et al., 2022; Mcclain et al., 2021)","plainCitation":"(C. Chen et al., 2022; Mcclain et al., 2021)","noteIndex":0},"citationItems":[{"id":1305,"uris":["http://zotero.org/users/5090392/items/SGQDT2AG"],"itemData":{"id":1305,"type":"article-journal","abstract":"Low-income households face long-standing challenges of energy insecurity and inequality (EII). During extreme events (e.g., disasters and pandemics) these challenges are especially severe for vulnerable populations reliant on energy for health, education, and well-being. However, many EII studies rarely incorporate the micro- and macro-perspectives of resilience and reliability of energy and internet infrastructure and social-psychological factors. To remedy this gap, we first address the impacts of extreme events on EII among vulnerable populations. Second, we evaluate the driving factors of EII and how they change during disasters. Third, we situate these inequalities within broader energy systems and pinpoint the importance of equitable infrastructure systems by examining infrastructure reliability and resilience and the role of renewable technologies. Then, we consider the factors influencing energy consumption, such as energy practices, socio-psychological factors, and internet access. Finally, we propose interdisciplinary research methods to study these issues during extreme events and provide recommendations.","container-title":"Energy Research &amp; Social Science","DOI":"10.1016/j.erss.2021.102401","ISSN":"2214-6296","journalAbbreviation":"Energy Research &amp; Social Science","language":"en","page":"102401","source":"ScienceDirect","title":"Extreme events, energy security and equality through micro- and macro-levels: Concepts, challenges and methods","title-short":"Extreme events, energy security and equality through micro- and macro-levels","URL":"https://www.sciencedirect.com/science/article/pii/S2214629621004886","volume":"85","author":[{"family":"Chen","given":"Chien-fei"},{"family":"Dietz","given":"Thomas"},{"family":"Fefferman","given":"Nina H."},{"family":"Greig","given":"Jamie"},{"family":"Cetin","given":"Kristen"},{"family":"Robinson","given":"Caitlin"},{"family":"Arpan","given":"Laura"},{"family":"Schweiker","given":"Marcel"},{"family":"Dong","given":"Bing"},{"family":"Wu","given":"Wenbo"},{"family":"Li","given":"Yue"},{"family":"Zhou","given":"Hongyu"},{"family":"Wu","given":"Jianzhong"},{"family":"Wen","given":"Jin"},{"family":"Fu","given":"Joshua S."},{"family":"Hong","given":"Tianzhen"},{"family":"Yan","given":"Da"},{"family":"Nelson","given":"Hannah"},{"family":"Zhu","given":"Yimin"},{"family":"Li","given":"Xueping"},{"family":"Xie","given":"Le"},{"family":"Fu","given":"Rachel"}],"accessed":{"date-parts":[["2022",2,9]]},"issued":{"date-parts":[["2022",3,1]]}}},{"id":1283,"uris":["http://zotero.org/users/5090392/items/PGCPBWPW"],"itemData":{"id":1283,"type":"post-weblog","abstract":"Nine-in-ten Americans say the internet has been essential or important to them, many made video calls and 40% used technology in new ways. But while tech was a lifeline for some, others faced struggles.","container-title":"Pew Research Center: Internet, Science &amp; Tech","language":"en-US","title":"The Internet and the Pandemic","URL":"https://www.pewresearch.org/internet/2021/09/01/the-internet-and-the-pandemic/","author":[{"family":"Mcclain","given":"Colleen"},{"family":"Vogels","given":"Emily","dropping-particle":"a"},{"family":"Perrin","given":"Andrew"},{"family":"Sechopoulos","given":"Stella"},{"family":"Rainie","given":"Lee"}],"accessed":{"date-parts":[["2022",2,6]]},"issued":{"date-parts":[["2021",9,1]]}}}],"schema":"https://github.com/citation-style-language/schema/raw/master/csl-citation.json"} </w:instrText>
      </w:r>
      <w:r>
        <w:fldChar w:fldCharType="separate"/>
      </w:r>
      <w:r w:rsidR="00967900" w:rsidRPr="00967900">
        <w:t>(Chen et al., 2022; Mcclain et al., 2021)</w:t>
      </w:r>
      <w:r>
        <w:fldChar w:fldCharType="end"/>
      </w:r>
      <w:r>
        <w:t xml:space="preserve"> and heightens the necessity to understand the digital divide </w:t>
      </w:r>
      <w:r>
        <w:fldChar w:fldCharType="begin"/>
      </w:r>
      <w:r>
        <w:instrText xml:space="preserve"> ADDIN ZOTERO_ITEM CSL_CITATION {"citationID":"cDS28CwZ","properties":{"formattedCitation":"(Lai &amp; Widmar, 2020)","plainCitation":"(Lai &amp; Widmar, 2020)","noteIndex":0},"citationItems":[{"id":1270,"uris":["http://zotero.org/users/5090392/items/46WEJLFQ"],"</w:instrText>
      </w:r>
      <w:r>
        <w:rPr>
          <w:rFonts w:hint="eastAsia"/>
        </w:rPr>
        <w:instrText>itemData":{"id":1270,"type":"article-journal","abstract":"The digital divide limits opportunities for those without ready access to Internet. Movement online of essential activities during COVID</w:instrText>
      </w:r>
      <w:r>
        <w:rPr>
          <w:rFonts w:hint="eastAsia"/>
        </w:rPr>
        <w:instrText>‐</w:instrText>
      </w:r>
      <w:r>
        <w:rPr>
          <w:rFonts w:hint="eastAsia"/>
        </w:rPr>
        <w:instrText>19 took inadequate Internet service from inconvenient to eme</w:instrText>
      </w:r>
      <w:r>
        <w:instrText>rgency/crisis for many households. A negative correlation between rurality and Internet speed was found at the county level, highlighting the struggle for rural areas. Schools tackle challenges of providing equitable educational access by attempting to provide access for students, while even households with service available struggle to maintain sufficient speeds and/or can afford it. Essential activities moved online, yet sufficient Internet is an essential public service that remains unattainable for many US households.","container-title":"Applied Economic Perspectives and Policy","DOI":"10.1002/aepp.13104","ISSN":"2040-5790","journalAbbreviation":"Appl Econ Perspect Policy","note":"PMID: 33230409\nPMCID: PMC7675734","page":"10.1002/aepp.13104","source"</w:instrText>
      </w:r>
      <w:r>
        <w:rPr>
          <w:rFonts w:hint="eastAsia"/>
        </w:rPr>
        <w:instrText>:"PubMed Central","title":"Revisiting the Digital Divide in the COVID</w:instrText>
      </w:r>
      <w:r>
        <w:rPr>
          <w:rFonts w:hint="eastAsia"/>
        </w:rPr>
        <w:instrText>‐</w:instrText>
      </w:r>
      <w:r>
        <w:rPr>
          <w:rFonts w:hint="eastAsia"/>
        </w:rPr>
        <w:instrText>19 Era","URL":"https://www.ncbi.nlm.nih.gov/pmc/articles/PMC7675734/","author":[{"family":"Lai","given":"John"},{"family":"Widmar","given":"Nicole O."}],"accessed":{"date-parts":[["2022</w:instrText>
      </w:r>
      <w:r>
        <w:instrText xml:space="preserve">",2,5]]},"issued":{"date-parts":[["2020",10,12]]}}}],"schema":"https://github.com/citation-style-language/schema/raw/master/csl-citation.json"} </w:instrText>
      </w:r>
      <w:r>
        <w:fldChar w:fldCharType="separate"/>
      </w:r>
      <w:r w:rsidR="00967900" w:rsidRPr="00967900">
        <w:t>(Lai &amp; Widmar, 2020)</w:t>
      </w:r>
      <w:r>
        <w:fldChar w:fldCharType="end"/>
      </w:r>
      <w:r>
        <w:t xml:space="preserve">. The digital divide was first coined in 1995 by the U.S. Commerce Department’s National Telecommunications and Information Association (NTIA) in their report “Falling Through the Net: A Survey of the ‘Have Nots’ in Rural and Urban America” to describe regional differences in ICT access as consumer telecommunications needs shifted from landline to broadband </w:t>
      </w:r>
      <w:r>
        <w:fldChar w:fldCharType="begin"/>
      </w:r>
      <w:r>
        <w:instrText xml:space="preserve"> ADDIN ZOTERO_ITEM CSL_CITATION {"citationID":"p7iotncE","properties":{"formattedCitation":"(Fritz &amp; Littmann, 2021)","plainCitation":"(Fritz &amp; Littmann, 2021)","noteIndex":0},"citationItems":[{"id":1273,"uris":["http://zotero.org/users/5090392/items/4J4GBPRE"],"itemData":{"id":1273,"type":"report","abstract":"Deloitte uses econometric models to understand the benefits of broadband for all and the economic impact of bridging the digital divide in the United States.","language":"en","publisher":"Deloitte","title":"Broadband for all: charting a path to economic growth","URL":"https://www2.deloitte.com/us/en/pages/consulting/articles/bridging-the-digital-divide-with-broadband-for-all.html","author":[{"family":"Fritz","given":"Jack"},{"family":"Littmann","given":"Dan"}],"accessed":{"date-parts":[["2022",2,5]]},"issued":{"date-parts":[["2021",4]]}}}],"schema":"https://github.com/citation-style-language/schema/raw/master/csl-citation.json"} </w:instrText>
      </w:r>
      <w:r>
        <w:fldChar w:fldCharType="separate"/>
      </w:r>
      <w:r w:rsidR="00967900" w:rsidRPr="00967900">
        <w:t>(Fritz &amp; Littmann, 2021)</w:t>
      </w:r>
      <w:r>
        <w:fldChar w:fldCharType="end"/>
      </w:r>
      <w:r>
        <w:t xml:space="preserve">. This marked the first instance of the U.S. federal government focused on ameliorating </w:t>
      </w:r>
      <w:proofErr w:type="spellStart"/>
      <w:r>
        <w:t>sociospatial</w:t>
      </w:r>
      <w:proofErr w:type="spellEnd"/>
      <w:r>
        <w:t xml:space="preserve"> inequalities of physical access to computers and the Internet, or first-level digital divide, especially between and within rural and urban communities </w:t>
      </w:r>
      <w:r>
        <w:fldChar w:fldCharType="begin"/>
      </w:r>
      <w:r>
        <w:instrText xml:space="preserve"> ADDIN ZOTERO_ITEM CSL_CITATION {"citationID":"2bdreon2","properties":{"formattedCitation":"(National Telecommunications and Information Administration, 1995)","plainCitation":"(National Telecommunications and Information Administration, 1995)","noteIndex":0},"citationItems":[{"id":1285,"uris":["http://zotero.org/users/5090392/items/3YU4Z5GJ"],"itemData":{"id":1285,"type":"report","event-place":"Washington, D.C.","publisher":"National Telecommunications and Information Administration","publisher-place":"Washington, D.C.","title":"FALLING THROUGH THE NET: A Survey of the \"Have Nots\" in Rural and Urban America","URL":"https://www.ntia.doc.gov/ntiahome/fallingthru.html","author":[{"literal":"National Telecommunications and Information Administration"}],"accessed":{"date-parts":[["2022",2,6]]},"issued":{"date-parts":[["1995",7]]}}}],"schema":"https://github.com/citation-style-language/schema/raw/master/csl-citation.json"} </w:instrText>
      </w:r>
      <w:r>
        <w:fldChar w:fldCharType="separate"/>
      </w:r>
      <w:r w:rsidR="00967900" w:rsidRPr="00967900">
        <w:t>(National Telecommunications and Information Administration, 1995)</w:t>
      </w:r>
      <w:r>
        <w:fldChar w:fldCharType="end"/>
      </w:r>
      <w:r>
        <w:t>.</w:t>
      </w:r>
    </w:p>
    <w:p w14:paraId="3257B139" w14:textId="14123C4D" w:rsidR="00647E72" w:rsidRDefault="00647E72" w:rsidP="00156BEA">
      <w:pPr>
        <w:spacing w:line="480" w:lineRule="auto"/>
        <w:ind w:firstLine="720"/>
      </w:pPr>
      <w:r>
        <w:t xml:space="preserve">Fifteen years later, the Federal Communications Commission (FCC) released the National Broadband Plan to ensure everyone in the United States has access to broadband capability </w:t>
      </w:r>
      <w:proofErr w:type="gramStart"/>
      <w:r>
        <w:t>in the near future</w:t>
      </w:r>
      <w:proofErr w:type="gramEnd"/>
      <w:r>
        <w:t>. The threshold for broadband in terms of uplink and downlink speeds has changed over time, from 4 megabits per second (</w:t>
      </w:r>
      <w:proofErr w:type="spellStart"/>
      <w:r>
        <w:t>mbps</w:t>
      </w:r>
      <w:proofErr w:type="spellEnd"/>
      <w:r>
        <w:t xml:space="preserve">)/1 </w:t>
      </w:r>
      <w:proofErr w:type="spellStart"/>
      <w:r>
        <w:t>mbps</w:t>
      </w:r>
      <w:proofErr w:type="spellEnd"/>
      <w:r>
        <w:t xml:space="preserve"> between 2011-2014 to a new </w:t>
      </w:r>
      <w:r>
        <w:lastRenderedPageBreak/>
        <w:t xml:space="preserve">standard of 25 </w:t>
      </w:r>
      <w:proofErr w:type="spellStart"/>
      <w:r>
        <w:t>mbps</w:t>
      </w:r>
      <w:proofErr w:type="spellEnd"/>
      <w:r>
        <w:t xml:space="preserve">/3 </w:t>
      </w:r>
      <w:proofErr w:type="spellStart"/>
      <w:r>
        <w:t>mbps</w:t>
      </w:r>
      <w:proofErr w:type="spellEnd"/>
      <w:r>
        <w:t xml:space="preserve"> since 2015 </w:t>
      </w:r>
      <w:r>
        <w:fldChar w:fldCharType="begin"/>
      </w:r>
      <w:r>
        <w:instrText xml:space="preserve"> ADDIN ZOTERO_ITEM CSL_CITATION {"citationID":"cSNN6Imb","properties":{"formattedCitation":"(Federal Communications Commission, 2012, 2015)","plainCitation":"(Federal Communications Commission, 2012, 2015)","noteIndex":0},"citationItems":[{"id":1289,"uris":["http://zotero.org/users/5090392/items/A8J7PQ9M"],"itemData":{"id":1289,"type":"report","abstract":"The nation has made significant progress expanding high-speed Internet access in recent years, but further implementation of major reforms newly adopted by the Federal Communications Commission is required before broadband will be available to the approximately 19 million Americans who still lack access, according to the FCC’s Eighth Broadband Progress Report. In an era when broadband is essential to innovation, jobs, and global competitiveness, the Report concludes that the FCC – and the nation – must continue to address obstacles impeding universal broadband deployment and availability Congress in Section 706 the Telecommunications Act of 1996 requires the FCC to report annually on whether broadband “is being deployed to all Americans in a reasonable and timely fashion.” The Report chronicles major strides taken by providers and policymakers to accelerate deployment, including: Billions invested by the communications industry in broadband deployment, including next-generation wired and wireless services Expansion of networks technically capable of 100 megabit-plus speeds to over 80 percent of the population through cable’s DOCSIS 3.0 rollout World-leading LTE deployment by mobile operators Sweeping reforms by the FCC to its universal service programs, including the new Connect America Fund for broadband deployment, Mobility Fund, and the Lifeline program for low-income Americans Action under the FCC’s Broadband Acceleration Initiative to reduce the cost and time required for deployment Numerous steps to expand availability of wireless spectrum for broadband Notwithstanding this progress, the Report finds that approximately 19 million Americans—6 percent of the population—still lack access to fixed broadband service at threshold speeds. In rural areas, nearly one-fourth of the population —14.5 million people—lack access to this service. In tribal","event-place":"Washington, D.C.","language":"en","publisher-place":"Washington, D.C.","title":"Eighth Broadband Progress Report","URL":"https://www.fcc.gov/reports-research/reports/broadband-progress-reports/eighth-broadband-progress-report","author":[{"literal":"Federal Communications Commission"}],"accessed":{"date-parts":[["2022",2,6]]},"issued":{"date-parts":[["2012",8,21]]}}},{"id":1291,"uris":["http://zotero.org/users/5090392/items/G2KGA9TG"],"itemData":{"id":1291,"type":"report","abstract":"Broadband deployment in the United States – especially in rural areas – is failing to keep pace with today’s advanced, high-quality voice, data, graphics and video offerings, according to the 2015 Broadband Progress Report adopted today by the Federal Communications Commission. Reflecting advances in technology, market offerings by broadband providers and consumer demand, the FCC updated its broadband benchmark speeds to 25 megabits per second (Mbps) for downloads and 3 Mbps for uploads. The 4 Mbps/1 Mbps standard set in 2010 is dated and inadequate for evaluating whether advanced broadband is being deployed to all Americans in a timely way, the FCC found. Using this updated service benchmark, the 2015 report finds that 55 million Americans – 17 percent of the population – lack access to advanced broadband. Moreover, a significant digital divide remains between urban and rural America: Over half of all rural Americans lack access to 25 Mbps/3 Mbps service. The divide is still greater on Tribal lands and in U.S. territories, where nearly 2/3 of residents lack access to today’s speeds. And 35 percent of schools across the nation still lack access to fiber networks capable of delivering the advanced broadband required to support today’s digital-learning tools. While significant progress in broadband deployment has been made, due in part to the Commission’s action to support broadband through its Universal Service programs, these advances are not occurring broadly enough or quickly enough, the report finds. The report concludes that more work needs to be done by the private and public sectors to expand robust broadband to all Americans in a timely way, and the accompanying Notice of Inquiry seeks comment on what additional steps the FCC can take to accelerate broadband deployment. Key findings include the following:","event-place":"Washington, D.C.","language":"en","publisher-place":"Washington, D.C.","title":"2015 Broadband Progress Report","URL":"https://www.fcc.gov/reports-research/reports/broadband-progress-reports/2015-broadband-progress-report","author":[{"literal":"Federal Communications Commission"}],"accessed":{"date-parts":[["2022",2,6]]},"issued":{"date-parts":[["2015",2,4]]}}}],"schema":"https://github.com/citation-style-language/schema/raw/master/csl-citation.json"} </w:instrText>
      </w:r>
      <w:r>
        <w:fldChar w:fldCharType="separate"/>
      </w:r>
      <w:r w:rsidR="00967900" w:rsidRPr="00967900">
        <w:t>(Federal Communications Commission, 2012, 2015)</w:t>
      </w:r>
      <w:r>
        <w:fldChar w:fldCharType="end"/>
      </w:r>
      <w:r>
        <w:t xml:space="preserve">. With this definition and based on analysis of its Form 477 data on </w:t>
      </w:r>
      <w:r w:rsidR="001E3829">
        <w:t>internet service providers</w:t>
      </w:r>
      <w:r>
        <w:t xml:space="preserve"> reported broadband coverage in census blocks, the FCC reported 14.5 million in the U.S. without broadband access in 2020. But acting FCC chair, Jessica </w:t>
      </w:r>
      <w:proofErr w:type="spellStart"/>
      <w:r>
        <w:t>Rosenworcel</w:t>
      </w:r>
      <w:proofErr w:type="spellEnd"/>
      <w:r>
        <w:t xml:space="preserve">, acknowledged the figure was an underestimate </w:t>
      </w:r>
      <w:r>
        <w:fldChar w:fldCharType="begin"/>
      </w:r>
      <w:r>
        <w:instrText xml:space="preserve"> ADDIN ZOTERO_ITEM CSL_CITATION {"citationID":"aPB1UEUl","properties":{"formattedCitation":"(Federal Communications Commission, 2020)","plainCitation":"(Federal Communications Commission, 2020)","noteIndex":0},"citationItems":[{"id":1287,"uris":["http://zotero.org/users/5090392/items/XTMKDEKG"],"itemData":{"id":1287,"type":"report","event-place":"Washington, D.C.","language":"en","number":"20-50","publisher-place":"Washington, D.C.","title":"2020 Broadband Deployment Report","URL":"https://www.fcc.gov/reports-research/reports/broadband-progress-reports/2020-broadband-deployment-report","author":[{"literal":"Federal Communications Commission"}],"accessed":{"date-parts":[["2022",2,6]]},"issued":{"date-parts":[["2020",4,24]]}}}],"schema":"https://github.com/citation-style-language/schema/raw/master/csl-citation.json"} </w:instrText>
      </w:r>
      <w:r>
        <w:fldChar w:fldCharType="separate"/>
      </w:r>
      <w:r w:rsidR="00967900" w:rsidRPr="00967900">
        <w:t>(Federal Communications Commission, 2020)</w:t>
      </w:r>
      <w:r>
        <w:fldChar w:fldCharType="end"/>
      </w:r>
      <w:r>
        <w:t xml:space="preserve">. Manual verification of broadband availability at more than 11,000 addresses suggests instead that more than 42 million do not have access </w:t>
      </w:r>
      <w:r>
        <w:fldChar w:fldCharType="begin"/>
      </w:r>
      <w:r>
        <w:instrText xml:space="preserve"> ADDIN ZOTERO_ITEM CSL_CITATION {"citationID":"WMbuVJlc","properties":{"formattedCitation":"(Busby et al., 2021)","plainCitation":"(Busby et al., 2021)","noteIndex":0},"citationItems":[{"id":1295,"uris":["http://zotero.org/users/5090392/items/5F2UZVAH"],"itemData":{"id":1295,"type":"post-weblog","container-title":"BroadbandNow","language":"en-US","note":"section: Technology","title":"BroadbandNow Estimates Availability for all 50 States; Confirms that More than 42 Million Americans Do Not Have Access to Broadband","URL":"https://broadbandnow.com/research/fcc-broadband-overreporting-by-state","author":[{"family":"Busby","given":"John"},{"family":"Tanberk","given":"Julia"},{"family":"Cooper","given":"Tyler"}],"accessed":{"date-parts":[["2022",2,6]]},"issued":{"date-parts":[["2021",10,21]]}}}],"schema":"https://github.com/citation-style-language/schema/raw/master/csl-citation.json"} </w:instrText>
      </w:r>
      <w:r>
        <w:fldChar w:fldCharType="separate"/>
      </w:r>
      <w:r w:rsidR="00967900" w:rsidRPr="00967900">
        <w:t>(Busby et al., 2021)</w:t>
      </w:r>
      <w:r>
        <w:fldChar w:fldCharType="end"/>
      </w:r>
      <w:r>
        <w:t xml:space="preserve">. Meanwhile, recent reports across academia and business find these speeds to be insufficient in an increasingly physical-virtual world. Multiple people within a household are often required to be simultaneously connected online and only speeds of &gt;= 100 </w:t>
      </w:r>
      <w:proofErr w:type="spellStart"/>
      <w:r>
        <w:t>mbps</w:t>
      </w:r>
      <w:proofErr w:type="spellEnd"/>
      <w:r>
        <w:t xml:space="preserve">/20 </w:t>
      </w:r>
      <w:proofErr w:type="spellStart"/>
      <w:r>
        <w:t>mbps</w:t>
      </w:r>
      <w:proofErr w:type="spellEnd"/>
      <w:r>
        <w:t xml:space="preserve"> are adequate to meet growing demands moving forward </w:t>
      </w:r>
      <w:r>
        <w:fldChar w:fldCharType="begin"/>
      </w:r>
      <w:r>
        <w:instrText xml:space="preserve"> ADDIN ZOTERO_ITEM CSL_CITATION {"citationID":"4qqZhwcX","properties":{"formattedCitation":"(Farivar, 2021; Fritz &amp; Littmann, 2021)","plainCitation":"(Farivar, 2021; Fritz &amp; Littmann, 2021)","noteIndex":0},"citationItems":[{"id":1297,"uris":["http://zotero.org/users/5090392/items/F4FEK9W4"],"itemData":{"id":1297,"type":"webpage","abstract":"Commerce secretary says new data illustrates \"sobering view\" of internet access in America.","container-title":"NBC News","language":"en","title":"New federal broadband maps show stark differences in access, affordability","URL":"https://www.nbcnews.com/tech/tech-news/new-federal-broadband-maps-show-stark-differences-access-affordability-rcna1220","author":[{"family":"Farivar","given":"Cyrus"}],"accessed":{"date-parts":[["2022",2,6]]},"issued":{"date-parts":[["2021",6,17]]}}},{"id":1273,"uris":["http://zotero.org/users/5090392/items/4J4GBPRE"],"itemData":{"id":1273,"type":"report","abstract":"Deloitte uses econometric models to understand the benefits of broadband for all and the economic impact of bridging the digital divide in the United States.","language":"en","publisher":"Deloitte","title":"Broadband for all: charting a path to economic growth","URL":"https://www2.deloitte.com/us/en/pages/consulting/articles/bridging-the-digital-divide-with-broadband-for-all.html","author":[{"family":"Fritz","given":"Jack"},{"family":"Littmann","given":"Dan"}],"accessed":{"date-parts":[["2022",2,5]]},"issued":{"date-parts":[["2021",4]]}}}],"schema":"https://github.com/citation-style-language/schema/raw/master/csl-citation.json"} </w:instrText>
      </w:r>
      <w:r>
        <w:fldChar w:fldCharType="separate"/>
      </w:r>
      <w:r w:rsidR="00967900" w:rsidRPr="00967900">
        <w:t>(Farivar, 2021; Fritz &amp; Littmann, 2021)</w:t>
      </w:r>
      <w:r>
        <w:fldChar w:fldCharType="end"/>
      </w:r>
      <w:r>
        <w:t xml:space="preserve">. This suggests the gap between the ‘haves’ and ‘have nots’ is even starker than currently understood. The digital divide in the United States is deeply entrenched in its geography and compounds other inequities and historical injustices </w:t>
      </w:r>
      <w:r>
        <w:fldChar w:fldCharType="begin"/>
      </w:r>
      <w:r>
        <w:instrText xml:space="preserve"> ADDIN ZOTERO_ITEM CSL_CITATION {"citationID":"RGe7Ry7N","properties":{"formattedCitation":"(Chakravorti, 2021)","plainCitation":"(Chakravorti, 2021)","noteIndex":0},"citationItems":[{"id":1299,"uris":["http://zotero.org/users/5090392/items/GNN8262Q"],"itemData":{"id":1299,"type":"article-magazine","abstract":"The infrastructure package being debated in Congress doesn’t go far enough. Here’s what lawmakers need to do.","container-title":"Harvard Business Review","ISSN":"0017-8012","note":"section: Technology and analytics","source":"hbr.org","title":"How to Close the Digital Divide in the U.S.","URL":"https://hbr.org/2021/07/how-to-close-the-digital-divide-in-the-u-s","author":[{"family":"Chakravorti","given":"Bhaskar"}],"accessed":{"date-parts":[["2022",2,6]]},"issued":{"date-parts":[["2021",7,20]]}}}],"schema":"https://github.com/citation-style-language/schema/raw/master/csl-citation.json"} </w:instrText>
      </w:r>
      <w:r>
        <w:fldChar w:fldCharType="separate"/>
      </w:r>
      <w:r w:rsidR="00967900" w:rsidRPr="00967900">
        <w:t>(Chakravorti, 2021)</w:t>
      </w:r>
      <w:r>
        <w:fldChar w:fldCharType="end"/>
      </w:r>
      <w:r>
        <w:t>.</w:t>
      </w:r>
    </w:p>
    <w:p w14:paraId="6DE537DA" w14:textId="427699C4" w:rsidR="00564BEF" w:rsidRDefault="00564BEF" w:rsidP="00156BEA">
      <w:pPr>
        <w:spacing w:line="480" w:lineRule="auto"/>
        <w:ind w:firstLine="720"/>
      </w:pPr>
      <w:r>
        <w:t>While ICT enables more activity</w:t>
      </w:r>
      <w:r w:rsidR="000F3936">
        <w:t xml:space="preserve"> for some</w:t>
      </w:r>
      <w:r>
        <w:t xml:space="preserve">, their relative infancy and dynamic nature means their effects on access is still uncertain </w:t>
      </w:r>
      <w:r>
        <w:fldChar w:fldCharType="begin"/>
      </w:r>
      <w:r>
        <w:instrText xml:space="preserve"> ADDIN ZOTERO_ITEM CSL_CITATION {"citationID":"VuodTYsX","properties":{"formattedCitation":"(Shen, 2000)","plainCitation":"(Shen, 2000)","noteIndex":0},"citationItems":[{"id":1146,"uris":["http://zotero.org/users/5090392/items/YQR4EYLS"],"itemData":{"id":1146,"type":"chapter","abstract":"New telecommunications — digital information and communication technologies that support interaction and transaction over long distances — are emerging as a primary force in shaping cities. And more fundamentally, they are becoming one of the most important variables in defining spatial relationships among people and organizations located in metropolitan areas. Manifested by the rapid growth of the Internet, ATMs, and mobile phones, telecommunications are permeating the physical structure, the economic production, and the social life of cities. Visibly and invisibly, these technologies are creating new spatial paths and barriers that will profoundly affect people’s access to economic opportunities and social services. Therefore, one of the most important tasks for urban researchers in the information age is to help policy makers and the general public to understand, monitor, predict, and respond to spatial consequences resulting from a massive-scale deployment of new telecommunications.","collection-title":"Advances in Spatial Science","container-title":"Information, Place, and Cyberspace: Issues in Accessibility","event-place":"Berlin, Heidelberg","ISBN":"978-3-662-04027-0","language":"en","note":"DOI: 10.1007/978-3-662-04027-0_4","page":"47-72","publisher":"Springer","publisher-place":"Berlin, Heidelberg","source":"Springer Link","title":"Transportation, Telecommunications, and the Changing Geography of Opportunity","URL":"https://doi.org/10.1007/978-3-662-04027-0_4","author":[{"family":"Shen","given":"Qing"}],"editor":[{"family":"Janelle","given":"Donald G."},{"family":"Hodge","given":"David C."}],"accessed":{"date-parts":[["2021",9,18]]},"issued":{"date-parts":[["2000"]]}}}],"schema":"https://github.com/citation-style-language/schema/raw/master/csl-citation.json"} </w:instrText>
      </w:r>
      <w:r>
        <w:fldChar w:fldCharType="separate"/>
      </w:r>
      <w:r w:rsidR="00967900" w:rsidRPr="00967900">
        <w:t>(Shen, 2000)</w:t>
      </w:r>
      <w:r>
        <w:fldChar w:fldCharType="end"/>
      </w:r>
      <w:r>
        <w:t xml:space="preserve">. As </w:t>
      </w:r>
      <w:proofErr w:type="spellStart"/>
      <w:r>
        <w:t>Couclelis</w:t>
      </w:r>
      <w:proofErr w:type="spellEnd"/>
      <w:r>
        <w:t xml:space="preserve"> &amp; </w:t>
      </w:r>
      <w:proofErr w:type="spellStart"/>
      <w:r>
        <w:t>Getis</w:t>
      </w:r>
      <w:proofErr w:type="spellEnd"/>
      <w:r>
        <w:t xml:space="preserve"> </w:t>
      </w:r>
      <w:r>
        <w:fldChar w:fldCharType="begin"/>
      </w:r>
      <w:r>
        <w:instrText xml:space="preserve"> ADDIN ZOTERO_ITEM CSL_CITATION {"citationID":"oXn58I8T","properties":{"formattedCitation":"(2000, p. 19)","plainCitation":"(2000, p. 19)","noteIndex":0},"citationItems":[{"id":720,"uris":["http://zotero.org/users/5090392/items/H9ZEUM6E"],"itemData":{"id":720,"type":"chapter","abstract":"The study of accessibility in geography and related disciplines has a distinguished history dating back to Ravenstein’s work over a century ago. In the late 1940s to the 1960s, scholars such as Zipf, Stewart, Warntz, and Wilson theorized about the way individuals and aggregates of individuals respond to the constraints of cost, time, and effort to access work, shopping, recreation, and other spatially distrib­uted opportunities. Since that time accessibility has been closely related to but also distinguished from such key geographic concepts as mobility, nearness, and the friction of distance. The models developed for its study belong for the most part in a large class of constructs known as spatial interaction models because they repre­sent the patterns and intensity of interactions among locations in geographic space. Different forms of spatial interaction models have been successfully used to study accessibility at the aggregate level, while the study of individual movements in space-time has provided insights into the significance of accessibility in people’s daily lives. One of the most robust findings of modern quantitative geography has been that interactions decline sharply with increasing distance, which is another way of saying that there is less and less contact between or among people or places as these become less and less accessible from one another.","collection-title":"Advances in Spatial Science","container-title":"Information, Place, and Cyberspace: Issues in Accessibility","event-place":"Berlin, Heidelberg","ISBN":"978-3-662-04027-0","language":"en","note":"DOI: 10.1007/978-3-662-04027-0_2","page":"15-20","publisher":"Springer","publisher-place":"Berlin, Heidelberg","source":"Springer Link","title":"Conceptualizing and Measuring Accessibility within Physical and Virtual Spaces","URL":"https://doi.org/10.1007/978-3-662-04027-0_2","author":[{"family":"Couclelis","given":"Helen"},{"family":"Getis","given":"Arthur"}],"editor":[{"family":"Janelle","given":"Donald G."},{"family":"Hodge","given":"David C."}],"accessed":{"date-parts":[["2020",12,22]]},"issued":{"date-parts":[["2000"]]}},"locator":"19","suppress-author":true}],"schema":"https://github.com/citation-style-language/schema/raw/master/csl-citation.json"} </w:instrText>
      </w:r>
      <w:r>
        <w:fldChar w:fldCharType="separate"/>
      </w:r>
      <w:r w:rsidR="00967900" w:rsidRPr="00967900">
        <w:t>(2000, p. 19)</w:t>
      </w:r>
      <w:r>
        <w:fldChar w:fldCharType="end"/>
      </w:r>
      <w:r>
        <w:t xml:space="preserve"> pose: “How are traditional spatial relations… responding to new conditions of access to goods, services, and information? What new kinds of relations are replacing, complementing, or otherwise affecting traditional spatial relations? What other spatial and non-spatial relations become especially important in the information age?” Most literature on ICT focuses on the impacts to travel behavior with scant discussion on impacts to different components of access as well as limited development of measures and indicators that take into consideration ICT and other forms of spatial interaction it enables </w:t>
      </w:r>
      <w:r>
        <w:fldChar w:fldCharType="begin"/>
      </w:r>
      <w:r w:rsidR="00854690">
        <w:instrText xml:space="preserve"> ADDIN ZOTERO_ITEM CSL_CITATION {"citationID":"KDqEKZAZ","properties":{"formattedCitation":"(van Wee et al., 2013)","plainCitation":"(van Wee et al., 2013)","noteIndex":0},"citationItems":[{"id":1551,"uris":["http://zotero.org/users/5090392/items/WP3T9XN4"],"itemData":{"id":1551,"type":"article-journal","abstract":"Over the past two decades many papers have been published on the impact of Information and Communication Technologies (ICT) on travel behavior, but the literature focusing on the impact of ICT on accessibility is relatively scarce. In this paper we give an overview of the impact of ICT on four components of accessibility as distinguished by Geurs and van Wee (2004): (1) the land-use component, (2) the transportation component, (3) the temporal component, and (4) the individual component. Conclusions are that first much more literature exists on the potential impacts of ICT on travel behavior than on its impact on accessibility. Second, we argue that ICT potentially has an impact on all four components of the concept of accessibility. Literature exists on the direct impacts but fails to incorporate impacts due to the interactions between the accessibility components. Third, there seems to be a major challenge in developing accessibility measures and indicators that include ICT, including those that measure the utility of accessibility. Fourth, in the area of ICT’s impact on travel behavior, many research gaps exist. Examples are the impact of ICT on overall activity and trip patterns, the impact of ICT on activities and trips at the household and social-network level, ICT as a means of avoiding congestion or mitigating its effects, and the role of the phenomenon of self-selection in the context of ICT use. Finally, a major challenge is to develop models for activities, including ICT-impacts, which combine high levels of behavioral realism with (econometric) tractability.","container-title":"Journal of Transport and Land Use","DOI":"10.5198/jtlu.v6i3.282","ISSN":"1938-7849","issue":"3","language":"en","license":"Copyright (c) 2014 Journal of Transport and Land Use","note":"number: 3","page":"1-16","source":"www.jtlu.org","title":"Information, communication, travel behavior and accessibility","URL":"https://www.jtlu.org/index.php/jtlu/article/view/282","volume":"6","author":[{"family":"Wee","given":"Bert","non-dropping-particle":"van"},{"family":"Geurs","given":"Karst"},{"family":"Chorus","given":"Caspar"}],"accessed":{"date-parts":[["2022",4,3]]},"issued":{"date-parts":[["2013",11,14]]}}}],"schema":"https://github.com/citation-style-language/schema/raw/master/csl-citation.json"} </w:instrText>
      </w:r>
      <w:r>
        <w:fldChar w:fldCharType="separate"/>
      </w:r>
      <w:r w:rsidR="00967900" w:rsidRPr="00967900">
        <w:t>(van Wee et al., 2013)</w:t>
      </w:r>
      <w:r>
        <w:fldChar w:fldCharType="end"/>
      </w:r>
      <w:r>
        <w:t xml:space="preserve">. Much as </w:t>
      </w:r>
      <w:proofErr w:type="spellStart"/>
      <w:r>
        <w:t>Penchansky</w:t>
      </w:r>
      <w:proofErr w:type="spellEnd"/>
      <w:r>
        <w:t xml:space="preserve"> and Thomas argued in their conceptual framework, access concerns more than just the physical </w:t>
      </w:r>
      <w:r>
        <w:lastRenderedPageBreak/>
        <w:t>spatial separation of people.</w:t>
      </w:r>
      <w:r w:rsidR="0050249E">
        <w:t xml:space="preserve"> </w:t>
      </w:r>
      <w:r>
        <w:t xml:space="preserve">Given the changing </w:t>
      </w:r>
      <w:proofErr w:type="spellStart"/>
      <w:r>
        <w:t>sociospatial</w:t>
      </w:r>
      <w:proofErr w:type="spellEnd"/>
      <w:r>
        <w:t xml:space="preserve"> relations brought upon by ICT, access and its different dimensions need to be further conceptualized and evaluated in the contexts of physical, virtual, and hybrid physical-virtual spaces and extend beyond physical proximity measures </w:t>
      </w:r>
      <w:r>
        <w:fldChar w:fldCharType="begin"/>
      </w:r>
      <w:r>
        <w:instrText xml:space="preserve"> ADDIN ZOTERO_ITEM CSL_CITATION {"citationID":"BiEJIwRy","properties":{"formattedCitation":"(Couclelis &amp; Getis, 2000)","plainCitation":"(Couclelis &amp; Getis, 2000)","noteIndex":0},"citationItems":[{"id":720,"uris":["http://zotero.org/users/5090392/items/H9ZEUM6E"],"itemData":{"id":720,"type":"chapter","abstract":"The study of accessibility in geography and related disciplines has a distinguished history dating back to Ravenstein’s work over a century ago. In the late 1940s to the 1960s, scholars such as Zipf, Stewart, Warntz, and Wilson theorized about the way individuals and aggregates of individuals respond to the constraints of cost, time, and effort to access work, shopping, recreation, and other spatially distrib­uted opportunities. Since that time accessibility has been closely related to but also distinguished from such key geographic concepts as mobility, nearness, and the friction of distance. The models developed for its study belong for the most part in a large class of constructs known as spatial interaction models because they repre­sent the patterns and intensity of interactions among locations in geographic space. Different forms of spatial interaction models have been successfully used to study accessibility at the aggregate level, while the study of individual movements in space-time has provided insights into the significance of accessibility in people’s daily lives. One of the most robust findings of modern quantitative geography has been that interactions decline sharply with increasing distance, which is another way of saying that there is less and less contact between or among people or places as these become less and less accessible from one another.","collection-title":"Advances in Spatial Science","container-title":"Information, Place, and Cyberspace: Issues in Accessibility","event-place":"Berlin, Heidelberg","ISBN":"978-3-662-04027-0","language":"en","note":"DOI: 10.1007/978-3-662-04027-0_2","page":"15-20","publisher":"Springer","publisher-place":"Berlin, Heidelberg","source":"Springer Link","title":"Conceptualizing and Measuring Accessibility within Physical and Virtual Spaces","URL":"https://doi.org/10.1007/978-3-662-04027-0_2","author":[{"family":"Couclelis","given":"Helen"},{"family":"Getis","given":"Arthur"}],"editor":[{"family":"Janelle","given":"Donald G."},{"family":"Hodge","given":"David C."}],"accessed":{"date-parts":[["2020",12,22]]},"issued":{"date-parts":[["2000"]]}}}],"schema":"https://github.com/citation-style-language/schema/raw/master/csl-citation.json"} </w:instrText>
      </w:r>
      <w:r>
        <w:fldChar w:fldCharType="separate"/>
      </w:r>
      <w:r w:rsidR="00967900" w:rsidRPr="00967900">
        <w:t>(Couclelis &amp; Getis, 2000)</w:t>
      </w:r>
      <w:r>
        <w:fldChar w:fldCharType="end"/>
      </w:r>
      <w:r>
        <w:t>.</w:t>
      </w:r>
    </w:p>
    <w:p w14:paraId="0D9C92EB" w14:textId="7B602B43" w:rsidR="00564BEF" w:rsidRPr="00A13D59" w:rsidRDefault="00564BEF" w:rsidP="00A13D59">
      <w:pPr>
        <w:pStyle w:val="Heading2"/>
        <w:spacing w:after="240"/>
        <w:jc w:val="center"/>
        <w:rPr>
          <w:rFonts w:ascii="Times New Roman" w:hAnsi="Times New Roman" w:cs="Times New Roman"/>
          <w:b/>
          <w:bCs/>
          <w:color w:val="auto"/>
        </w:rPr>
      </w:pPr>
      <w:bookmarkStart w:id="17" w:name="_Toc71218386"/>
      <w:bookmarkStart w:id="18" w:name="_Toc114258036"/>
      <w:r w:rsidRPr="00A13D59">
        <w:rPr>
          <w:rFonts w:ascii="Times New Roman" w:hAnsi="Times New Roman" w:cs="Times New Roman"/>
          <w:b/>
          <w:bCs/>
          <w:color w:val="auto"/>
        </w:rPr>
        <w:t>2.</w:t>
      </w:r>
      <w:r w:rsidR="005013CA" w:rsidRPr="00A13D59">
        <w:rPr>
          <w:rFonts w:ascii="Times New Roman" w:hAnsi="Times New Roman" w:cs="Times New Roman"/>
          <w:b/>
          <w:bCs/>
          <w:color w:val="auto"/>
        </w:rPr>
        <w:t>4</w:t>
      </w:r>
      <w:r w:rsidRPr="00A13D59">
        <w:rPr>
          <w:rFonts w:ascii="Times New Roman" w:hAnsi="Times New Roman" w:cs="Times New Roman"/>
          <w:b/>
          <w:bCs/>
          <w:color w:val="auto"/>
        </w:rPr>
        <w:t>. A</w:t>
      </w:r>
      <w:r w:rsidR="0013507A">
        <w:rPr>
          <w:rFonts w:ascii="Times New Roman" w:hAnsi="Times New Roman" w:cs="Times New Roman"/>
          <w:b/>
          <w:bCs/>
          <w:color w:val="auto"/>
        </w:rPr>
        <w:t>CCESS ALONG VARIOUS CONCEPTS OF SPACE</w:t>
      </w:r>
      <w:bookmarkEnd w:id="17"/>
      <w:bookmarkEnd w:id="18"/>
    </w:p>
    <w:p w14:paraId="4ABD0A6D" w14:textId="1C04FDE2" w:rsidR="00564BEF" w:rsidRDefault="00564BEF" w:rsidP="00156BEA">
      <w:pPr>
        <w:spacing w:line="480" w:lineRule="auto"/>
        <w:ind w:firstLine="720"/>
      </w:pPr>
      <w:r>
        <w:t xml:space="preserve">Access is conditioned upon the economic, cultural, political, social, psychological, geographic, and other barriers people must overcome </w:t>
      </w:r>
      <w:r>
        <w:fldChar w:fldCharType="begin"/>
      </w:r>
      <w:r>
        <w:instrText xml:space="preserve"> ADDIN ZOTERO_ITEM CSL_CITATION {"citationID":"wdJvSo5b","properties":{"unsorted":true,"formattedCitation":"(Khan &amp; Bhardwaj, 1994)","plainCitation":"(Khan &amp; Bhardwaj, 1994)","noteIndex":0},"citationItems":[{"id":1012,"uris":["http://zotero.org/users/5090392/items/ERZB2ACT"],"itemData":{"id":1012,"type":"article-journal","abstract":"Despite some serious past efforts to clarify its multiple dimensions and meanings, access to health care has remained a rather elusive concept, hampering the work of health care policymakers and professionals as they endeavor to effect meaningful health care reform. This article provides perhaps the most detailed clarification of the access concept, especially the crucial linkages among the various access dimensions, and presents a comprehensive conceptual framework for evaluation and planning activities as they relate to people's access to health care services. The proposed conceptual model recognizes access as the outcome of a process involving the interplay between the characteristics of the health care service system and of potential users in a specified area, and moderated by health care related public policy and planning efforts. An elaborate typology of access, incorporating four pairs of access dimensions, is also derived. This atomization of the concept allows us to focus on specific aspects of the access to health care problem, and to develop precise outcome indicators of health system performance for evaluative purposes. Further, it enables the access concept and its pertinent dimensions to be put into proper perspective when assessing the health care access situation in a specific national or regional context. The relevance of the proposed access model and the typology to health care planning in general, and to spatial planning of health care service systems in particular; is also discussed.","container-title":"Evaluation &amp; the Health Professions","DOI":"10.1177/016327879401700104","ISSN":"0163-2787","issue":"1","journalAbbreviation":"Eval Health Prof","language":"en","note":"publisher: SAGE Publications Inc","page":"60-76","source":"SAGE Journals","title":"Access to Health Care: A Conceptual Framework and its Relevance to Health Care Planning","title-short":"Access to Health Care","URL":"https://doi.org/10.1177/016327879401700104","volume":"17","author":[{"family":"Khan","given":"Abdullah A."},{"family":"Bhardwaj","given":"Surinder M."}],"accessed":{"date-parts":[["2021",3,7]]},"issued":{"date-parts":[["1994",3,1]]}}}],"schema":"https://github.com/citation-style-language/schema/raw/master/csl-citation.json"} </w:instrText>
      </w:r>
      <w:r>
        <w:fldChar w:fldCharType="separate"/>
      </w:r>
      <w:r w:rsidR="00967900" w:rsidRPr="00967900">
        <w:t>(Khan &amp; Bhardwaj, 1994)</w:t>
      </w:r>
      <w:r>
        <w:fldChar w:fldCharType="end"/>
      </w:r>
      <w:r>
        <w:t xml:space="preserve">. </w:t>
      </w:r>
      <w:r w:rsidRPr="00AD586B">
        <w:t>Human</w:t>
      </w:r>
      <w:r>
        <w:t>s</w:t>
      </w:r>
      <w:r w:rsidRPr="00AD586B">
        <w:t xml:space="preserve"> are</w:t>
      </w:r>
      <w:r>
        <w:t xml:space="preserve"> varied and</w:t>
      </w:r>
      <w:r w:rsidRPr="00AD586B">
        <w:t xml:space="preserve"> influenced by their</w:t>
      </w:r>
      <w:r>
        <w:t xml:space="preserve"> surrounding </w:t>
      </w:r>
      <w:r w:rsidRPr="00AD586B">
        <w:t xml:space="preserve">environments </w:t>
      </w:r>
      <w:r>
        <w:t xml:space="preserve">(e.g., local context) and social dynamics </w:t>
      </w:r>
      <w:r w:rsidRPr="00AD586B">
        <w:t>(e.g.</w:t>
      </w:r>
      <w:r>
        <w:t>,</w:t>
      </w:r>
      <w:r w:rsidRPr="00AD586B">
        <w:t xml:space="preserve"> laws and regulations, </w:t>
      </w:r>
      <w:r>
        <w:t>social institutions, social networks</w:t>
      </w:r>
      <w:r w:rsidRPr="00AD586B">
        <w:t>)</w:t>
      </w:r>
      <w:r>
        <w:t>.</w:t>
      </w:r>
      <w:r w:rsidRPr="00AD586B">
        <w:t xml:space="preserve"> </w:t>
      </w:r>
      <w:r>
        <w:t>M</w:t>
      </w:r>
      <w:r w:rsidRPr="00AD586B">
        <w:t xml:space="preserve">ental capacities, including feelings, emotions, </w:t>
      </w:r>
      <w:r>
        <w:t xml:space="preserve">and </w:t>
      </w:r>
      <w:r w:rsidRPr="00AD586B">
        <w:t xml:space="preserve">perceptions shape what people perceive as </w:t>
      </w:r>
      <w:r>
        <w:t xml:space="preserve">(not) </w:t>
      </w:r>
      <w:r w:rsidRPr="00AD586B">
        <w:t>acceptable</w:t>
      </w:r>
      <w:r>
        <w:t>—</w:t>
      </w:r>
      <w:r w:rsidRPr="00AD586B">
        <w:t xml:space="preserve">whether something </w:t>
      </w:r>
      <w:r>
        <w:t xml:space="preserve">can(not) be accessed </w:t>
      </w:r>
      <w:r>
        <w:fldChar w:fldCharType="begin"/>
      </w:r>
      <w:r>
        <w:instrText xml:space="preserve"> ADDIN ZOTERO_ITEM CSL_CITATION {"citationID":"KemISU3j","properties":{"formattedCitation":"(McQuoid &amp; Dijst, 2012)","plainCitation":"(McQuoid &amp; Dijst, 2012)","noteIndex":0},"citationItems":[{"id":1205,"uris":["http://zotero.org/users/5090392/items/6X7U3KEU"],"itemData":{"id":1205,"type":"article-journal","abstract":"Although there is ample evidence that the way we feel and anticipate feeling in certain situations or places can assert great influence on our behavior, this emotional component of the space–time path has for the most part remained external to time geographical analyses. Working from within a time geographical framework, this paper shows that spatio-temporal and emotional boundaries are both relevant and interacting while persons travel their paths through time and space. To that purpose we suggest a reinterpretation of authority constraints and to take into account the biological and cultural expressions of individuals. The rather static conceptualizations of the poverty–context relationship in poverty studies could benefit from an emotionally sensitive time geography. We draw from a small case study of low-income single mothers in San Francisco, California.","collection-title":"Special Issue on Time Geography","container-title":"Journal of Transport Geography","DOI":"10.1016/j.jtrangeo.2012.03.019","ISSN":"0966-6923","journalAbbreviation":"Journal of Transport Geography","language":"en","page":"26-34","source":"ScienceDirect","title":"Bringing emotions to time geography: the case of mobilities of poverty","title-short":"Bringing emotions to time geography","URL":"https://www.sciencedirect.com/science/article/pii/S0966692312000828","volume":"23","author":[{"family":"McQuoid","given":"Julia"},{"family":"Dijst","given":"Martin"}],"accessed":{"date-parts":[["2021",11,16]]},"issued":{"date-parts":[["2012",7,1]]}}}],"schema":"https://github.com/citation-style-language/schema/raw/master/csl-citation.json"} </w:instrText>
      </w:r>
      <w:r>
        <w:fldChar w:fldCharType="separate"/>
      </w:r>
      <w:r w:rsidR="00967900" w:rsidRPr="00967900">
        <w:t>(McQuoid &amp; Dijst, 2012)</w:t>
      </w:r>
      <w:r>
        <w:fldChar w:fldCharType="end"/>
      </w:r>
      <w:r w:rsidRPr="00AD586B">
        <w:t xml:space="preserve">. Notwithstanding, </w:t>
      </w:r>
      <w:r>
        <w:t>measures of access are</w:t>
      </w:r>
      <w:r w:rsidRPr="00AD586B">
        <w:t xml:space="preserve"> only useful if </w:t>
      </w:r>
      <w:r>
        <w:t>they are</w:t>
      </w:r>
      <w:r w:rsidRPr="00AD586B">
        <w:t xml:space="preserve"> consistent with how people perceive and understand thei</w:t>
      </w:r>
      <w:r>
        <w:t>r</w:t>
      </w:r>
      <w:r w:rsidRPr="00AD586B">
        <w:t xml:space="preserve"> situations </w:t>
      </w:r>
      <w:r w:rsidRPr="00AD586B">
        <w:fldChar w:fldCharType="begin"/>
      </w:r>
      <w:r>
        <w:instrText xml:space="preserve"> ADDIN ZOTERO_ITEM CSL_CITATION {"citationID":"llNe4uQS","properties":{"formattedCitation":"(Handy &amp; Niemeier, 1997)","plainCitation":"(Handy &amp; Niemeier, 1997)","noteIndex":0},"citationItems":[{"id":883,"uris":["http://zotero.org/users/5090392/items/A8QR5C3U"],"itemData":{"id":883,"type":"article-journal","abstract":"Accessibility is an important characteristic of metropolitan areas and is often reflected in transportation and land-use planning goals. But the concept of accessibility has rarely been translated into performance measures by which policies are evaluated, despite a substantial literature on the concept. This paper is an attempt to bridge the gap between the academic literature and the practical application of such measures and provide a framework for the development of accessibility measures. Issues that planners must address in developing an accessibility measure are outlined, and two case studies suggestive of the range of possible approaches are presented.","container-title":"Environment and Planning A: Economy and Space","DOI":"10.1068/a291175","ISSN":"0308-518X","issue":"7","journalAbbreviation":"Environ Plan A","language":"en","note":"publisher: SAGE Publications Ltd","page":"1175-1194","source":"SAGE Journals","title":"Measuring Accessibility: An Exploration of Issues and Alternatives","title-short":"Measuring Accessibility","URL":"https://doi.org/10.1068/a291175","volume":"29","author":[{"family":"Handy","given":"Susan"},{"family":"Niemeier","given":"D A"}],"accessed":{"date-parts":[["2021",2,21]]},"issued":{"date-parts":[["1997",7,1]]}}}],"schema":"https://github.com/citation-style-language/schema/raw/master/csl-citation.json"} </w:instrText>
      </w:r>
      <w:r w:rsidRPr="00AD586B">
        <w:fldChar w:fldCharType="separate"/>
      </w:r>
      <w:r w:rsidR="00967900" w:rsidRPr="00967900">
        <w:t>(Handy &amp; Niemeier, 1997)</w:t>
      </w:r>
      <w:r w:rsidRPr="00AD586B">
        <w:fldChar w:fldCharType="end"/>
      </w:r>
      <w:r w:rsidRPr="00AD586B">
        <w:t xml:space="preserve">. Understanding access </w:t>
      </w:r>
      <w:r>
        <w:t>requires a holistic approach beyond simply determining</w:t>
      </w:r>
      <w:r w:rsidRPr="00AD586B">
        <w:t xml:space="preserve"> the </w:t>
      </w:r>
      <w:r>
        <w:t>areas reachable in physical space-time</w:t>
      </w:r>
      <w:r w:rsidRPr="00AD586B">
        <w:t xml:space="preserve">. </w:t>
      </w:r>
      <w:r>
        <w:t>A</w:t>
      </w:r>
      <w:r w:rsidRPr="00AD586B">
        <w:t xml:space="preserve">spects </w:t>
      </w:r>
      <w:r>
        <w:t>including</w:t>
      </w:r>
      <w:r w:rsidRPr="00AD586B">
        <w:t xml:space="preserve"> context, </w:t>
      </w:r>
      <w:r>
        <w:t>social relations</w:t>
      </w:r>
      <w:r w:rsidRPr="00AD586B">
        <w:t xml:space="preserve">, and perceptions </w:t>
      </w:r>
      <w:r>
        <w:t>remain relatively understudied by the accessibility research community</w:t>
      </w:r>
      <w:r w:rsidRPr="00AD586B">
        <w:t xml:space="preserve"> </w:t>
      </w:r>
      <w:r>
        <w:t xml:space="preserve">but need to be considered together to enable the literature to become more mature and increase the societal relevance of analyses </w:t>
      </w:r>
      <w:r>
        <w:fldChar w:fldCharType="begin"/>
      </w:r>
      <w:r>
        <w:instrText xml:space="preserve"> ADDIN ZOTERO_ITEM CSL_CITATION {"citationID":"wvGd1zp6","properties":{"formattedCitation":"(Andris, 2016; Kwan, 2013; McLafferty, 2020; van Wee, 2016)","plainCitation":"(Andris, 2016; Kwan, 2013; McLafferty, 2020; van Wee, 2016)","noteIndex":0},"citationItems":[{"id":1047,"uris":["http://zotero.org/users/5090392/items/5TNANZ66"],"itemData":{"id":1047,"type":"article-journal","abstract":"Today, online social media outlets provide new and plentiful sources of data on social networks (SNs) and location-based social networks (LBSNs), i.e., geolocated evidence of connections between individuals. While SNs have been used to show how the magnitude of social connectivity decreases with distance, there are few examples of how to include SNs as layers in a GISystem. If SNs, and thus, interpersonal relationships, could be analyzed in a geographic information system (GIS) setting, we could better model how humans socialize, share information, and form social groups within the complex geographic landscape. Our goal is to facilitate a guide for analyzing SNs (as derived from online social media, telecommunications, surveys, etc.) within geographic space by combining the mature ﬁelds of social network analysis (SNA) and GISystems. First, we describe why modeling socialization in geographic space is essential for understanding human behavior. We then outline best practices and techniques for embedding SN nodes and edges in GISystems by introducing terms like ‘social ﬂow’ and ‘anthrospace’, and categorizations for data and spatial aggregation types. Finally, we explore case study vignettes of SNA within GISystems from diverse regions located in Bolivia, China, Côte d’Ivoire, Singapore, the United Kingdom, and the United States, using concepts such as geolocated dyads, ego–alter relationships, node feature roles, modularity, and network transitivity.","container-title":"International Journal of Geographical Information Science","DOI":"10.1080/13658816.2016.1153103","ISSN":"1365-8816, 1362-3087","journalAbbreviation":"International Journal of Geographical Information Science","language":"en","page":"1-23","source":"DOI.org (Crossref)","title":"Integrating social network data into GISystems","URL":"http://www.tandfonline.com/doi/full/10.1080/13658816.2016.1153103","author":[{"family":"Andris","given":"Clio"}],"accessed":{"date-parts":[["2021",3,21]]},"issued":{"date-parts":[["2016",3,9]]}}},{"id":732,"uris":["http://zotero.org/users/5090392/items/M8GKY6U4"],"itemData":{"id":732,"type":"article-journal","abstract":"Many fundamental notions in geographic and social science research still tend to be conceptualized largely in static spatial terms, ignoring how our understanding of the issues we study can be greatly enriched through the lenses of time and human mobility. This article revisits three such notions: racial segregation, environmental exposure, and accessibility. It argues for the need to expand our analytical focus from static residential spaces to other relevant places and times in people's everyday lives. Mobility is an essential element of people's spatiotemporal experiences, and these complex experiences cannot be fully understood by just looking at where people live. As many social scientists are interested in studying segregation, environmental exposure, and accessibility, geographers can contribute to advancing temporally integrated analysis of these issues through careful examination of people's everyday experiences as their lives unfold in space and time. Interdisciplinary research along this line could have a broad impact on many disciplines beyond geography.","container-title":"Annals of the Association of American Geographers","DOI":"10.1080/00045608.2013.792177","ISSN":"0004-5608","issue":"5","note":"publisher: Routledge\n_eprint: https://doi.org/10.1080/00045608.2013.792177","page":"1078-1086","source":"Taylor and Francis+NEJM","title":"Beyond Space (As We Knew It): Toward Temporally Integrated Geographies of Segregation, Health, and Accessibility","title-short":"Beyond Space (As We Knew It)","URL":"https://doi.org/10.1080/00045608.2013.792177","volume":"103","author":[{"family":"Kwan","given":"Mei-Po"}],"accessed":{"date-parts":[["2021",1,9]]},"issued":{"date-parts":[["2013",9,1]]}}},{"id":1628,"uris":["http://zotero.org/users/5090392/items/CGSZDUTZ"],"itemData":{"id":1628,"type":"article-journal","container-title":"Health &amp; Place","DOI":"10.1016/j.healthplace.2019.102232","ISSN":"1353-8292","journalAbbreviation":"Health &amp; Place","language":"en","page":"102232","source":"ScienceDirect","title":"Place and quantitative methods: Critical directions in quantitative approaches to health and place","title-short":"Place and quantitative methods","URL":"https://www.sciencedirect.com/science/article/pii/S1353829219310937","volume":"61","author":[{"family":"McLafferty","given":"Sara"}],"accessed":{"date-parts":[["2022",4,14]]},"issued":{"date-parts":[["2020",1,1]]}}},{"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fldChar w:fldCharType="separate"/>
      </w:r>
      <w:r w:rsidR="00967900" w:rsidRPr="00967900">
        <w:t>(Andris, 2016; Kwan, 2013; McLafferty, 2020; van Wee, 2016)</w:t>
      </w:r>
      <w:r>
        <w:fldChar w:fldCharType="end"/>
      </w:r>
      <w:r>
        <w:t>.</w:t>
      </w:r>
    </w:p>
    <w:p w14:paraId="5145D542" w14:textId="7EC527B5" w:rsidR="00564BEF" w:rsidRDefault="00564BEF" w:rsidP="00156BEA">
      <w:pPr>
        <w:spacing w:line="480" w:lineRule="auto"/>
        <w:ind w:firstLine="720"/>
      </w:pPr>
      <w:r>
        <w:t xml:space="preserve">Geographers have a tradition conceptualizing </w:t>
      </w:r>
      <w:r>
        <w:rPr>
          <w:i/>
          <w:iCs/>
        </w:rPr>
        <w:t>space</w:t>
      </w:r>
      <w:r>
        <w:t xml:space="preserve"> to express characteristics of the human experience </w:t>
      </w:r>
      <w:r>
        <w:fldChar w:fldCharType="begin"/>
      </w:r>
      <w:r>
        <w:instrText xml:space="preserve"> ADDIN ZOTERO_ITEM CSL_CITATION {"citationID":"B57QVDvU","properties":{"formattedCitation":"(Agnew, 2011)","plainCitation":"(Agnew, 2011)","noteIndex":0},"citationItems":[{"id":169,"uris":["http://zotero.org/users/5090392/items/4VQ5V92Y"],"itemData":{"id":169,"type":"chapter","container-title":"The SAGE Handbook of Geographical Knowledge","event-place":"London","publisher":"Sage","publisher-place":"London","title":"Space and Place","URL":"https://www.geog.ucla.edu/sites/default/files/users/jagnew/416.pdf","author":[{"family":"Agnew","given":"John"}],"editor":[{"family":"Livingstone","given":"David N."}],"accessed":{"date-parts":[["2018",11,30]]},"issued":{"date-parts":[["2011"]]}}}],"schema":"https://github.com/citation-style-language/schema/raw/master/csl-citation.json"} </w:instrText>
      </w:r>
      <w:r>
        <w:fldChar w:fldCharType="separate"/>
      </w:r>
      <w:r w:rsidR="00967900" w:rsidRPr="00967900">
        <w:t>(Agnew, 2011)</w:t>
      </w:r>
      <w:r>
        <w:fldChar w:fldCharType="end"/>
      </w:r>
      <w:r>
        <w:t xml:space="preserve">. Much research conceptualizes access in Newtonian </w:t>
      </w:r>
      <w:r w:rsidRPr="004B6C03">
        <w:t>absolute space,</w:t>
      </w:r>
      <w:r>
        <w:t xml:space="preserve"> the immovable and infinite stage setting within which physical phenomena occur that is often implemented with Euclidean geometry and the Cartesian coordinate system </w:t>
      </w:r>
      <w:r>
        <w:fldChar w:fldCharType="begin"/>
      </w:r>
      <w:r>
        <w:instrText xml:space="preserve"> ADDIN ZOTERO_ITEM CSL_CITATION {"citationID":"auj3ssXp","properties":{"formattedCitation":"(Goodchild &amp; Sheppard, 2000)","plainCitation":"(Goodchild &amp; Sheppard, 2000)","noteIndex":0},"citationItems":[{"id":1142,"uris":["http://zotero.org/users/5090392/items/C9X4YA7N"],"itemData":{"id":1142,"type":"chapter","abstract":"This book explores how new communication and information technologies combine with transportation to modify human spatial and temporal relationships in everyday life. It targets the need to differentiate accessibility levels among a broad range of social groupings, the need to study disparities in electronic accessibility, and the need to investigate new measures and means of representing the geography of opportunity in the information age. It explores how models based on physical notions of distance and connectivity are insufficient for understanding the new structures and behaviors that characterize current regional realities, with examples drawn from Europe, New Zealand, and North America. While traditional notions of accessibility and spatial interaction remain important, information technologies are dramatically modifying and expanding the scope of these core geographical concepts.","collection-title":"Advances in Spatial Science","container-title":"Information, Place, and Cyberspace: Issues in Accessibility","event-place":"Berlin Heidelberg","ISBN":"978-3-540-67492-4","language":"en","note":"DOI: 10.1007/978-3-662-04027-0","page":"v-vi","publisher":"Springer-Verlag","publisher-place":"Berlin Heidelberg","source":"www.springer.com","title":"Foreword","URL":"https://www.springer.com/gp/book/9783540674924","editor":[{"family":"Janelle","given":"Donald G."},{"family":"Hodge","given":"David C."}],"author":[{"family":"Goodchild","given":"Michael F."},{"family":"Sheppard","given":"Eric"}],"accessed":{"date-parts":[["2021",9,16]]},"issued":{"date-parts":[["2000"]]}}}],"schema":"https://github.com/citation-style-language/schema/raw/master/csl-citation.json"} </w:instrText>
      </w:r>
      <w:r>
        <w:fldChar w:fldCharType="separate"/>
      </w:r>
      <w:r w:rsidR="00967900" w:rsidRPr="00967900">
        <w:t>(Goodchild &amp; Sheppard, 2000)</w:t>
      </w:r>
      <w:r>
        <w:fldChar w:fldCharType="end"/>
      </w:r>
      <w:r>
        <w:t xml:space="preserve">. For example, conventional </w:t>
      </w:r>
      <w:r w:rsidR="00E5088D">
        <w:t>location</w:t>
      </w:r>
      <w:r>
        <w:t xml:space="preserve">-based measures focus mostly on locations </w:t>
      </w:r>
      <w:r>
        <w:lastRenderedPageBreak/>
        <w:t xml:space="preserve">of people, travel, and activities, sometimes including an attractiveness factor of some physical property of opportunities and consider the spatial separation between people and activity locations. One potential problem in conventional research conceptualized in static spatial terms is how contextual units are geographically delineated can lead to erroneous and misleading conclusions about people’s overall accessibility experiences. Studies often focus on just one area, without much investigation into the role of local context and built environment characteristics </w:t>
      </w:r>
      <w:r>
        <w:fldChar w:fldCharType="begin"/>
      </w:r>
      <w:r w:rsidR="00994C97">
        <w:instrText xml:space="preserve"> ADDIN ZOTERO_ITEM CSL_CITATION {"citationID":"rxmDcYne","properties":{"unsorted":true,"formattedCitation":"(van Wee, 2016; Ryan &amp; Pereira, 2021)","plainCitation":"(van Wee, 2016; Ryan &amp; Pereira, 2021)","noteIndex":0},"citationItems":[{"id":1132,"uris":["http://zotero.org/users/5090392/items/QTGRMWJS"],"itemData":{"id":1132,"type":"article-journal","abstract":"Accessibility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id":"aCCUDhF1/NAHCeM1y","uris":["http://zotero.org/users/5090392/items/WRPI7AI3"],"itemData":{"id":"sPib13cB/i005XZRz","type":"article-journal","abstract":"Accessibility is increasingly recognised as a key purpose of transport policies. Most of the common practices found both in academic studies and policy planning draw on relatively simple accessibility measures taken as ‘objective’ indicators that only focus on the interaction between land use and transport. Relatively little attention has been paid to heterogeneity in individual characteristics and in self-reported perceptions of accessibility (‘subjective’ indicators), and the corresponding differences with respect to available modal options. This study includes a comparison of (1) ‘objective’ indicators of accessibility to key activities by various modes of transport; and (2) individuals' own perceptions of their capability to access valuable out-of-home activities and the modal options available to them. This study examines the key differences between the two representations of accessibility. The calculated measure was developed using door-to-door travel times to supermarkets and healthcare centres using OpenTripPlanner. The self-reported measure was based on a dedicated capability-oriented travel survey of people aged 65–79 in Sweden's large metropolitan regions: Stockholm, Gothenburg and Malmö. The data were analysed using descriptive statistics and binary and multinomial logistic regressions. The results of this study allow us to gain a greater insight into the ways in which the two accounts differ and can complement one another. We find that conventional methods, by overlooking the heterogeneity in people's perceptions of their accessibility, tend to overestimate accessibility levels and underestimate accessibility inequalities. This study shows how perceived accounts of accessibility can be incorporated into conventional accessibility models and improve accessibility analyses.","container-title":"Journal of Transport Geography","DOI":"10.1016/j.jtrangeo.2021.103086","ISSN":"0966-6923","journalAbbreviation":"Journal of Transport Geography","language":"en","page":"103086","source":"ScienceDirect","title":"What are we missing when we measure accessibility? Comparing calculated and self-reported accounts among older people","title-short":"What are we missing when we measure accessibility?","URL":"https://www.sciencedirect.com/science/article/pii/S0966692321001393","volume":"93","author":[{"family":"Ryan","given":"Jean"},{"family":"Pereira","given":"Rafael H. M."}],"accessed":{"date-parts":[["2021",10,11]]},"issued":{"date-parts":[["2021",5,1]]}}}],"schema":"https://github.com/citation-style-language/schema/raw/master/csl-citation.json"} </w:instrText>
      </w:r>
      <w:r>
        <w:fldChar w:fldCharType="separate"/>
      </w:r>
      <w:r w:rsidR="00967900" w:rsidRPr="00967900">
        <w:t>(van Wee, 2016; Ryan &amp; Pereira, 2021)</w:t>
      </w:r>
      <w:r>
        <w:fldChar w:fldCharType="end"/>
      </w:r>
      <w:r>
        <w:t xml:space="preserve">. People are dynamic and constantly move around to undertake different activities and become influenced by different local contexts beyond their residential area. Without care in including all these different contexts, an uncertain geographic context problem can arise “because of the spatial uncertainty in the actual areas that exert contextual influences on the individuals being studied and the temporal uncertainty in the timing and duration in which individuals experienced these contextual influences” </w:t>
      </w:r>
      <w:r>
        <w:fldChar w:fldCharType="begin"/>
      </w:r>
      <w:r w:rsidR="00994C97">
        <w:instrText xml:space="preserve"> ADDIN ZOTERO_ITEM CSL_CITATION {"citationID":"dTMIFoN9","properties":{"formattedCitation":"(Kwan, 2012, p. 245)","plainCitation":"(Kwan, 2012, p. 245)","noteIndex":0},"citationItems":[{"id":"aCCUDhF1/rgDqQZwD","uris":["http://zotero.org/users/5090392/items/HYZPLZPS"],"itemData":{"id":"sPib13cB/MyrpRgTK","type":"article-journal","abstract":"Any study that examines the effects of area-based attributes on individual behaviors or outcomes faces another fundamental methodological problem besides the modifiable areal unit problem (MAUP). It is the problem that results about these effects can be affected by how contextual units or neighborhoods are geographically delineated and the extent to which these areal units deviate from the true geographic context. The problem arises because of the spatial uncertainty in the actual areas that exert the contextual influences under study and the temporal uncertainty in the timing and duration in which individuals experienced these contextual influences. Using neighborhood effects and environmental health research as a point of departure, this article clarifies the nature and sources of this problem, which is referred to as the uncertain geographic context problem (UGCoP). It highlights some of the inferential errors that the UGCoP might cause and discusses some means for mitigating the problem. It reviews recent studies to show that both contextual variables and research findings are sensitive to different delineations of contextual units. The article argues that the UGCo</w:instrText>
      </w:r>
      <w:r w:rsidR="00994C97">
        <w:rPr>
          <w:rFonts w:hint="eastAsia"/>
        </w:rPr>
        <w:instrText xml:space="preserve">P is a problem as fundamental as the MAUP but is a different kind of problem. Future research needs to pay explicit attention to its potential confounding effects on research results and to methods for mitigating the problem. </w:instrText>
      </w:r>
      <w:r w:rsidR="00994C97">
        <w:rPr>
          <w:rFonts w:hint="eastAsia"/>
        </w:rPr>
        <w:instrText>任何探讨以区域为基础的属性对个体的行为或结果之影响的研究，除了可变面元问题（</w:instrText>
      </w:r>
      <w:r w:rsidR="00994C97">
        <w:rPr>
          <w:rFonts w:hint="eastAsia"/>
        </w:rPr>
        <w:instrText>MAUP</w:instrText>
      </w:r>
      <w:r w:rsidR="00994C97">
        <w:rPr>
          <w:rFonts w:hint="eastAsia"/>
        </w:rPr>
        <w:instrText>），还都面临着另一个基本方法的问题。该问题影响了这些研究结果，使它们受到背景单位或社区是如何被地理划定的影响，并受到这些面元偏离真实的地理环境的程度的影响。问题的产生是因为在这些实际区域的空间不确定性的情景，以及个人在经历这些情景影响时，在时间和持续时间上的不确定性的影响。使用邻里效应和环境健康研究作为出发点，本文阐明了这个被称为不确定的地理环境问题（</w:instrText>
      </w:r>
      <w:r w:rsidR="00994C97">
        <w:rPr>
          <w:rFonts w:hint="eastAsia"/>
        </w:rPr>
        <w:instrText>UGCoP</w:instrText>
      </w:r>
      <w:r w:rsidR="00994C97">
        <w:rPr>
          <w:rFonts w:hint="eastAsia"/>
        </w:rPr>
        <w:instrText>）的性质和来源。它突出了一些</w:instrText>
      </w:r>
      <w:r w:rsidR="00994C97">
        <w:rPr>
          <w:rFonts w:hint="eastAsia"/>
        </w:rPr>
        <w:instrText xml:space="preserve"> UGCoP </w:instrText>
      </w:r>
      <w:r w:rsidR="00994C97">
        <w:rPr>
          <w:rFonts w:hint="eastAsia"/>
        </w:rPr>
        <w:instrText>可能导致的推理错误，并讨论了减轻这个问题的一些手段。它回顾了最近的研究，揭示了情景变量和研究成果对情景单位的不同划定是敏感的。文章认为，</w:instrText>
      </w:r>
      <w:r w:rsidR="00994C97">
        <w:rPr>
          <w:rFonts w:hint="eastAsia"/>
        </w:rPr>
        <w:instrText xml:space="preserve">UGCoP </w:instrText>
      </w:r>
      <w:r w:rsidR="00994C97">
        <w:rPr>
          <w:rFonts w:hint="eastAsia"/>
        </w:rPr>
        <w:instrText>是与</w:instrText>
      </w:r>
      <w:r w:rsidR="00994C97">
        <w:rPr>
          <w:rFonts w:hint="eastAsia"/>
        </w:rPr>
        <w:instrText xml:space="preserve"> MAUP </w:instrText>
      </w:r>
      <w:r w:rsidR="00994C97">
        <w:rPr>
          <w:rFonts w:hint="eastAsia"/>
        </w:rPr>
        <w:instrText>类似的根本性问题，但又是不同类的问题。未来的研究需要明确注意其潜在的对研究结果的复杂影响，并关注减轻这一问题的方法。</w:instrText>
      </w:r>
      <w:r w:rsidR="00994C97">
        <w:rPr>
          <w:rFonts w:hint="eastAsia"/>
        </w:rPr>
        <w:instrText xml:space="preserve"> En cualquier estudio que examine los efectos que tienen atributos basados en </w:instrText>
      </w:r>
      <w:r w:rsidR="00994C97">
        <w:rPr>
          <w:rFonts w:hint="eastAsia"/>
        </w:rPr>
        <w:instrText>á</w:instrText>
      </w:r>
      <w:r w:rsidR="00994C97">
        <w:rPr>
          <w:rFonts w:hint="eastAsia"/>
        </w:rPr>
        <w:instrText>rea sobre conductas o logros individuales se tiene que enfrentar un problem</w:instrText>
      </w:r>
      <w:r w:rsidR="00994C97">
        <w:instrText xml:space="preserve">a metodológico fundamental aparte del problema de la unidad espacial modificable (PUEM). El inconveniente es que los resultados acerca de estos efectos pueden afectarse por la manera como las unidades contextuales o vecindarios sean delineados geográficamente y el grado en que dichas unidades espaciales se apartan del contexto geográfico verdadero. El problema surge debido a la incertidumbre espacial en las áreas reales que ejercen las influencias contextuales bajo estudio y la incertidumbre temporal presente en el cronograma y duración con que los individuos experimentaron estas influencias contextuales. Utilizando los efectos de vecindad y la investigación sobre salubridad ambiental como punto de partida, este artículo hace claridad sobre la naturaleza y orígenes de este problema, que se denomina problema de incertidumbre del contexto geográfico (PICoG). Se destacan algunos de los errores de inferencia que el PICoG podría ocasionar y se discuten algunos medios para mitigar el problema. En el artículo se revisan también estudios recientes para mostrar que tanto las variables contextuales como los hallazgos de la investigación son sensibles a las diferentes demarcaciones de las unidades contextuales. En el artículo se arguye que el PICoG es un problema tan fundamental como el PUEM, aunque se trata de un tipo diferente de problema. La futura investigación sobre el particular deberá poner atención explícita a los potenciales efectos desorientadores de los resultados que se logren y a los métodos para mitigar el problema.","container-title":"Annals of the Association of American Geographers","ISSN":"0004-5608","issue":"5","note":"publisher: Taylor &amp; Francis, Ltd.","page":"958-968","source":"JSTOR","title":"The Uncertain Geographic Context Problem","URL":"https://www.jstor.org/stable/23275570","volume":"102","author":[{"family":"Kwan","given":"Mei-Po"}],"accessed":{"date-parts":[["2022",3,31]]},"issued":{"date-parts":[["2012"]]}},"locator":"245"}],"schema":"https://github.com/citation-style-language/schema/raw/master/csl-citation.json"} </w:instrText>
      </w:r>
      <w:r>
        <w:fldChar w:fldCharType="separate"/>
      </w:r>
      <w:r w:rsidR="00967900" w:rsidRPr="00967900">
        <w:t>(Kwan, 2012, p. 245)</w:t>
      </w:r>
      <w:r>
        <w:fldChar w:fldCharType="end"/>
      </w:r>
      <w:r>
        <w:t xml:space="preserve">. Moreover, there are significant differences in physical environments (e.g., climate, transport infrastructure) and cultures between areas so it is often difficult to generalize findings from one area to another </w:t>
      </w:r>
      <w:r>
        <w:fldChar w:fldCharType="begin"/>
      </w:r>
      <w:r>
        <w:instrText xml:space="preserve"> ADDIN ZOTERO_ITEM CSL_CITATION {"citationID":"uPiETs9N","properties":{"formattedCitation":"(van Wee, 2016)","plainCitation":"(van Wee, 2016)","noteIndex":0},"citationItems":[{"id":1132,"uris":["http://zotero.org/users/5090392/items/QTGRMWJS"],"itemData":{"id":1132,"type":"article-journal","abstract":"Accessibility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fldChar w:fldCharType="separate"/>
      </w:r>
      <w:r w:rsidR="00967900" w:rsidRPr="00967900">
        <w:t>(van Wee, 2016)</w:t>
      </w:r>
      <w:r>
        <w:fldChar w:fldCharType="end"/>
      </w:r>
      <w:r>
        <w:t>. It is not just the absolute locations of people and opportunities themselves that shape access but relative to where people are located and what they are doing at different times. The focus then becomes on the surrounding environment and local context, the relative space of people.</w:t>
      </w:r>
    </w:p>
    <w:p w14:paraId="7F1320C3" w14:textId="2F98F122" w:rsidR="00564BEF" w:rsidRDefault="00564BEF" w:rsidP="00156BEA">
      <w:pPr>
        <w:spacing w:line="480" w:lineRule="auto"/>
        <w:ind w:firstLine="720"/>
      </w:pPr>
      <w:r w:rsidRPr="00A662EC">
        <w:t xml:space="preserve">Underlying conventional spatial accessibility measures is the implicit notion </w:t>
      </w:r>
      <w:r>
        <w:t xml:space="preserve">that </w:t>
      </w:r>
      <w:r w:rsidRPr="00A662EC">
        <w:t xml:space="preserve">poor access can be ameliorated by adding more </w:t>
      </w:r>
      <w:r>
        <w:t>opportunity</w:t>
      </w:r>
      <w:r w:rsidRPr="00A662EC">
        <w:t xml:space="preserve"> locations and</w:t>
      </w:r>
      <w:r>
        <w:t>/or</w:t>
      </w:r>
      <w:r w:rsidRPr="00A662EC">
        <w:t xml:space="preserve"> improving the ability of people to overcome the friction of distance or time (e.g., increasing public transit frequency</w:t>
      </w:r>
      <w:r>
        <w:t>, reducing congestion</w:t>
      </w:r>
      <w:r w:rsidRPr="00A662EC">
        <w:t>)</w:t>
      </w:r>
      <w:r w:rsidR="00723E9E">
        <w:t>.</w:t>
      </w:r>
      <w:r w:rsidRPr="00A662EC">
        <w:t xml:space="preserve"> </w:t>
      </w:r>
      <w:r>
        <w:t>Critical scholars argue an</w:t>
      </w:r>
      <w:r w:rsidRPr="00A662EC">
        <w:t xml:space="preserve"> overemphasis of the built environment may obscure the social</w:t>
      </w:r>
      <w:r>
        <w:t xml:space="preserve">, economic, and cultural </w:t>
      </w:r>
      <w:r w:rsidRPr="00A662EC">
        <w:t xml:space="preserve">contexts and </w:t>
      </w:r>
      <w:r>
        <w:t xml:space="preserve">processes (e.g., structural inequalities, </w:t>
      </w:r>
      <w:r>
        <w:lastRenderedPageBreak/>
        <w:t>social networks, social capital)</w:t>
      </w:r>
      <w:r w:rsidRPr="00A662EC">
        <w:t xml:space="preserve"> that foreground the complex ways different population groups obtain their different needs </w:t>
      </w:r>
      <w:r>
        <w:t xml:space="preserve">as well as the agency of people to overcome their situations </w:t>
      </w:r>
      <w:r>
        <w:fldChar w:fldCharType="begin"/>
      </w:r>
      <w:r>
        <w:instrText xml:space="preserve"> ADDIN ZOTERO_ITEM CSL_CITATION {"citationID":"CB9t9c1B","properties":{"formattedCitation":"(McLafferty, 2020; Reese, 2018)","plainCitation":"(McLafferty, 2020; Reese, 2018)","noteIndex":0},"citationItems":[{"id":1628,"uris":["http://zotero.org/users/5090392/items/CGSZDUTZ"],"itemData":{"id":1628,"type":"article-journal","container-title":"Health &amp; Place","DOI":"10.1016/j.healthplace.2019.102232","ISSN":"1353-8292","journalAbbreviation":"Health &amp; Place","language":"en","page":"102232","source":"ScienceDirect","title":"Place and quantitative methods: Critical directions in quantitative approaches to health and place","title-short":"Place and quantitative methods","URL":"https://www.sciencedirect.com/science/article/pii/S1353829219310937","volume":"61","author":[{"family":"McLafferty","given":"Sara"}],"accessed":{"date-parts":[["2022",4,14]]},"issued":{"date-parts":[["2020",1,1]]}}},{"id":662,"uris":["http://zotero.org/users/5090392/items/6S9582RB"],"itemData":{"id":662,"type":"article-journal","abstract":"</w:instrText>
      </w:r>
      <w:r>
        <w:rPr>
          <w:rFonts w:hint="eastAsia"/>
        </w:rPr>
        <w:instrText>Abstract: Drawing from 18 months of ethnographic fieldwork in Washington, DC, this article outlines geographies of self</w:instrText>
      </w:r>
      <w:r>
        <w:rPr>
          <w:rFonts w:hint="eastAsia"/>
        </w:rPr>
        <w:instrText>‐</w:instrText>
      </w:r>
      <w:r>
        <w:rPr>
          <w:rFonts w:hint="eastAsia"/>
        </w:rPr>
        <w:instrText>reliance; a theoretical framework for understanding black food geographies that are embedded in histories of self</w:instrText>
      </w:r>
      <w:r>
        <w:rPr>
          <w:rFonts w:hint="eastAsia"/>
        </w:rPr>
        <w:instrText>‐</w:instrText>
      </w:r>
      <w:r>
        <w:rPr>
          <w:rFonts w:hint="eastAsia"/>
        </w:rPr>
        <w:instrText>reliance as a response to structural inequalities. Using a community garden as a case study, I argue that the garden functions as a site for addressing several manifestations of structural violence: racist and classist depictions of low</w:instrText>
      </w:r>
      <w:r>
        <w:rPr>
          <w:rFonts w:hint="eastAsia"/>
        </w:rPr>
        <w:instrText>‐</w:instrText>
      </w:r>
      <w:r>
        <w:rPr>
          <w:rFonts w:hint="eastAsia"/>
        </w:rPr>
        <w:instrText>income and working class people, joblessness, gentrification, and youth underdevelopment. Drawing on self</w:instrText>
      </w:r>
      <w:r>
        <w:rPr>
          <w:rFonts w:hint="eastAsia"/>
        </w:rPr>
        <w:instrText>‐</w:instrText>
      </w:r>
      <w:r>
        <w:rPr>
          <w:rFonts w:hint="eastAsia"/>
        </w:rPr>
        <w:instrText>reliance ideologies as well as collective and personal histories, the residents exhibit a form of agency that demonstrates unwavering hope in the sustainability of their shared community. Through this analysis, I show that self</w:instrText>
      </w:r>
      <w:r>
        <w:rPr>
          <w:rFonts w:hint="eastAsia"/>
        </w:rPr>
        <w:instrText>‐</w:instrText>
      </w:r>
      <w:r>
        <w:rPr>
          <w:rFonts w:hint="eastAsia"/>
        </w:rPr>
        <w:instrText>reliance functions as a mechanism through which residents navigate spatial inequalities.","container-title":"Antipode","DOI":"10.1111/anti.12359","ISSN":"00664812","issue":"2","journalAbbreviation":"Antipode","note":"publisher: Wiley-Blackwell","page":"407-424","source":"EBSCOhost","title":"</w:instrText>
      </w:r>
      <w:r>
        <w:rPr>
          <w:rFonts w:hint="eastAsia"/>
        </w:rPr>
        <w:instrText>“</w:instrText>
      </w:r>
      <w:r>
        <w:rPr>
          <w:rFonts w:hint="eastAsia"/>
        </w:rPr>
        <w:instrText>We will not perish; we</w:instrText>
      </w:r>
      <w:r>
        <w:rPr>
          <w:rFonts w:hint="eastAsia"/>
        </w:rPr>
        <w:instrText>’</w:instrText>
      </w:r>
      <w:r>
        <w:rPr>
          <w:rFonts w:hint="eastAsia"/>
        </w:rPr>
        <w:instrText>re going to keep flourishing</w:instrText>
      </w:r>
      <w:r>
        <w:rPr>
          <w:rFonts w:hint="eastAsia"/>
        </w:rPr>
        <w:instrText>”</w:instrText>
      </w:r>
      <w:r>
        <w:rPr>
          <w:rFonts w:hint="eastAsia"/>
        </w:rPr>
        <w:instrText>: Race, Food Access, and Geographies of Self</w:instrText>
      </w:r>
      <w:r>
        <w:rPr>
          <w:rFonts w:hint="eastAsia"/>
        </w:rPr>
        <w:instrText>‐</w:instrText>
      </w:r>
      <w:r>
        <w:rPr>
          <w:rFonts w:hint="eastAsia"/>
        </w:rPr>
        <w:instrText>Reliance","title-short":"</w:instrText>
      </w:r>
      <w:r>
        <w:rPr>
          <w:rFonts w:hint="eastAsia"/>
        </w:rPr>
        <w:instrText>“</w:instrText>
      </w:r>
      <w:r>
        <w:rPr>
          <w:rFonts w:hint="eastAsia"/>
        </w:rPr>
        <w:instrText>We will not perish; we</w:instrText>
      </w:r>
      <w:r>
        <w:rPr>
          <w:rFonts w:hint="eastAsia"/>
        </w:rPr>
        <w:instrText>’</w:instrText>
      </w:r>
      <w:r>
        <w:rPr>
          <w:rFonts w:hint="eastAsia"/>
        </w:rPr>
        <w:instrText>re going to keep flourishing</w:instrText>
      </w:r>
      <w:r>
        <w:rPr>
          <w:rFonts w:hint="eastAsia"/>
        </w:rPr>
        <w:instrText>”</w:instrText>
      </w:r>
      <w:r>
        <w:rPr>
          <w:rFonts w:hint="eastAsia"/>
        </w:rPr>
        <w:instrText>",</w:instrText>
      </w:r>
      <w:r>
        <w:instrText xml:space="preserve">"URL":"https://login.proxy.lib.utk.edu/login?url=https://search.ebscohost.com/login.aspx?direct=true&amp;db=a9h&amp;AN=127847018&amp;site=ehost-live&amp;scope=site","volume":"50","author":[{"family":"Reese","given":"Ashanté M."}],"accessed":{"date-parts":[["2020",11,14]]},"issued":{"date-parts":[["2018",3]]}}}],"schema":"https://github.com/citation-style-language/schema/raw/master/csl-citation.json"} </w:instrText>
      </w:r>
      <w:r>
        <w:fldChar w:fldCharType="separate"/>
      </w:r>
      <w:r w:rsidR="00967900" w:rsidRPr="00967900">
        <w:t>(McLafferty, 2020; Reese, 2018)</w:t>
      </w:r>
      <w:r>
        <w:fldChar w:fldCharType="end"/>
      </w:r>
      <w:r w:rsidRPr="00A662EC">
        <w:t>.</w:t>
      </w:r>
      <w:r>
        <w:t xml:space="preserve"> Social exclusion-based perspectives to access attempt to reconcile this critique and emphasize a relational reading and approach which focus on the social and power relationships between individuals, groups, institutions, and places </w:t>
      </w:r>
      <w:r>
        <w:fldChar w:fldCharType="begin"/>
      </w:r>
      <w:r w:rsidR="00854690">
        <w:instrText xml:space="preserve"> ADDIN ZOTERO_ITEM CSL_CITATION {"citationID":"QAbNyieI","properties":{"formattedCitation":"(Kenyon, 2010; van Wee &amp; Geurs, 2011)","plainCitation":"(Kenyon, 2010; van Wee &amp; Geurs, 2011)","noteIndex":0},"citationItems":[{"id":1148,"uris":["http://zotero.org/users/5090392/items/KDANYHA9"],"itemData":{"id":1148,"type":"article-journal","abstract":"At the outset of this research, two fields of transport research were in the ascendant. The first reflected technological change, considering the growth of new information and communications technologies and their impacts for transport systems and travel behaviour. The second reflected social change, considering the growth in inequality and disadvantage and the contribution of transport systems and travel behaviour to the same. This paper investigates a potential link between the two, exploring the hypothesis that virtual mobility, via the Internet, could provide a viable alternative to physical mobility in reducing mobility-related social exclusion. The paper presents data from a longitudinal, panel-based diary study. Results support the hypothesis that virtual mobility can provide a viable alternative to physical mobility in reducing aspects of mobility-related exclusion, by providing additional accessibility (virtual accessibility) without an increase in physical mobility. Furthermore, there is no evidence in this research to support a link between physical mobility and virtual mobility; and no evidence to suggest a negative effect of virtual mobility for sociability.","collection-title":"Information/Communication Technologies and Travel Behaviour","container-title":"Transportation Research Part C: Emerging Technologies","DOI":"10.1016/j.trc.2009.04.014","ISSN":"0968-090X","issue":"1","journalAbbreviation":"Transportation Research Part C: Emerging Technologies","language":"en","page":"21-35","source":"ScienceDirect","title":"The impacts of Internet use upon activity participation and travel: Results from a longitudinal diary-based panel study","title-short":"The impacts of Internet use upon activity participation and travel","URL":"https://www.sciencedirect.com/science/article/pii/S0968090X09000382","volume":"18","author":[{"family":"Kenyon","given":"Susan"}],"accessed":{"date-parts":[["2021",9,18]]},"issued":{"date-parts":[["2010",2,1]]}}},{"id":1197,"uris":["http://zotero.org/users/5090392/items/2TA2C4BX"],"itemData":{"id":1197,"type":"article-journal","abstract":"Ex ante evaluations of transport policy options (including infrastructure plans) are generally based on cost-benefit analyses (CBA). Accessibility changes are included in such analyses indirectly, via a utilitarian perspective. But accessibility is broader than is assumed by this perspective and also incorporates equity and related distribution effects as well as social exclusion. This paper aims to give an overview of the relevance of distribution effects and equity, and social exclusion for accessibility, based on the literature. The most important conclusions of our paper is that the two subjects are poorly addressed in transport appraisal in general, and in CBA in particular. Additional ethical theories could add value to the utilitarian perspective, egalitarian theories being a major competitor. Equity analysis is however complex because there are several types of equity, various ways to categorize people for equity analysis, numerous impacts to consider, and various ways of measuring these impacts. And such analysis requires normative judgements, in addition to simply presenting distribution effects. Several options are available to express distribution effects. Important choices to be made if such effects need to be reported relate to the unit of comparison (e.g. the household versus the individual), the indicator to be used, and the value of each unit to be compared (e.g. accessibility) for all units of comparison (e.g. households). We also conclude that CBA is not suitable for evaluating social exclusion policies. Based on this overview we propose an agenda for potential future research in the area of ethics and accessibility.","container-title":"European Journal of Transport and Infrastructure Research","DOI":"10.18757/ejtir.2011.11.4.2940","ISSN":"1567-7141","issue":"4","language":"en","license":"Copyright (c) 0","note":"number: 4","source":"journals.open.tudelft.nl","title":"Discussing Equity and Social Exclusion in Accessibility Evaluations","URL":"https://journals.open.tudelft.nl/ejtir/article/view/2940","volume":"11","author":[{"family":"Wee","given":"Bert","non-dropping-particle":"van"},{"family":"Geurs","given":"Karst"}],"accessed":{"date-parts":[["2021",10,11]]},"issued":{"date-parts":[["2011",9,1]]}}}],"schema":"https://github.com/citation-style-language/schema/raw/master/csl-citation.json"} </w:instrText>
      </w:r>
      <w:r>
        <w:fldChar w:fldCharType="separate"/>
      </w:r>
      <w:r w:rsidR="00967900" w:rsidRPr="00967900">
        <w:t>(Kenyon, 2010; van Wee &amp; Geurs, 2011)</w:t>
      </w:r>
      <w:r>
        <w:fldChar w:fldCharType="end"/>
      </w:r>
      <w:r>
        <w:t>. Cass et al. emphasizes the need to understand social dynamics: “</w:t>
      </w:r>
      <w:r w:rsidRPr="00247EE6">
        <w:t>Appreciating the networked nature of social life makes the notion of ‘access’ more complex and less locally focused</w:t>
      </w:r>
      <w:r>
        <w:t xml:space="preserve">” </w:t>
      </w:r>
      <w:r>
        <w:fldChar w:fldCharType="begin"/>
      </w:r>
      <w:r>
        <w:instrText xml:space="preserve"> ADDIN ZOTERO_ITEM CSL_CITATION {"citationID":"uDUKQbK5","properties":{"formattedCitation":"(2005, p. 545)","plainCitation":"(2005, p. 545)","noteIndex":0},"citationItems":[{"id":1615,"uris":["http://zotero.org/users/5090392/items/6XLJYIYX"],"itemData":{"id":1615,"type":"article-journal","abstract":"Much of the literature on social exclusion ignores its ?spatial? or ?mobility? related aspects. This paper seeks to rectify this by examining the mobile processes and infrastructures of travel and transport that engender and reinforce social exclusion in contemporary societies. To the extent to which this issue is addressed, it is mainly organized around the notion of ?access? to activities, values and goods. This paper examines this discourse in some detail. It is argued that there are many dimensions of such access, that improving access is a complex matter because of the range of human activities that might need to be ?accessed?, that in order to know what is to be accessed the changing nature of travel and communications requires examination, and that some dimensions of access are only revealed through changes in the infrastructure that ?uncover? previously hidden social exclusions. Claims about access and socio-spatial exclusion routinely make assumptions about what it is to participate effectively in society. We turn this question around, also asking how mobilities of different forms constitute societal values and sets of relations, participation in which may become important for social inclusion. This paper draws upon an extensive range of library, desk and field research to deal with crucial issues relating to the nature of a fair, just and mobile society.","container-title":"The Sociological Review","DOI":"10.1111/j.1467-954X.2005.00565.x","ISSN":"0038-0261","issue":"3","journalAbbreviation":"The Sociological Review","note":"publisher: SAGE Publications Ltd","page":"539-555","source":"SAGE Journals","title":"Social Exclusion, Mobility and Access","URL":"https://doi.org/10.1111/j.1467-954X.2005.00565.x","volume":"53","author":[{"family":"Cass","given":"Noel"},{"family":"Shove","given":"Elizabeth"},{"family":"Urry","given":"John"}],"accessed":{"date-parts":[["2022",4,11]]},"issued":{"date-parts":[["2005",8,1]]}},"locator":"545","suppress-author":true}],"schema":"https://github.com/citation-style-language/schema/raw/master/csl-citation.json"} </w:instrText>
      </w:r>
      <w:r>
        <w:fldChar w:fldCharType="separate"/>
      </w:r>
      <w:r w:rsidR="00967900" w:rsidRPr="00967900">
        <w:t>(2005, p. 545)</w:t>
      </w:r>
      <w:r>
        <w:fldChar w:fldCharType="end"/>
      </w:r>
      <w:r>
        <w:t>.</w:t>
      </w:r>
      <w:r w:rsidRPr="00A662EC">
        <w:t xml:space="preserve"> </w:t>
      </w:r>
      <w:r>
        <w:t>Embedding human connections into conventional accessibility measures based upon absolute and relati</w:t>
      </w:r>
      <w:r w:rsidR="00A64D6F">
        <w:t>onal</w:t>
      </w:r>
      <w:r>
        <w:t xml:space="preserve"> notions of space can help reveal people’s “reliance on and proclivities toward others as part of [their] social decision-making and spatial behavior” </w:t>
      </w:r>
      <w:r>
        <w:fldChar w:fldCharType="begin"/>
      </w:r>
      <w:r>
        <w:instrText xml:space="preserve"> ADDIN ZOTERO_ITEM CSL_CITATION {"citationID":"hQAeCA2I","properties":{"formattedCitation":"(Andris, 2016, p. 2027)","plainCitation":"(Andris, 2016, p. 2027)","noteIndex":0},"citationItems":[{"id":1047,"uris":["http://zotero.org/users/5090392/items/5TNANZ66"],"itemData":{"id":1047,"type":"article-journal","abstract":"Today, online social media outlets provide new and plentiful sources of data on social networks (SNs) and location-based social networks (LBSNs), i.e., geolocated evidence of connections between individuals. While SNs have been used to show how the magnitude of social connectivity decreases with distance, there are few examples of how to include SNs as layers in a GISystem. If SNs, and thus, interpersonal relationships, could be analyzed in a geographic information system (GIS) setting, we could better model how humans socialize, share information, and form social groups within the complex geographic landscape. Our goal is to facilitate a guide for analyzing SNs (as derived from online social media, telecommunications, surveys, etc.) within geographic space by combining the mature ﬁelds of social network analysis (SNA) and GISystems. First, we describe why modeling socialization in geographic space is essential for understanding human behavior. We then outline best practices and techniques for embedding SN nodes and edges in GISystems by introducing terms like ‘social ﬂow’ and ‘anthrospace’, and categorizations for data and spatial aggregation types. Finally, we explore case study vignettes of SNA within GISystems from diverse regions located in Bolivia, China, Côte d’Ivoire, Singapore, the United Kingdom, and the United States, using concepts such as geolocated dyads, ego–alter relationships, node feature roles, modularity, and network transitivity.","container-title":"International Journal of Geographical Information Science","DOI":"10.1080/13658816.2016.1153103","ISSN":"1365-8816, 1362-3087","journalAbbreviation":"International Journal of Geographical Information Science","language":"en","page":"1-23","source":"DOI.org (Crossref)","title":"Integrating social network data into GISystems","URL":"http://www.tandfonline.com/doi/full/10.1080/13658816.2016.1153103","author":[{"family":"Andris","given":"Clio"}],"accessed":{"date-parts":[["2021",3,21]]},"issued":{"date-parts":[["2016",3,9]]}},"locator":"2027"}],"schema":"https://github.com/citation-style-language/schema/raw/master/csl-citation.json"} </w:instrText>
      </w:r>
      <w:r>
        <w:fldChar w:fldCharType="separate"/>
      </w:r>
      <w:r w:rsidR="00967900" w:rsidRPr="00967900">
        <w:t>(Andris, 2016, p. 2027)</w:t>
      </w:r>
      <w:r>
        <w:fldChar w:fldCharType="end"/>
      </w:r>
      <w:r>
        <w:t xml:space="preserve">. For example, social networks also serve as informal insurance and ameliorate situations of poor accessibility through shared transportation, resource delivery, and resource provisioning at community spaces </w:t>
      </w:r>
      <w:r>
        <w:fldChar w:fldCharType="begin"/>
      </w:r>
      <w:r>
        <w:instrText xml:space="preserve"> ADDIN ZOTERO_ITEM CSL_CITATION {"citationID":"V4rpc8ip","properties":{"formattedCitation":"(Paul et al., 2019)","plainCitation":"(Paul et al., 2019)","noteIndex":0},"citationItems":[{"id":1176,"uris":["http://zotero.org/users/5090392/items/F9ITNSS3"],"itemData":{"id":1176,"type":"article-journal","abstract":"Food politics and economic forces may determine the macro conditions for food supply, but the local environment has the most substantial impact on population health. Food security is determined not only by the basic availability of food, but also by social, economic, and cultural factors influencing dietary behaviors. This paper investigates the role of social institutions, specifically social capital, in affecting food security by proposing a theoretical linkage between social capital and health behavior, and an illustrative case is provided. Social capital, defined as the value of the bonding, bridging, and linking relationships between people, is well demonstrated to be related to health. Many mechanisms link social capital to health, including shared access to food and nutritional behaviors. Further, social capital influences health through social status and race. This paper further investigates the links between minority status, food security, social capital, and health. The analysis draws on empirical work in North Carolina with community gardens, faith communities, the local food environment, and other social capital-related variables. By investigating the nature of local food security, particularly for minority populations, this analysis allows for better integration of local conditions with global food politics.","container-title":"International Journal of Environmental Research and Public Health","DOI":"10.3390/ijerph16245045","ISSN":"1661-7827","issue":"24","journalAbbreviation":"Int J Environ Res Public Health","note":"PMID: 31835721\nPMCID: PMC6950117","page":"5045","source":"PubMed Central","title":"The Local Food Environment and Food Security: The Health Behavior Role of Social Capital","title-short":"The Local Food Environment and Food Security","URL":"https://www.ncbi.nlm.nih.gov/pmc/articles/PMC6950117/","volume":"16","author":[{"family":"Paul","given":"Christopher J."},{"family":"Paul","given":"John E."},{"family":"Anderson","given":"Rosa S."}],"accessed":{"date-parts":[["2021",9,25]]},"issued":{"date-parts":[["2019",12]]}}}],"schema":"https://github.com/citation-style-language/schema/raw/master/csl-citation.json"} </w:instrText>
      </w:r>
      <w:r>
        <w:fldChar w:fldCharType="separate"/>
      </w:r>
      <w:r w:rsidR="00967900" w:rsidRPr="00967900">
        <w:t>(Paul et al., 2019)</w:t>
      </w:r>
      <w:r>
        <w:fldChar w:fldCharType="end"/>
      </w:r>
      <w:r>
        <w:t xml:space="preserve"> as well as play an important role in the propensity to act and interact </w:t>
      </w:r>
      <w:r>
        <w:fldChar w:fldCharType="begin"/>
      </w:r>
      <w:r>
        <w:instrText xml:space="preserve"> ADDIN ZOTERO_ITEM CSL_CITATION {"citationID":"2XbldrXC","properties":{"formattedCitation":"(Kwan, 2007)","plainCitation":"(Kwan, 2007)","noteIndex":0},"citationItems":[{"id":1163,"uris":["http://zotero.org/users/5090392/items/C22KP9K9"],"itemData":{"id":1163,"type":"article-journal","abstract":"The widespread use of mobile communications is leading to new practices in family life and social life, and these changes have significant implications for the study of urban travel. Because of the adoption of new modes of space-time coordination, changing time use and increasing mobility, changing use of existing urban nodes, the blurring of boundaries between home and work, the importance of social networks and social capital, and the shift to person-to-person connectivity, the spatial structure and processes of interaction among individuals have become much more complicated in this age of mobile communications. Static spatial frameworks based on fixed points (e.g., home or workplace) and distances among them are no longer adequate for understanding urban travel. The study of urban travel now needs new conceptualizations and new methodologies. </w:instrText>
      </w:r>
      <w:r>
        <w:rPr>
          <w:rFonts w:ascii="Cambria Math" w:hAnsi="Cambria Math" w:cs="Cambria Math"/>
        </w:rPr>
        <w:instrText>∗</w:instrText>
      </w:r>
      <w:r>
        <w:instrText xml:space="preserve">This article is based on the Fleming Lecture in Transportation Geography I delivered at the 102th Annual Meeting of the Association of American Geographers, Chicago, 7–11 March 2006. I thank Jean-Paul Rodrigue for making arrangements for the lecture, and the Department of Geography at the University of Washington for providing support to me for this lecture. I am also grateful to the audience, to Bill Black (who served as the discussant of the session), and to three anonymous reviewers for their very helpful comments. The views expressed in this article remain my responsibility.","container-title":"The Professional Geographer","DOI":"10.1111/j.1467-9272.2007.00633.x","ISSN":"0033-0124","issue":"4","note":"publisher: Routledge\n_eprint: https://doi.org/10.1111/j.1467-9272.2007.00633.x","page":"434-446","source":"Taylor and Francis+NEJM","title":"Mobile Communications, Social Networks, and Urban Travel: Hypertext as a New Metaphor for Conceptualizing Spatial Interaction","title-short":"Mobile Communications, Social Networks, and Urban Travel","URL":"https://doi.org/10.1111/j.1467-9272.2007.00633.x","volume":"59","author":[{"family":"Kwan","given":"Mei-Po"}],"accessed":{"date-parts":[["2021",9,21]]},"issued":{"date-parts":[["2007",11,1]]}}}],"schema":"https://github.com/citation-style-language/schema/raw/master/csl-citation.json"} </w:instrText>
      </w:r>
      <w:r>
        <w:fldChar w:fldCharType="separate"/>
      </w:r>
      <w:r w:rsidR="00967900" w:rsidRPr="00967900">
        <w:t>(Kwan, 2007)</w:t>
      </w:r>
      <w:r>
        <w:fldChar w:fldCharType="end"/>
      </w:r>
      <w:r>
        <w:t>. These examples reflect Leibniz’s theory of space composed of topological relationships between objects and events.</w:t>
      </w:r>
    </w:p>
    <w:p w14:paraId="1BDCC63D" w14:textId="73B6F633" w:rsidR="00564BEF" w:rsidRDefault="00564BEF" w:rsidP="00156BEA">
      <w:pPr>
        <w:spacing w:line="480" w:lineRule="auto"/>
        <w:ind w:firstLine="720"/>
      </w:pPr>
      <w:r>
        <w:t xml:space="preserve">Some researchers also consider the subjective experiences shaping access as calculated spatial accessibility measures inadequately capture how people “perceive their potential to participate in spatially dispersed opportunities” </w:t>
      </w:r>
      <w:r>
        <w:fldChar w:fldCharType="begin"/>
      </w:r>
      <w:r>
        <w:instrText xml:space="preserve"> ADDIN ZOTERO_ITEM CSL_CITATION {"citationID":"1jZh7eSU","properties":{"formattedCitation":"(Pot et al., 2021, p. Abstract)","plainCitation":"(Pot et al., 2021, p. Abstract)","dontUpdate":true,"noteIndex":0},"citationItems":[{"id":1195,"uris":["http://zotero.org/users/5090392/items/WEWGP49U"],"itemData":{"id":1195,"type":"article-journal","abstract":"Accessibility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locator":"Abstract"}],"schema":"https://github.com/citation-style-language/schema/raw/master/csl-citation.json"} </w:instrText>
      </w:r>
      <w:r>
        <w:fldChar w:fldCharType="separate"/>
      </w:r>
      <w:r w:rsidRPr="00B7575A">
        <w:t>(Pot et al., 2021, Abstract)</w:t>
      </w:r>
      <w:r>
        <w:fldChar w:fldCharType="end"/>
      </w:r>
      <w:r>
        <w:t xml:space="preserve">. This sentiment echoes Kant </w:t>
      </w:r>
      <w:r>
        <w:fldChar w:fldCharType="begin"/>
      </w:r>
      <w:r>
        <w:instrText xml:space="preserve"> ADDIN ZOTERO_ITEM CSL_CITATION {"citationID":"0bi0paiz","properties":{"formattedCitation":"(1992, p. 402)","plainCitation":"(1992, p. 402)","noteIndex":0},"citationItems":[{"id":1203,"uris":["http://zotero.org/users/5090392/items/43S3WD3B"],"itemData":{"id":1203,"type":"chapter","container-title":"Theoretical Philosophy: 1755-1770","event-place":"Cambridge","publisher":"Cambridge University Press","publisher-place":"Cambridge","title":"On the Form and Principles of the Sensible and the Intelligble World [Inaugural Dissertation]","author":[{"family":"Kant","given":"Immanuel"}],"translator":[{"family":"Walford","given":"David"},{"family":"Meerbote","given":"Ralf"}],"issued":{"date-parts":[["1992"]]}},"locator":"402","suppress-author":true}],"schema":"https://github.com/citation-style-language/schema/raw/master/csl-citation.json"} </w:instrText>
      </w:r>
      <w:r>
        <w:fldChar w:fldCharType="separate"/>
      </w:r>
      <w:r w:rsidR="00967900" w:rsidRPr="00967900">
        <w:t>(1992, p. 402)</w:t>
      </w:r>
      <w:r>
        <w:fldChar w:fldCharType="end"/>
      </w:r>
      <w:r>
        <w:t xml:space="preserve">’s metaphysical notion of space as </w:t>
      </w:r>
      <w:r w:rsidRPr="00AD586B">
        <w:t>“not something objective and real, nor a substance, nor an accident, nor a relation; instead, it is subjective and ideal, and originates from the mind’s nature</w:t>
      </w:r>
      <w:r>
        <w:t>.</w:t>
      </w:r>
      <w:r w:rsidRPr="00AD586B">
        <w:t>”</w:t>
      </w:r>
      <w:r>
        <w:t xml:space="preserve"> With some exceptions (e.g., utility-based), most accessibility measures assume a homogeneous set of preferences by the studied population.</w:t>
      </w:r>
      <w:r w:rsidR="00A6095A">
        <w:t xml:space="preserve"> </w:t>
      </w:r>
      <w:commentRangeStart w:id="19"/>
      <w:commentRangeStart w:id="20"/>
      <w:r w:rsidR="001861B8">
        <w:t xml:space="preserve">Including human perceptions in </w:t>
      </w:r>
      <w:r w:rsidR="00EF5123">
        <w:t>accessibility measures</w:t>
      </w:r>
      <w:r>
        <w:t xml:space="preserve"> is a challenge requiring greater attention </w:t>
      </w:r>
      <w:r>
        <w:fldChar w:fldCharType="begin"/>
      </w:r>
      <w:r>
        <w:instrText xml:space="preserve"> ADDIN ZOTERO_ITEM CSL_CITATION {"citationID":"176eRvE4","properties":{"formattedCitation":"(van Wee, 2016)","plainCitation":"(van Wee, 2016)","noteIndex":0},"citationItems":[{"id":1132,"uris":["http://zotero.org/users/5090392/items/QTGRMWJS"],"itemData":{"id":1132,"type":"article-journal","abstract":"Accessibility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fldChar w:fldCharType="separate"/>
      </w:r>
      <w:r w:rsidR="00967900" w:rsidRPr="00967900">
        <w:t>(van Wee, 2016)</w:t>
      </w:r>
      <w:r>
        <w:fldChar w:fldCharType="end"/>
      </w:r>
      <w:r>
        <w:t xml:space="preserve"> </w:t>
      </w:r>
      <w:r>
        <w:lastRenderedPageBreak/>
        <w:t xml:space="preserve">especially because individuals vary in their perception and evaluation of the land-use and transport system, contingent upon their cognitive abilities, experiences, value system, capabilities, and tastes </w:t>
      </w:r>
      <w:r>
        <w:fldChar w:fldCharType="begin"/>
      </w:r>
      <w:r w:rsidR="00753723">
        <w:instrText xml:space="preserve"> ADDIN ZOTERO_ITEM CSL_CITATION {"citationID":"wB8x4tGb","properties":{"formattedCitation":"(E. J. Miller, 2018)","plainCitation":"(E. J. Miller, 2018)","noteIndex":0},"citationItems":[{"id":864,"uris":["http://zotero.org/users/5090392/items/LRC4Z6TH"],"itemData":{"id":864,"type":"article-journal","container-title":"Transport Reviews","DOI":"10.1080/01441647.2018.1492778","ISSN":"0144-1647","issue":"5","note":"publisher: Routledge\n_eprint: https://doi.org/10.1080/01441647.2018.1492778","page":"551-555","source":"Taylor and Francis+NEJM","title":"Accessibility: measurement and application in transportation planning","title-short":"Accessibility","URL":"https://doi.org/10.1080/01441647.2018.1492778","volume":"38","author":[{"family":"Miller","given":"Eric J."}],"accessed":{"date-parts":[["2021",2,18]]},"issued":{"date-parts":[["2018",9,3]]}}}],"schema":"https://github.com/citation-style-language/schema/raw/master/csl-citation.json"} </w:instrText>
      </w:r>
      <w:r>
        <w:fldChar w:fldCharType="separate"/>
      </w:r>
      <w:r w:rsidR="00967900" w:rsidRPr="00967900">
        <w:t>(Miller, 2018)</w:t>
      </w:r>
      <w:r>
        <w:fldChar w:fldCharType="end"/>
      </w:r>
      <w:r>
        <w:t xml:space="preserve">. </w:t>
      </w:r>
      <w:r w:rsidR="00EF5123">
        <w:t xml:space="preserve">As </w:t>
      </w:r>
      <w:r w:rsidR="00DE4A2B">
        <w:t xml:space="preserve">Morris et al. </w:t>
      </w:r>
      <w:r w:rsidR="00EF5123">
        <w:fldChar w:fldCharType="begin"/>
      </w:r>
      <w:r w:rsidR="00EF5123">
        <w:instrText xml:space="preserve"> ADDIN ZOTERO_ITEM CSL_CITATION {"citationID":"UlTwffwl","properties":{"formattedCitation":"(1979)","plainCitation":"(1979)","noteIndex":0},"citationItems":[{"id":1898,"uris":["http://zotero.org/users/5090392/items/HUC3QS2T"],"itemData":{"id":1898,"type":"article-journal","abstract":"Both perceptual and measurable specifications of accessibility are reviewed and their relevance to transport planning established. The wide variety of analytical forms which can be used to quantify different aspects of accessibility are categorised and grouped by conceptual basis. The different forms of accessibility index are then related to underlying theories which link consumer demand, evaluation and accessibility.","container-title":"Transportation Research Part A: General","DOI":"10.1016/0191-2607(79)90012-8","ISSN":"0191-2607","issue":"2","journalAbbreviation":"Transportation Research Part A: General","language":"en","page":"91-109","source":"ScienceDirect","title":"Accessibility indicators for transport planning","URL":"https://www.sciencedirect.com/science/article/pii/0191260779900128","volume":"13","author":[{"family":"Morris","given":"J. M."},{"family":"Dumble","given":"P. L."},{"family":"Wigan","given":"M. R."}],"accessed":{"date-parts":[["2022",8,18]]},"issued":{"date-parts":[["1979",4,1]]}},"label":"page","suppress-author":true}],"schema":"https://github.com/citation-style-language/schema/raw/master/csl-citation.json"} </w:instrText>
      </w:r>
      <w:r w:rsidR="00EF5123">
        <w:fldChar w:fldCharType="separate"/>
      </w:r>
      <w:r w:rsidR="00967900" w:rsidRPr="00967900">
        <w:t>(1979)</w:t>
      </w:r>
      <w:r w:rsidR="00EF5123">
        <w:fldChar w:fldCharType="end"/>
      </w:r>
      <w:r w:rsidR="00DE4A2B">
        <w:t xml:space="preserve"> and other behavioral geographers in the 1970s and 1980s recognized, </w:t>
      </w:r>
      <w:r w:rsidR="00242171">
        <w:t>people travel because of their desire to participate in activities</w:t>
      </w:r>
      <w:r w:rsidR="00681D59">
        <w:t>.</w:t>
      </w:r>
      <w:r w:rsidR="00DE4A2B">
        <w:t xml:space="preserve"> </w:t>
      </w:r>
      <w:commentRangeEnd w:id="19"/>
      <w:r w:rsidR="008153BD">
        <w:rPr>
          <w:rStyle w:val="CommentReference"/>
        </w:rPr>
        <w:commentReference w:id="19"/>
      </w:r>
      <w:commentRangeEnd w:id="20"/>
      <w:r w:rsidR="008153BD">
        <w:rPr>
          <w:rStyle w:val="CommentReference"/>
        </w:rPr>
        <w:commentReference w:id="20"/>
      </w:r>
      <w:r>
        <w:t xml:space="preserve">The mental experiences of people can complement understanding of access derived from calculated assessments of spatial accessibility measures </w:t>
      </w:r>
      <w:r>
        <w:fldChar w:fldCharType="begin"/>
      </w:r>
      <w:r>
        <w:instrText xml:space="preserve"> ADDIN ZOTERO_ITEM CSL_CITATION {"citationID":"GWlloW2E","properties":{"formattedCitation":"(Dijst, 2004)","plainCitation":"(Dijst, 2004)","noteIndex":0},"citationItems":[{"id":1575,"uris":["http://zotero.org/users/5090392/items/EDRP93QU"],"itemData":{"id":1575,"type":"chapter","abstract":"Personal computers, mobile phones and the Internet are conquering the world apace. A few figures will illustrate this. Mokhtarian (1998) estimates that, at present, about 6 percent of the American workforce is telecommuting, while Nilles (1995) forecasts that, in the year 2020, 60 million American full-time employees will telecommute full-time or part-time. In 2001, the revenues of worldwide e-commerce were US$ 400 billions, probably 20 percent of which can be classified as business-to-consumer traffic. The revenue in the year 2003 is estimated at US$ 1.3 trillion (Golob and Regan 2001). Viswanathan and Goulias (2001) expect 15 percent to 20 percent of all shopping in 2010 in the USA to be labelled as e-commerce. These developments are being equipped technologically by faster and cheaper microchips, increased transmission speeds on the Internet, growth in the number of web pages on the Internet, small and portable wireless equipment, and so forth, (Golob and Regan 2001).","container-title":"Transport Developments and Innovations in an Evolving World","event-place":"Berlin, Heidelberg","ISBN":"978-3-540-24827-9","language":"en","note":"DOI: 10.1007/978-3-540-24827-9_3","page":"27-46","publisher":"Springer","publisher-place":"Berlin, Heidelberg","source":"Springer Link","title":"ICTs and Accessibility: An Action Space Perspective on the Impact of New Information and Communication Technologies","title-short":"ICTs and Accessibility","URL":"https://doi.org/10.1007/978-3-540-24827-9_3","author":[{"family":"Dijst","given":"Martin"}],"editor":[{"family":"Beuthe","given":"Michel"},{"family":"Himanen","given":"Veli"},{"family":"Reggiani","given":"Aura"},{"family":"Zamparini","given":"Luca"}],"accessed":{"date-parts":[["2022",4,5]]},"issued":{"date-parts":[["2004"]]}}}],"schema":"https://github.com/citation-style-language/schema/raw/master/csl-citation.json"} </w:instrText>
      </w:r>
      <w:r>
        <w:fldChar w:fldCharType="separate"/>
      </w:r>
      <w:r w:rsidR="00967900" w:rsidRPr="00967900">
        <w:t>(Dijst, 2004)</w:t>
      </w:r>
      <w:r>
        <w:fldChar w:fldCharType="end"/>
      </w:r>
      <w:r>
        <w:t>.</w:t>
      </w:r>
    </w:p>
    <w:p w14:paraId="7FADCD20" w14:textId="77777777" w:rsidR="00564BEF" w:rsidRPr="00D6111A" w:rsidRDefault="00564BEF" w:rsidP="00156BEA">
      <w:pPr>
        <w:spacing w:line="480" w:lineRule="auto"/>
        <w:ind w:firstLine="720"/>
      </w:pPr>
      <w:r>
        <w:t>Conceptualizing access beyond the conventional absolute space paradigm enables for a deeper investigation into the complexities of human spatial behavior driven by more than just physical attributes. The space-place (</w:t>
      </w:r>
      <w:proofErr w:type="spellStart"/>
      <w:r w:rsidRPr="00AD586B">
        <w:t>splatial</w:t>
      </w:r>
      <w:proofErr w:type="spellEnd"/>
      <w:r>
        <w:t>)</w:t>
      </w:r>
      <w:r w:rsidRPr="00AD586B">
        <w:t xml:space="preserve"> framework </w:t>
      </w:r>
      <w:r w:rsidRPr="00AD586B">
        <w:fldChar w:fldCharType="begin"/>
      </w:r>
      <w:r>
        <w:instrText xml:space="preserve"> ADDIN ZOTERO_ITEM CSL_CITATION {"citationID":"zkYX2D5H","properties":{"formattedCitation":"(Shaw &amp; Sui, 2018, 2019)","plainCitation":"(Shaw &amp; Sui, 2018, 2019)","dontUpdate":true,"noteIndex":0},"citationItems":[{"id":1060,"uris":["http://zotero.org/users/5090392/items/MYCHI4Q5"],"itemData":{"id":1060,"type":"article-journal","abstract":"An introduction is presented in which the editor discusses various articles within the issue on topics including human dynamics research status; data bias in human dynamic</w:instrText>
      </w:r>
      <w:r>
        <w:rPr>
          <w:rFonts w:hint="eastAsia"/>
        </w:rPr>
        <w:instrText>s research; and effect of data collection duration and sample size on reliability of using location</w:instrText>
      </w:r>
      <w:r>
        <w:rPr>
          <w:rFonts w:hint="eastAsia"/>
        </w:rPr>
        <w:instrText>‐</w:instrText>
      </w:r>
      <w:r>
        <w:rPr>
          <w:rFonts w:hint="eastAsia"/>
        </w:rPr>
        <w:instrText>based social media.","container-title":"Transactions in GIS","DOI":"10.1111/tgis.12474","ISSN":"13611682","issue":"4","journalAbbreviation":"Transactions i</w:instrText>
      </w:r>
      <w:r>
        <w:instrText xml:space="preserve">n GIS","note":"publisher: Wiley-Blackwell","page":"891-899","source":"EBSCOhost","title":"Editorial: GIScience for human dynamics research in a changing world","title-short":"Editorial","URL":"https://login.proxy.lib.utk.edu/login?url=https://search.ebscohost.com/login.aspx?direct=true&amp;db=bsu&amp;AN=131480819&amp;site=ehost-live&amp;scope=site","volume":"22","author":[{"family":"Shaw","given":"Shih-Lung"},{"family":"Sui","given":"Daniel"}],"accessed":{"date-parts":[["2021",4,8]]},"issued":{"date-parts":[["2018",8]]}}},{"id":335,"uris":["http://zotero.org/users/5090392/items/Q85RS2WV"],"itemData":{"id":335,"type":"article-journal","abstract":"The smart technologies led by advances in artificial intelligence, machine learning, and the emerging data science in recent years are transforming many facets of society in profound ways. One of these affected areas is the experience of human dynamics in general and human mobility in particular with the growing maturity of smart technologies. The goal of this article is to critically examine the concepts of space and place in geography in general and in geographic information science (GIScience) in particular so that intelligent geographic information systems incorporating concepts of smart space and smart place can be developed to support human dynamics research. We argue that the current discussions on smart technologies are conceptually constrained due to their confinement to absolute space and physical place. By engaging research on smart technologies with geography and GIScience, we seek to move beyond the crude, and often simplistic, conceptualizations of space and place by synthesizing the multiple dimensions of both space and place. By doing so, we can better understand human dynamics through a synergistic perspective of both space and place. The space–place (splatial) framework proposed in this article will enable us to creatively study the human dynamics in the age of smart technologies. Our approach will not only allow us to better understand human dynamics but also advance and enrich our theoretical and methodological frameworks for studying smart technologies and the profound social impacts from a geographic perspective. Challenges for the implementation of the proposed framework are discussed and directions for future research are highlighted. Key Words: GIScience, human dynamics, place, space, splatial framework.","container-title":"Annals of the American Association of Geographers","DOI":"10.1080/24694452.2019.1631145","ISSN":"2469-4452","issue":"0","page":"339-348","source":"Taylor and Francis+NEJM","title":"Understanding the New Human Dynamics in Smart Spaces and Places: Toward a Splatial Framework","title-short":"Understanding the New Human Dynamics in Smart Spaces and Places","URL":"https://doi.org/10.1080/24694452.2019.1631145","volume":"0","author":[{"family":"Shaw","given":"Shih-Lung"},{"family":"Sui","given":"Daniel"}],"accessed":{"date-parts":[["2019",10,19]]},"issued":{"date-parts":[["2020",3]]}}}],"schema":"https://github.com/citation-style-language/schema/raw/master/csl-citation.json"} </w:instrText>
      </w:r>
      <w:r w:rsidRPr="00AD586B">
        <w:fldChar w:fldCharType="separate"/>
      </w:r>
      <w:r w:rsidRPr="007F46C3">
        <w:t>(Shaw &amp; Sui, 2018, 20</w:t>
      </w:r>
      <w:r>
        <w:t>20</w:t>
      </w:r>
      <w:r w:rsidRPr="007F46C3">
        <w:t>)</w:t>
      </w:r>
      <w:r w:rsidRPr="00AD586B">
        <w:fldChar w:fldCharType="end"/>
      </w:r>
      <w:r w:rsidRPr="00AD586B">
        <w:t xml:space="preserve"> describes </w:t>
      </w:r>
      <w:r>
        <w:t>four</w:t>
      </w:r>
      <w:r w:rsidRPr="00AD586B">
        <w:t xml:space="preserve"> conceptualizations of space</w:t>
      </w:r>
      <w:r>
        <w:t xml:space="preserve"> paralleling the different aforementioned perspectives in access and spatial accessibility research,</w:t>
      </w:r>
      <w:r w:rsidRPr="00D6111A">
        <w:t xml:space="preserve"> summarized </w:t>
      </w:r>
      <w:r>
        <w:t>below</w:t>
      </w:r>
      <w:r w:rsidRPr="00D6111A">
        <w:t>:</w:t>
      </w:r>
    </w:p>
    <w:p w14:paraId="49A342F4" w14:textId="77777777" w:rsidR="00564BEF" w:rsidRPr="00AD586B" w:rsidRDefault="00564BEF" w:rsidP="00156BEA">
      <w:pPr>
        <w:pStyle w:val="ListParagraph"/>
        <w:numPr>
          <w:ilvl w:val="0"/>
          <w:numId w:val="10"/>
        </w:numPr>
        <w:spacing w:line="480" w:lineRule="auto"/>
        <w:rPr>
          <w:sz w:val="20"/>
          <w:szCs w:val="20"/>
        </w:rPr>
      </w:pPr>
      <w:r w:rsidRPr="00AD586B">
        <w:rPr>
          <w:sz w:val="20"/>
          <w:szCs w:val="20"/>
        </w:rPr>
        <w:t>“</w:t>
      </w:r>
      <w:r w:rsidRPr="00AD586B">
        <w:rPr>
          <w:i/>
          <w:iCs/>
          <w:sz w:val="20"/>
          <w:szCs w:val="20"/>
        </w:rPr>
        <w:t>Absolute space</w:t>
      </w:r>
      <w:r w:rsidRPr="00AD586B">
        <w:rPr>
          <w:sz w:val="20"/>
          <w:szCs w:val="20"/>
        </w:rPr>
        <w:t xml:space="preserve"> works with absolute locations in space and focuses on questions such as ‘Where are the different objects?’</w:t>
      </w:r>
    </w:p>
    <w:p w14:paraId="174C6E13" w14:textId="77777777" w:rsidR="00564BEF" w:rsidRPr="00AD586B" w:rsidRDefault="00564BEF" w:rsidP="00156BEA">
      <w:pPr>
        <w:pStyle w:val="ListParagraph"/>
        <w:numPr>
          <w:ilvl w:val="0"/>
          <w:numId w:val="10"/>
        </w:numPr>
        <w:spacing w:line="480" w:lineRule="auto"/>
        <w:rPr>
          <w:sz w:val="20"/>
          <w:szCs w:val="20"/>
        </w:rPr>
      </w:pPr>
      <w:r w:rsidRPr="00AD586B">
        <w:rPr>
          <w:i/>
          <w:iCs/>
          <w:sz w:val="20"/>
          <w:szCs w:val="20"/>
        </w:rPr>
        <w:t>Relative space</w:t>
      </w:r>
      <w:r w:rsidRPr="00AD586B">
        <w:rPr>
          <w:sz w:val="20"/>
          <w:szCs w:val="20"/>
        </w:rPr>
        <w:t xml:space="preserve"> works with relative locations to a fixed or moving object and focuses on questions such as ‘What is around us?’</w:t>
      </w:r>
    </w:p>
    <w:p w14:paraId="6A2783CD" w14:textId="77777777" w:rsidR="00564BEF" w:rsidRPr="00AD586B" w:rsidRDefault="00564BEF" w:rsidP="00156BEA">
      <w:pPr>
        <w:pStyle w:val="ListParagraph"/>
        <w:numPr>
          <w:ilvl w:val="0"/>
          <w:numId w:val="10"/>
        </w:numPr>
        <w:spacing w:line="480" w:lineRule="auto"/>
        <w:rPr>
          <w:sz w:val="20"/>
          <w:szCs w:val="20"/>
        </w:rPr>
      </w:pPr>
      <w:r w:rsidRPr="00AD586B">
        <w:rPr>
          <w:i/>
          <w:iCs/>
          <w:sz w:val="20"/>
          <w:szCs w:val="20"/>
        </w:rPr>
        <w:t>Relational space</w:t>
      </w:r>
      <w:r w:rsidRPr="00AD586B">
        <w:rPr>
          <w:sz w:val="20"/>
          <w:szCs w:val="20"/>
        </w:rPr>
        <w:t xml:space="preserve"> works with relations to other objects and focuses on questions such as ‘What is related to us?’</w:t>
      </w:r>
    </w:p>
    <w:p w14:paraId="08F83275" w14:textId="0F0B437F" w:rsidR="00564BEF" w:rsidRDefault="00564BEF" w:rsidP="00156BEA">
      <w:pPr>
        <w:pStyle w:val="ListParagraph"/>
        <w:numPr>
          <w:ilvl w:val="0"/>
          <w:numId w:val="10"/>
        </w:numPr>
        <w:spacing w:line="480" w:lineRule="auto"/>
        <w:rPr>
          <w:sz w:val="20"/>
          <w:szCs w:val="20"/>
        </w:rPr>
      </w:pPr>
      <w:r w:rsidRPr="00AD586B">
        <w:rPr>
          <w:i/>
          <w:iCs/>
          <w:sz w:val="20"/>
          <w:szCs w:val="20"/>
        </w:rPr>
        <w:t>Mental space</w:t>
      </w:r>
      <w:r w:rsidRPr="00AD586B">
        <w:rPr>
          <w:sz w:val="20"/>
          <w:szCs w:val="20"/>
        </w:rPr>
        <w:t xml:space="preserve"> works with the cognitive and mental aspects of space and focuses on questions such as ‘What do people have in mind?’”</w:t>
      </w:r>
      <w:r>
        <w:rPr>
          <w:sz w:val="20"/>
          <w:szCs w:val="20"/>
        </w:rPr>
        <w:t xml:space="preserve"> </w:t>
      </w:r>
      <w:r>
        <w:rPr>
          <w:sz w:val="20"/>
          <w:szCs w:val="20"/>
        </w:rPr>
        <w:fldChar w:fldCharType="begin"/>
      </w:r>
      <w:r>
        <w:rPr>
          <w:sz w:val="20"/>
          <w:szCs w:val="20"/>
        </w:rPr>
        <w:instrText xml:space="preserve"> ADDIN ZOTERO_ITEM CSL_CITATION {"citationID":"Xh23kRhF","properties":{"formattedCitation":"(Shaw &amp; Sui, 2020, p. 343)","plainCitation":"(Shaw &amp; Sui, 2020, p. 343)","noteIndex":0},"citationItems":[{"id":335,"uris":["http://zotero.org/users/5090392/items/Q85RS2WV"],"itemData":{"id":335,"type":"article-journal","abstract":"The smart technologies led by advances in artificial intelligence, machine learning, and the emerging data science in recent years are transforming many facets of society in profound ways. One of these affected areas is the experience of human dynamics in general and human mobility in particular with the growing maturity of smart technologies. The goal of this article is to critically examine the concepts of space and place in geography in general and in geographic information science (GIScience) in particular so that intelligent geographic information systems incorporating concepts of smart space and smart place can be developed to support human dynamics research. We argue that the current discussions on smart technologies are conceptually constrained due to their confinement to absolute space and physical place. By engaging research on smart technologies with geography and GIScience, we seek to move beyond the crude, and often simplistic, conceptualizations of space and place by synthesizing the multiple dimensions of both space and place. By doing so, we can better understand human dynamics through a synergistic perspective of both space and place. The space–place (splatial) framework proposed in this article will enable us to creatively study the human dynamics in the age of smart technologies. Our approach will not only allow us to better understand human dynamics but also advance and enrich our theoretical and methodological frameworks for studying smart technologies and the profound social impacts from a geographic perspective. Challenges for the implementation of the proposed framework are discussed and directions for future research are highlighted. Key Words: GIScience, human dynamics, place, space, splatial framework.","container-title":"Annals of the American Association of Geographers","DOI":"10.1080/24694452.2019.1631145","ISSN":"2469-4452","issue":"0","page":"339-348","source":"Taylor and Francis+NEJM","title":"Understanding the New Human Dynamics in Smart Spaces and Places: Toward a Splatial Framework","title-short":"Understanding the New Human Dynamics in Smart Spaces and Places","URL":"https://doi.org/10.1080/24694452.2019.1631145","volume":"0","author":[{"family":"Shaw","given":"Shih-Lung"},{"family":"Sui","given":"Daniel"}],"accessed":{"date-parts":[["2019",10,19]]},"issued":{"date-parts":[["2020",3]]}},"locator":"343"}],"schema":"https://github.com/citation-style-language/schema/raw/master/csl-citation.json"} </w:instrText>
      </w:r>
      <w:r>
        <w:rPr>
          <w:sz w:val="20"/>
          <w:szCs w:val="20"/>
        </w:rPr>
        <w:fldChar w:fldCharType="separate"/>
      </w:r>
      <w:r w:rsidR="00967900" w:rsidRPr="00967900">
        <w:rPr>
          <w:sz w:val="20"/>
        </w:rPr>
        <w:t>(Shaw &amp; Sui, 2020, p. 343)</w:t>
      </w:r>
      <w:r>
        <w:rPr>
          <w:sz w:val="20"/>
          <w:szCs w:val="20"/>
        </w:rPr>
        <w:fldChar w:fldCharType="end"/>
      </w:r>
    </w:p>
    <w:p w14:paraId="54EC9181" w14:textId="77777777" w:rsidR="00D33628" w:rsidRDefault="00564BEF" w:rsidP="00156BEA">
      <w:pPr>
        <w:spacing w:line="480" w:lineRule="auto"/>
      </w:pPr>
      <w:r>
        <w:t>Their framework provides a coherent set of concepts of space to understand access. Researchers have separately considered different access dimensions from the perspective of fixed static locations, local environments, social relations, and human perceptions but we need to consider these perspectives simultaneously in today’s hybrid physical-virtual world.</w:t>
      </w:r>
    </w:p>
    <w:p w14:paraId="41FE4879" w14:textId="15490A36" w:rsidR="00D33628" w:rsidRPr="00A13D59" w:rsidRDefault="00D33628" w:rsidP="00A13D59">
      <w:pPr>
        <w:pStyle w:val="Heading2"/>
        <w:spacing w:after="240"/>
        <w:jc w:val="center"/>
        <w:rPr>
          <w:rFonts w:ascii="Times New Roman" w:hAnsi="Times New Roman" w:cs="Times New Roman"/>
          <w:color w:val="auto"/>
        </w:rPr>
      </w:pPr>
      <w:bookmarkStart w:id="21" w:name="_Toc114258037"/>
      <w:r w:rsidRPr="00A13D59">
        <w:rPr>
          <w:rFonts w:ascii="Times New Roman" w:hAnsi="Times New Roman" w:cs="Times New Roman"/>
          <w:b/>
          <w:bCs/>
          <w:color w:val="auto"/>
        </w:rPr>
        <w:lastRenderedPageBreak/>
        <w:t>2.</w:t>
      </w:r>
      <w:r w:rsidR="005013CA" w:rsidRPr="00A13D59">
        <w:rPr>
          <w:rFonts w:ascii="Times New Roman" w:hAnsi="Times New Roman" w:cs="Times New Roman"/>
          <w:b/>
          <w:bCs/>
          <w:color w:val="auto"/>
        </w:rPr>
        <w:t>5</w:t>
      </w:r>
      <w:r w:rsidRPr="00A13D59">
        <w:rPr>
          <w:rFonts w:ascii="Times New Roman" w:hAnsi="Times New Roman" w:cs="Times New Roman"/>
          <w:b/>
          <w:bCs/>
          <w:color w:val="auto"/>
        </w:rPr>
        <w:t xml:space="preserve">. </w:t>
      </w:r>
      <w:r w:rsidR="00076C0F">
        <w:rPr>
          <w:rFonts w:ascii="Times New Roman" w:hAnsi="Times New Roman" w:cs="Times New Roman"/>
          <w:b/>
          <w:bCs/>
          <w:color w:val="auto"/>
        </w:rPr>
        <w:t>FOOD ACCESS</w:t>
      </w:r>
      <w:r w:rsidR="00301749">
        <w:rPr>
          <w:rFonts w:ascii="Times New Roman" w:hAnsi="Times New Roman" w:cs="Times New Roman"/>
          <w:b/>
          <w:bCs/>
          <w:color w:val="auto"/>
        </w:rPr>
        <w:t xml:space="preserve"> AS A CASE STUDY</w:t>
      </w:r>
      <w:bookmarkEnd w:id="21"/>
    </w:p>
    <w:p w14:paraId="71A46C2F" w14:textId="4245CA93" w:rsidR="00B9071B" w:rsidRDefault="00B97563" w:rsidP="00156BEA">
      <w:pPr>
        <w:spacing w:line="480" w:lineRule="auto"/>
      </w:pPr>
      <w:r>
        <w:tab/>
      </w:r>
      <w:r w:rsidR="00DB39D2">
        <w:t>There is a need to</w:t>
      </w:r>
      <w:r w:rsidR="00262ED7">
        <w:t xml:space="preserve"> </w:t>
      </w:r>
      <w:r w:rsidR="00DB39D2">
        <w:t xml:space="preserve">holistically </w:t>
      </w:r>
      <w:r w:rsidR="00262ED7">
        <w:t xml:space="preserve">consider </w:t>
      </w:r>
      <w:r w:rsidR="00455BFE">
        <w:t>multiple spatial perspectives in un</w:t>
      </w:r>
      <w:r w:rsidR="00EE282F">
        <w:t xml:space="preserve">derstanding the </w:t>
      </w:r>
      <w:r w:rsidR="00D51044">
        <w:t xml:space="preserve">food </w:t>
      </w:r>
      <w:r w:rsidR="00EE282F">
        <w:t>opportunities accessible to people</w:t>
      </w:r>
      <w:r w:rsidR="00122ED2">
        <w:t>.</w:t>
      </w:r>
      <w:r w:rsidR="00DB39D2">
        <w:t xml:space="preserve"> </w:t>
      </w:r>
      <w:r w:rsidR="00C5691A">
        <w:t>Extant</w:t>
      </w:r>
      <w:r w:rsidR="005C65D5">
        <w:t xml:space="preserve"> </w:t>
      </w:r>
      <w:r w:rsidR="00B9071B">
        <w:t xml:space="preserve">food access </w:t>
      </w:r>
      <w:r w:rsidR="005C65D5">
        <w:t xml:space="preserve">research </w:t>
      </w:r>
      <w:r w:rsidR="00FB5550">
        <w:t xml:space="preserve">is </w:t>
      </w:r>
      <w:r w:rsidR="00B401ED">
        <w:t xml:space="preserve">often </w:t>
      </w:r>
      <w:r w:rsidR="00B9071B">
        <w:t xml:space="preserve">framed around the </w:t>
      </w:r>
      <w:r w:rsidR="00B401ED">
        <w:t xml:space="preserve">notion of </w:t>
      </w:r>
      <w:r w:rsidR="00B9071B">
        <w:t xml:space="preserve">‘food deserts,’ or socially distressed areas (e.g., low-income and impoverished neighborhoods) with few affordable and healthy food retail outlets </w:t>
      </w:r>
      <w:r w:rsidR="00B9071B">
        <w:fldChar w:fldCharType="begin"/>
      </w:r>
      <w:r w:rsidR="00B9071B">
        <w:instrText xml:space="preserve"> ADDIN ZOTERO_ITEM CSL_CITATION {"citationID":"eenMqidZ","properties":{"formattedCitation":"(Furey et al., 2001; Larson et al., 2009)","plainCitation":"(Furey et al., 2001; Larson et al., 2009)","noteIndex":0},"citationItems":[{"id":1819,"uris":["http://zotero.org/users/5090392/items/XP9HPXPR"],"itemData":{"id":1819,"type":"article-journal","abstract":"Food Deserts have recently beenidentified in the United Kingdom. They havebeen defined by Tessa Jowell, UK GovernmentHealth Minister, as an area ``where people donot have easy access to healthy, fresh foods,particularly if they are poor and have limitedmobility.'' The above definition is particularlyrelevant in Northern Ireland, where it isestimated that 32% of households do not haveeasy access to a car and it is recognized thatcertain groups in Northern Ireland are amongstthe poorest consumers in the United Kingdom.The phenomenon has been further exacerbated bythe effect of large grocery retailers locatingon the periphery of towns and the subsequentdisplacement effect of independent retailers inthe town center. The resultant effect is suchthat disadvantaged consumers cannot accessfresh, quality, nutritious foods at anaffordable price. Preliminary researchindicates that certain consumer groups areexcluded from equitable shopping provision –possibly to the detriment of their healthstatus. Research methodology includes aconsumer questionnaire, consumer focus groups,interviews, and comparative shopping exercisesthat confirm an inability among vulnerableconsumer groups to achieve an affordable,healthy diet. This was further complicated bynon-car owners' and lower-income family unitsneeding to shop locally and more frequentlythan their higher-income, car-ownercounterparts. This was demonstrated with theuse of shopping diaries. Future research to beconducted includes a large-scale survey acrossNorthern Ireland to ascertain accessibility,availability, and affordability of qualityfresh foods and to distinguish the consumergroups who are most vulnerable.","container-title":"Agriculture and Human Values","DOI":"10.1023/A:1015218502547","ISSN":"1572-8366","issue":"4","journalAbbreviation":"Agriculture and Human Values","language":"en","page":"447-457","source":"Springer Link","title":"An investigation of the potential existence of ``food deserts'' in rural and urban areas of Northern Ireland","URL":"https://doi.org/10.1023/A:1015218502547","volume":"18","author":[{"family":"Furey","given":"Sinéad"},{"family":"Strugnell","given":"Christopher"},{"family":"McIlveen","given":"Ms. Heather"}],"accessed":{"date-parts":[["2022",7,13]]},"issued":{"date-parts":[["2001",12,1]]}}},{"id":692,"uris":["http://zotero.org/users/5090392/items/A8Z4MWJ8"],"itemData":{"id":692,"type":"article-journal","abstract":"Background\nPoor dietary patterns and obesity, established risk factors for chronic disease, have been linked to neighborhood deprivation, neighborhood minority composition, and low area population density. Neighborhood differences in access to food may have an important influence on these relationships and health disparities in the U.S. This article reviews research relating to the presence, nature, and implications of neighborhood differences in access to food.\nMethods\nA snowball strategy was used to identify relevant research studies (n=54) completed in the U.S. and published between 1985 and April 2008.\nResults\nResearch suggests that neighborhood residents who have better access to supermarkets and limited access to convenience stores tend to have healthier diets and lower levels of obesity. Results from studies examining the accessibility of restaurants are less consistent, but there is some evidence to suggest that residents with limited access to fast-food restaurants have healthier diets and lower levels of obesity. National and local studies across the U.S. suggest that residents of low-income, minority, and rural neighborhoods are most often affected by poor access to supermarkets and healthful food. In contrast, the availability of fast-food restaurants and energy-dense foods has been found to be greater in lower-income and minority neighborhoods.\nConclusions\nNeighborhood disparities in access to food are of great concern because of their potential to influence dietary intake and obesity. Additional research is needed to address various limitations of current studies, identify effective policy actions, and evaluate intervention strategies designed to promote more equitable access to healthy foods.","container-title":"American Journal of Preventive Medicine","DOI":"10.1016/j.amepre.2008.09.025","ISSN":"0749-3797","issue":"1","journalAbbreviation":"American Journal of Preventive Medicine","language":"en","page":"74-81.e10","source":"ScienceDirect","title":"Neighborhood Environments: Disparities in Access to Healthy Foods in the U.S.","title-short":"Neighborhood Environments","URL":"http://www.sciencedirect.com/science/article/pii/S0749379708008386","volume":"36","author":[{"family":"Larson","given":"Nicole I."},{"family":"Story","given":"Mary T."},{"family":"Nelson","given":"Melissa C."}],"accessed":{"date-parts":[["2020",11,30]]},"issued":{"date-parts":[["2009",1,1]]}}}],"schema":"https://github.com/citation-style-language/schema/raw/master/csl-citation.json"} </w:instrText>
      </w:r>
      <w:r w:rsidR="00B9071B">
        <w:fldChar w:fldCharType="separate"/>
      </w:r>
      <w:r w:rsidR="00967900" w:rsidRPr="00967900">
        <w:t>(Furey et al., 2001; Larson et al., 2009)</w:t>
      </w:r>
      <w:r w:rsidR="00B9071B">
        <w:fldChar w:fldCharType="end"/>
      </w:r>
      <w:r w:rsidR="00B9071B">
        <w:t xml:space="preserve">. The term emerged in 1995 from a Scottish nutrition task force governmental publication on policies addressing the nutritional needs of low income groups </w:t>
      </w:r>
      <w:r w:rsidR="00B9071B">
        <w:fldChar w:fldCharType="begin"/>
      </w:r>
      <w:r w:rsidR="00B9071B">
        <w:instrText xml:space="preserve"> ADDIN ZOTERO_ITEM CSL_CITATION {"citationID":"ULIuXwaa","properties":{"formattedCitation":"(Cummins &amp; Macintyre, 2002)","plainCitation":"(Cummins &amp; Macintyre, 2002)","noteIndex":0},"citationItems":[{"id":1817,"uris":["http://zotero.org/users/5090392/items/WA3ZW4JX"],"itemData":{"id":1817,"type":"article-journal","container-title":"BMJ : British Medical Journal","ISSN":"0959-8138","issue":"7361","journalAbbreviation":"BMJ","note":"PMID: 12193363\nPMCID: PMC1123946","page":"436-438","source":"PubMed Central","title":"“Food deserts”—evidence and assumption in health policy making","URL":"https://www.ncbi.nlm.nih.gov/pmc/articles/PMC1123946/","volume":"325","author":[{"family":"Cummins","given":"Steven"},{"family":"Macintyre","given":"Sally"}],"accessed":{"date-parts":[["2022",7,13]]},"issued":{"date-parts":[["2002",8,24]]}}}],"schema":"https://github.com/citation-style-language/schema/raw/master/csl-citation.json"} </w:instrText>
      </w:r>
      <w:r w:rsidR="00B9071B">
        <w:fldChar w:fldCharType="separate"/>
      </w:r>
      <w:r w:rsidR="00967900" w:rsidRPr="00967900">
        <w:t>(Cummins &amp; Macintyre, 2002)</w:t>
      </w:r>
      <w:r w:rsidR="00B9071B">
        <w:fldChar w:fldCharType="end"/>
      </w:r>
      <w:r w:rsidR="00B9071B">
        <w:t xml:space="preserve"> and has been widely adopted by academics, politicians, and activists. </w:t>
      </w:r>
    </w:p>
    <w:p w14:paraId="0442B4EA" w14:textId="2B248E02" w:rsidR="00EE2241" w:rsidRDefault="00B9071B" w:rsidP="00156BEA">
      <w:pPr>
        <w:spacing w:line="480" w:lineRule="auto"/>
      </w:pPr>
      <w:r>
        <w:tab/>
        <w:t xml:space="preserve">Both the research community and governmental agencies have proposed several approaches to identify </w:t>
      </w:r>
      <w:proofErr w:type="spellStart"/>
      <w:r w:rsidR="005C65D5" w:rsidRPr="00B9071B">
        <w:t>sociospatial</w:t>
      </w:r>
      <w:proofErr w:type="spellEnd"/>
      <w:r w:rsidR="005C65D5" w:rsidRPr="00B9071B">
        <w:t xml:space="preserve"> disparities in public health and food systems (e.g., food insecurity, gender, racial, and class inequalities in the relationship between the food environment with dietary outcomes)</w:t>
      </w:r>
      <w:r w:rsidR="009A7CF3" w:rsidRPr="00B9071B">
        <w:t xml:space="preserve"> </w:t>
      </w:r>
      <w:r w:rsidR="009A7CF3" w:rsidRPr="00B9071B">
        <w:fldChar w:fldCharType="begin"/>
      </w:r>
      <w:r w:rsidR="00827101">
        <w:instrText xml:space="preserve"> ADDIN ZOTERO_ITEM CSL_CITATION {"citationID":"0X0BLbk6","properties":{"formattedCitation":"(R. E. Walker et al., 2010)","plainCitation":"(R. E. Walker et al., 2010)","noteIndex":0},"citationItems":[{"id":689,"uris":["http://zotero.org/users/5090392/items/8TQTXGRN"],"itemData":{"id":689,"type":"article-journal","abstract":"Increasingly, studies are focusing on the role the local food environment plays in residents’ ability to purchase affordable, healthy and nutritious foods. In a food desert, an area devoid of a supermarket, access to healthy food is limited. We conducted a systematic review of studies that focused on food access and food desert research in the United States. The 31 studies identified utilized 9 measures to assess food access. Results from these studies can be summarized primarily into four major statements. Findings from other countries offer insight into ways, in which future research, policy development and program implementation in the U.S. may continue to be explored.","container-title":"Health &amp; Place","DOI":"10.1016/j.healthplace.2010.04.013","ISSN":"1353-8292","issue":"5","journalAbbreviation":"Health &amp; Place","language":"en","page":"876-884","source":"ScienceDirect","title":"Disparities and access to healthy food in the United States: A review of food deserts literature","title-short":"Disparities and access to healthy food in the United States","URL":"http://www.sciencedirect.com/science/article/pii/S1353829210000584","volume":"16","author":[{"family":"Walker","given":"Renee E."},{"family":"Keane","given":"Christopher R."},{"family":"Burke","given":"Jessica G."}],"accessed":{"date-parts":[["2020",11,30]]},"issued":{"date-parts":[["2010",9,1]]}}}],"schema":"https://github.com/citation-style-language/schema/raw/master/csl-citation.json"} </w:instrText>
      </w:r>
      <w:r w:rsidR="009A7CF3" w:rsidRPr="00B9071B">
        <w:fldChar w:fldCharType="separate"/>
      </w:r>
      <w:r w:rsidR="00827101" w:rsidRPr="00827101">
        <w:t>(R. E. Walker et al., 2010)</w:t>
      </w:r>
      <w:r w:rsidR="009A7CF3" w:rsidRPr="00B9071B">
        <w:fldChar w:fldCharType="end"/>
      </w:r>
      <w:r w:rsidR="00263CC5" w:rsidRPr="00B9071B">
        <w:t>.</w:t>
      </w:r>
      <w:r>
        <w:t xml:space="preserve"> </w:t>
      </w:r>
      <w:r w:rsidR="00BC1B55">
        <w:t xml:space="preserve">Spatial accessibility to </w:t>
      </w:r>
      <w:r w:rsidR="00DD5893">
        <w:t xml:space="preserve">retail </w:t>
      </w:r>
      <w:r w:rsidR="00BC1B55">
        <w:t xml:space="preserve">food </w:t>
      </w:r>
      <w:r w:rsidR="00DD5893">
        <w:t>sources is often assessed with density-based measures or food store to population ratios</w:t>
      </w:r>
      <w:r w:rsidR="006348F7">
        <w:t xml:space="preserve"> </w:t>
      </w:r>
      <w:r w:rsidR="006348F7">
        <w:fldChar w:fldCharType="begin"/>
      </w:r>
      <w:r w:rsidR="006348F7">
        <w:instrText xml:space="preserve"> ADDIN ZOTERO_ITEM CSL_CITATION {"citationID":"O9G8LYUh","properties":{"formattedCitation":"(Apparicio et al., 2007)","plainCitation":"(Apparicio et al., 2007)","noteIndex":0},"citationItems":[{"id":877,"uris":["http://zotero.org/users/5090392/items/ABZW4BRG"],"itemData":{"id":877,"type":"article-journal","abstract":"Access to varied, healthy and inexpensive foods is an important public health concern that has been widely documented. Consequently, there is an increasing interest in identifying food deserts, that is, socially deprived areas within cities that have poor access to food retailers. In this paper we propose a methodology based on three measures of accessibility to supermarkets calculated using geographic information systems (GIS), and on exploratory multivariate statistical analysis (hierarchical cluster analysis), which we use to identify food deserts in Montréal.","container-title":"International Journal of Health Geographics","DOI":"10.1186/1476-072X-6-4","ISSN":"1476-072X","issue":"1","journalAbbreviation":"International Journal of Health Geographics","page":"4","source":"BioMed Central","title":"The case of Montréal's missing food deserts: Evaluation of accessibility to food supermarkets","title-short":"The case of Montréal's missing food deserts","URL":"https://doi.org/10.1186/1476-072X-6-4","volume":"6","author":[{"family":"Apparicio","given":"Philippe"},{"family":"Cloutier","given":"Marie-Soleil"},{"family":"Shearmur","given":"Richard"}],"accessed":{"date-parts":[["2021",2,18]]},"issued":{"date-parts":[["2007",2,12]]}}}],"schema":"https://github.com/citation-style-language/schema/raw/master/csl-citation.json"} </w:instrText>
      </w:r>
      <w:r w:rsidR="006348F7">
        <w:fldChar w:fldCharType="separate"/>
      </w:r>
      <w:r w:rsidR="00967900" w:rsidRPr="00967900">
        <w:t>(Apparicio et al., 2007)</w:t>
      </w:r>
      <w:r w:rsidR="006348F7">
        <w:fldChar w:fldCharType="end"/>
      </w:r>
      <w:r w:rsidR="00DD5893">
        <w:t xml:space="preserve">. </w:t>
      </w:r>
      <w:r>
        <w:t>The Food Access Research Atlas by the United States Department of Agriculture (USDA)</w:t>
      </w:r>
      <w:r w:rsidR="007D2B2F">
        <w:t xml:space="preserve"> </w:t>
      </w:r>
      <w:commentRangeStart w:id="22"/>
      <w:commentRangeStart w:id="23"/>
      <w:r w:rsidR="0052757D">
        <w:t>[</w:t>
      </w:r>
      <w:r w:rsidR="00572072" w:rsidRPr="00572072">
        <w:t>https://www.ers.usda.gov/data-products/food-access-research-atlas/go-to-the-atlas/</w:t>
      </w:r>
      <w:r w:rsidR="0052757D">
        <w:t xml:space="preserve">] </w:t>
      </w:r>
      <w:commentRangeEnd w:id="22"/>
      <w:r w:rsidR="00FE2585">
        <w:rPr>
          <w:rStyle w:val="CommentReference"/>
        </w:rPr>
        <w:commentReference w:id="22"/>
      </w:r>
      <w:commentRangeEnd w:id="23"/>
      <w:r w:rsidR="001F00A1">
        <w:rPr>
          <w:rStyle w:val="CommentReference"/>
        </w:rPr>
        <w:commentReference w:id="23"/>
      </w:r>
      <w:r>
        <w:t xml:space="preserve">is an interactive </w:t>
      </w:r>
      <w:r w:rsidR="00247851">
        <w:t xml:space="preserve">web </w:t>
      </w:r>
      <w:r>
        <w:t>GIS</w:t>
      </w:r>
      <w:r w:rsidR="00247851">
        <w:t xml:space="preserve"> platform built upon ArcGIS Server from Environmental Systems Research Inc. (Esri) that exemplifies </w:t>
      </w:r>
      <w:r w:rsidR="00330328">
        <w:t>a</w:t>
      </w:r>
      <w:r w:rsidR="00BC1B55">
        <w:t>nother</w:t>
      </w:r>
      <w:r w:rsidR="00330328">
        <w:t xml:space="preserve"> common and popular approach to identify areas of low food access </w:t>
      </w:r>
      <w:r w:rsidR="00330328">
        <w:fldChar w:fldCharType="begin"/>
      </w:r>
      <w:r w:rsidR="00330328">
        <w:instrText xml:space="preserve"> ADDIN ZOTERO_ITEM CSL_CITATION {"citationID":"oK6V0nBA","properties":{"formattedCitation":"(USDA Economic Research Service, 2019)","plainCitation":"(USDA Economic Research Service, 2019)","noteIndex":0},"citationItems":[{"id":875,"uris":["http://zotero.org/users/5090392/items/TWN8QTSP"],"itemData":{"id":875,"type":"webpage","container-title":"Food Access Research Atlas: Documentation","title":"USDA ERS - Documentation","URL":"https://www.ers.usda.gov/data-products/food-access-research-atlas/documentation/","author":[{"literal":"USDA Economic Research Service"}],"accessed":{"date-parts":[["2021",2,18]]},"issued":{"date-parts":[["2019",10,31]]}}}],"schema":"https://github.com/citation-style-language/schema/raw/master/csl-citation.json"} </w:instrText>
      </w:r>
      <w:r w:rsidR="00330328">
        <w:fldChar w:fldCharType="separate"/>
      </w:r>
      <w:r w:rsidR="00967900" w:rsidRPr="00967900">
        <w:t>(USDA Economic Research Service, 2019)</w:t>
      </w:r>
      <w:r w:rsidR="00330328">
        <w:fldChar w:fldCharType="end"/>
      </w:r>
      <w:r w:rsidR="00330328">
        <w:t>.</w:t>
      </w:r>
      <w:r w:rsidR="00C141E4">
        <w:t xml:space="preserve"> Users can interactively identify census tracts by their </w:t>
      </w:r>
      <w:r w:rsidR="00B056CC">
        <w:t xml:space="preserve">poverty and </w:t>
      </w:r>
      <w:r w:rsidR="000D110F">
        <w:t xml:space="preserve">median </w:t>
      </w:r>
      <w:r w:rsidR="00C141E4">
        <w:t xml:space="preserve">income level, Euclidean distance to </w:t>
      </w:r>
      <w:r w:rsidR="00FF1253">
        <w:t xml:space="preserve">the nearest </w:t>
      </w:r>
      <w:r w:rsidR="00C141E4">
        <w:t xml:space="preserve">supermarkets, </w:t>
      </w:r>
      <w:r w:rsidR="000D110F">
        <w:t xml:space="preserve">population residing in group quarters </w:t>
      </w:r>
      <w:r w:rsidR="00C141E4">
        <w:t xml:space="preserve">and </w:t>
      </w:r>
      <w:r w:rsidR="00FF1253">
        <w:t>availability of personal vehicles</w:t>
      </w:r>
      <w:r w:rsidR="000D110F">
        <w:t>.</w:t>
      </w:r>
      <w:r w:rsidR="00304AEA">
        <w:t xml:space="preserve"> Here, a census tract is designated as low access if a certain amount of the population</w:t>
      </w:r>
      <w:r w:rsidR="00225541">
        <w:t xml:space="preserve"> </w:t>
      </w:r>
      <w:r w:rsidR="00304AEA">
        <w:t>exceeding some threshold</w:t>
      </w:r>
      <w:r w:rsidR="000B2116">
        <w:t xml:space="preserve"> level</w:t>
      </w:r>
      <w:r w:rsidR="00304AEA">
        <w:t xml:space="preserve"> </w:t>
      </w:r>
      <w:commentRangeStart w:id="24"/>
      <w:commentRangeStart w:id="25"/>
      <w:r w:rsidR="00304AEA">
        <w:t>lives</w:t>
      </w:r>
      <w:commentRangeEnd w:id="24"/>
      <w:r w:rsidR="003E3144">
        <w:rPr>
          <w:rStyle w:val="CommentReference"/>
        </w:rPr>
        <w:commentReference w:id="24"/>
      </w:r>
      <w:commentRangeEnd w:id="25"/>
      <w:r w:rsidR="003E3144">
        <w:rPr>
          <w:rStyle w:val="CommentReference"/>
        </w:rPr>
        <w:commentReference w:id="25"/>
      </w:r>
      <w:r w:rsidR="00304AEA">
        <w:t xml:space="preserve"> farther than a specified distance from the nearest supermarket.</w:t>
      </w:r>
      <w:r w:rsidR="008D423B">
        <w:t xml:space="preserve"> GIS-based approaches like that of the USDA</w:t>
      </w:r>
      <w:r w:rsidR="00BC1B55">
        <w:t>’s distance-based measures and areal density-based measures</w:t>
      </w:r>
      <w:r w:rsidR="008D423B">
        <w:t xml:space="preserve"> are by far the </w:t>
      </w:r>
      <w:r w:rsidR="008D423B">
        <w:lastRenderedPageBreak/>
        <w:t>most popular approach to analyzing food access. Oth</w:t>
      </w:r>
      <w:r w:rsidR="008518B8">
        <w:t xml:space="preserve">er researchers have sought to improve </w:t>
      </w:r>
      <w:r w:rsidR="006D51E3">
        <w:t>measure</w:t>
      </w:r>
      <w:r w:rsidR="008F2545">
        <w:t>s</w:t>
      </w:r>
      <w:r w:rsidR="006D51E3">
        <w:t xml:space="preserve"> of food access by accounting for multimodal </w:t>
      </w:r>
      <w:r w:rsidR="00C56B05">
        <w:t xml:space="preserve">transportation </w:t>
      </w:r>
      <w:r w:rsidR="008F2545">
        <w:t xml:space="preserve">and calculating </w:t>
      </w:r>
      <w:r w:rsidR="00EE2241">
        <w:t xml:space="preserve">road </w:t>
      </w:r>
      <w:r w:rsidR="008F2545">
        <w:t xml:space="preserve">network-based distances </w:t>
      </w:r>
      <w:r w:rsidR="00C56B05">
        <w:t xml:space="preserve">(e.g., walking, transit, </w:t>
      </w:r>
      <w:r w:rsidR="00F1762E">
        <w:t>cycling</w:t>
      </w:r>
      <w:r w:rsidR="00066D25">
        <w:t>)</w:t>
      </w:r>
      <w:r w:rsidR="00EE2241">
        <w:t xml:space="preserve"> </w:t>
      </w:r>
      <w:r w:rsidR="00066D25">
        <w:fldChar w:fldCharType="begin"/>
      </w:r>
      <w:r w:rsidR="00066D25">
        <w:instrText xml:space="preserve"> ADDIN ZOTERO_ITEM CSL_CITATION {"citationID":"FeJfmKdx","properties":{"formattedCitation":"(Farber et al., 2014; Widener et al., 2015; Wood &amp; Horner, 2016)","plainCitation":"(Farber et al., 2014; Widener et al., 2015; Wood &amp; Horner, 2016)","noteIndex":0},"citationItems":[{"id":679,"uris":["http://zotero.org/users/5090392/items/ATULH466"],"itemData":{"id":679,"type":"article-journal","abstract":"Food desert studies attempt to identify geographic areas in which people lack access to sources of healthy food. While academic and policy research often defines access to food stores using simple Euclidean distance or road network metrics, dense urban areas with large public transit systems call for more sophisticated methods of determining access. It is particularly important to understand the level of access the transit-dependent population has to healthy food vendors, as their mobility is largely constrained by the routes and scheduling of their local public transportation system. In this study, we analyze public transit access to supermarkets in Cincinnati, Ohio. Using General Transit Feed Specification (GTFS) data from the Southwest Ohio Regional Transit Authority (SORTA) and the Transit Authority of Northern Kentucky (TANK) and custom ArcGIS tools, we calculate the time it takes to travel from each Cincinnati census block to its nearest supermarkets at different times of the day. This transit-travel-time matrix allows us to investigate food deserts that change shape based on the time of day considered and to calculate the temporal variability in block-level access. Also, by combining this time-dependent analysis with census data on race, income, and age, we search for disparities in average levels of accessibility. The results of this analysis identify the areas and subpopulations in Cincinnati with the greatest need for improved access to healthy food stores and will demonstrate how schedule-dependent transportation can be factored into measures of accessibility. Ultimately, this study paints a more complete and realistic picture of food deserts in Cincinnati and helps policy-makers better target interventions aimed at mitigating their effects.","container-title":"Applied Geography","DOI":"10.1016/j.apgeog.2014.06.012","ISSN":"0143-6228","journalAbbreviation":"Applied Geography","language":"en","page":"149-159","source":"ScienceDirect","title":"Temporal variability in transit-based accessibility to supermarkets","URL":"http://www.sciencedirect.com/science/article/pii/S0143622814001283","volume":"53","author":[{"family":"Farber","given":"Steven"},{"family":"Morang","given":"Melinda Z."},{"family":"Widener","given":"Michael J."}],"accessed":{"date-parts":[["2020",11,26]]},"issued":{"date-parts":[["2014",9,1]]}}},{"id":969,"uris":["http://zotero.org/users/5090392/items/ZPCCUHLC"],"itemData":{"id":969,"type":"article-journal","abstract":"Improving nutrition in urban regions involves understanding which neighborhoods and populations lack access to stores that sell healthy foods, such as fruits and vegetables. To this end, recent work has focused on mapping regions without access to places like supermarkets, often terming them ‘food deserts’. Until recently, this work has not considered residents’ mobility as facilitated by transportation systems, and even among those that do, few have considered alternative forms of transportation, like public transit, opting for automobile-oriented travel assumptions. This paper analyzes people’s spatio-temporal constraints to accessing supermarkets, and focuses on the transit commuting population. Analysis of commute data from Cincinnati, Ohio shows there are a significant number of residents that have improved access to supermarkets when a grocery shopping trip is made on the way home from work, than if they were to depart from their home location. These results extend previous work showing relatively few automobile commuting residents have better access to supermarkets given their work locations.","container-title":"Journal of Transport Geography","DOI":"10.1016/j.jtrangeo.2014.11.004","ISSN":"0966-6923","journalAbbreviation":"Journal of Transport Geography","language":"en","page":"72-83","source":"ScienceDirect","title":"Spatiotemporal accessibility to supermarkets using public transit: an interaction potential approach in Cincinnati, Ohio","title-short":"Spatiotemporal accessibility to supermarkets using public transit","URL":"https://www.sciencedirect.com/science/article/pii/S0966692314002403","volume":"42","author":[{"family":"Widener","given":"Michael J."},{"family":"Farber","given":"Steven"},{"family":"Neutens","given":"Tijs"},{"family":"Horner","given":"Mark"}],"accessed":{"date-parts":[["2021",3,3]]},"issued":{"date-parts":[["2015",1,1]]}}},{"id":1826,"uris":["http://zotero.org/users/5090392/items/EWEWM7XK"],"itemData":{"id":1826,"type":"article-journal","abstract":"Research suggests that spatial inaccessibility to food stores adversely affects the health status of individuals living in predominantly low income or racial minority geographic areas. Previous studies examining geographic accessibility to food stores have focused on defining ‘food deserts’ using a variety of methods to map and quantify inaccessibility. However, the ability to afford and purchase healthy food must also be considered, and a scan of recent research reveals few studies that have accounted for the role of government assistance programs and how this might impact people’s accessibility. In this paper, we analyze specific at-risk populations’ accessibility to Supplemental Nutrition Assistance Program (SNAP) accepting locations using GIS-based estimates of specific personal transportation costs. In the U.S., the SNAP program attempts to alleviate food insecurity among low-income groups who qualify for assistance. We focus on understanding the relative accessibility of potentially vulnerable demographic populations as captured at the Census block group level and their potential ability to reach SNAP accepting food store locations. A mid-sized city in Florida is used as a test case. Network-based approaches are employed using GIS to gauge accessibility in terms of walking, automobile, and public transit modes. Ultimately, we seek to better understand possible differences in accessibility across socioeconomic groups, emphasizing characteristics such as vehicle ownership, race, and income, while recognizing the importance of the SNAP program. Findings suggest that higher income, high vehicle access, and white populations are more accessible to food opportunities than lower income, low vehicle access, and African American populations and potential policy implications of this work include whether certain transportation costs should be subsidized for individuals receiving SNAP benefits.","container-title":"Applied Spatial Analysis and Policy","DOI":"10.1007/s12061-015-9138-2","ISSN":"1874-4621","issue":"3","journalAbbreviation":"Appl. Spatial Analysis","language":"en","page":"309-327","source":"Springer Link","title":"Understanding Accessibility to Snap-Accepting Food Store Locations: Disentangling the Roles of Transportation and Socioeconomic Status","title-short":"Understanding Accessibility to Snap-Accepting Food Store Locations","URL":"https://doi.org/10.1007/s12061-015-9138-2","volume":"9","author":[{"family":"Wood","given":"Brittany S."},{"family":"Horner","given":"Mark W."}],"accessed":{"date-parts":[["2022",7,18]]},"issued":{"date-parts":[["2016",9,1]]}}}],"schema":"https://github.com/citation-style-language/schema/raw/master/csl-citation.json"} </w:instrText>
      </w:r>
      <w:r w:rsidR="00066D25">
        <w:fldChar w:fldCharType="separate"/>
      </w:r>
      <w:r w:rsidR="00967900" w:rsidRPr="00967900">
        <w:t>(Farber et al., 2014; Widener et al., 2015; Wood &amp; Horner, 2016)</w:t>
      </w:r>
      <w:r w:rsidR="00066D25">
        <w:fldChar w:fldCharType="end"/>
      </w:r>
      <w:r w:rsidR="003033D1">
        <w:t xml:space="preserve"> or using travel time</w:t>
      </w:r>
      <w:r w:rsidR="003F0380">
        <w:t xml:space="preserve"> </w:t>
      </w:r>
      <w:r w:rsidR="003F0380">
        <w:fldChar w:fldCharType="begin"/>
      </w:r>
      <w:r w:rsidR="003F0380">
        <w:instrText xml:space="preserve"> ADDIN ZOTERO_ITEM CSL_CITATION {"citationID":"k4RPOzSU","properties":{"formattedCitation":"(Hamrick &amp; Hopkins, 2012)","plainCitation":"(Hamrick &amp; Hopkins, 2012)","noteIndex":0},"citationItems":[{"id":602,"uris":["http://zotero.org/users/5090392/items/QD8WYTHP"],"itemData":{"id":602,"type":"article-journal","abstract":"Time use diaries are rich in information, including where and when respondents travel from place to place.\nTravel estimates, as well as variety of contextual information on travel, can be generated from time use data.\nHowever, using the data for travel analysis is difficult and involves detailed understanding of how the data are\ncoded. Presented here is a methodology for estimating travel time using the time diaries from the 2003-07 American Time Use Survey. As an illustration of the methodology, the authors estimate travel time to grocery shopping. These estimates are of interest as a policy concern in the United States is whether or not some poor areas of\nthe country have access to supermarkets that offer the variety of foods needed for a healthy diet, and in particular, fresh fruits and vegetables. Neighborhoods that have limited access to supermarkets are referred to as “food\ndeserts.” The authors found that individuals living in low-income areas with limited supermarket access spend\nsignificantly more time (an average of 19.5 minutes) traveling to grocery shopping than the national average (15\nminutes), and in addition, they grocery shop less frequently, and they are more likely to be accompanied by\nchildren during travel to grocery shopping.","container-title":"International Journal of Time Use Research","DOI":"10.13085/eIJTUR.9.1.28-58","ISSN":"18609937","issue":"1","language":"en","page":"28-58","source":"Crossref","title":"The time cost of access to food - Distance to the grocery store as measured in minutes","URL":"https://www.eijtur.org/pdf/volumes/eIJTUR-9-1-2_Hamrick_Hopkins.pdf","volume":"9","author":[{"family":"Hamrick","given":"Karen S."},{"family":"Hopkins","given":"David"}],"accessed":{"date-parts":[["2020",7,14]]},"issued":{"date-parts":[["2012"]]}}}],"schema":"https://github.com/citation-style-language/schema/raw/master/csl-citation.json"} </w:instrText>
      </w:r>
      <w:r w:rsidR="003F0380">
        <w:fldChar w:fldCharType="separate"/>
      </w:r>
      <w:r w:rsidR="00967900" w:rsidRPr="00967900">
        <w:t>(Hamrick &amp; Hopkins, 2012)</w:t>
      </w:r>
      <w:r w:rsidR="003F0380">
        <w:fldChar w:fldCharType="end"/>
      </w:r>
      <w:r w:rsidR="003033D1">
        <w:t xml:space="preserve"> and cost distance</w:t>
      </w:r>
      <w:r w:rsidR="00534A0F">
        <w:t xml:space="preserve"> </w:t>
      </w:r>
      <w:r w:rsidR="00534A0F">
        <w:fldChar w:fldCharType="begin"/>
      </w:r>
      <w:r w:rsidR="00534A0F">
        <w:instrText xml:space="preserve"> ADDIN ZOTERO_ITEM CSL_CITATION {"citationID":"3W3Rr5jW","properties":{"formattedCitation":"(LeClair &amp; Aksan, 2014)","plainCitation":"(LeClair &amp; Aksan, 2014)","noteIndex":0},"citationItems":[{"id":1830,"uris":["http://zotero.org/users/5090392/items/JDGLDDR6"],"itemData":{"id":1830,"type":"article-journal","abstract":"As public and private resources are increasingly being directed towards the elimination of food deserts in urban areas, proper measurement of food access is essential. Amelioration has been approached through the use of farmers markets, virtual grocery stores, and corner store programs, but properly situating these assets in neighborhoods in need requires localized data on both the location and content of food outlets and the populations served. This paper examines the reliability of current techniques for identifying food deserts, and identifies some of the flaws in those approaches. Information derived from geographic information systems (GIS) mapping is the predominant means of determining food availability. In this study, food access in Bridgeport, CT, is examined utilizing both computer-based GIS mapping and on-the-ground observations. While the GIS output indicates generalized food accessibility issues, supplementation by survey data reduces the geographic extent of the food desert problem. Still, nearly 60,000 people (40 % of the population) reside in neighborhoods served only by small retailers who provide few healthy food options, and those at inflated prices. The high opportunity cost of travelling by bus to a major grocery store may outweigh the direct cost savings, and residents choose to consume locally available but unhealthy foods.","container-title":"Agriculture and Human Values","DOI":"10.1007/s10460-014-9501-y","ISSN":"1572-8366","issue":"4","journalAbbreviation":"Agric Hum Values","language":"en","page":"537-547","source":"Springer Link","title":"Redefining the food desert: combining GIS with direct observation to measure food access","title-short":"Redefining the food desert","URL":"https://doi.org/10.1007/s10460-014-9501-y","volume":"31","author":[{"family":"LeClair","given":"Mark S."},{"family":"Aksan","given":"Anna-Maria"}],"accessed":{"date-parts":[["2022",7,18]]},"issued":{"date-parts":[["2014",12,1]]}}}],"schema":"https://github.com/citation-style-language/schema/raw/master/csl-citation.json"} </w:instrText>
      </w:r>
      <w:r w:rsidR="00534A0F">
        <w:fldChar w:fldCharType="separate"/>
      </w:r>
      <w:r w:rsidR="00967900" w:rsidRPr="00967900">
        <w:t>(LeClair &amp; Aksan, 2014)</w:t>
      </w:r>
      <w:r w:rsidR="00534A0F">
        <w:fldChar w:fldCharType="end"/>
      </w:r>
      <w:r w:rsidR="003033D1">
        <w:t xml:space="preserve"> instead of conventional Euclidean distance</w:t>
      </w:r>
      <w:r w:rsidR="008F2545">
        <w:t>.</w:t>
      </w:r>
      <w:r w:rsidR="0023010E">
        <w:t xml:space="preserve"> </w:t>
      </w:r>
    </w:p>
    <w:p w14:paraId="5B462786" w14:textId="6501E3BC" w:rsidR="00B12964" w:rsidRDefault="001202A2" w:rsidP="00156BEA">
      <w:pPr>
        <w:spacing w:line="480" w:lineRule="auto"/>
        <w:ind w:firstLine="720"/>
      </w:pPr>
      <w:r>
        <w:t xml:space="preserve">But despite their popularity in research studies, these </w:t>
      </w:r>
      <w:r w:rsidR="00A40CE7">
        <w:t xml:space="preserve">conventional spatial accessibility </w:t>
      </w:r>
      <w:r>
        <w:t xml:space="preserve">approaches less consistently reveal significant relationships between aspects of the food environment with people’s dietary outcomes compared to other measures and approaches </w:t>
      </w:r>
      <w:r>
        <w:fldChar w:fldCharType="begin"/>
      </w:r>
      <w:r w:rsidR="00E81CB4">
        <w:instrText xml:space="preserve"> ADDIN ZOTERO_ITEM CSL_CITATION {"citationID":"c2wQMAo2","properties":{"formattedCitation":"(Caspi, Sorensen, et al., 2012)","plainCitation":"(Caspi, Sorensen, et al., 2012)","noteIndex":0},"citationItems":[{"id":712,"uris":["http://zotero.org/users/5090392/items/DNH6HFKZ"],"itemData":{"id":712,"type":"article-journal","abstract":"Despite growing attention to the problem of obesogenic environments, there has not been a comprehensive review evaluating the food environment–diet relationship. This study aims to evaluate this relationship in the current literature, focusing specifically on the method of exposure assessment (GIS, survey, or store audit). This study also explores 5 dimensions of “food access” (availability, accessibility, affordability, accommodation, acceptability) using a conceptual definition proposed by Penchansky and Thomas (1981). Articles were retrieved through a systematic keyword search in Web of Science and supplemented by the reference lists of included studies. Thirty-eight studies were reviewed and categorized by the exposure assessment method and the conceptual dimensions of access it captured. GIS-based measures were the most common measures, but were less consistently associated with diet than other measures. Few studies examined dimensions of affordability, accommodation, and acceptability. Because GIS-based measures on their own may not capture important non-geographic dimensions of access, a set of recommendations for future researchers is outlined.","container-title":"Health &amp; Place","DOI":"10.1016/j.healthplace.2012.05.006","ISSN":"1353-8292","issue":"5","journalAbbreviation":"Health &amp; Place","language":"en","page":"1172-1187","source":"ScienceDirect","title":"The local food environment and diet: A systematic review","title-short":"The local food environment and diet","URL":"http://www.sciencedirect.com/science/article/pii/S1353829212001037","volume":"18","author":[{"family":"Caspi","given":"Caitlin E."},{"family":"Sorensen","given":"Glorian"},{"family":"Subramanian","given":"S. V."},{"family":"Kawachi","given":"Ichiro"}],"accessed":{"date-parts":[["2020",12,9]]},"issued":{"date-parts":[["2012",9,1]]}}}],"schema":"https://github.com/citation-style-language/schema/raw/master/csl-citation.json"} </w:instrText>
      </w:r>
      <w:r>
        <w:fldChar w:fldCharType="separate"/>
      </w:r>
      <w:r w:rsidR="00967900" w:rsidRPr="00967900">
        <w:t>(Caspi, Sorensen, et al., 2012)</w:t>
      </w:r>
      <w:r>
        <w:fldChar w:fldCharType="end"/>
      </w:r>
      <w:r>
        <w:t>.</w:t>
      </w:r>
      <w:r w:rsidR="00A402D8">
        <w:t xml:space="preserve"> </w:t>
      </w:r>
      <w:r w:rsidR="005D45F2">
        <w:t>M</w:t>
      </w:r>
      <w:r>
        <w:t xml:space="preserve">ost </w:t>
      </w:r>
      <w:r w:rsidR="00A71B66">
        <w:t xml:space="preserve">are </w:t>
      </w:r>
      <w:r w:rsidR="00C14CFB">
        <w:t xml:space="preserve">static and </w:t>
      </w:r>
      <w:r w:rsidR="003415E6">
        <w:t xml:space="preserve">residential </w:t>
      </w:r>
      <w:r w:rsidR="00E5088D">
        <w:t>location</w:t>
      </w:r>
      <w:r w:rsidR="00A71B66">
        <w:t xml:space="preserve">-based and </w:t>
      </w:r>
      <w:r>
        <w:t xml:space="preserve">have technical limitations with their assumption of aggregate populations represented as geographic units that are not necessarily representative of the relevant and perceived food environments of individual residents </w:t>
      </w:r>
      <w:r>
        <w:fldChar w:fldCharType="begin"/>
      </w:r>
      <w:r w:rsidR="00222641">
        <w:instrText xml:space="preserve"> ADDIN ZOTERO_ITEM CSL_CITATION {"citationID":"6weaAWWX","properties":{"formattedCitation":"(X. Chen &amp; Kwan, 2015)","plainCitation":"(X. Chen &amp; Kwan, 2015)","noteIndex":0},"citationItems":[{"id":1138,"uris":["http://zotero.org/users/5090392/items/8EWGKPA4"],"itemData":{"id":1138,"type":"article-journal","abstract":"We examined the uncertainty of the contextual influences on food access through an analytic framework of the uncertain geographic context problem (UGCoP)., We first examined the compounding effects of two kinds of spatiotemporal uncertainties on people’s everyday efforts to procure food and then outlined three key dimensions (food access in real time, temporality of the food environment, and perceived nutrition environment) in which research on food access must improve to better represent the contributing environmental influences that operate at the individual level., Guidelines to address the UGCoP in future food access research are provided to account for the multidimensional influences of the food environment on dietary behaviors.","container-title":"American Journal of Public Health","DOI":"10.2105/AJPH.2015.302792","ISSN":"0090-0036","issue":"9","journalAbbreviation":"Am J Public Health","note":"PMID: 26180982\nPMCID: PMC4539815","page":"1734-1737","source":"PubMed Central","title":"Contextual Uncertainties, Human Mobility, and Perceived Food Environment: The Uncertain Geographic Context Problem in Food Access Research","title-short":"Contextual Uncertainties, Human Mobility, and Perceived Food Environment","URL":"https://www.ncbi.nlm.nih.gov/pmc/articles/PMC4539815/","volume":"105","author":[{"family":"Chen","given":"Xiang"},{"family":"Kwan","given":"Mei-Po"}],"accessed":{"date-parts":[["2021",9,15]]},"issued":{"date-parts":[["2015",9]]}}}],"schema":"https://github.com/citation-style-language/schema/raw/master/csl-citation.json"} </w:instrText>
      </w:r>
      <w:r>
        <w:fldChar w:fldCharType="separate"/>
      </w:r>
      <w:r w:rsidR="00967900" w:rsidRPr="00967900">
        <w:t>(Chen &amp; Kwan, 2015)</w:t>
      </w:r>
      <w:r>
        <w:fldChar w:fldCharType="end"/>
      </w:r>
      <w:r w:rsidR="00C45BAC">
        <w:t xml:space="preserve"> and can lead to misleading results</w:t>
      </w:r>
      <w:r>
        <w:t xml:space="preserve">. </w:t>
      </w:r>
      <w:r w:rsidRPr="00AD586B">
        <w:t xml:space="preserve">For example, related research on </w:t>
      </w:r>
      <w:r>
        <w:t>spatial</w:t>
      </w:r>
      <w:r w:rsidRPr="00AD586B">
        <w:t xml:space="preserve"> accessibility has found that the spatial unit of analysis can result in non-trivial errors because of issues such as the modifiable areal unit problem (MAUP) </w:t>
      </w:r>
      <w:r w:rsidRPr="00AD586B">
        <w:fldChar w:fldCharType="begin"/>
      </w:r>
      <w:r>
        <w:instrText xml:space="preserve"> ADDIN ZOTERO_ITEM CSL_CITATION {"citationID":"EAyz6fa6","properties":{"formattedCitation":"(Apparicio et al., 2008, 2017; Hewko et al., 2002)","plainCitation":"(Apparicio et al., 2008, 2017; Hewko et al., 2002)","noteIndex":0},"citationItems":[{"id":826,"uris":["http://zotero.org/users/5090392/items/PUZTKN87"],"itemData":{"id":826,"type":"article-journal","abstract":"Over the past two decades, geographical accessibility of urban resources for population living in residential areas has received an increased focus in urban health studies. Operationalising and computing geographical accessibility measures depend on a set of four parameters, namely definition of residential areas, a method of aggregation, a measure of accessibility, and a type of distance. Yet, the choice of these parameters may potentially generate different results leading to significant measurement errors.","container-title":"International Journal of Health Geographics","DOI":"10.1186/1476-072X-7-7","ISSN":"1476-072X","issue":"1","journalAbbreviation":"International Journal of Health Geographics","page":"7","source":"BioMed Central","title":"Comparing alternative approaches to measuring the geographical accessibility of urban health services: Distance types and aggregation-error issues","title-short":"Comparing alternative approaches to measuring the geographical accessibility of urban health services","URL":"https://doi.org/10.1186/1476-072X-7-7","volume":"7","author":[{"family":"Apparicio","given":"Philippe"},{"family":"Abdelmajid","given":"Mohamed"},{"family":"Riva","given":"Mylène"},{"family":"Shearmur","given":"Richard"}],"accessed":{"date-parts":[["2021",2,6]]},"issued":{"date-parts":[["2008",2,18]]}}},{"id":830,"uris":["http://zotero.org/users/5090392/items/XHFYA2ZA"],"itemData":{"id":830,"type":"article-journal","abstract":"The potential spatial access to urban health services is an important issue in health geography, spatial epidemiology and public health. Computing geographical accessibility measures for residential areas (e.g. census tracts) depends on a type of distance, a method of aggregation, and a measure of accessibility. The aim of this paper is to compare discrepancies in results for the geographical accessibility of health services computed using six distance types (Euclidean and Manhattan distances; shortest network time on foot, by bicycle, by public transit, and by car), four aggregation methods, and fourteen accessibility measures.","container-title":"International Journal of Health Geographics","DOI":"10.1186/s12942-017-0105-9","ISSN":"1476-072X","issue":"1","journalAbbreviation":"International Journal of Health Geographics","page":"32","source":"BioMed Central","title":"The approaches to measuring the potential spatial access to urban health services revisited: distance types and aggregation-error issues","title-short":"The approaches to measuring the potential spatial access to urban health services revisited","URL":"https://doi.org/10.1186/s12942-017-0105-9","volume":"16","author":[{"family":"Apparicio","given":"Philippe"},{"family":"Gelb","given":"Jérémy"},{"family":"Dubé","given":"Anne-Sophie"},{"family":"Kingham","given":"Simon"},{"family":"Gauvin","given":"Lise"},{"family":"Robitaille","given":"Éric"}],"accessed":{"date-parts":[["2021",2,6]]},"issued":{"date-parts":[["2017",8,23]]}}},{"id":829,"uris":["http://zotero.org/users/5090392/items/TUMRP7AT"],"itemData":{"id":829,"type":"article-journal","abstract":"Neighbourhood spatial accessibility (NSA) refers to the ease with which residents of a given neighbourhood can reach amenities. NSA indicators have been used to inform urban policy issues, such as amenity provision and spatial equity. NSA measures are, however, susceptible to numerous methodological problems. We investigate one methodological issue, aggregation error, as it relates to the measurement of NSA. Aggregation error arises when, for the purpose of distance calculations, a single point is used to represent a neighbourhood, which in turn represents an aggregation of spatially distributed individuals. NSA to three types of recreational amenities (playgrounds, community halls, and leisure centres) in Edmonton, Alberta, Canada is used to assess whether aggregation error affects NSA measures. The authors use exploratory spatial data analysis techniques, including local indicators of spatial association, to examine aggregation-error effects on NSA. By integrating finer resolution data into NSA measures, we demonstrate that aggregation error does affect NSA indicators, but that the effect depends on the type of amenity under investigation. Aggregation error is particularly problematic when measuring NSA to amenities that are abundant and have highly localized service areas, such as playgrounds. We recommend that, when analyzing NSA to these types of amenities, researchers integrate finer resolution data to indicate the spatial distribution of individuals within neighbourhoods better, and hence reduce aggregation error.","container-title":"Environment and Planning A: Economy and Space","DOI":"10.1068/a34171","ISSN":"0308-518X","issue":"7","journalAbbreviation":"Environ Plan A","language":"en","note":"publisher: SAGE Publications Ltd","page":"1185-1206","source":"SAGE Journals","title":"Measuring Neighbourhood Spatial Accessibility to Urban Amenities: Does Aggregation Error Matter?","title-short":"Measuring Neighbourhood Spatial Accessibility to Urban Amenities","URL":"https://doi.org/10.1068/a34171","volume":"34","author":[{"family":"Hewko","given":"Jared"},{"family":"Smoyer-Tomic","given":"Karen E"},{"family":"Hodgson","given":"M John"}],"accessed":{"date-parts":[["2021",2,6]]},"issued":{"date-parts":[["2002",7,1]]}}}],"schema":"https://github.com/citation-style-language/schema/raw/master/csl-citation.json"} </w:instrText>
      </w:r>
      <w:r w:rsidRPr="00AD586B">
        <w:fldChar w:fldCharType="separate"/>
      </w:r>
      <w:r w:rsidR="00967900" w:rsidRPr="00967900">
        <w:t>(Apparicio et al., 2008, 2017; Hewko et al., 2002)</w:t>
      </w:r>
      <w:r w:rsidRPr="00AD586B">
        <w:fldChar w:fldCharType="end"/>
      </w:r>
      <w:r w:rsidRPr="00AD586B">
        <w:t xml:space="preserve"> and edge effect </w:t>
      </w:r>
      <w:r w:rsidRPr="00AD586B">
        <w:fldChar w:fldCharType="begin"/>
      </w:r>
      <w:r w:rsidR="00222641">
        <w:instrText xml:space="preserve"> ADDIN ZOTERO_ITEM CSL_CITATION {"citationID":"NDTR3Z9h","properties":{"formattedCitation":"(X. Chen, 2017)","plainCitation":"(X. Chen, 2017)","noteIndex":0},"citationItems":[{"id":649,"uris":["http://zotero.org/users/5090392/items/P5HMJEWE"],"itemData":{"id":649,"type":"article-journal","abstract":"Measures of geographic food access overlook an important source of statistical biases, termed the edge effect. The edge effect refers to the fallacy that events contributing to the spatial pattern of an analysis unit may be outside of that unit; thus merely summarizing events within the unit may lead to distortion of the estimation. Food procurement activities can happen beyond existing administrative boundaries. Delineating food access using unit-based metrics may misrepresent the true space within which food stores are accessible. To overcome this problem, this paper proposes a gravity-based accessibility measure to improve unit-based statistical approaches in food access research. In addition, this method accounts for the spatial interaction between food supply (e.g., food items in stock) and demand (e.g., population) as well as how this interaction is mediated by the spatiotemporal separation (e.g., travel time, modality). The method is applied to the case of Franklin County, OH and has revealed the food access inequity for African Americans by modes of transport, including walking, biking, and driving. The analysis of the correlation between mode-speciﬁc food access and socioeconomic status (SES) variables reveals that using a single modality in food access research may not fully capture the travel behavior and its relationship with local food environments. With modiﬁcations, the proposed method can help evaluate food access for a target population group, such as Supplemental Nutrition Assistance Program (SNAP) users or selected ethnic minorities who may face acute difﬁculties in procuring economically affordable and culturally appropriate foods.","container-title":"Applied Geography","DOI":"10.1016/j.apgeog.2017.07.013","ISSN":"01436228","language":"en","page":"149-159","source":"Crossref","title":"Take the edge off: A hybrid geographic food access measure","title-short":"Take the edge off","URL":"https://linkinghub.elsevier.com/retrieve/pii/S014362281730173X","volume":"87","author":[{"family":"Chen","given":"Xiang"}],"accessed":{"date-parts":[["2020",11,12]]},"issued":{"date-parts":[["2017",10]]}}}],"schema":"https://github.com/citation-style-language/schema/raw/master/csl-citation.json"} </w:instrText>
      </w:r>
      <w:r w:rsidRPr="00AD586B">
        <w:fldChar w:fldCharType="separate"/>
      </w:r>
      <w:r w:rsidR="00967900" w:rsidRPr="00967900">
        <w:t>(Chen, 2017)</w:t>
      </w:r>
      <w:r w:rsidRPr="00AD586B">
        <w:fldChar w:fldCharType="end"/>
      </w:r>
      <w:r w:rsidRPr="00AD586B">
        <w:t xml:space="preserve">. MAUP describes two separate but related issues in spatial analysis: 1) the choice of spatial unit can affect the organization of data and interpretation of results and 2) results can differ between different aggregations of spatial units </w:t>
      </w:r>
      <w:r w:rsidRPr="00AD586B">
        <w:fldChar w:fldCharType="begin"/>
      </w:r>
      <w:r>
        <w:instrText xml:space="preserve"> ADDIN ZOTERO_ITEM CSL_CITATION {"citationID":"GeRwYLjn","properties":{"formattedCitation":"(Openshaw &amp; Taylor, 1979; O\\uc0\\u8217{}Sullivan &amp; Unwin, 2003)","plainCitation":"(Openshaw &amp; Taylor, 1979; O’Sullivan &amp; Unwin, 2003)","noteIndex":0},"citationItems":[{"id":824,"uris":["http://zotero.org/users/5090392/items/JYTDBYTE"],"itemData":{"id":824,"type":"chapter","container-title":"Statistical applications in the spatial sciences","event-place":"London","ISBN":"0-85086-075-X","page":"127-144","publisher":"Pion","publisher-place":"London","title":"A million or so correlation coefficients, three experiments on the modifiable areal unit problem","URL":"https://www-worldcat-org.proxy.lib.utk.edu/title/statistical-applications-in-the-spatial-sciences/oclc/8170391","author":[{"family":"Openshaw","given":"Stan"},{"family":"Taylor","given":"PJ"}],"editor":[{"family":"Wrigley","given":"Neil"}],"issued":{"date-parts":[["1979"]]}}},{"id":825,"uris":["http://zotero.org/users/5090392/items/87VWXZ5A"],"itemData":{"id":825,"type":"book","edition":"1","event-place":"Hoboken, New Jersey","ISBN":"0-471-21176-1","publisher":"Wiley","publisher-place":"Hoboken, New Jersey","title":"Geographic Information Analysis","author":[{"family":"O'Sullivan","given":"David"},{"family":"Unwin","given":"David John"}],"issued":{"date-parts":[["2003"]]}}}],"schema":"https://github.com/citation-style-language/schema/raw/master/csl-citation.json"} </w:instrText>
      </w:r>
      <w:r w:rsidRPr="00AD586B">
        <w:fldChar w:fldCharType="separate"/>
      </w:r>
      <w:r w:rsidR="00967900" w:rsidRPr="00967900">
        <w:t>(Openshaw &amp; Taylor, 1979; O’Sullivan &amp; Unwin, 2003)</w:t>
      </w:r>
      <w:r w:rsidRPr="00AD586B">
        <w:fldChar w:fldCharType="end"/>
      </w:r>
      <w:r w:rsidRPr="00AD586B">
        <w:t>. Relatedly, the edge effect describes how the use of an artificial boundary, as in the case of dividing and aggregating people into various spatial units, can affect the interpretation of those closer to the boundary or edge.</w:t>
      </w:r>
      <w:r>
        <w:t xml:space="preserve"> </w:t>
      </w:r>
      <w:r w:rsidR="007D67EA">
        <w:t xml:space="preserve">This issue often occurs when researchers rely on POI data providers to obtain </w:t>
      </w:r>
      <w:r w:rsidR="00C8492F">
        <w:t>food stores within a given study area but overlook cross-border food access behaviors</w:t>
      </w:r>
      <w:r w:rsidR="00B03A92">
        <w:t xml:space="preserve"> where people may patronize stores beyond the extent of the study area</w:t>
      </w:r>
      <w:r w:rsidR="00C8492F">
        <w:t xml:space="preserve">. </w:t>
      </w:r>
      <w:r w:rsidR="00EC3FA6">
        <w:t xml:space="preserve">Research </w:t>
      </w:r>
      <w:r w:rsidR="00E26E05">
        <w:t xml:space="preserve">by the USDA and numerous scholars </w:t>
      </w:r>
      <w:r w:rsidR="00EC15A1">
        <w:lastRenderedPageBreak/>
        <w:t xml:space="preserve">similarly </w:t>
      </w:r>
      <w:r w:rsidR="00E26E05">
        <w:t xml:space="preserve">finds that </w:t>
      </w:r>
      <w:r w:rsidR="007360D4">
        <w:t xml:space="preserve">people </w:t>
      </w:r>
      <w:r w:rsidR="009A06D0">
        <w:t xml:space="preserve">can </w:t>
      </w:r>
      <w:r w:rsidR="00141D9E">
        <w:t>and do frequent food stores that are two or three times as far from their residence as t</w:t>
      </w:r>
      <w:r w:rsidR="001A65FF">
        <w:t>he</w:t>
      </w:r>
      <w:r w:rsidR="00EC15A1">
        <w:t>ir</w:t>
      </w:r>
      <w:r w:rsidR="001A65FF">
        <w:t xml:space="preserve"> closest food store</w:t>
      </w:r>
      <w:r w:rsidR="005D1C2B">
        <w:t xml:space="preserve"> and </w:t>
      </w:r>
      <w:r w:rsidR="001E5EBA">
        <w:t>located beyond their residential neighborhoods</w:t>
      </w:r>
      <w:r w:rsidR="00EC15A1">
        <w:t xml:space="preserve"> </w:t>
      </w:r>
      <w:r w:rsidR="007F68A9">
        <w:fldChar w:fldCharType="begin"/>
      </w:r>
      <w:r w:rsidR="00911999">
        <w:instrText xml:space="preserve"> ADDIN ZOTERO_ITEM CSL_CITATION {"citationID":"UI1PV4RO","properties":{"formattedCitation":"(Clifton, 2004; Ploeg et al., 2015)","plainCitation":"(Clifton, 2004; Ploeg et al., 2015)","noteIndex":0},"citationItems":[{"id":1841,"uris":["http://zotero.org/users/5090392/items/8WWB6992"],"itemData":{"id":1841,"type":"article-journal","abstract":"This article focuses on the relationship between the mobility constraints that low-income families face in their acquisition of food and the coping strategies they develop for this routine task. The motivations and rationale behind travel and provisioning choices of the working poor and the resources available to them are examined by means of a series of semistructured interviews conducted with members of twenty-six low-income house-holds residing in the Austin, Texas, area. The ways that these households cope with their mobility and economic disadvantage are complex, logical, and varied; depend on their resources and circumstances; and must be flexible to deal with day-to-day occurrences. Evidence from this study shows that the flexibility afforded by the automobile widens the spatial and temporal aspects of mobility, allowing for a more extensive search for goods and services. The automobile is an important mode for nonwork travel, even among those households that do not own one. However, the transit and walking remain critical in providing the mobility needed to access food-shopping destinations for these families.","container-title":"Journal of Planning Education and Research","DOI":"10.1177/0739456X04264919","ISSN":"0739-456X","issue":"4","journalAbbreviation":"Journal of Planning Education and Research","language":"en","note":"publisher: SAGE Publications Inc","page":"402-413","source":"SAGE Journals","title":"Mobility Strategies and Food Shopping for Low-Income Families: A Case Study","title-short":"Mobility Strategies and Food Shopping for Low-Income Families","URL":"https://doi.org/10.1177/0739456X04264919","volume":"23","author":[{"family":"Clifton","given":"Kelly J."}],"accessed":{"date-parts":[["2022",7,20]]},"issued":{"date-parts":[["2004",6,1]]}}},{"id":1848,"uris":["http://zotero.org/users/5090392/items/XXZKJ6LF"],"itemData":{"id":1848,"type":"report","abstract":"The National Household Food Acquisition and Purchase Survey (FoodAPS) is the first survey to collect unique and comprehensive data about food purchases and acquisitions for a nationally representative sample of U.S. households. This report compares shopping patterns of (1) Supplemental Nutrition Assistance Program (SNAP) households to low- and higher income nonparticipant households, (2) participants in the Special Supplemental Nutrition Assistance Program for Women, Infants, and Children (WIC) to nonparticipants, and (3) food-insecure to food-secure households. SNAP participating and food-insecure households are less likely to drive their own car to do their primary food shopping and more likely to get rides from someone else or walk, bike, or take public transit. However, these differences in transportation mode do not translate into differences in the types of stores used for grocery shopping among SNAP and food-insecure households. Also, many households bypass the store that is closest to them to shop at another store. For example, among SNAP households, the nearest store was, on average, 2.0 miles from the household, but the store primarily used for grocery shopping was, on average, 3.4 miles from the household. Similar patterns hold for WIC participating and food-insecure households and for households that use someone else’s car or other forms of transportation to get to the grocery store.","language":"en","number":"EIB-138","page":"27","publisher":"U.S. Department of Agriculture, Economic Research Service","source":"Zotero","title":"Where Do Americans Usually Shop for Food and How Do They Travel To Get There? Initial Findings From the National Household Food Acquisition and Purchase Survey","author":[{"family":"Ploeg","given":"Michele Ver"},{"literal":"Macino, Lisa"},{"literal":"Todd, Jessica E."},{"literal":"Clay, Dawn Marie"},{"literal":"Scharadin, Benjamin"}],"issued":{"date-parts":[["2015",3]]}}}],"schema":"https://github.com/citation-style-language/schema/raw/master/csl-citation.json"} </w:instrText>
      </w:r>
      <w:r w:rsidR="007F68A9">
        <w:fldChar w:fldCharType="separate"/>
      </w:r>
      <w:r w:rsidR="00967900" w:rsidRPr="00967900">
        <w:t>(Clifton, 2004; Ploeg et al., 2015)</w:t>
      </w:r>
      <w:r w:rsidR="007F68A9">
        <w:fldChar w:fldCharType="end"/>
      </w:r>
      <w:r w:rsidR="00911999">
        <w:t>. Evidently, distance-</w:t>
      </w:r>
      <w:proofErr w:type="gramStart"/>
      <w:r w:rsidR="00911999">
        <w:t>based</w:t>
      </w:r>
      <w:proofErr w:type="gramEnd"/>
      <w:r w:rsidR="002C7C27">
        <w:t xml:space="preserve"> and similar</w:t>
      </w:r>
      <w:r w:rsidR="00911999">
        <w:t xml:space="preserve"> measures </w:t>
      </w:r>
      <w:r w:rsidR="00CF49B0">
        <w:t xml:space="preserve">are insufficient in accurately capturing </w:t>
      </w:r>
      <w:r w:rsidR="002C7C27">
        <w:t xml:space="preserve">situations of </w:t>
      </w:r>
      <w:r w:rsidR="00226169">
        <w:t>food acces</w:t>
      </w:r>
      <w:r w:rsidR="002C7C27">
        <w:t>s</w:t>
      </w:r>
      <w:r w:rsidR="00226169">
        <w:t>.</w:t>
      </w:r>
    </w:p>
    <w:p w14:paraId="61D1CDD4" w14:textId="0CF0FA58" w:rsidR="009B3D64" w:rsidRDefault="005D45F2" w:rsidP="00156BEA">
      <w:pPr>
        <w:spacing w:line="480" w:lineRule="auto"/>
        <w:ind w:firstLine="720"/>
      </w:pPr>
      <w:r>
        <w:t xml:space="preserve">Such approaches fail to capture dimensions of access </w:t>
      </w:r>
      <w:r w:rsidR="00CA266E">
        <w:t xml:space="preserve">not easily explainable </w:t>
      </w:r>
      <w:r w:rsidR="006E28A7">
        <w:t xml:space="preserve">by physical proximity and other similar measures </w:t>
      </w:r>
      <w:r>
        <w:t xml:space="preserve">that are important to food procurement, including cultural food preferences, affordability, and store accommodation to residents which are more frequently captured in surveys and interviews. </w:t>
      </w:r>
      <w:r w:rsidR="002A69C1">
        <w:t>A</w:t>
      </w:r>
      <w:r w:rsidR="00671174">
        <w:t xml:space="preserve"> growing </w:t>
      </w:r>
      <w:r w:rsidR="009D123D">
        <w:t>body</w:t>
      </w:r>
      <w:r w:rsidR="00671174">
        <w:t xml:space="preserve"> of </w:t>
      </w:r>
      <w:r w:rsidR="009D123D">
        <w:t>qualitative</w:t>
      </w:r>
      <w:r w:rsidR="00A620D0">
        <w:t xml:space="preserve"> </w:t>
      </w:r>
      <w:r w:rsidR="009D123D">
        <w:t>research</w:t>
      </w:r>
      <w:r w:rsidR="00671174">
        <w:t xml:space="preserve"> have sought </w:t>
      </w:r>
      <w:r w:rsidR="003B60D0">
        <w:t>for a more comprehensive</w:t>
      </w:r>
      <w:r w:rsidR="00641396">
        <w:t xml:space="preserve"> consideration of food exposure </w:t>
      </w:r>
      <w:r w:rsidR="00EF5EC9">
        <w:t>and access</w:t>
      </w:r>
      <w:r w:rsidR="001202A2">
        <w:t xml:space="preserve">. Social and cultural </w:t>
      </w:r>
      <w:r w:rsidR="00AE0007">
        <w:t>scholars</w:t>
      </w:r>
      <w:r w:rsidR="001202A2">
        <w:t xml:space="preserve"> explore the structural inequalities influencing food access (e.g., the role of gender, race, </w:t>
      </w:r>
      <w:r w:rsidR="00BA7F72">
        <w:t xml:space="preserve">and/or </w:t>
      </w:r>
      <w:r w:rsidR="001202A2">
        <w:t xml:space="preserve">class in food provisioning) and how cultural food practices shape the food environment </w:t>
      </w:r>
      <w:r w:rsidR="001202A2">
        <w:fldChar w:fldCharType="begin"/>
      </w:r>
      <w:r w:rsidR="00B13957">
        <w:instrText xml:space="preserve"> ADDIN ZOTERO_ITEM CSL_CITATION {"citationID":"PV38NdrO","properties":{"formattedCitation":"(Reese, 2016, 2018)","plainCitation":"(Reese, 2016, 2018)","noteIndex":0},"citationItems":[{"id":663,"uris":["http://zotero.org/users/5090392/items/HC6DG8EH"],"itemData":{"id":663,"type":"webpage","container-title":"Southern Foodways Alliance","title":"The Roots of Food Inequalities: Beyond the food desert narrative","URL":"https://www.southernfoodways.org/the-roots-of-food-inequalities-beyond-the-food-desert-narrative/","author":[{"family":"Reese","given":"Ashanté M."}],"accessed":{"date-parts":[["2020",11,14]]},"issued":{"date-parts":[["2016"]]}}},{"id":662,"uris":["http://zotero.org/users/5090392/items/6S9582RB"],"itemData":{"id":662,"type":"article-journal","ab</w:instrText>
      </w:r>
      <w:r w:rsidR="00B13957">
        <w:rPr>
          <w:rFonts w:hint="eastAsia"/>
        </w:rPr>
        <w:instrText>stract":"Abstract: Drawing from 18 months of ethnographic fieldwork in Washington, DC, this article outlines geographies of self</w:instrText>
      </w:r>
      <w:r w:rsidR="00B13957">
        <w:rPr>
          <w:rFonts w:hint="eastAsia"/>
        </w:rPr>
        <w:instrText>‐</w:instrText>
      </w:r>
      <w:r w:rsidR="00B13957">
        <w:rPr>
          <w:rFonts w:hint="eastAsia"/>
        </w:rPr>
        <w:instrText>reliance; a theoretical framework for understanding black food geographies that are embedded in histories of self</w:instrText>
      </w:r>
      <w:r w:rsidR="00B13957">
        <w:rPr>
          <w:rFonts w:hint="eastAsia"/>
        </w:rPr>
        <w:instrText>‐</w:instrText>
      </w:r>
      <w:r w:rsidR="00B13957">
        <w:rPr>
          <w:rFonts w:hint="eastAsia"/>
        </w:rPr>
        <w:instrText>reliance as a response to structural inequalities. Using a community garden as a case study, I argue that the garden functions as a site for addressing several manifestations of structural violence: racist and classist depictions of low</w:instrText>
      </w:r>
      <w:r w:rsidR="00B13957">
        <w:rPr>
          <w:rFonts w:hint="eastAsia"/>
        </w:rPr>
        <w:instrText>‐</w:instrText>
      </w:r>
      <w:r w:rsidR="00B13957">
        <w:rPr>
          <w:rFonts w:hint="eastAsia"/>
        </w:rPr>
        <w:instrText>income and working class people, joblessness, gentrification, and youth underdevelopment. Drawing on self</w:instrText>
      </w:r>
      <w:r w:rsidR="00B13957">
        <w:rPr>
          <w:rFonts w:hint="eastAsia"/>
        </w:rPr>
        <w:instrText>‐</w:instrText>
      </w:r>
      <w:r w:rsidR="00B13957">
        <w:rPr>
          <w:rFonts w:hint="eastAsia"/>
        </w:rPr>
        <w:instrText>reliance ideologies as well as collective and personal histories, the residents exhibit a form of agency that demonstrates unwavering hope in the sustainability of their shared community. Through this analysis, I show that self</w:instrText>
      </w:r>
      <w:r w:rsidR="00B13957">
        <w:rPr>
          <w:rFonts w:hint="eastAsia"/>
        </w:rPr>
        <w:instrText>‐</w:instrText>
      </w:r>
      <w:r w:rsidR="00B13957">
        <w:rPr>
          <w:rFonts w:hint="eastAsia"/>
        </w:rPr>
        <w:instrText>reliance functions as a mechanism through which residents navigate spatial inequalities.","container-title":"Antipode","DOI":"10.1111/anti.12359","ISSN":"00664812","issue":"2","journalAbbreviation":"Antipode","note":"publisher: Wiley-Blackwell","page":"407-424","source":"EBSCOhost","title":"</w:instrText>
      </w:r>
      <w:r w:rsidR="00B13957">
        <w:rPr>
          <w:rFonts w:hint="eastAsia"/>
        </w:rPr>
        <w:instrText>“</w:instrText>
      </w:r>
      <w:r w:rsidR="00B13957">
        <w:rPr>
          <w:rFonts w:hint="eastAsia"/>
        </w:rPr>
        <w:instrText>We will not perish; we</w:instrText>
      </w:r>
      <w:r w:rsidR="00B13957">
        <w:rPr>
          <w:rFonts w:hint="eastAsia"/>
        </w:rPr>
        <w:instrText>’</w:instrText>
      </w:r>
      <w:r w:rsidR="00B13957">
        <w:rPr>
          <w:rFonts w:hint="eastAsia"/>
        </w:rPr>
        <w:instrText>re going to keep flourishing</w:instrText>
      </w:r>
      <w:r w:rsidR="00B13957">
        <w:rPr>
          <w:rFonts w:hint="eastAsia"/>
        </w:rPr>
        <w:instrText>”</w:instrText>
      </w:r>
      <w:r w:rsidR="00B13957">
        <w:rPr>
          <w:rFonts w:hint="eastAsia"/>
        </w:rPr>
        <w:instrText>: Race, Food Access, and Geographies of Self</w:instrText>
      </w:r>
      <w:r w:rsidR="00B13957">
        <w:rPr>
          <w:rFonts w:hint="eastAsia"/>
        </w:rPr>
        <w:instrText>‐</w:instrText>
      </w:r>
      <w:r w:rsidR="00B13957">
        <w:rPr>
          <w:rFonts w:hint="eastAsia"/>
        </w:rPr>
        <w:instrText>Reliance","title-short":"</w:instrText>
      </w:r>
      <w:r w:rsidR="00B13957">
        <w:rPr>
          <w:rFonts w:hint="eastAsia"/>
        </w:rPr>
        <w:instrText>“</w:instrText>
      </w:r>
      <w:r w:rsidR="00B13957">
        <w:rPr>
          <w:rFonts w:hint="eastAsia"/>
        </w:rPr>
        <w:instrText>We will not perish; we</w:instrText>
      </w:r>
      <w:r w:rsidR="00B13957">
        <w:rPr>
          <w:rFonts w:hint="eastAsia"/>
        </w:rPr>
        <w:instrText>’</w:instrText>
      </w:r>
      <w:r w:rsidR="00B13957">
        <w:rPr>
          <w:rFonts w:hint="eastAsia"/>
        </w:rPr>
        <w:instrText>re going to keep flour</w:instrText>
      </w:r>
      <w:r w:rsidR="00B13957">
        <w:instrText xml:space="preserve">ishing”","URL":"https://login.proxy.lib.utk.edu/login?url=https://search.ebscohost.com/login.aspx?direct=true&amp;db=a9h&amp;AN=127847018&amp;site=ehost-live&amp;scope=site","volume":"50","author":[{"family":"Reese","given":"Ashanté M."}],"accessed":{"date-parts":[["2020",11,14]]},"issued":{"date-parts":[["2018",3]]}}}],"schema":"https://github.com/citation-style-language/schema/raw/master/csl-citation.json"} </w:instrText>
      </w:r>
      <w:r w:rsidR="001202A2">
        <w:fldChar w:fldCharType="separate"/>
      </w:r>
      <w:r w:rsidR="00967900" w:rsidRPr="00967900">
        <w:t>(Reese, 2016, 2018)</w:t>
      </w:r>
      <w:r w:rsidR="001202A2">
        <w:fldChar w:fldCharType="end"/>
      </w:r>
      <w:r w:rsidR="001202A2">
        <w:t xml:space="preserve">. Behavioral </w:t>
      </w:r>
      <w:r w:rsidR="00AE0007">
        <w:t>scientists</w:t>
      </w:r>
      <w:r w:rsidR="001202A2">
        <w:t xml:space="preserve"> examine how individual perceptions of food environments relate to their food behaviors </w:t>
      </w:r>
      <w:r w:rsidR="001202A2">
        <w:fldChar w:fldCharType="begin"/>
      </w:r>
      <w:r w:rsidR="001202A2">
        <w:instrText xml:space="preserve"> ADDIN ZOTERO_ITEM CSL_CITATION {"citationID":"txPCPBPZ","properties":{"formattedCitation":"(Mcgirr &amp; Batterbury, 2016)","plainCitation":"(Mcgirr &amp; Batterbury, 2016)","noteIndex":0},"citationItems":[{"id":655,"uris":["http://zotero.org/users/5090392/items/YCNZZ2H6"],"itemData":{"id":655,"type":"article-journal","abstract":"Perceptions of food systems and food acquisition decisions are grounded in specific socio-economic and environmental contexts. Working in two relatively affluent urban communities in Melbourne, Australia and San Diego County, USA, this article explores the ways that individuals perceive their food systems, where they acquire food, and their definitions of ‘local’ sourcing. Surveys and interviews reveal a clear discrepancy between the ideals and the reality of food acquisition decision-making, particularly the desire to eat ‘local food’. Survey respondents' realities do not live up to their expectations. These practices can largely be explained by the interplay between the respondents' perceived priorities, food preferences, dietary requirements, and decision-making constraints in particular urban geographies. Further research is needed on the role of perceptions in food decision-making in specific geographic contexts.","container-title":"Geographical Research","DOI":"https://doi.org/10.1111/1745-5871.12156","ISSN":"1745-5871","issue":"1","language":"en","note":"_eprint: https://onlinelibrary.wiley.com/doi/pdf/10.1111/1745-5871.12156","page":"3-18","source":"Wiley Online Library","title":"Food in the City: Urban Food Geographies and ‘Local’ Food Sourcing in Melbourne and San Diego County","title-short":"Food in the City","URL":"http://onlinelibrary.wiley.com/doi/abs/10.1111/1745-5871.12156","volume":"54","author":[{"family":"Mcgirr","given":"Heather Kaye"},{"family":"Batterbury","given":"Simon P. J."}],"accessed":{"date-parts":[["2020",11,13]]},"issued":{"date-parts":[["2016"]]}}}],"schema":"https://github.com/citation-style-language/schema/raw/master/csl-citation.json"} </w:instrText>
      </w:r>
      <w:r w:rsidR="001202A2">
        <w:fldChar w:fldCharType="separate"/>
      </w:r>
      <w:r w:rsidR="00967900" w:rsidRPr="00967900">
        <w:t>(Mcgirr &amp; Batterbury, 2016)</w:t>
      </w:r>
      <w:r w:rsidR="001202A2">
        <w:fldChar w:fldCharType="end"/>
      </w:r>
      <w:r w:rsidR="001202A2">
        <w:t xml:space="preserve">. </w:t>
      </w:r>
      <w:r w:rsidR="00A3430C">
        <w:t xml:space="preserve">Studies have emphasized the social dynamics and individual perceptions important in determining which food outlets people access. Interviews with 539 residents in Philadelphia by </w:t>
      </w:r>
      <w:proofErr w:type="spellStart"/>
      <w:r w:rsidR="00A3430C">
        <w:t>Cannuscio</w:t>
      </w:r>
      <w:proofErr w:type="spellEnd"/>
      <w:r w:rsidR="00A3430C">
        <w:t xml:space="preserve"> et al. </w:t>
      </w:r>
      <w:r w:rsidR="00A3430C">
        <w:fldChar w:fldCharType="begin"/>
      </w:r>
      <w:r w:rsidR="00A3430C">
        <w:instrText xml:space="preserve"> ADDIN ZOTERO_ITEM CSL_CITATION {"citationID":"3CJqUKKk","properties":{"formattedCitation":"(2014)","plainCitation":"(2014)","noteIndex":0},"citationItems":[{"id":1564,"uris":["http://zotero.org/users/5090392/items/8JN3AF5Q"],"itemData":{"id":1564,"type":"article-journal","abstract":"To respond to the high prevalence of obesity and its associated health consequences, recent food research and policy have focused on neighborhood food environments, especially the links between health and retail mix, proximity of food outlets, and types of foods available. In addition, the social environment exerts important influences on food-related behaviors, through mechanisms like role-modeling, social support, and social norms. This study examined the social dynamics of residents' health-related food-shopping behaviors in 2010–11 in urban Philadelphia, where we conducted 25 semi-structured resident interviews—the foundation for this paper—in addition to 514 structured interviews and a food environment audit. In interviews, participants demonstrated adaptability and resourcefulness in their food shopping; they chose to shop at stores that met a range of social needs. Those needs ranged from practical financial considerations, to fundamental issues of safety, to mundane concerns about convenience, and juggling multiple work and family responsibilities. The majority of participants were highly motivated to adapt their shopping patterns to accommodate personal financial constraints. In addition, they selectively shopped at stores frequented by people who shared their race/ethnicity, income and education, and they sought stores where they had positive interactions with personnel and proprietors. In deciding where to shop in this urban context, participants adapted their routines to avoid unsafe places and the threat of violence. Participants also discussed the importance of convenient stores that allowed for easy parking, accommodation of physical disabilities or special needs, and integration of food shopping into other daily activities like meeting children at school. Food research and policies should explicitly attend to the social dynamics that influence food-shopping behavior. In our social relationships, interactions, and responsibilities, there are countless opportunities to influence—and also to improve—health.","container-title":"Social Science &amp; Medicine","DOI":"10.1016/j.socscimed.2014.10.005","ISSN":"0277-9536","journalAbbreviation":"Social Science &amp; Medicine","language":"en","page":"13-20","source":"ScienceDirect","title":"The social dynamics of healthy food shopping and store choice in an urban environment","URL":"https://www.sciencedirect.com/science/article/pii/S0277953614006510","volume":"122","author":[{"family":"Cannuscio","given":"Carolyn C."},{"family":"Hillier","given":"Amy"},{"family":"Karpyn","given":"Allison"},{"family":"Glanz","given":"Karen"}],"accessed":{"date-parts":[["2022",4,4]]},"issued":{"date-parts":[["2014",12,1]]}},"suppress-author":true}],"schema":"https://github.com/citation-style-language/schema/raw/master/csl-citation.json"} </w:instrText>
      </w:r>
      <w:r w:rsidR="00A3430C">
        <w:fldChar w:fldCharType="separate"/>
      </w:r>
      <w:r w:rsidR="00967900" w:rsidRPr="00967900">
        <w:t>(2014)</w:t>
      </w:r>
      <w:r w:rsidR="00A3430C">
        <w:fldChar w:fldCharType="end"/>
      </w:r>
      <w:r w:rsidR="00A3430C">
        <w:t xml:space="preserve"> found that the criteria for food store selection included financial considerations, feelings of safety, convenience of location, racial/ethnic and class similarity to other shoppers, easy parking, accommodation of disabilities, and avoidance of violence and unsafe locations. In these instances, how people decide on which stores meet their needs requires explicitly acknowledging the differing perceptions people possess and their varied activity spaces </w:t>
      </w:r>
      <w:r w:rsidR="00A3430C">
        <w:fldChar w:fldCharType="begin"/>
      </w:r>
      <w:r w:rsidR="00994C97">
        <w:instrText xml:space="preserve"> ADDIN ZOTERO_ITEM CSL_CITATION {"citationID":"5lU7lT3t","properties":{"formattedCitation":"(A. Hillier et al., 2015)","plainCitation":"(A. Hillier et al., 2015)","noteIndex":0},"citationItems":[{"id":"aCCUDhF1/JranH3kk","uris":["http://zotero.org/users/5090392/items/QV9IV4H9"],"itemData":{"id":1838,"type":"article-journal","abstract":"Assessments of access to healthful food frequently use GIS to measure the distance and concentration of food outlets relative to where residents live. These descriptive approaches do not account for food shopping behavior, which may vary based on the attributes of food shoppers and their activity space—places where they live, work, access resources, and socialize. Building on transportation research about accessibility, we reframe the issue of food access and equity from one about ‘what is nearby?’ to ‘where do people shop?’. We use a conditional logit model to analyze disaggregate data from a door-to-door survey of food shopping choice and food store surveys conducted in a predominantly non-Hispanic Black and middle-income and low-income section of Philadelphia. Our results highlight the importance of distance from home to food stores, overall, but they also emphasize the influence on food store choice of the race and sex of food shoppers, travel mode, and where they spend time other than at home, as well as food prices and the availability of healthful foods. This approach to understanding food access holds promise for future research that can link store choice to specific food purchases and health outcomes as well as for refining place-based strategies for improving access to healthful foods.","container-title":"Environment and Planning B: Planning and Design","DOI":"10.1068/b39136","ISSN":"0265-8135","issue":"2","journalAbbreviation":"Environ Plann B Plann Des","language":"en","note":"publisher: SAGE Publications Ltd STM","page":"263-278","source":"SAGE Journals","title":"A Discrete Choice Approach to Modeling Food Store Access","URL":"https://doi.org/10.1068/b39136","volume":"42","author":[{"family":"Hillier","given":"Amy"},{"family":"Smith","given":"Tony"},{"family":"Cannuscio","given":"Carolyn C"},{"family":"Karpyn","given":"Allison"},{"family":"Glanz","given":"Karen"}],"accessed":{"date-parts":[["2022",7,20]]},"issued":{"date-parts":[["2015",4,1]]}}}],"schema":"https://github.com/citation-style-language/schema/raw/master/csl-citation.json"} </w:instrText>
      </w:r>
      <w:r w:rsidR="00A3430C">
        <w:fldChar w:fldCharType="separate"/>
      </w:r>
      <w:r w:rsidR="00967900" w:rsidRPr="00967900">
        <w:t>(Hillier et al., 2015)</w:t>
      </w:r>
      <w:r w:rsidR="00A3430C">
        <w:fldChar w:fldCharType="end"/>
      </w:r>
      <w:r w:rsidR="00A3430C">
        <w:t xml:space="preserve">. </w:t>
      </w:r>
      <w:r w:rsidR="001202A2">
        <w:t>These different and valid approaches suggest the environments in which food is accessed are comprised of material and physical, relativ</w:t>
      </w:r>
      <w:r w:rsidR="00A71078">
        <w:t>e</w:t>
      </w:r>
      <w:r w:rsidR="001202A2">
        <w:t xml:space="preserve">, relational, and mental dimensions. This sentiment is mirrored by the definition of ‘food environment’ by a global expert panel on food security as “the </w:t>
      </w:r>
      <w:r w:rsidR="001202A2">
        <w:lastRenderedPageBreak/>
        <w:t xml:space="preserve">physical, economic, political and socio-cultural context in which consumers engage with the food system to make their decisions about acquiring, preparing, and consuming food” </w:t>
      </w:r>
      <w:r w:rsidR="001202A2">
        <w:fldChar w:fldCharType="begin"/>
      </w:r>
      <w:r w:rsidR="001202A2">
        <w:instrText xml:space="preserve"> ADDIN ZOTERO_ITEM CSL_CITATION {"citationID":"yZSBscGh","properties":{"formattedCitation":"(HLPE, 2017, p. 9)","plainCitation":"(HLPE, 2017, p. 9)","noteIndex":0},"citationItems":[{"id":1814,"uris":["http://zotero.org/users/5090392/items/XN544WZY"],"itemData":{"id":1814,"type":"report","event-place":"Rome","language":"en","page":"152","publisher":"The High Level Panel of Experts on Food Security and Nutrition","publisher-place":"Rome","source":"Zotero","title":"Nutrition and food systems","author":[{"literal":"HLPE"}],"issued":{"date-parts":[["2017",9]]}},"locator":"9"}],"schema":"https://github.com/citation-style-language/schema/raw/master/csl-citation.json"} </w:instrText>
      </w:r>
      <w:r w:rsidR="001202A2">
        <w:fldChar w:fldCharType="separate"/>
      </w:r>
      <w:r w:rsidR="00967900" w:rsidRPr="00967900">
        <w:t>(HLPE, 2017, p. 9)</w:t>
      </w:r>
      <w:r w:rsidR="001202A2">
        <w:fldChar w:fldCharType="end"/>
      </w:r>
      <w:r w:rsidR="001202A2">
        <w:t xml:space="preserve">. </w:t>
      </w:r>
    </w:p>
    <w:p w14:paraId="47BC9EE9" w14:textId="3B969E30" w:rsidR="009362B9" w:rsidRDefault="009B3D64" w:rsidP="00156BEA">
      <w:pPr>
        <w:spacing w:line="480" w:lineRule="auto"/>
        <w:ind w:firstLine="720"/>
      </w:pPr>
      <w:r>
        <w:t>I</w:t>
      </w:r>
      <w:r w:rsidR="001202A2">
        <w:t>n recent years, some researchers have sought to push beyond conventional spatial accessibility logic and develop new innovative</w:t>
      </w:r>
      <w:r w:rsidR="0074474C">
        <w:t xml:space="preserve"> food access</w:t>
      </w:r>
      <w:r w:rsidR="001202A2">
        <w:t xml:space="preserve"> approaches to reconcile </w:t>
      </w:r>
      <w:r w:rsidR="008419CA">
        <w:t>earlier</w:t>
      </w:r>
      <w:r w:rsidR="001202A2">
        <w:t xml:space="preserve"> shortcomings</w:t>
      </w:r>
      <w:r w:rsidR="005867C2">
        <w:t xml:space="preserve"> </w:t>
      </w:r>
      <w:r w:rsidR="00F81920">
        <w:t xml:space="preserve">and </w:t>
      </w:r>
      <w:r w:rsidR="00376EE8">
        <w:t>accommodate a more holistic conceptualization of food access environments</w:t>
      </w:r>
      <w:r w:rsidR="001202A2">
        <w:t xml:space="preserve">. Unlike </w:t>
      </w:r>
      <w:r w:rsidR="00E5088D">
        <w:t>location</w:t>
      </w:r>
      <w:r w:rsidR="001202A2">
        <w:t xml:space="preserve">-based approaches which assume homogeneity in food preferences and procurement practices, person-based approaches have proven especially fruitful in capturing the complexities of human experiences by including notions of time, </w:t>
      </w:r>
      <w:r w:rsidR="00563A06">
        <w:t xml:space="preserve">mobility, </w:t>
      </w:r>
      <w:r w:rsidR="001202A2">
        <w:t>local context, social dynamics, and perception.</w:t>
      </w:r>
      <w:r w:rsidR="00F2064F">
        <w:t xml:space="preserve"> </w:t>
      </w:r>
      <w:r w:rsidR="00D47251">
        <w:t>Modeling</w:t>
      </w:r>
      <w:r w:rsidR="001202A2">
        <w:t xml:space="preserve"> food access at the individual level requires acknowledgement of the mobility of people with different modes of available transportation who often travel to different places in their daily lives with different limitations on time use and that social and cultural drivers shape individual food </w:t>
      </w:r>
      <w:r w:rsidR="00D907FE">
        <w:t xml:space="preserve">preferences and </w:t>
      </w:r>
      <w:r w:rsidR="001202A2">
        <w:t xml:space="preserve">behaviors </w:t>
      </w:r>
      <w:r w:rsidR="001202A2">
        <w:fldChar w:fldCharType="begin"/>
      </w:r>
      <w:r w:rsidR="00222641">
        <w:instrText xml:space="preserve"> ADDIN ZOTERO_ITEM CSL_CITATION {"citationID":"9KzYZNnK","properties":{"formattedCitation":"(Carolan, 2021; X. Chen &amp; Kwan, 2015; Shannon &amp; Christian, 2017; Widener et al., 2015)","plainCitation":"(Carolan, 2021; X. Chen &amp; Kwan, 2015; Shannon &amp; Christian, 2017; Widener et al., 2015)","noteIndex":0},"citationItems":[{"id":1625,"uris":["http://zotero.org/users/5090392/items/GIHUSPZH"],"itemData":{"id":1625,"type":"article-journal","abstract":"This paper adopts a relational, also known as a topological, approach to food accessibility—the idea that food spaces are best understood as relational becomings rather than as voids filled exclusively with mass (immutable materiality) and address (geospatial coordinates). It is animated by an experimental spirit, in terms of the methods employed, the data collected, and by how those data are brought together, which together better enriches inductive theorizing. The project looks at the daily macro-mobilities—trips from one GPS coordinate to another—of 70 Coloradoans, triangulated with qualitative semi-structured interview data. Data collection occurred over three phases: baseline interviews, which lasted approximately 45 min; 30-day study period, which involved using a GPS tracking app. on their mobile phones; and follow-up interviews that lasted roughly two hours. The paper, through inductive theorizing and methodological experimentation, contributes to the critical food mapping scholarship in three ways: first, by looking at rural and urban food environments and livelihoods (as opposed to focusing exclusively on the latter); second, by focusing on mobilities as opposed to fixities (an example of the former: mapping projects that reduce food access to Euclidean coordinates); and, lastly, by its conceptual innovations attributed to phenomena such as life course and geographies of care.","container-title":"Agriculture and Human Values","DOI":"10.1007/s10460-020-10149-y","ISSN":"0889-048X, 1572-8366","issue":"1","journalAbbreviation":"Agric Hum Values","language":"en","page":"243-256","source":"DOI.org (Crossref)","title":"Putting food access in its topological place: thinking in terms of relational becomings when mapping space","title-short":"Putting food access in its topological place","URL":"https://link.springer.com/10.1007/s10460-020-10149-y","volume":"38","author":[{"family":"Carolan","given":"Michael"}],"accessed":{"date-parts":[["2022",4,13]]},"issued":{"date-parts":[["2021",2]]}}},{"id":1138,"uris":["http://zotero.org/users/5090392/items/8EWGKPA4"],"itemData":{"id":1138,"type":"article-journal","abstract":"We examined the uncertainty of the contextual influences on food access through an analytic framework of the uncertain geographic context problem (UGCoP)., We first examined the compounding effects of two kinds of spatiotemporal uncertainties on people’s everyday efforts to procure food and then outlined three key dimensions (food access in real time, temporality of the food environment, and perceived nutrition environment) in which research on food access must improve to better represent the contributing environmental influences that operate at the individual level., Guidelines to address the UGCoP in future food access research are provided to account for the multidimensional influences of the food environment on dietary behaviors.","container-title":"American Journal of Public Health","DOI":"10.2105/AJPH.2015.302792","ISSN":"0090-0036","issue":"9","journalAbbreviation":"Am J Public Health","note":"PMID: 26180982\nPMCID: PMC4539815","page":"1734-1737","source":"PubMed Central","title":"Contextual Uncertainties, Human Mobility, and Perceived Food Environment: The Uncertain Geographic Context Problem in Food Access Research","title-short":"Contextual Uncertainties, Human Mobility, and Perceived Food Environment","URL":"https://www.ncbi.nlm.nih.gov/pmc/articles/PMC4539815/","volume":"105","author":[{"family":"Chen","given":"Xiang"},{"family":"Kwan","given":"Mei-Po"}],"accessed":{"date-parts":[["2021",9,15]]},"issued":{"date-parts":[["2015",9]]}}},{"id":1845,"uris":["http://zotero.org/users/5090392/items/AG2J3DKV"],"itemData":{"id":1845,"type":"article-journal","abstract":"Recent research on food access has increasingly focused on how individuals’ daily mobility, much of it based on activity spaces created from GPS data. In this paper, we expand this research through an analysis of a large transit survey (n = 21,298 households) from Minneapolis/St. Paul, Minnesota. We do this using relational approach focused on the topological connections found in household travel patterns rather than measures of exposure based on geographic distance. Our exploratory data analysis analyzes both grocery shopping and eating out across the metropolitan area, focusing on the position of utilized food sources relative to home and work locations, utilized modes of transit, and other daily activities often combined with food shopping. Households often used food sources located outside their residential neighborhoods, usually moving toward the central city to do so. Eating out occurred farther from home than grocery shopping, though in many cases close to work. Automobile use was most common for grocery shopping trips, but less so in the lowest income households and in the central city. Our findings show that a relational approach can identify distinctive patterns in everyday food provisioning by emphasizing the connections between food shopping and other everyday household activities.","container-title":"GeoJournal","DOI":"10.1007/s10708-016-9716-0","ISSN":"1572-9893","issue":"4","journalAbbreviation":"GeoJournal","language":"en","page":"769-785","source":"Springer Link","title":"What is the relationship between food shopping and daily mobility? A relational approach to analysis of food access","title-short":"What is the relationship between food shopping and daily mobility?","URL":"https://doi.org/10.1007/s10708-016-9716-0","volume":"82","author":[{"family":"Shannon","given":"Jerry"},{"family":"Christian","given":"W. Jay"}],"accessed":{"date-parts":[["2022",7,21]]},"issued":{"date-parts":[["2017",8,1]]}}},{"id":969,"uris":["http://zotero.org/users/5090392/items/ZPCCUHLC"],"itemData":{"id":969,"type":"article-journal","abstract":"Improving nutrition in urban regions involves understanding which neighborhoods and populations lack access to stores that sell healthy foods, such as fruits and vegetables. To this end, recent work has focused on mapping regions without access to places like supermarkets, often terming them ‘food deserts’. Until recently, this work has not considered residents’ mobility as facilitated by transportation systems, and even among those that do, few have considered alternative forms of transportation, like public transit, opting for automobile-oriented travel assumptions. This paper analyzes people’s spatio-temporal constraints to accessing supermarkets, and focuses on the transit commuting population. Analysis of commute data from Cincinnati, Ohio shows there are a significant number of residents that have improved access to supermarkets when a grocery shopping trip is made on the way home from work, than if they were to depart from their home location. These results extend previous work showing relatively few automobile commuting residents have better access to supermarkets given their work locations.","container-title":"Journal of Transport Geography","DOI":"10.1016/j.jtrangeo.2014.11.004","ISSN":"0966-6923","journalAbbreviation":"Journal of Transport Geography","language":"en","page":"72-83","source":"ScienceDirect","title":"Spatiotemporal accessibility to supermarkets using public transit: an interaction potential approach in Cincinnati, Ohio","title-short":"Spatiotemporal accessibility to supermarkets using public transit","URL":"https://www.sciencedirect.com/science/article/pii/S0966692314002403","volume":"42","author":[{"family":"Widener","given":"Michael J."},{"family":"Farber","given":"Steven"},{"family":"Neutens","given":"Tijs"},{"family":"Horner","given":"Mark"}],"accessed":{"date-parts":[["2021",3,3]]},"issued":{"date-parts":[["2015",1,1]]}}}],"schema":"https://github.com/citation-style-language/schema/raw/master/csl-citation.json"} </w:instrText>
      </w:r>
      <w:r w:rsidR="001202A2">
        <w:fldChar w:fldCharType="separate"/>
      </w:r>
      <w:r w:rsidR="00967900" w:rsidRPr="00967900">
        <w:t>(Carolan, 2021; Chen &amp; Kwan, 2015; Shannon &amp; Christian, 2017; Widener et al., 2015)</w:t>
      </w:r>
      <w:r w:rsidR="001202A2">
        <w:fldChar w:fldCharType="end"/>
      </w:r>
      <w:r w:rsidR="001202A2">
        <w:t>.</w:t>
      </w:r>
      <w:r w:rsidR="00A62961">
        <w:t xml:space="preserve"> </w:t>
      </w:r>
      <w:r w:rsidR="00697680">
        <w:t>A growing number of studies</w:t>
      </w:r>
      <w:r w:rsidR="00A62961">
        <w:t xml:space="preserve"> integrat</w:t>
      </w:r>
      <w:r w:rsidR="00697680">
        <w:t>e</w:t>
      </w:r>
      <w:r w:rsidR="00A62961">
        <w:t xml:space="preserve"> data </w:t>
      </w:r>
      <w:r w:rsidR="00AE24AC">
        <w:t xml:space="preserve">collected on travel behaviors </w:t>
      </w:r>
      <w:r w:rsidR="008A2382">
        <w:t>which</w:t>
      </w:r>
      <w:r w:rsidR="00AE24AC">
        <w:t xml:space="preserve"> enable </w:t>
      </w:r>
      <w:r w:rsidR="00697680">
        <w:t xml:space="preserve">researchers to </w:t>
      </w:r>
      <w:r w:rsidR="00A34183">
        <w:t xml:space="preserve">model the activity spaces of individuals and </w:t>
      </w:r>
      <w:r w:rsidR="00E04DF6">
        <w:t xml:space="preserve">map the different locations and routes </w:t>
      </w:r>
      <w:r w:rsidR="00EC6136">
        <w:t>they</w:t>
      </w:r>
      <w:r w:rsidR="00E04DF6">
        <w:t xml:space="preserve"> </w:t>
      </w:r>
      <w:r w:rsidR="0009451D">
        <w:t>visit and adopt</w:t>
      </w:r>
      <w:r w:rsidR="00A34183">
        <w:t xml:space="preserve"> </w:t>
      </w:r>
      <w:r w:rsidR="00FF4D9A">
        <w:t xml:space="preserve">to identify a broader range of </w:t>
      </w:r>
      <w:r w:rsidR="00835EFF">
        <w:t xml:space="preserve">spatially accessible food retail outlets </w:t>
      </w:r>
      <w:r w:rsidR="00FF4D9A">
        <w:t>b</w:t>
      </w:r>
      <w:r w:rsidR="00972A49">
        <w:t xml:space="preserve">eyond those nearby </w:t>
      </w:r>
      <w:r w:rsidR="00EC6136">
        <w:t xml:space="preserve">their </w:t>
      </w:r>
      <w:r w:rsidR="00972A49">
        <w:t xml:space="preserve">residential locations </w:t>
      </w:r>
      <w:r w:rsidR="00032816">
        <w:fldChar w:fldCharType="begin"/>
      </w:r>
      <w:r w:rsidR="00032816">
        <w:instrText xml:space="preserve"> ADDIN ZOTERO_ITEM CSL_CITATION {"citationID":"xUijlwrn","properties":{"formattedCitation":"(Kestens et al., 2010; Widener et al., 2013, 2015)","plainCitation":"(Kestens et al., 2010; Widener et al., 2013, 2015)","noteIndex":0},"citationItems":[{"id":1849,"uris":["http://zotero.org/users/5090392/items/Z2WDV8I2"],"itemData":{"id":1849,"type":"article-journal","abstract":"Researchers are increasingly interested in understanding how food environments influence eating behavior and weight-related health outcomes. Little is known about the dose–response relationship between foodscapes and behavior or weight, with measures of food exposure having mainly focused on fixed anchor points including residential neighborhoods, schools, or workplaces. Recent calls have been made to extend the consideration of environmental influences beyond local neighborhoods and also to shift away from place-based, to people-based, measures of exposure. This report presents analyses of novel activity-space measures of exposure to foodscapes, combining travel survey data with food store locations in Montreal and Quebec City, Canada. The resulting individual activity-space experienced foodscape exposure measures differ from traditional residential-based measures, and show variations by age and income levels. Furthermore, these activity-space exposure measures once modeled, can be used as predictors of health outcomes. Hence, travel surveys can be used to estimate environmental exposure for health survey participants.","container-title":"Health &amp; Place","DOI":"10.1016/j.healthplace.2010.06.016","ISSN":"1353-8292","issue":"6","journalAbbreviation":"Health &amp; Place","language":"en","page":"1094-1103","source":"ScienceDirect","title":"Using experienced activity spaces to measure foodscape exposure","URL":"https://www.sciencedirect.com/science/article/pii/S1353829210000912","volume":"16","author":[{"family":"Kestens","given":"Yan"},{"family":"Lebel","given":"Alexandre"},{"family":"Daniel","given":"Mark"},{"family":"Thériault","given":"Marius"},{"family":"Pampalon","given":"Robert"}],"accessed":{"date-parts":[["2022",7,25]]},"issued":{"date-parts":[["2010",11,1]]}}},{"id":1807,"uris":["http://zotero.org/users/5090392/items/XK6JE8M4"],"itemData":{"id":1807,"type":"article-journal","abstract":"Improving spatial access to healthy foods in urban regions is recognized as an important component of reducing the prevalence of chronic illness and achieving better health outcomes. Previously, researchers exploring this domain have calculated accessibility measures derived from the travel cost from home locations to nearby food stores. This approach disregards additional opportunities that present themselves as residents move throughout the city. A time-geographic accessibility measure is utilized to explore how single-occupancy automobile commuting affords access to supermarkets. Results show residents in some TAZs have more access when accounting for their commuting behavior than when measuring access from their home. This finding suggests more nuanced calculations of accessibility are necessary to fully understand which urban populations have greater access to healthy food.","container-title":"Health &amp; Place","DOI":"10.1016/j.healthplace.2013.01.004","ISSN":"1353-8292","journalAbbreviation":"Health &amp; Place","language":"en","page":"1-9","source":"ScienceDirect","title":"Using urban commuting data to calculate a spatiotemporal accessibility measure for food environment studies","URL":"https://www.sciencedirect.com/science/article/pii/S1353829213000105","volume":"21","author":[{"family":"Widener","given":"Michael J."},{"family":"Farber","given":"Steven"},{"family":"Neutens","given":"Tijs"},{"family":"Horner","given":"Mark W."}],"accessed":{"date-parts":[["2022",7,10]]},"issued":{"date-parts":[["2013",5,1]]}}},{"id":969,"uris":["http://zotero.org/users/5090392/items/ZPCCUHLC"],"itemData":{"id":969,"type":"article-journal","abstract":"Improving nutrition in urban regions involves understanding which neighborhoods and populations lack access to stores that sell healthy foods, such as fruits and vegetables. To this end, recent work has focused on mapping regions without access to places like supermarkets, often terming them ‘food deserts’. Until recently, this work has not considered residents’ mobility as facilitated by transportation systems, and even among those that do, few have considered alternative forms of transportation, like public transit, opting for automobile-oriented travel assumptions. This paper analyzes people’s spatio-temporal constraints to accessing supermarkets, and focuses on the transit commuting population. Analysis of commute data from Cincinnati, Ohio shows there are a significant number of residents that have improved access to supermarkets when a grocery shopping trip is made on the way home from work, than if they were to depart from their home location. These results extend previous work showing relatively few automobile commuting residents have better access to supermarkets given their work locations.","container-title":"Journal of Transport Geography","DOI":"10.1016/j.jtrangeo.2014.11.004","ISSN":"0966-6923","journalAbbreviation":"Journal of Transport Geography","language":"en","page":"72-83","source":"ScienceDirect","title":"Spatiotemporal accessibility to supermarkets using public transit: an interaction potential approach in Cincinnati, Ohio","title-short":"Spatiotemporal accessibility to supermarkets using public transit","URL":"https://www.sciencedirect.com/science/article/pii/S0966692314002403","volume":"42","author":[{"family":"Widener","given":"Michael J."},{"family":"Farber","given":"Steven"},{"family":"Neutens","given":"Tijs"},{"family":"Horner","given":"Mark"}],"accessed":{"date-parts":[["2021",3,3]]},"issued":{"date-parts":[["2015",1,1]]}}}],"schema":"https://github.com/citation-style-language/schema/raw/master/csl-citation.json"} </w:instrText>
      </w:r>
      <w:r w:rsidR="00032816">
        <w:fldChar w:fldCharType="separate"/>
      </w:r>
      <w:r w:rsidR="00967900" w:rsidRPr="00967900">
        <w:t>(Kestens et al., 2010; Widener et al., 2013, 2015)</w:t>
      </w:r>
      <w:r w:rsidR="00032816">
        <w:fldChar w:fldCharType="end"/>
      </w:r>
      <w:r w:rsidR="00972A49">
        <w:t>.</w:t>
      </w:r>
      <w:r w:rsidR="0099108E">
        <w:t xml:space="preserve"> </w:t>
      </w:r>
      <w:r w:rsidR="00306D77">
        <w:t xml:space="preserve">Despite their usefulness in capturing </w:t>
      </w:r>
      <w:r w:rsidR="00B40B0A">
        <w:t xml:space="preserve">individual travel behaviors, these studies </w:t>
      </w:r>
      <w:r w:rsidR="00710358">
        <w:t>involved</w:t>
      </w:r>
      <w:r w:rsidR="00732B64">
        <w:t xml:space="preserve"> </w:t>
      </w:r>
      <w:r w:rsidR="009040C9">
        <w:t>data on a set of limited activity spaces</w:t>
      </w:r>
      <w:r w:rsidR="00732B64">
        <w:t xml:space="preserve"> (e.g., </w:t>
      </w:r>
      <w:r w:rsidR="00710358">
        <w:t xml:space="preserve">travel surveys </w:t>
      </w:r>
      <w:r w:rsidR="00A60B83">
        <w:t>where data w</w:t>
      </w:r>
      <w:r w:rsidR="00FB10FC">
        <w:t>ere</w:t>
      </w:r>
      <w:r w:rsidR="00A60B83">
        <w:t xml:space="preserve"> collected based on </w:t>
      </w:r>
      <w:r w:rsidR="00233F5F">
        <w:t xml:space="preserve">the </w:t>
      </w:r>
      <w:r w:rsidR="00532860">
        <w:t xml:space="preserve">memory </w:t>
      </w:r>
      <w:r w:rsidR="00233F5F">
        <w:t>re</w:t>
      </w:r>
      <w:r w:rsidR="00532860">
        <w:t>collection of participants which can sometimes be incomplete</w:t>
      </w:r>
      <w:r w:rsidR="0082032C">
        <w:t>, and commuting flow data between home and work locations</w:t>
      </w:r>
      <w:r w:rsidR="009040C9">
        <w:t>)</w:t>
      </w:r>
      <w:r w:rsidR="00723E9E">
        <w:t>.</w:t>
      </w:r>
      <w:r w:rsidR="00532860">
        <w:t xml:space="preserve"> </w:t>
      </w:r>
      <w:r w:rsidR="00825B86">
        <w:t xml:space="preserve">In turn, other places </w:t>
      </w:r>
      <w:r w:rsidR="00C53FB5">
        <w:t xml:space="preserve">not captured in </w:t>
      </w:r>
      <w:r w:rsidR="00FB10FC">
        <w:t>these</w:t>
      </w:r>
      <w:r w:rsidR="00C53FB5">
        <w:t xml:space="preserve"> data sources </w:t>
      </w:r>
      <w:r w:rsidR="00725C8B">
        <w:t>go</w:t>
      </w:r>
      <w:r w:rsidR="00C53FB5">
        <w:t xml:space="preserve"> unrecognized</w:t>
      </w:r>
      <w:r w:rsidR="00FB10FC">
        <w:t xml:space="preserve"> in the construction of individual space-time paths and prisms</w:t>
      </w:r>
      <w:r w:rsidR="00617462">
        <w:t>.</w:t>
      </w:r>
    </w:p>
    <w:p w14:paraId="778539F2" w14:textId="65A2FEFF" w:rsidR="008C4D2D" w:rsidRDefault="0042553A" w:rsidP="00156BEA">
      <w:pPr>
        <w:spacing w:line="480" w:lineRule="auto"/>
        <w:ind w:firstLine="720"/>
      </w:pPr>
      <w:r>
        <w:lastRenderedPageBreak/>
        <w:t>The emergence of fine spatiotemporal data</w:t>
      </w:r>
      <w:r w:rsidR="00617462">
        <w:t xml:space="preserve"> such as GPS </w:t>
      </w:r>
      <w:r w:rsidR="00922541">
        <w:t xml:space="preserve">traces from mobile phones have been used </w:t>
      </w:r>
      <w:r w:rsidR="0035239C">
        <w:t xml:space="preserve">to </w:t>
      </w:r>
      <w:proofErr w:type="gramStart"/>
      <w:r w:rsidR="0035239C">
        <w:t>more accurately capture the full extent of individual activity spaces and travel routes</w:t>
      </w:r>
      <w:proofErr w:type="gramEnd"/>
      <w:r w:rsidR="00E01385">
        <w:t>.</w:t>
      </w:r>
      <w:r w:rsidR="007B5908">
        <w:t xml:space="preserve"> </w:t>
      </w:r>
      <w:r w:rsidR="00D2617D">
        <w:t xml:space="preserve">For example, </w:t>
      </w:r>
      <w:r w:rsidR="009362B9">
        <w:t xml:space="preserve">Liu et al. </w:t>
      </w:r>
      <w:r w:rsidR="009362B9">
        <w:fldChar w:fldCharType="begin"/>
      </w:r>
      <w:r w:rsidR="009362B9">
        <w:instrText xml:space="preserve"> ADDIN ZOTERO_ITEM CSL_CITATION {"citationID":"eG3y4Puw","properties":{"formattedCitation":"(2021)","plainCitation":"(2021)","noteIndex":0},"citationItems":[{"id":1358,"uris":["http://zotero.org/users/5090392/items/TDYJXR8A"],"itemData":{"id":1358,"type":"article-journal","abstract":"Geographic access to food retailers has long been considered an important determinant of food-related behaviors. Despite methodological improvements in assessing food environments, their associations with food behaviors have remained inconsistent. We argue that one possible reason for these inconsistencies is the lack of information about how an individual’s time use dynamics play out in space. To this point, few studies on the combined effects of food geography and time use on food behaviors exist, and methods to achieve such analyses have been underdeveloped. In this study, we propose a novel application of multi-channel sequence analysis (MCSA) to identify joint patterns of time use and food-related geographic contexts. We explore how those spatiotemporal patterns are associated with individuals’ food shopping and food-related household chores. This analytical workflow is demonstrated using time use diaries and GPS trajectories collected in Toronto in 2019. This test case identifies spatiotemporal patterns with distinctive characteristics of disaggregated time use and spatial exposure to food retail and finds associations between these distinct space-time patterns and participation in food-related activities. This application of MCSA affords a promising novel approach for food environment researchers to perform nuanced assessments of the sequenced spatiotemporal contexts in which food-related behaviors occur.","container-title":"Geographical Analysis","DOI":"10.1111/gean.12305","ISSN":"1538-4632","language":"en","note":"_eprint: https://onlinelibrary.wiley.com/doi/pdf/10.1111/gean.12305","page":"1-37","source":"Wiley Online Library","title":"Disentangling Time Use, Food Environment, and Food Behaviors Using Multi-Channel Sequence Analysis","URL":"https://onlinelibrary.wiley.com/doi/abs/10.1111/gean.12305","volume":"0","author":[{"family":"Liu","given":"Bochu"},{"family":"Widener","given":"Michael J."},{"family":"Smith","given":"Lindsey G."},{"family":"Farber","given":"Steven"},{"family":"Minaker","given":"Leia M."},{"family":"Patterson","given":"Zachary"},{"family":"Larsen","given":"Kristian"},{"family":"Gilliland","given":"Jason"}],"accessed":{"date-parts":[["2022",3,4]]},"issued":{"date-parts":[["2021",8,13]]}},"suppress-author":true}],"schema":"https://github.com/citation-style-language/schema/raw/master/csl-citation.json"} </w:instrText>
      </w:r>
      <w:r w:rsidR="009362B9">
        <w:fldChar w:fldCharType="separate"/>
      </w:r>
      <w:r w:rsidR="00967900" w:rsidRPr="00967900">
        <w:t>(2021)</w:t>
      </w:r>
      <w:r w:rsidR="009362B9">
        <w:fldChar w:fldCharType="end"/>
      </w:r>
      <w:r w:rsidR="009362B9">
        <w:t xml:space="preserve"> develop a novel application of multi-channel sequence analysis with time use diaries and GPS trajectories to identify joint patterns of individual time use and food procurement practices. Their research provides one approach to understand food-related behaviors in a sequenced space-time context that considers activities related to food access in the context of non-access-related activities as the distribution of time for discretionary activities may vary throughout a day. </w:t>
      </w:r>
      <w:r w:rsidR="007E0226">
        <w:t>Many</w:t>
      </w:r>
      <w:r w:rsidR="006B2140">
        <w:t xml:space="preserve"> </w:t>
      </w:r>
      <w:r w:rsidR="00D26FF7">
        <w:t>p</w:t>
      </w:r>
      <w:r w:rsidR="000919F1">
        <w:t xml:space="preserve">erson-based spatiotemporal measures of access are frequently based on the space-time prism from time geography that delimit the areas individuals can visit within the transportation network throughout a day but explicitly account for idiosyncratic differences owing to physical spatiotemporal constraints </w:t>
      </w:r>
      <w:r w:rsidR="000919F1">
        <w:fldChar w:fldCharType="begin"/>
      </w:r>
      <w:r w:rsidR="000919F1">
        <w:instrText xml:space="preserve"> ADDIN ZOTERO_ITEM CSL_CITATION {"citationID":"XehfZgYJ","properties":{"formattedCitation":"(H.-M. Kim &amp; Kwan, 2003; H. J. Miller, 1991; Widener et al., 2013)","plainCitation":"(H.-M. Kim &amp; Kwan, 2003; H. J. Miller, 1991; Widener et al., 2013)","noteIndex":0},"citationItems":[{"id":820,"uris":["http://zotero.org/users/5090392/items/QD4SKWPE"],"itemData":{"id":820,"type":"article-journal","abstract":"Space-time accessibility measures have received much attention in recent years due to their sensitivity to differences in individual ability to participate in activities in space and time. Despite the conceptual attractiveness and robustness of space-time measures, only few attempts have been made to operationalize them to date. Research that seeks to improve space-time accessibility measures is still sorely needed. This study seeks to enhance space-time accessibility measures through developing a new operational method and GIS-based algorithm that better represents the space-time characteristics of urban opportunities (e.g. their geographical distribution and opening hours) and human activity-travel behavior (e.g. delay times, minimum activity participation time, and maximum travel time threshold). The proposed method not only takes into account the number and size of opportunities, but also the possible activity duration at each activity location given its opening hours and the effect of transport network topology (e.g. one-way streets, turn restrictions and over-pass). Incorporating these elements into space-time measures helps overcome several shortcomings of previous approaches to evaluating space-time accessibility.","container-title":"Journal of Geographical Systems","DOI":"10.1007/s101090300104","ISSN":"1435-5930","issue":"1","journalAbbreviation":"J Geograph Syst","language":"en","page":"71-91","source":"Springer Link","title":"Space-time accessibility measures: A geocomputational algorithm with a focus on the feasible opportunity set and possible activity duration","title-short":"Space-time accessibility measures","URL":"https://doi.org/10.1007/s101090300104","volume":"5","author":[{"family":"Kim","given":"Hyun-Mi"},{"family":"Kwan","given":"Mei-Po"}],"accessed":{"date-parts":[["2021",2,4]]},"issued":{"date-parts":[["2003",5,1]]}}},{"id":834,"uris":["http://zotero.org/users/5090392/items/NUPEY98B"],"itemData":{"id":834,"type":"article-journal","abstract":"The space-time 0 .. time geographical framework is a powerful perspective from which to analyse human behaviour. One of the central concepts in this framework is the space-time prism, which models individual accessibility to an environment. In this paper, the derivation and manipulation of space-time prism concepts within a geographical information system (GIS) are discussed. The required system inputs and desired outputs are identified and a generic GIS based procedure is presented. Given these basic requirements, issues are discussed which can determine the feasibility of current GIS technology to handle the derivation of space-time prism concepts.","container-title":"International journal of geographical information systems","DOI":"10.1080/02693799108927856","ISSN":"0269-3798","issue":"3","journalAbbreviation":"International journal of geographical information systems","language":"en","page":"287-301","source":"DOI.org (Crossref)","title":"Modelling accessibility using space-time prism concepts within geographical information systems","URL":"http://www.tandfonline.com/doi/abs/10.1080/02693799108927856","volume":"5","author":[{"family":"Miller","given":"Harvey J."}],"accessed":{"date-parts":[["2021",2,7]]},"issued":{"date-parts":[["1991",1]]}}},{"id":1807,"uris":["http://zotero.org/users/5090392/items/XK6JE8M4"],"itemData":{"id":1807,"type":"article-journal","abstract":"Improving spatial access to healthy foods in urban regions is recognized as an important component of reducing the prevalence of chronic illness and achieving better health outcomes. Previously, researchers exploring this domain have calculated accessibility measures derived from the travel cost from home locations to nearby food stores. This approach disregards additional opportunities that present themselves as residents move throughout the city. A time-geographic accessibility measure is utilized to explore how single-occupancy automobile commuting affords access to supermarkets. Results show residents in some TAZs have more access when accounting for their commuting behavior than when measuring access from their home. This finding suggests more nuanced calculations of accessibility are necessary to fully understand which urban populations have greater access to healthy food.","container-title":"Health &amp; Place","DOI":"10.1016/j.healthplace.2013.01.004","ISSN":"1353-8292","journalAbbreviation":"Health &amp; Place","language":"en","page":"1-9","source":"ScienceDirect","title":"Using urban commuting data to calculate a spatiotemporal accessibility measure for food environment studies","URL":"https://www.sciencedirect.com/science/article/pii/S1353829213000105","volume":"21","author":[{"family":"Widener","given":"Michael J."},{"family":"Farber","given":"Steven"},{"family":"Neutens","given":"Tijs"},{"family":"Horner","given":"Mark W."}],"accessed":{"date-parts":[["2022",7,10]]},"issued":{"date-parts":[["2013",5,1]]}}}],"schema":"https://github.com/citation-style-language/schema/raw/master/csl-citation.json"} </w:instrText>
      </w:r>
      <w:r w:rsidR="000919F1">
        <w:fldChar w:fldCharType="separate"/>
      </w:r>
      <w:r w:rsidR="00967900" w:rsidRPr="00967900">
        <w:t>(Kim &amp; Kwan, 2003; Miller, 1991; Widener et al., 2013)</w:t>
      </w:r>
      <w:r w:rsidR="000919F1">
        <w:fldChar w:fldCharType="end"/>
      </w:r>
      <w:r w:rsidR="000919F1">
        <w:t xml:space="preserve">. Given information about the time budget and activity patterns of individuals as well as characteristics of the transportation system and possible travel routes, it is possible to model and compare the food accessibility between individuals or to resolve them to another aggregate geographic scale </w:t>
      </w:r>
      <w:r w:rsidR="000919F1">
        <w:fldChar w:fldCharType="begin"/>
      </w:r>
      <w:r w:rsidR="000919F1">
        <w:instrText xml:space="preserve"> ADDIN ZOTERO_ITEM CSL_CITATION {"citationID":"SGju0BWq","properties":{"formattedCitation":"(Horner &amp; Wood, 2014)","plainCitation":"(Horner &amp; Wood, 2014)","noteIndex":0},"citationItems":[{"id":1804,"uris":["http://zotero.org/users/5090392/items/RLE4CGRE"],"itemData":{"id":1804,"type":"article-journal","abstract":"Within the geography, transportation, and public health communities there has been intense interest in better understanding the linkages between health outcomes such as obesity rates and people's access to healthy foods. In this nexus, personal access to healthy food is shaped by a number of individual and geographical factors including people's time available for shopping, the quality of proximal food vendors (e.g. supermarkets vs. convenience stores), and the nature of the transportation systems available to facilitate mobility. Building on recent research in disaggregate accessibility modeling, including that of time geography, this paper describes an individual-level modeling approach for quantifying peoples' food environments. The approach works by measuring the accessibility people have to local food shopping opportunities given their activity patterns and available time budgets. Individuals' food accessibility may be compared to one another and the underlying mobility afforded by the transportation system is accounted for. Moreover, the individual-level measure is such that it may be resolved to places, whereby the aggregation and mapping of multiple individuals' food accessibility experiences is possible. Hence, possible ‘deserts’ or areas of inaccessibility may be identified through a bottom-up analysis of the travel and mobility experience of a representative sample of individuals. These ideas are demonstrated with spatial data from a smaller urban area in Florida. Results show that individual and place-based differences in food accessibility may be delineated with the metrics.","container-title":"Applied Geography","DOI":"10.1016/j.apgeog.2014.03.007","ISSN":"0143-6228","journalAbbreviation":"Applied Geography","language":"en","page":"99-107","source":"ScienceDirect","title":"Capturing individuals' food environments using flexible space-time accessibility measures","URL":"https://www.sciencedirect.com/science/article/pii/S0143622814000575","volume":"51","author":[{"family":"Horner","given":"Mark W."},{"family":"Wood","given":"Brittany S."}],"accessed":{"date-parts":[["2022",7,10]]},"issued":{"date-parts":[["2014",7,1]]}}}],"schema":"https://github.com/citation-style-language/schema/raw/master/csl-citation.json"} </w:instrText>
      </w:r>
      <w:r w:rsidR="000919F1">
        <w:fldChar w:fldCharType="separate"/>
      </w:r>
      <w:r w:rsidR="00967900" w:rsidRPr="00967900">
        <w:t>(Horner &amp; Wood, 2014)</w:t>
      </w:r>
      <w:r w:rsidR="000919F1">
        <w:fldChar w:fldCharType="end"/>
      </w:r>
      <w:r w:rsidR="000919F1">
        <w:t>.</w:t>
      </w:r>
      <w:r w:rsidR="008C4D2D">
        <w:t xml:space="preserve"> </w:t>
      </w:r>
      <w:r w:rsidR="00BA2F13">
        <w:t xml:space="preserve">Relatedly, Chen and Kwan </w:t>
      </w:r>
      <w:r w:rsidR="00BA2F13">
        <w:fldChar w:fldCharType="begin"/>
      </w:r>
      <w:r w:rsidR="00BA2F13">
        <w:instrText xml:space="preserve"> ADDIN ZOTERO_ITEM CSL_CITATION {"citationID":"6aQDOetZ","properties":{"formattedCitation":"(2012)","plainCitation":"(2012)","noteIndex":0},"citationItems":[{"id":1815,"uris":["http://zotero.org/users/5090392/items/VHIZRPFI"],"itemData":{"id":1815,"type":"article-journal","abstract":"In classical time geography, an individual travel path is composed of a chain of visits, with each visit being a flexible activity between two fixed activities at two known stations. In reality, individuals tend to carry out trips with much variation and complexity, with multipurpose trips being a prominent and pervasive phenomenon. There is limited research to date on multipurpose trips in time-geographic analysis by geographic information system (GIS) scientists, or more specifically, multiple flexible activities between two fixed stations. To fill this gap, this article proposes four models for identifying the choice set with multiple flexible activities under space–time constraints. The models are derived through set-theoretic formalism based on the concept of trip chaining. The structure of the four models establishes a theoretical framework for conceptualizing trip-chaining behaviour with respect to the fixity of activities and the number of fixed stations as destinations or origins. They provide fundamental and rigorous apparatus for studying complex individual activity–travel patterns in many applied contexts when multipurpose trips are involved. This article also describes implementation of the models with a real transportation network as a way of validation.","container-title":"International Journal of Geographical Information Science","DOI":"10.1080/13658816.2011.624520","ISSN":"1365-8816","issue":"5","note":"publisher: Taylor &amp; Francis\n_eprint: https://doi.org/10.1080/13658816.2011.624520","page":"941-961","source":"Taylor and Francis+NEJM","title":"Choice set formation with multiple flexible activities under space–time constraints","URL":"https://doi.org/10.1080/13658816.2011.624520","volume":"26","author":[{"family":"Chen","given":"Xiang"},{"family":"Kwan","given":"Mei-Po"}],"accessed":{"date-parts":[["2022",7,12]]},"issued":{"date-parts":[["2012",5,1]]}},"label":"page","suppress-author":true}],"schema":"https://github.com/citation-style-language/schema/raw/master/csl-citation.json"} </w:instrText>
      </w:r>
      <w:r w:rsidR="00BA2F13">
        <w:fldChar w:fldCharType="separate"/>
      </w:r>
      <w:r w:rsidR="00967900" w:rsidRPr="00967900">
        <w:t>(2012)</w:t>
      </w:r>
      <w:r w:rsidR="00BA2F13">
        <w:fldChar w:fldCharType="end"/>
      </w:r>
      <w:r w:rsidR="00BA2F13">
        <w:t xml:space="preserve"> develop a series of models </w:t>
      </w:r>
      <w:r w:rsidR="006B2140">
        <w:t>based on tim</w:t>
      </w:r>
      <w:r w:rsidR="008C4D2D">
        <w:t xml:space="preserve">e geography </w:t>
      </w:r>
      <w:r w:rsidR="00BA2F13">
        <w:t>to identify all potential opportunities during individual trip-chaining sequences with multiple flexible/discretionary activities while considering space-time constraints.</w:t>
      </w:r>
    </w:p>
    <w:p w14:paraId="0D2CA50C" w14:textId="31B69ABF" w:rsidR="00576343" w:rsidRDefault="003E5ACF" w:rsidP="00156BEA">
      <w:pPr>
        <w:spacing w:line="480" w:lineRule="auto"/>
        <w:ind w:firstLine="720"/>
      </w:pPr>
      <w:r>
        <w:t xml:space="preserve">Taking a slightly different </w:t>
      </w:r>
      <w:r w:rsidR="00E82360">
        <w:t>methodological</w:t>
      </w:r>
      <w:r>
        <w:t xml:space="preserve"> approach</w:t>
      </w:r>
      <w:r w:rsidR="00E82360">
        <w:t xml:space="preserve"> by </w:t>
      </w:r>
      <w:r w:rsidR="00F600B5">
        <w:t>triangulating GPS traces with interview responses</w:t>
      </w:r>
      <w:r>
        <w:t>,</w:t>
      </w:r>
      <w:r w:rsidR="000F2D4D">
        <w:t xml:space="preserve"> </w:t>
      </w:r>
      <w:r w:rsidR="006E76EE">
        <w:t xml:space="preserve">Shannon </w:t>
      </w:r>
      <w:r w:rsidR="001A6CAB">
        <w:fldChar w:fldCharType="begin"/>
      </w:r>
      <w:r w:rsidR="001A6CAB">
        <w:instrText xml:space="preserve"> ADDIN ZOTERO_ITEM CSL_CITATION {"citationID":"i8aPGcjt","properties":{"formattedCitation":"(2016)","plainCitation":"(2016)","noteIndex":0},"citationItems":[{"id":1852,"uris":["http://zotero.org/users/5090392/items/BH6N9G2T"],"itemData":{"id":1852,"type":"article-journal","container-title":"Annals of the American Association of Geographers","DOI":"10.1080/00045608.2015.1095059","ISSN":"2469-4452, 2469-4460","issue":"1","journalAbbreviation":"Annals of the American Association of Geographers","language":"en","page":"186-202","source":"DOI.org (Crossref)","title":"Beyond the Supermarket Solution: Linking Food Deserts, Neighborhood Context, and Everyday Mobility","title-short":"Beyond the Supermarket Solution","URL":"http://www.tandfonline.com/doi/full/10.1080/00045608.2015.1095059","volume":"106","author":[{"family":"Shannon","given":"Jerry"}],"accessed":{"date-parts":[["2022",7,25]]},"issued":{"date-parts":[["2016",1,2]]}},"label":"page","suppress-author":true}],"schema":"https://github.com/citation-style-language/schema/raw/master/csl-citation.json"} </w:instrText>
      </w:r>
      <w:r w:rsidR="001A6CAB">
        <w:fldChar w:fldCharType="separate"/>
      </w:r>
      <w:r w:rsidR="00967900" w:rsidRPr="00967900">
        <w:t>(2016)</w:t>
      </w:r>
      <w:r w:rsidR="001A6CAB">
        <w:fldChar w:fldCharType="end"/>
      </w:r>
      <w:r w:rsidR="001A6CAB">
        <w:t xml:space="preserve"> </w:t>
      </w:r>
      <w:r w:rsidR="00A44769">
        <w:t xml:space="preserve">also examined trip-chaining behavior and </w:t>
      </w:r>
      <w:r w:rsidR="00600C3D">
        <w:t xml:space="preserve">how low-income individuals in Minnesota </w:t>
      </w:r>
      <w:r w:rsidR="00682AA6">
        <w:t xml:space="preserve">purchase food </w:t>
      </w:r>
      <w:proofErr w:type="spellStart"/>
      <w:r w:rsidR="00682AA6">
        <w:t>en</w:t>
      </w:r>
      <w:proofErr w:type="spellEnd"/>
      <w:r w:rsidR="00682AA6">
        <w:t xml:space="preserve"> route to other places.</w:t>
      </w:r>
      <w:r w:rsidR="00566A0F">
        <w:t xml:space="preserve"> They a</w:t>
      </w:r>
      <w:r w:rsidR="00EF1A61">
        <w:t xml:space="preserve">dditionally </w:t>
      </w:r>
      <w:r w:rsidR="00566A0F">
        <w:t xml:space="preserve">found that perceived store quality </w:t>
      </w:r>
      <w:r w:rsidR="007F2496">
        <w:t xml:space="preserve">was associated with the economic and racial compositions of the </w:t>
      </w:r>
      <w:r w:rsidR="00727AA4">
        <w:t>neighborhoods of the residents</w:t>
      </w:r>
      <w:r w:rsidR="00EF1A61">
        <w:t>.</w:t>
      </w:r>
      <w:r w:rsidR="00682AA6">
        <w:t xml:space="preserve"> </w:t>
      </w:r>
      <w:r w:rsidR="001056E1">
        <w:t xml:space="preserve">Carolan </w:t>
      </w:r>
      <w:r w:rsidR="001056E1">
        <w:fldChar w:fldCharType="begin"/>
      </w:r>
      <w:r w:rsidR="001056E1">
        <w:instrText xml:space="preserve"> ADDIN ZOTERO_ITEM CSL_CITATION {"citationID":"KMYxCj77","properties":{"formattedCitation":"(2021)","plainCitation":"(2021)","noteIndex":0},"citationItems":[{"id":1625,"uris":["http://zotero.org/users/5090392/items/GIHUSPZH"],"itemData":{"id":1625,"type":"article-journal","abstract":"This paper adopts a relational, also known as a topological, approach to food accessibility—the idea that food spaces are best understood as relational becomings rather than as voids filled exclusively with mass (immutable materiality) and address (geospatial coordinates). It is animated by an experimental spirit, in terms of the methods employed, the data collected, and by how those data are brought together, which together better enriches inductive theorizing. The project looks at the daily macro-mobilities—trips from one GPS coordinate to another—of 70 Coloradoans, triangulated with qualitative semi-structured interview data. Data collection occurred over three phases: baseline interviews, which lasted approximately 45 min; 30-day study period, which involved using a GPS tracking app. on their mobile phones; and follow-up interviews that lasted roughly two hours. The paper, through inductive theorizing and methodological experimentation, contributes to the critical food mapping scholarship in three ways: first, by looking at rural and urban food environments and livelihoods (as opposed to focusing exclusively on the latter); second, by focusing on mobilities as opposed to fixities (an example of the former: mapping projects that reduce food access to Euclidean coordinates); and, lastly, by its conceptual innovations attributed to phenomena such as life course and geographies of care.","container-title":"Agriculture and Human Values","DOI":"10.1007/s10460-020-10149-y","ISSN":"0889-048X, 1572-8366","issue":"1","journalAbbreviation":"Agric Hum Values","language":"en","page":"243-256","source":"DOI.org (Crossref)","title":"Putting food access in its topological place: thinking in terms of relational becomings when mapping space","title-short":"Putting food access in its topological place","URL":"https://link.springer.com/10.1007/s10460-020-10149-y","volume":"38","author":[{"family":"Carolan","given":"Michael"}],"accessed":{"date-parts":[["2022",4,13]]},"issued":{"date-parts":[["2021",2]]}},"label":"page","suppress-author":true}],"schema":"https://github.com/citation-style-language/schema/raw/master/csl-citation.json"} </w:instrText>
      </w:r>
      <w:r w:rsidR="001056E1">
        <w:fldChar w:fldCharType="separate"/>
      </w:r>
      <w:r w:rsidR="00967900" w:rsidRPr="00967900">
        <w:t>(2021)</w:t>
      </w:r>
      <w:r w:rsidR="001056E1">
        <w:fldChar w:fldCharType="end"/>
      </w:r>
      <w:r w:rsidR="001056E1">
        <w:t xml:space="preserve"> </w:t>
      </w:r>
      <w:r w:rsidR="00EF1A61">
        <w:t>similarly</w:t>
      </w:r>
      <w:r w:rsidR="001056E1">
        <w:t xml:space="preserve"> enlisted </w:t>
      </w:r>
      <w:r w:rsidR="00634A79">
        <w:t xml:space="preserve">research participants </w:t>
      </w:r>
      <w:r w:rsidR="00634A79">
        <w:lastRenderedPageBreak/>
        <w:t xml:space="preserve">throughout rural and urban Colorado </w:t>
      </w:r>
      <w:r w:rsidR="00F365FC">
        <w:t xml:space="preserve">and triangulated their GPS traces with interview responses to </w:t>
      </w:r>
      <w:r w:rsidR="0077676A">
        <w:t>understand how</w:t>
      </w:r>
      <w:r w:rsidR="00C71828">
        <w:t xml:space="preserve"> individuals</w:t>
      </w:r>
      <w:r w:rsidR="000E5246">
        <w:t xml:space="preserve"> adopted unique food procurement practices </w:t>
      </w:r>
      <w:r w:rsidR="007E4288">
        <w:t>in response to their living situations and rural/urban food environment.</w:t>
      </w:r>
      <w:r w:rsidR="00690478">
        <w:t xml:space="preserve"> </w:t>
      </w:r>
      <w:r w:rsidR="00B45C30">
        <w:t xml:space="preserve">These and similar works of research </w:t>
      </w:r>
      <w:r w:rsidR="00B0142F">
        <w:t>indicate the development of more sophisticated approaches</w:t>
      </w:r>
      <w:r w:rsidR="00907F63">
        <w:t xml:space="preserve"> with the growing availability of </w:t>
      </w:r>
      <w:r w:rsidR="00E16E59">
        <w:t>fine spatiotemporal data.</w:t>
      </w:r>
      <w:r w:rsidR="00D32D19">
        <w:t xml:space="preserve"> </w:t>
      </w:r>
      <w:r w:rsidR="00D3535F">
        <w:t xml:space="preserve">The </w:t>
      </w:r>
      <w:proofErr w:type="gramStart"/>
      <w:r w:rsidR="00D3535F">
        <w:t>mixed-methods</w:t>
      </w:r>
      <w:proofErr w:type="gramEnd"/>
      <w:r w:rsidR="00D3535F">
        <w:t xml:space="preserve"> approaches by both Shannon and Carolan </w:t>
      </w:r>
      <w:r w:rsidR="00CB7F1C">
        <w:t xml:space="preserve">also </w:t>
      </w:r>
      <w:r w:rsidR="008A3ECF">
        <w:t>demonstrate the importance of</w:t>
      </w:r>
      <w:r w:rsidR="00017D02">
        <w:t xml:space="preserve"> individual perceptions and social relations </w:t>
      </w:r>
      <w:r w:rsidR="008A3ECF">
        <w:t>to contextualize the unique mobility and travel behaviors of individuals.</w:t>
      </w:r>
      <w:r w:rsidR="00E80AF4">
        <w:t xml:space="preserve"> How people perceive their food environment can be markedly different than</w:t>
      </w:r>
      <w:r w:rsidR="00E81CB4">
        <w:t xml:space="preserve"> </w:t>
      </w:r>
      <w:r w:rsidR="00E80AF4">
        <w:t xml:space="preserve">assessments </w:t>
      </w:r>
      <w:r w:rsidR="00E81CB4">
        <w:t xml:space="preserve">with conventional approaches, as demonstrated by </w:t>
      </w:r>
      <w:r w:rsidR="00747B6F">
        <w:t xml:space="preserve">Caspi et al. </w:t>
      </w:r>
      <w:r w:rsidR="00E81CB4">
        <w:fldChar w:fldCharType="begin"/>
      </w:r>
      <w:r w:rsidR="00E81CB4">
        <w:instrText xml:space="preserve"> ADDIN ZOTERO_ITEM CSL_CITATION {"citationID":"0NYBJlCr","properties":{"formattedCitation":"(2012)","plainCitation":"(2012)","noteIndex":0},"citationItems":[{"id":1136,"uris":["http://zotero.org/users/5090392/items/B83YQAL6"],"itemData":{"id":1136,"type":"article-journal","abstract":"In the U.S., supermarkets serve as an important source of year-round produce (Chung &amp; Myers, 1999), and yet access to supermarkets may be scarce in “food deserts,” or poor, urban areas that lack sources of healthy, affordable food (Cummins &amp; Macintyre, 2002). This study examined objective distance to the nearest supermarket and participant-report of supermarket access in relation to fruit and vegetable intake. Street-network distance to the closest supermarket was calculated using GIS mapping. Perceived access was assessed by a survey question asking whether participants had a supermarket within walking distance of home. Cross-sectional survey data were collected from 828 low-income housing residents in three urban areas in greater-Boston. Generalized estimating equations were used to estimate the association between perceived and objective supermarket access and diet. Fruit and vegetable consumption was low (2.63 servings/day). Results suggest that most low-income housing residents in greater-Boston do not live in “food deserts,” as the average distance to a supermarket was 0.76 km (range 0.13–1.22 km). Distance to a supermarket was not associated with fruit and vegetable intake (p = 0.22). Perceived supermarket access was strongly associated with increased fruit and vegetable intake (0.5 servings/day) after controlling for socio-demographic covariates (p &lt; 0.0001). Patterns of mismatch between perceived and objective measures revealed that mismatch between the two measures were high (31.45%). Those who did not report a supermarket within walking distance from home despite the objective presence of a supermarket within 1 km consumed significantly fewer fruits and vegetables (0.56 servings/day) than those with a supermarket who reported one, even after controlling for socio-demographic variables (p = 0.0008). Perceived measures of the food environment may be more strongly related to dietary behaviors than objective ones, and may incorporate components of food access not captured in objective measures.","container-title":"Social Science &amp; Medicine","DOI":"10.1016/j.socscimed.2012.05.014","ISSN":"0277-9536","issue":"7","journalAbbreviation":"Social Science &amp; Medicine","language":"en","page":"1254-1262","source":"ScienceDirect","title":"The relationship between diet and perceived and objective access to supermarkets among low-income housing residents","URL":"https://www.sciencedirect.com/science/article/pii/S0277953612004273","volume":"75","author":[{"family":"Caspi","given":"Caitlin E."},{"family":"Kawachi","given":"Ichiro"},{"family":"Subramanian","given":"S. V."},{"family":"Adamkiewicz","given":"Gary"},{"family":"Sorensen","given":"Glorian"}],"accessed":{"date-parts":[["2021",9,15]]},"issued":{"date-parts":[["2012",10,1]]}},"label":"page","suppress-author":true}],"schema":"https://github.com/citation-style-language/schema/raw/master/csl-citation.json"} </w:instrText>
      </w:r>
      <w:r w:rsidR="00E81CB4">
        <w:fldChar w:fldCharType="separate"/>
      </w:r>
      <w:r w:rsidR="00967900" w:rsidRPr="00967900">
        <w:t>(2012)</w:t>
      </w:r>
      <w:r w:rsidR="00E81CB4">
        <w:fldChar w:fldCharType="end"/>
      </w:r>
      <w:r w:rsidR="00F0349F">
        <w:t xml:space="preserve"> who found that</w:t>
      </w:r>
      <w:r w:rsidR="00853A0A">
        <w:t xml:space="preserve"> </w:t>
      </w:r>
      <w:r w:rsidR="003D57E6">
        <w:t xml:space="preserve">those who perceived a supermarket nearby, and not actual </w:t>
      </w:r>
      <w:r w:rsidR="008000A8">
        <w:t>distance to supermarkets</w:t>
      </w:r>
      <w:r w:rsidR="003D57E6">
        <w:t>,</w:t>
      </w:r>
      <w:r w:rsidR="008000A8">
        <w:t xml:space="preserve"> was</w:t>
      </w:r>
      <w:r w:rsidR="003B6FE2">
        <w:t xml:space="preserve"> correlated with fruit and vegetable consumption among low-income residents in Boston.</w:t>
      </w:r>
      <w:r w:rsidR="00C51B4A">
        <w:t xml:space="preserve"> </w:t>
      </w:r>
      <w:r w:rsidR="00762FEA">
        <w:t xml:space="preserve">These approaches interrogating into the social situations </w:t>
      </w:r>
      <w:r w:rsidR="00A8682C">
        <w:t xml:space="preserve">and perceptions </w:t>
      </w:r>
      <w:r w:rsidR="00762FEA">
        <w:t xml:space="preserve">of individuals </w:t>
      </w:r>
      <w:r w:rsidR="00F52A65">
        <w:t xml:space="preserve">are useful in capturing the </w:t>
      </w:r>
      <w:r w:rsidR="00116F2A">
        <w:t xml:space="preserve">economic </w:t>
      </w:r>
      <w:r w:rsidR="00F43DE8">
        <w:t>situations and context</w:t>
      </w:r>
      <w:r w:rsidR="000A7846">
        <w:t xml:space="preserve"> and</w:t>
      </w:r>
      <w:r w:rsidR="00116F2A">
        <w:t xml:space="preserve"> time </w:t>
      </w:r>
      <w:r w:rsidR="005746B9">
        <w:t>scarcity</w:t>
      </w:r>
      <w:r w:rsidR="000A7846">
        <w:t xml:space="preserve"> of individuals as well as the cultural appropriate</w:t>
      </w:r>
      <w:r w:rsidR="008C4D2D">
        <w:t xml:space="preserve">ness, </w:t>
      </w:r>
      <w:r w:rsidR="00F800D2">
        <w:t>accommodation,</w:t>
      </w:r>
      <w:r w:rsidR="000A7846">
        <w:t xml:space="preserve"> and temporal </w:t>
      </w:r>
      <w:r w:rsidR="00F800D2">
        <w:t xml:space="preserve">availability of food sources </w:t>
      </w:r>
      <w:r w:rsidR="00F800D2">
        <w:fldChar w:fldCharType="begin"/>
      </w:r>
      <w:r w:rsidR="00222641">
        <w:instrText xml:space="preserve"> ADDIN ZOTERO_ITEM CSL_CITATION {"citationID":"RXtX0Zqz","properties":{"formattedCitation":"(X. Chen &amp; Clark, 2013)","plainCitation":"(X. Chen &amp; Clark, 2013)","noteIndex":0},"citationItems":[{"id":1842,"uris":["http://zotero.org/users/5090392/items/SBM2S2NU"],"itemData":{"id":1842,"type":"article-journal","abstract":"A majority of literature about food deserts is focused on geographic access to food retailers by a buffered distance differentiating high and low access. An overlooked facet in this representation is that food acquisition is not only geographically dictated, but it is also temporally constrained. Food retailers invariably have limited opening hours that create a temporal restriction for shoppers. In this paper, a three-dimensional (3D) construct was proposed to delineate the limited food access to a retailer location across space and over its time of operation. Food retailer data in Columbus, OH, USA were collected for examining the variation of food access on both spatial and temporal scales. This study also employed the technique of interactive 3D modeling in a geographic information system (GIS) to visualize the food environment to delimit where and when food is accessible on a daily basis. The interactive 3D geovisualization (visualization of geographic information) of space–time access contributed to improving the representation of food environment and exploring the inequity of food access across space and over time. The development of this geovisualization context for food science studies could assist public health professionals and government stakeholders in understanding the effect of temporal access and improving food access for regions with limited operation hours in policy formulation.","container-title":"Applied Geography","DOI":"10.1016/j.apgeog.2013.05.012","ISSN":"0143-6228","journalAbbreviation":"Applied Geography","language":"en","page":"81-86","source":"ScienceDirect","title":"Interactive three-dimensional geovisualization of space–time access to food","URL":"https://www.sciencedirect.com/science/article/pii/S0143622813001367","volume":"43","author":[{"family":"Chen","given":"Xiang"},{"family":"Clark","given":"Jill"}],"accessed":{"date-parts":[["2022",7,20]]},"issued":{"date-parts":[["2013",9,1]]}}}],"schema":"https://github.com/citation-style-language/schema/raw/master/csl-citation.json"} </w:instrText>
      </w:r>
      <w:r w:rsidR="00F800D2">
        <w:fldChar w:fldCharType="separate"/>
      </w:r>
      <w:r w:rsidR="00967900" w:rsidRPr="00967900">
        <w:t>(Chen &amp; Clark, 2013)</w:t>
      </w:r>
      <w:r w:rsidR="00F800D2">
        <w:fldChar w:fldCharType="end"/>
      </w:r>
      <w:r w:rsidR="00F800D2">
        <w:t xml:space="preserve">. </w:t>
      </w:r>
      <w:r w:rsidR="00FF6547">
        <w:t>Large-scale or ‘big’ p</w:t>
      </w:r>
      <w:r w:rsidR="004F6BAA">
        <w:t xml:space="preserve">sychosocial data of individuals </w:t>
      </w:r>
      <w:r w:rsidR="004F6BAA">
        <w:fldChar w:fldCharType="begin"/>
      </w:r>
      <w:r w:rsidR="004F6BAA">
        <w:instrText xml:space="preserve"> ADDIN ZOTERO_ITEM CSL_CITATION {"citationID":"6GDHCDip","properties":{"formattedCitation":"(Elwood, 2008; Goodchild, 2007)","plainCitation":"(Elwood, 2008; Goodchild, 2007)","noteIndex":0},"citationItems":[{"id":454,"uris":["http://zotero.org/users/5090392/items/D2DPSP5P"],"itemData":{"id":454,"type":"article-journal","abstract":"New interactive web services are dramatically altering the way in which ordinary citizens can create digital spatial data and maps, individually and collectively, to produce new forms of digital spatial data that some term ‘volunteered geographic information’ (VGI). This article examines the early literature on this phenomenon, illustrating its shared propositions that these new technologies are part of shifts in the social and technological processes through which digital spatial data are produced, with accompanying implications for the content and characteristics of geospatial data, and the social and political practices promoted through their use. I illustrate how these debates about VGI conceive of spatial data as socially embedded, and suggest ways in which future research might productively draw upon conceptualizations from participatory, feminist, and critical GIS research that have emerged from similar foundations.","container-title":"GeoJournal","DOI":"10.1007/s10708-008-9186-0","ISSN":"0343-2521, 1572-9893","issue":"3-4","language":"en","page":"173-183","source":"Crossref","title":"Volunteered geographic information: future research directions motivated by critical, participatory, and feminist GIS","title-short":"Volunteered geographic information","URL":"http://link.springer.com/10.1007/s10708-008-9186-0","volume":"72","author":[{"family":"Elwood","given":"Sarah"}],"accessed":{"date-parts":[["2020",3,14]]},"issued":{"date-parts":[["2008",8]]}}},{"id":725,"uris":["http://zotero.org/users/5090392/items/66A753D5"],"itemData":{"id":725,"type":"article-journal","abstract":"In recent months there has been an explosion of interest in using the Web to create, assemble, and disseminate geographic information provided voluntarily by individuals. Sites such as Wikimapia and OpenStreetMap are empowering citizens to create a global patchwork of geographic information, while Google Earth and other virtual globes are encouraging volunteers to develop interesting applications using their own data. I review this phenomenon, and examine associated issues: what drives people to do this, how accurate are the results, will they threaten individual privacy, and how can they augment more conventional sources? I compare this new phenomenon to more traditional citizen science and the role of the amateur in geographic observation.","container-title":"GeoJournal","DOI":"10.1007/s10708-007-9111-y","ISSN":"1572-9893","issue":"4","journalAbbreviation":"GeoJournal","language":"en","page":"211-221","source":"Springer Link","title":"Citizens as sensors: the world of volunteered geography","title-short":"Citizens as sensors","URL":"https://doi.org/10.1007/s10708-007-9111-y","volume":"69","author":[{"family":"Goodchild","given":"Michael F."}],"accessed":{"date-parts":[["2020",12,25]]},"issued":{"date-parts":[["2007",8,1]]}}}],"schema":"https://github.com/citation-style-language/schema/raw/master/csl-citation.json"} </w:instrText>
      </w:r>
      <w:r w:rsidR="004F6BAA">
        <w:fldChar w:fldCharType="separate"/>
      </w:r>
      <w:r w:rsidR="00967900" w:rsidRPr="00967900">
        <w:t>(Elwood, 2008; Goodchild, 2007)</w:t>
      </w:r>
      <w:r w:rsidR="004F6BAA">
        <w:fldChar w:fldCharType="end"/>
      </w:r>
      <w:r w:rsidR="004F6BAA">
        <w:t xml:space="preserve">, point of interest databases, and </w:t>
      </w:r>
      <w:r w:rsidR="008D3590">
        <w:t xml:space="preserve">real-time </w:t>
      </w:r>
      <w:r w:rsidR="004F6BAA">
        <w:t>transportation networks and timetables</w:t>
      </w:r>
      <w:r w:rsidR="00D32D19">
        <w:t xml:space="preserve"> </w:t>
      </w:r>
      <w:r w:rsidR="00484FE4">
        <w:t xml:space="preserve">are </w:t>
      </w:r>
      <w:r w:rsidR="00F800D2">
        <w:t xml:space="preserve">growing </w:t>
      </w:r>
      <w:r w:rsidR="00484FE4">
        <w:t xml:space="preserve">and </w:t>
      </w:r>
      <w:r w:rsidR="004A187D">
        <w:t xml:space="preserve">have potential to enable </w:t>
      </w:r>
      <w:r w:rsidR="00F139E0">
        <w:t>more nuanced</w:t>
      </w:r>
      <w:r w:rsidR="00FF6547">
        <w:t xml:space="preserve"> and systematic</w:t>
      </w:r>
      <w:r w:rsidR="00F139E0">
        <w:t xml:space="preserve"> approaches captur</w:t>
      </w:r>
      <w:r w:rsidR="004A187D">
        <w:t>ing</w:t>
      </w:r>
      <w:r w:rsidR="00F139E0">
        <w:t xml:space="preserve"> individual </w:t>
      </w:r>
      <w:r w:rsidR="008D3590">
        <w:t xml:space="preserve">perceptions and social relations </w:t>
      </w:r>
      <w:r w:rsidR="008D0FD1">
        <w:t>that influence access to food.</w:t>
      </w:r>
      <w:r w:rsidR="005746B9">
        <w:t xml:space="preserve"> </w:t>
      </w:r>
      <w:commentRangeStart w:id="26"/>
      <w:commentRangeStart w:id="27"/>
      <w:r w:rsidR="005746B9">
        <w:t xml:space="preserve">While substantial progress has been made to conceptualize the environments in which food access takes place, the different factors contributing to individual food procurement practices and behaviors, and measuring potential food access, </w:t>
      </w:r>
      <w:r w:rsidR="00FF6D6F">
        <w:t>we still lack a modeling framework</w:t>
      </w:r>
      <w:r w:rsidR="00DB6AEC">
        <w:t xml:space="preserve"> that </w:t>
      </w:r>
      <w:r w:rsidR="00B36755">
        <w:t xml:space="preserve">can accommodate </w:t>
      </w:r>
      <w:r w:rsidR="00F94C3A">
        <w:t>a holistic conceptualization of food access.</w:t>
      </w:r>
      <w:commentRangeEnd w:id="26"/>
      <w:r w:rsidR="00A906A7">
        <w:rPr>
          <w:rStyle w:val="CommentReference"/>
        </w:rPr>
        <w:commentReference w:id="26"/>
      </w:r>
      <w:commentRangeEnd w:id="27"/>
      <w:r w:rsidR="00E80E6E">
        <w:rPr>
          <w:rStyle w:val="CommentReference"/>
        </w:rPr>
        <w:commentReference w:id="27"/>
      </w:r>
    </w:p>
    <w:p w14:paraId="7210B864" w14:textId="4045723A" w:rsidR="00A906A7" w:rsidRDefault="00C1175F" w:rsidP="00156BEA">
      <w:pPr>
        <w:spacing w:line="480" w:lineRule="auto"/>
        <w:ind w:firstLine="720"/>
      </w:pPr>
      <w:r>
        <w:t>Food</w:t>
      </w:r>
      <w:r w:rsidR="00CA6D85">
        <w:t xml:space="preserve"> access</w:t>
      </w:r>
      <w:r>
        <w:t xml:space="preserve"> </w:t>
      </w:r>
      <w:r w:rsidR="009F41CA">
        <w:t xml:space="preserve">is </w:t>
      </w:r>
      <w:r w:rsidR="007405CA">
        <w:t xml:space="preserve">chosen as a use case for this dissertation because of its vital importance to humanity as </w:t>
      </w:r>
      <w:r w:rsidR="009F41CA">
        <w:t xml:space="preserve">a need </w:t>
      </w:r>
      <w:r w:rsidR="007405CA">
        <w:t>that supports health and well-being.</w:t>
      </w:r>
      <w:r w:rsidR="00D27DFE">
        <w:t xml:space="preserve"> </w:t>
      </w:r>
      <w:r w:rsidR="00BB640B">
        <w:t xml:space="preserve">Yet, a significant portion of the </w:t>
      </w:r>
      <w:r w:rsidR="00BB640B">
        <w:lastRenderedPageBreak/>
        <w:t xml:space="preserve">population is afflicted by some issue </w:t>
      </w:r>
      <w:r w:rsidR="00F308D6">
        <w:t xml:space="preserve">(e.g., obesity, diabetes, malnourishment, etc.) </w:t>
      </w:r>
      <w:r w:rsidR="00BB640B">
        <w:t xml:space="preserve">that could be remedied or solved by access to and consumption of </w:t>
      </w:r>
      <w:r w:rsidR="00F308D6">
        <w:t xml:space="preserve">healthy foods. </w:t>
      </w:r>
      <w:r w:rsidR="00D27DFE">
        <w:t xml:space="preserve">The heterogeneity of the </w:t>
      </w:r>
      <w:r w:rsidR="009E08A8">
        <w:t xml:space="preserve">human population </w:t>
      </w:r>
      <w:r w:rsidR="004F5DEC">
        <w:t xml:space="preserve">lends itself to great variation in how people procure food </w:t>
      </w:r>
      <w:r w:rsidR="00644BFB">
        <w:t xml:space="preserve">and differing values and perceptions in what can be accessed. </w:t>
      </w:r>
      <w:r w:rsidR="00BB640B">
        <w:t>As the extant literature identifies,</w:t>
      </w:r>
      <w:r w:rsidR="004E6927">
        <w:t xml:space="preserve"> discussed previously,</w:t>
      </w:r>
      <w:r w:rsidR="00BB640B">
        <w:t xml:space="preserve"> p</w:t>
      </w:r>
      <w:r w:rsidR="00644BFB">
        <w:t xml:space="preserve">eople </w:t>
      </w:r>
      <w:r w:rsidR="00212DB3">
        <w:t xml:space="preserve">may widely </w:t>
      </w:r>
      <w:r w:rsidR="00761FA7">
        <w:t xml:space="preserve">differ </w:t>
      </w:r>
      <w:r w:rsidR="00212DB3">
        <w:t xml:space="preserve">on </w:t>
      </w:r>
      <w:r w:rsidR="00761FA7">
        <w:t>what they consider</w:t>
      </w:r>
      <w:r w:rsidR="00C569DC">
        <w:t xml:space="preserve"> in deciding what stores they visit and can access: </w:t>
      </w:r>
      <w:r w:rsidR="00212DB3">
        <w:t xml:space="preserve">the type of food store, </w:t>
      </w:r>
      <w:r w:rsidR="009E5068">
        <w:t xml:space="preserve">shopping mode, </w:t>
      </w:r>
      <w:r w:rsidR="00C569DC">
        <w:t>expensiveness of options, culturally familiar ingredients, and more.</w:t>
      </w:r>
      <w:r w:rsidR="00D76DBF">
        <w:t xml:space="preserve"> It is thus vitally important to comprehensively understanding the different </w:t>
      </w:r>
      <w:r w:rsidR="001C70AA">
        <w:t>dimensions that come to prohibit or enable access to food opportunities</w:t>
      </w:r>
      <w:r w:rsidR="004E6927">
        <w:t xml:space="preserve"> given the urgency </w:t>
      </w:r>
      <w:r w:rsidR="005C5776">
        <w:t>of solving food-related issues that affect humanity</w:t>
      </w:r>
      <w:r w:rsidR="001C70AA">
        <w:t>.</w:t>
      </w:r>
      <w:r w:rsidR="00D801B7">
        <w:t xml:space="preserve"> The case of food access can demonstrate how overlooking important dimensions</w:t>
      </w:r>
      <w:r w:rsidR="00D4385C">
        <w:t xml:space="preserve"> and/or failing to account for all dimensions simultaneously can </w:t>
      </w:r>
      <w:r w:rsidR="00A963FF">
        <w:t xml:space="preserve">obstruct a full understanding of </w:t>
      </w:r>
      <w:r w:rsidR="004D4265">
        <w:t>potential access to different opportunities. In the worst case, the shortsightedness to focus on just one or two dimensions</w:t>
      </w:r>
      <w:r w:rsidR="00007AA3">
        <w:t xml:space="preserve"> related to availability and physical proximity</w:t>
      </w:r>
      <w:r w:rsidR="004D4265">
        <w:t xml:space="preserve">, as in many conventional spatial accessibility measures, </w:t>
      </w:r>
      <w:r w:rsidR="00007AA3">
        <w:t xml:space="preserve">can </w:t>
      </w:r>
      <w:r w:rsidR="00403475">
        <w:t xml:space="preserve">obfuscate understanding of food access for different groups of people and produce erroneous results that </w:t>
      </w:r>
      <w:r w:rsidR="002859A7">
        <w:t>improperly guide policy</w:t>
      </w:r>
      <w:r w:rsidR="00403475">
        <w:t>.</w:t>
      </w:r>
      <w:r w:rsidR="00AE4E11">
        <w:t xml:space="preserve"> Food access as an example usefully demonstrates how </w:t>
      </w:r>
      <w:r w:rsidR="003964F1">
        <w:t xml:space="preserve">research on access necessitates more holistic </w:t>
      </w:r>
      <w:r w:rsidR="00E80E6E">
        <w:t>approaches.</w:t>
      </w:r>
    </w:p>
    <w:p w14:paraId="40AAB7FB" w14:textId="15155358" w:rsidR="00893488" w:rsidRDefault="00A906A7" w:rsidP="00A906A7">
      <w:r>
        <w:br w:type="page"/>
      </w:r>
    </w:p>
    <w:p w14:paraId="5082304C" w14:textId="74AE523A" w:rsidR="00020DF0" w:rsidRPr="00A13D59" w:rsidRDefault="00A13D59" w:rsidP="00A13D59">
      <w:pPr>
        <w:pStyle w:val="Heading1"/>
        <w:spacing w:after="240"/>
        <w:jc w:val="center"/>
        <w:rPr>
          <w:rFonts w:ascii="Times New Roman" w:hAnsi="Times New Roman" w:cs="Times New Roman"/>
          <w:b/>
          <w:bCs/>
          <w:color w:val="auto"/>
        </w:rPr>
      </w:pPr>
      <w:bookmarkStart w:id="28" w:name="_Toc114258038"/>
      <w:r w:rsidRPr="00A13D59">
        <w:rPr>
          <w:rFonts w:ascii="Times New Roman" w:hAnsi="Times New Roman" w:cs="Times New Roman"/>
          <w:b/>
          <w:bCs/>
          <w:color w:val="auto"/>
        </w:rPr>
        <w:lastRenderedPageBreak/>
        <w:t xml:space="preserve">CHAPTER 3. CONCEPTUAL FRAMEWORK FOR ACCESS IN A </w:t>
      </w:r>
      <w:r w:rsidR="00A906A7">
        <w:rPr>
          <w:rFonts w:ascii="Times New Roman" w:hAnsi="Times New Roman" w:cs="Times New Roman"/>
          <w:b/>
          <w:bCs/>
          <w:color w:val="auto"/>
        </w:rPr>
        <w:t xml:space="preserve">HYBRID </w:t>
      </w:r>
      <w:r w:rsidRPr="00A13D59">
        <w:rPr>
          <w:rFonts w:ascii="Times New Roman" w:hAnsi="Times New Roman" w:cs="Times New Roman"/>
          <w:b/>
          <w:bCs/>
          <w:color w:val="auto"/>
        </w:rPr>
        <w:t>PHYSICAL-VIRTUAL SPACE</w:t>
      </w:r>
      <w:bookmarkEnd w:id="28"/>
    </w:p>
    <w:p w14:paraId="3125F4FE" w14:textId="56E9F74F" w:rsidR="00020DF0" w:rsidRPr="00EC36AE" w:rsidRDefault="003B51B6" w:rsidP="00EC36AE">
      <w:pPr>
        <w:spacing w:line="480" w:lineRule="auto"/>
        <w:jc w:val="center"/>
        <w:outlineLvl w:val="1"/>
        <w:rPr>
          <w:b/>
          <w:bCs/>
        </w:rPr>
      </w:pPr>
      <w:bookmarkStart w:id="29" w:name="_Toc114258039"/>
      <w:r w:rsidRPr="00EC36AE">
        <w:rPr>
          <w:b/>
          <w:bCs/>
        </w:rPr>
        <w:t xml:space="preserve">3.1. </w:t>
      </w:r>
      <w:r w:rsidR="00076C0F" w:rsidRPr="00EC36AE">
        <w:rPr>
          <w:b/>
          <w:bCs/>
        </w:rPr>
        <w:t>CONCEPTUAL FRAMEWORK</w:t>
      </w:r>
      <w:bookmarkEnd w:id="29"/>
    </w:p>
    <w:p w14:paraId="2F7A0B2B" w14:textId="4B63E3D4" w:rsidR="002E2012" w:rsidRDefault="00020DF0" w:rsidP="004F3E65">
      <w:pPr>
        <w:spacing w:line="480" w:lineRule="auto"/>
        <w:ind w:firstLine="720"/>
      </w:pPr>
      <w:r>
        <w:t xml:space="preserve">Figure 1 shows the conceptual map of our framework. Activities and interactions in physical space can influence those in virtual space and vice-versa. The </w:t>
      </w:r>
      <w:r w:rsidR="00561540">
        <w:t>outer-most</w:t>
      </w:r>
      <w:r>
        <w:t xml:space="preserve"> compartment captures </w:t>
      </w:r>
      <w:r w:rsidR="00561540">
        <w:t xml:space="preserve">a contemporary </w:t>
      </w:r>
      <w:r>
        <w:t xml:space="preserve">hybrid physical-virtual </w:t>
      </w:r>
      <w:r w:rsidR="00561540">
        <w:t>environment</w:t>
      </w:r>
      <w:r>
        <w:t xml:space="preserve"> in which human dynamics take place with virtual space providing new opportunities and provoking new constraints that reshape existing opportunities and constraints in physical space. What happens in physical space is not independent of what happens in virtual space, and we must consider their dynamics together</w:t>
      </w:r>
      <w:r w:rsidR="004F3E65">
        <w:t xml:space="preserve"> </w:t>
      </w:r>
      <w:r w:rsidR="004F3E65">
        <w:fldChar w:fldCharType="begin"/>
      </w:r>
      <w:r w:rsidR="008C67AD">
        <w:instrText xml:space="preserve"> ADDIN ZOTERO_ITEM CSL_CITATION {"citationID":"4oD8Sjsn","properties":{"formattedCitation":"(Yu &amp; Shaw, 2008)","plainCitation":"(Yu &amp; Shaw, 2008)","noteIndex":0},"citationItems":[{"id":48,"uris":["http://zotero.org/users/5090392/items/MJB5C4PF"],"itemData":{"id":48,"type":"article-journal","abstract":"Today, the opportunity for potential human activity has gone beyond physical space to virtual space. Based on a proposed conceptual framework that models the relationships between physical and virtual spaces</w:instrText>
      </w:r>
      <w:r w:rsidR="008C67AD">
        <w:rPr>
          <w:rFonts w:hint="eastAsia"/>
        </w:rPr>
        <w:instrText>, this paper presents an attempt to adjust the space</w:instrText>
      </w:r>
      <w:r w:rsidR="008C67AD">
        <w:rPr>
          <w:rFonts w:hint="eastAsia"/>
        </w:rPr>
        <w:instrText>–</w:instrText>
      </w:r>
      <w:r w:rsidR="008C67AD">
        <w:rPr>
          <w:rFonts w:hint="eastAsia"/>
        </w:rPr>
        <w:instrText>time prism concept of Hägerstrand's time geography to identify potential activity opportunities in virtual space, focusing on the virtual space access channels available in physical space. A three</w:instrText>
      </w:r>
      <w:r w:rsidR="008C67AD">
        <w:rPr>
          <w:rFonts w:hint="eastAsia"/>
        </w:rPr>
        <w:instrText>‐</w:instrText>
      </w:r>
      <w:r w:rsidR="008C67AD">
        <w:rPr>
          <w:rFonts w:hint="eastAsia"/>
        </w:rPr>
        <w:instrText>dimensional (3D) spatio</w:instrText>
      </w:r>
      <w:r w:rsidR="008C67AD">
        <w:rPr>
          <w:rFonts w:hint="eastAsia"/>
        </w:rPr>
        <w:instrText>‐</w:instrText>
      </w:r>
      <w:r w:rsidR="008C67AD">
        <w:rPr>
          <w:rFonts w:hint="eastAsia"/>
        </w:rPr>
        <w:instrText>temporal Geographic Information System (GIS) design has been developed in this research to accommodate the adjusted space</w:instrText>
      </w:r>
      <w:r w:rsidR="008C67AD">
        <w:rPr>
          <w:rFonts w:hint="eastAsia"/>
        </w:rPr>
        <w:instrText>–</w:instrText>
      </w:r>
      <w:r w:rsidR="008C67AD">
        <w:rPr>
          <w:rFonts w:hint="eastAsia"/>
        </w:rPr>
        <w:instrText>time prism concept to support the representation, visualization, and analysis of potential human activities and in</w:instrText>
      </w:r>
      <w:r w:rsidR="008C67AD">
        <w:instrText>teractions in physical and virtual spaces using the prism representation. Following the design, a prototype system has been successfully implemented in a 3D GIS environment. Such a system can provide powerful analytical tools for studies related to potent</w:instrText>
      </w:r>
      <w:r w:rsidR="008C67AD">
        <w:rPr>
          <w:rFonts w:hint="eastAsia"/>
        </w:rPr>
        <w:instrText>ial human activities and applications such as location</w:instrText>
      </w:r>
      <w:r w:rsidR="008C67AD">
        <w:rPr>
          <w:rFonts w:hint="eastAsia"/>
        </w:rPr>
        <w:instrText>‐</w:instrText>
      </w:r>
      <w:r w:rsidR="008C67AD">
        <w:rPr>
          <w:rFonts w:hint="eastAsia"/>
        </w:rPr>
        <w:instrText>based services (LBS) and accessibility analysis in the information age.","container-title":"International Journal of Geographical Information Science","DOI":"10.1080/13658810701427569","ISSN":"1365-8816","issue":"4","page":"409-430","source":"Taylor and Francis+NEJM","title":"Exploring potential human activities in physical and virtual spaces: a spatio</w:instrText>
      </w:r>
      <w:r w:rsidR="008C67AD">
        <w:rPr>
          <w:rFonts w:hint="eastAsia"/>
        </w:rPr>
        <w:instrText>‐</w:instrText>
      </w:r>
      <w:r w:rsidR="008C67AD">
        <w:rPr>
          <w:rFonts w:hint="eastAsia"/>
        </w:rPr>
        <w:instrText>temporal GIS approach","title-short":"Exploring potential human activities in physical and virtual s</w:instrText>
      </w:r>
      <w:r w:rsidR="008C67AD">
        <w:instrText xml:space="preserve">paces","URL":"https://doi.org/10.1080/13658810701427569","volume":"22","author":[{"family":"Yu","given":"Hongbo"},{"family":"Shaw","given":"Shih-Lung"}],"accessed":{"date-parts":[["2018",9,12]]},"issued":{"date-parts":[["2008",4,1]]}}}],"schema":"https://github.com/citation-style-language/schema/raw/master/csl-citation.json"} </w:instrText>
      </w:r>
      <w:r w:rsidR="004F3E65">
        <w:fldChar w:fldCharType="separate"/>
      </w:r>
      <w:r w:rsidR="00967900" w:rsidRPr="00967900">
        <w:t>(Yu &amp; Shaw, 2008)</w:t>
      </w:r>
      <w:r w:rsidR="004F3E65">
        <w:fldChar w:fldCharType="end"/>
      </w:r>
      <w:r>
        <w:t xml:space="preserve">. In the decades since the seminal framework of access by </w:t>
      </w:r>
      <w:proofErr w:type="spellStart"/>
      <w:r>
        <w:t>Penchansky</w:t>
      </w:r>
      <w:proofErr w:type="spellEnd"/>
      <w:r>
        <w:t xml:space="preserve"> and Thomas was published, modern ICT and the emergence of virtual space have revolutionized human dynamics which traditional models and conceptualization of accessibility cannot adequately capture </w:t>
      </w:r>
      <w:r>
        <w:fldChar w:fldCharType="begin"/>
      </w:r>
      <w:r>
        <w:instrText xml:space="preserve"> ADDIN ZOTERO_ITEM CSL_CITATION {"citationID":"lOGIG3VI","properties":{"formattedCitation":"(Kwan, 2007)","plainCitation":"(Kwan, 2007)","noteIndex":0},"citationItems":[{"id":1163,"uris":["http://zotero.org/users/5090392/items/C22KP9K9"],"itemData":{"id":1163,"type":"article-journal","abstract":"The widespread use of mobile communications is leading to new practices in family life and social life, and these changes have significant implications for the study of urban travel. Because of the adoption of new modes of space-time coordination, changing time use and increasing mobility, changing use of existing urban nodes, the blurring of boundaries between home and work, the importance of social networks and social capital, and the shift to person-to-person connectivity, the spatial structure and processes of interaction among individuals have become much more complicated in this age of mobile communications. Static spatial frameworks based on fixed points (e.g., home or workplace) and distances among them are no longer adequate for understanding urban travel. The study of urban travel now needs new conceptualizations and new methodologies. </w:instrText>
      </w:r>
      <w:r>
        <w:rPr>
          <w:rFonts w:ascii="Cambria Math" w:hAnsi="Cambria Math" w:cs="Cambria Math"/>
        </w:rPr>
        <w:instrText>∗</w:instrText>
      </w:r>
      <w:r>
        <w:instrText xml:space="preserve">This article is based on the Fleming Lecture in Transportation Geography I delivered at the 102th Annual Meeting of the Association of American Geographers, Chicago, 7–11 March 2006. I thank Jean-Paul Rodrigue for making arrangements for the lecture, and the Department of Geography at the University of Washington for providing support to me for this lecture. I am also grateful to the audience, to Bill Black (who served as the discussant of the session), and to three anonymous reviewers for their very helpful comments. The views expressed in this article remain my responsibility.","container-title":"The Professional Geographer","DOI":"10.1111/j.1467-9272.2007.00633.x","ISSN":"0033-0124","issue":"4","note":"publisher: Routledge\n_eprint: https://doi.org/10.1111/j.1467-9272.2007.00633.x","page":"434-446","source":"Taylor and Francis+NEJM","title":"Mobile Communications, Social Networks, and Urban Travel: Hypertext as a New Metaphor for Conceptualizing Spatial Interaction","title-short":"Mobile Communications, Social Networks, and Urban Travel","URL":"https://doi.org/10.1111/j.1467-9272.2007.00633.x","volume":"59","author":[{"family":"Kwan","given":"Mei-Po"}],"accessed":{"date-parts":[["2021",9,21]]},"issued":{"date-parts":[["2007",11,1]]}}}],"schema":"https://github.com/citation-style-language/schema/raw/master/csl-citation.json"} </w:instrText>
      </w:r>
      <w:r>
        <w:fldChar w:fldCharType="separate"/>
      </w:r>
      <w:r w:rsidR="00967900" w:rsidRPr="00967900">
        <w:t>(Kwan, 2007)</w:t>
      </w:r>
      <w:r>
        <w:fldChar w:fldCharType="end"/>
      </w:r>
      <w:r>
        <w:t xml:space="preserve">. A </w:t>
      </w:r>
      <w:r w:rsidRPr="00E44CAD">
        <w:t>linkage</w:t>
      </w:r>
      <w:r>
        <w:t xml:space="preserve"> is made</w:t>
      </w:r>
      <w:r w:rsidRPr="00E44CAD">
        <w:t xml:space="preserve"> to the access dimensions in the </w:t>
      </w:r>
      <w:r w:rsidR="00D8784E">
        <w:t>pentagon compartment</w:t>
      </w:r>
      <w:r>
        <w:t xml:space="preserve"> indicating the fundamental integration of hybrid space in society and its profound effects on different factors contributing to access</w:t>
      </w:r>
      <w:r w:rsidRPr="00E44CAD">
        <w:t>.</w:t>
      </w:r>
    </w:p>
    <w:p w14:paraId="53C644C8" w14:textId="5809AFF1" w:rsidR="008C67AD" w:rsidRDefault="00973DA9" w:rsidP="00973DA9">
      <w:pPr>
        <w:spacing w:line="480" w:lineRule="auto"/>
        <w:ind w:firstLine="720"/>
      </w:pPr>
      <w:r>
        <w:t xml:space="preserve">Understanding each access dimension must be inclusive of different forms of human experiences and a </w:t>
      </w:r>
      <w:proofErr w:type="spellStart"/>
      <w:r>
        <w:t>multispace</w:t>
      </w:r>
      <w:proofErr w:type="spellEnd"/>
      <w:r>
        <w:t xml:space="preserve"> perspective provides further understanding into the role of fixed locations (absolute), surrounding environments (relative), </w:t>
      </w:r>
      <w:commentRangeStart w:id="30"/>
      <w:commentRangeStart w:id="31"/>
      <w:r>
        <w:t>relations</w:t>
      </w:r>
      <w:commentRangeEnd w:id="30"/>
      <w:r>
        <w:rPr>
          <w:rStyle w:val="CommentReference"/>
        </w:rPr>
        <w:commentReference w:id="30"/>
      </w:r>
      <w:commentRangeEnd w:id="31"/>
      <w:r>
        <w:rPr>
          <w:rStyle w:val="CommentReference"/>
        </w:rPr>
        <w:commentReference w:id="31"/>
      </w:r>
      <w:r>
        <w:t xml:space="preserve"> and interactions (relational), and mental faculties (mental) captured in the </w:t>
      </w:r>
      <w:r w:rsidR="00693FA3">
        <w:t>ring</w:t>
      </w:r>
      <w:r>
        <w:t xml:space="preserve"> of spatial dimensions. We center access at the heart of the </w:t>
      </w:r>
      <w:r w:rsidR="00693FA3">
        <w:t>five access dimensions</w:t>
      </w:r>
      <w:r>
        <w:t>. In each stage of this map, the environment, access dimensions, and spatial dimensions are linked together and interdependent; understanding access to different human needs requires a holistic perspective. The conceptual framework is useful to studying access to health and medical care, education, jobs, greenspaces, and more.</w:t>
      </w:r>
    </w:p>
    <w:p w14:paraId="65D37CB9" w14:textId="3169D185" w:rsidR="008C67AD" w:rsidRDefault="00E93C69" w:rsidP="008C67AD">
      <w:pPr>
        <w:pStyle w:val="Caption"/>
        <w:spacing w:line="480" w:lineRule="auto"/>
        <w:jc w:val="center"/>
      </w:pPr>
      <w:r>
        <w:rPr>
          <w:noProof/>
        </w:rPr>
        <w:lastRenderedPageBreak/>
        <w:drawing>
          <wp:inline distT="0" distB="0" distL="0" distR="0" wp14:anchorId="3242CB11" wp14:editId="6CBB0E7C">
            <wp:extent cx="5943600" cy="56610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661025"/>
                    </a:xfrm>
                    <a:prstGeom prst="rect">
                      <a:avLst/>
                    </a:prstGeom>
                  </pic:spPr>
                </pic:pic>
              </a:graphicData>
            </a:graphic>
          </wp:inline>
        </w:drawing>
      </w:r>
    </w:p>
    <w:p w14:paraId="7D64AF4D" w14:textId="66A901D3" w:rsidR="008C67AD" w:rsidRPr="00F60F97" w:rsidRDefault="008C67AD" w:rsidP="008C67AD">
      <w:pPr>
        <w:pStyle w:val="Caption"/>
        <w:spacing w:line="480" w:lineRule="auto"/>
        <w:jc w:val="center"/>
        <w:rPr>
          <w:color w:val="auto"/>
        </w:rPr>
      </w:pPr>
      <w:bookmarkStart w:id="32" w:name="_Toc114258099"/>
      <w:r w:rsidRPr="00F60F97">
        <w:rPr>
          <w:color w:val="auto"/>
        </w:rPr>
        <w:t xml:space="preserve">Figure </w:t>
      </w:r>
      <w:r w:rsidR="00B9244D" w:rsidRPr="00F60F97">
        <w:rPr>
          <w:color w:val="auto"/>
        </w:rPr>
        <w:fldChar w:fldCharType="begin"/>
      </w:r>
      <w:r w:rsidR="00B9244D" w:rsidRPr="00F60F97">
        <w:rPr>
          <w:color w:val="auto"/>
        </w:rPr>
        <w:instrText xml:space="preserve"> SEQ Figure \* ARABIC </w:instrText>
      </w:r>
      <w:r w:rsidR="00B9244D" w:rsidRPr="00F60F97">
        <w:rPr>
          <w:color w:val="auto"/>
        </w:rPr>
        <w:fldChar w:fldCharType="separate"/>
      </w:r>
      <w:r w:rsidR="00C42D79">
        <w:rPr>
          <w:noProof/>
          <w:color w:val="auto"/>
        </w:rPr>
        <w:t>1</w:t>
      </w:r>
      <w:r w:rsidR="00B9244D" w:rsidRPr="00F60F97">
        <w:rPr>
          <w:noProof/>
          <w:color w:val="auto"/>
        </w:rPr>
        <w:fldChar w:fldCharType="end"/>
      </w:r>
      <w:r w:rsidRPr="00F60F97">
        <w:rPr>
          <w:color w:val="auto"/>
        </w:rPr>
        <w:t>. A conceptual framework for access related to different types of space in</w:t>
      </w:r>
      <w:r w:rsidR="00E93C69">
        <w:rPr>
          <w:color w:val="auto"/>
        </w:rPr>
        <w:t xml:space="preserve"> a</w:t>
      </w:r>
      <w:r w:rsidRPr="00F60F97">
        <w:rPr>
          <w:color w:val="auto"/>
        </w:rPr>
        <w:t xml:space="preserve"> </w:t>
      </w:r>
      <w:r w:rsidR="00E93C69">
        <w:rPr>
          <w:color w:val="auto"/>
        </w:rPr>
        <w:t xml:space="preserve">hybrid </w:t>
      </w:r>
      <w:r w:rsidRPr="00F60F97">
        <w:rPr>
          <w:color w:val="auto"/>
        </w:rPr>
        <w:t xml:space="preserve">physical-virtual </w:t>
      </w:r>
      <w:bookmarkEnd w:id="32"/>
      <w:r w:rsidR="00E93C69">
        <w:rPr>
          <w:color w:val="auto"/>
        </w:rPr>
        <w:t>environment</w:t>
      </w:r>
    </w:p>
    <w:p w14:paraId="4C12C6C7" w14:textId="77777777" w:rsidR="00973DA9" w:rsidRDefault="00973DA9">
      <w:r>
        <w:br w:type="page"/>
      </w:r>
    </w:p>
    <w:p w14:paraId="724FC165" w14:textId="3B3DD572" w:rsidR="00020DF0" w:rsidRDefault="00563566" w:rsidP="008C67AD">
      <w:pPr>
        <w:spacing w:line="480" w:lineRule="auto"/>
      </w:pPr>
      <w:r>
        <w:lastRenderedPageBreak/>
        <w:t>In this dissertation, w</w:t>
      </w:r>
      <w:commentRangeStart w:id="33"/>
      <w:commentRangeStart w:id="34"/>
      <w:r w:rsidR="00020DF0">
        <w:t xml:space="preserve">e use food access as a case study </w:t>
      </w:r>
      <w:r w:rsidR="00CA28ED">
        <w:t>in</w:t>
      </w:r>
      <w:r w:rsidR="00020DF0">
        <w:t xml:space="preserve"> this section to provide researchers a starting template for applying our conceptual framework to study access to different needs and discuss how each of the five dimensions extended in physical-virtual space and viewed from the four spaces are applicable.</w:t>
      </w:r>
      <w:commentRangeEnd w:id="33"/>
      <w:r w:rsidR="002B353D">
        <w:rPr>
          <w:rStyle w:val="CommentReference"/>
        </w:rPr>
        <w:commentReference w:id="33"/>
      </w:r>
      <w:commentRangeEnd w:id="34"/>
      <w:r w:rsidR="0085588B">
        <w:rPr>
          <w:rStyle w:val="CommentReference"/>
        </w:rPr>
        <w:commentReference w:id="34"/>
      </w:r>
      <w:r w:rsidR="00020DF0">
        <w:t xml:space="preserve"> At its core are dynamic humans with changing locations over time. This sentiment aligns with our extended access dimensions because opportunities available to people cannot be solely understood by the locations of activities (</w:t>
      </w:r>
      <w:r w:rsidR="00020DF0" w:rsidRPr="00CA6B33">
        <w:rPr>
          <w:i/>
          <w:iCs/>
        </w:rPr>
        <w:t>absolute space</w:t>
      </w:r>
      <w:r w:rsidR="00020DF0">
        <w:t>) as people are influenced by their local surrounding environments (</w:t>
      </w:r>
      <w:r w:rsidR="00020DF0" w:rsidRPr="002606E8">
        <w:rPr>
          <w:i/>
          <w:iCs/>
        </w:rPr>
        <w:t>relative space</w:t>
      </w:r>
      <w:r w:rsidR="00020DF0">
        <w:t xml:space="preserve">), </w:t>
      </w:r>
      <w:commentRangeStart w:id="35"/>
      <w:commentRangeStart w:id="36"/>
      <w:r w:rsidR="00020DF0">
        <w:t>relation</w:t>
      </w:r>
      <w:commentRangeEnd w:id="35"/>
      <w:r w:rsidR="009269A9">
        <w:rPr>
          <w:rStyle w:val="CommentReference"/>
        </w:rPr>
        <w:commentReference w:id="35"/>
      </w:r>
      <w:commentRangeEnd w:id="36"/>
      <w:r w:rsidR="000E1D78">
        <w:rPr>
          <w:rStyle w:val="CommentReference"/>
        </w:rPr>
        <w:commentReference w:id="36"/>
      </w:r>
      <w:r w:rsidR="00020DF0">
        <w:t>s</w:t>
      </w:r>
      <w:r w:rsidR="00860C14">
        <w:t xml:space="preserve"> and interactions</w:t>
      </w:r>
      <w:r w:rsidR="00020DF0">
        <w:t xml:space="preserve"> (</w:t>
      </w:r>
      <w:r w:rsidR="00020DF0" w:rsidRPr="002606E8">
        <w:rPr>
          <w:i/>
          <w:iCs/>
        </w:rPr>
        <w:t>relational space</w:t>
      </w:r>
      <w:r w:rsidR="00020DF0">
        <w:t>), and mental faculties (</w:t>
      </w:r>
      <w:r w:rsidR="00020DF0" w:rsidRPr="002606E8">
        <w:rPr>
          <w:i/>
          <w:iCs/>
        </w:rPr>
        <w:t>mental space</w:t>
      </w:r>
      <w:r w:rsidR="00020DF0">
        <w:t xml:space="preserve">). We identify linkages between each extended access dimension with the four spatial dimensions in today’s hybrid physical-virtual space in hopes of shifting the access research paradigm to be human-centric and </w:t>
      </w:r>
      <w:proofErr w:type="spellStart"/>
      <w:r w:rsidR="00020DF0">
        <w:t>multispace</w:t>
      </w:r>
      <w:proofErr w:type="spellEnd"/>
      <w:r w:rsidR="00020DF0">
        <w:t>-oriented.</w:t>
      </w:r>
    </w:p>
    <w:p w14:paraId="0386BE71" w14:textId="77777777" w:rsidR="000F224C" w:rsidRPr="00B06EF8" w:rsidRDefault="00076C0F" w:rsidP="000F224C">
      <w:pPr>
        <w:pStyle w:val="Heading2"/>
        <w:spacing w:after="240"/>
        <w:jc w:val="center"/>
        <w:rPr>
          <w:rFonts w:ascii="Times New Roman" w:hAnsi="Times New Roman" w:cs="Times New Roman"/>
          <w:b/>
          <w:bCs/>
          <w:color w:val="auto"/>
        </w:rPr>
      </w:pPr>
      <w:bookmarkStart w:id="37" w:name="_Toc114258040"/>
      <w:r w:rsidRPr="00B06EF8">
        <w:rPr>
          <w:rFonts w:ascii="Times New Roman" w:hAnsi="Times New Roman" w:cs="Times New Roman"/>
          <w:b/>
          <w:bCs/>
          <w:color w:val="auto"/>
        </w:rPr>
        <w:t xml:space="preserve">3.2. </w:t>
      </w:r>
      <w:commentRangeStart w:id="38"/>
      <w:commentRangeStart w:id="39"/>
      <w:r w:rsidR="00020DF0" w:rsidRPr="00B06EF8">
        <w:rPr>
          <w:rFonts w:ascii="Times New Roman" w:hAnsi="Times New Roman" w:cs="Times New Roman"/>
          <w:b/>
          <w:bCs/>
          <w:color w:val="auto"/>
        </w:rPr>
        <w:t>E</w:t>
      </w:r>
      <w:r w:rsidRPr="00B06EF8">
        <w:rPr>
          <w:rFonts w:ascii="Times New Roman" w:hAnsi="Times New Roman" w:cs="Times New Roman"/>
          <w:b/>
          <w:bCs/>
          <w:color w:val="auto"/>
        </w:rPr>
        <w:t xml:space="preserve">XTENDING DIFFERENT DIMENSIONS OF ACCESS </w:t>
      </w:r>
      <w:r w:rsidR="000F224C" w:rsidRPr="00B06EF8">
        <w:rPr>
          <w:rFonts w:ascii="Times New Roman" w:hAnsi="Times New Roman" w:cs="Times New Roman"/>
          <w:b/>
          <w:bCs/>
          <w:color w:val="auto"/>
        </w:rPr>
        <w:t>FOR A HYBRID PHYSICAL-VIRTUAL SPACE</w:t>
      </w:r>
      <w:commentRangeEnd w:id="38"/>
      <w:r w:rsidR="009A2441">
        <w:rPr>
          <w:rStyle w:val="CommentReference"/>
          <w:rFonts w:ascii="Times New Roman" w:eastAsiaTheme="minorEastAsia" w:hAnsi="Times New Roman" w:cs="Times New Roman"/>
          <w:color w:val="auto"/>
        </w:rPr>
        <w:commentReference w:id="38"/>
      </w:r>
      <w:commentRangeEnd w:id="39"/>
      <w:r w:rsidR="007E4DA1">
        <w:rPr>
          <w:rStyle w:val="CommentReference"/>
          <w:rFonts w:ascii="Times New Roman" w:eastAsiaTheme="minorEastAsia" w:hAnsi="Times New Roman" w:cs="Times New Roman"/>
          <w:color w:val="auto"/>
        </w:rPr>
        <w:commentReference w:id="39"/>
      </w:r>
      <w:bookmarkEnd w:id="37"/>
    </w:p>
    <w:p w14:paraId="434CBD67" w14:textId="53D40E02" w:rsidR="00020DF0" w:rsidRPr="00ED4C3E" w:rsidRDefault="000F224C" w:rsidP="00ED4C3E">
      <w:pPr>
        <w:pStyle w:val="Heading3"/>
        <w:spacing w:after="240"/>
        <w:jc w:val="center"/>
        <w:rPr>
          <w:rFonts w:ascii="Times New Roman" w:hAnsi="Times New Roman" w:cs="Times New Roman"/>
          <w:b/>
          <w:bCs/>
          <w:color w:val="auto"/>
        </w:rPr>
      </w:pPr>
      <w:bookmarkStart w:id="40" w:name="_Toc114258041"/>
      <w:r w:rsidRPr="00ED4C3E">
        <w:rPr>
          <w:rFonts w:ascii="Times New Roman" w:hAnsi="Times New Roman" w:cs="Times New Roman"/>
          <w:b/>
          <w:bCs/>
          <w:color w:val="auto"/>
        </w:rPr>
        <w:t xml:space="preserve">3.2.1. </w:t>
      </w:r>
      <w:r w:rsidR="00020DF0" w:rsidRPr="00ED4C3E">
        <w:rPr>
          <w:rFonts w:ascii="Times New Roman" w:hAnsi="Times New Roman" w:cs="Times New Roman"/>
          <w:b/>
          <w:bCs/>
          <w:color w:val="auto"/>
        </w:rPr>
        <w:t>A</w:t>
      </w:r>
      <w:r w:rsidRPr="00ED4C3E">
        <w:rPr>
          <w:rFonts w:ascii="Times New Roman" w:hAnsi="Times New Roman" w:cs="Times New Roman"/>
          <w:b/>
          <w:bCs/>
          <w:color w:val="auto"/>
        </w:rPr>
        <w:t>VAILABILITY IN HYBRID PHYSICAL-VIRTUAL SPACE</w:t>
      </w:r>
      <w:bookmarkEnd w:id="40"/>
    </w:p>
    <w:p w14:paraId="720AF567" w14:textId="5D7D18C0" w:rsidR="00020DF0" w:rsidRDefault="00020DF0" w:rsidP="00970547">
      <w:pPr>
        <w:spacing w:line="480" w:lineRule="auto"/>
        <w:ind w:firstLine="720"/>
      </w:pPr>
      <w:r>
        <w:t>Conventional measurements including availability often assume the supply and locations of destinations as fixed and static in physical space and that people travel from key locations in their daily life (e.g., home)</w:t>
      </w:r>
      <w:r w:rsidR="00723E9E">
        <w:t>.</w:t>
      </w:r>
      <w:r>
        <w:t xml:space="preserve"> This absolute space approach is exemplified, for example, with cumulative opportunity measures that count all provider locations within a distance threshold from a centroid of a residential neighborhood </w:t>
      </w:r>
      <w:r>
        <w:fldChar w:fldCharType="begin"/>
      </w:r>
      <w:r>
        <w:instrText xml:space="preserve"> ADDIN ZOTERO_ITEM CSL_CITATION {"citationID":"djbLRedP","properties":{"formattedCitation":"(Wachs &amp; Kumagai, 1973)","plainCitation":"(Wachs &amp; Kumagai, 1973)","noteIndex":0},"citationItems":[{"id":920,"uris":["http://zotero.org/users/5090392/items/QU3E26PY"],"itemData":{"id":920,"type":"article-journal","container-title":"Socio-Economic Planning Sciences","ISSN":"00380121","issue":"5","note":"publisher: Elsevier","page":"437-456","source":"RePEc - Econpapers","title":"Physical accessibility as a social indicator","URL":"https://econpapers.repec.org/article/eeesoceps/v_3a7_3ay_3a1973_3ai_3a5_3ap_3a437-456.htm","volume":"7","author":[{"family":"Wachs","given":"Martin"},{"family":"Kumagai","given":"T. Gordon"}],"accessed":{"date-parts":[["2021",2,23]]},"issued":{"date-parts":[["1973"]]}}}],"schema":"https://github.com/citation-style-language/schema/raw/master/csl-citation.json"} </w:instrText>
      </w:r>
      <w:r>
        <w:fldChar w:fldCharType="separate"/>
      </w:r>
      <w:r w:rsidR="00967900" w:rsidRPr="00967900">
        <w:t>(Wachs &amp; Kumagai, 1973)</w:t>
      </w:r>
      <w:r>
        <w:fldChar w:fldCharType="end"/>
      </w:r>
      <w:r>
        <w:t xml:space="preserve">. However, humans frequently travel along different routes to various places as they undertake their daily activities </w:t>
      </w:r>
      <w:r>
        <w:fldChar w:fldCharType="begin"/>
      </w:r>
      <w:r>
        <w:instrText xml:space="preserve"> ADDIN ZOTERO_ITEM CSL_CITATION {"citationID":"Y30M01PA","properties":{"formattedCitation":"(Hu &amp; Downs, 2019; Kwan, 2013)","plainCitation":"(Hu &amp; Downs, 2019; Kwan, 2013)","noteIndex":0},"citationItems":[{"id":1489,"uris":["http://zotero.org/users/5090392/items/DX2GQ92Z"],"itemData":{"id":1489,"type":"article-journal","abstract":"Place-based accessibility measures, such as the gravity-based model, are widely applied to study the spatial accessibility of workers to job opportunities in cities. However, gravity-based measures often suffer from three main limitations: (1) they are sensitive to the spatial configuration and scale of the units of analysis, which are not specifically designed for capturing job accessibility patterns and are often too coarse; (2) they omit the temporal dynamics of job opportunities and workers in the calculation, instead assuming that they remain stable over time; and (3) they do not lend themselves to dynamic geovisualization techniques. In this paper, a new methodological framework for measuring and visualizing place-based job accessibility in space and time is presented that overcomes these three limitations. First, discretization and dasymetric mapping approaches are used to disaggregate counts of jobs and workers over specific time intervals to a fine-scale grid. Second, Shen's (1998) gravity-based accessibility measure is modified to account for temporal fluctuations in the spatial distributions of the supply of jobs and the demand of workers and is used to estimate hourly job accessibility at each cell. Third, a four-dimensional volumetric rendering approach is employed to integrate the hourly job access estimates into a space-time cube environment, which enables the users to interactively visualize the space-time job accessibility patterns. The integrated framework is demonstrated in the context of a case study of the Tampa Bay region of Florida. The findings demonstrate the value of the proposed methodology in job accessibility analysis and the policy-making process.","container-title":"Journal of Transport Geography","DOI":"10.1016/j.jtrangeo.2018.12.002","ISSN":"0966-6923","journalAbbreviation":"Journal of Transport Geography","language":"en","page":"278-288","source":"ScienceDirect","title":"Measuring and visualizing place-based space-time job accessibility","URL":"https://www.sciencedirect.com/science/article/pii/S0966692318305994","volume":"74","author":[{"family":"Hu","given":"Yujie"},{"family":"Downs","given":"Joni"}],"accessed":{"date-parts":[["2022",3,30]]},"issued":{"date-parts":[["2019",1,1]]}}},{"id":732,"uris":["http://zotero.org/users/5090392/items/M8GKY6U4"],"itemData":{"id":732,"type":"article-journal","abstract":"Many fundamental notions in geographic and social science research still tend to be conceptualized largely in static spatial terms, ignoring how our understanding of the issues we study can be greatly enriched through the lenses of time and human mobility. This article revisits three such notions: racial segregation, environmental exposure, and accessibility. It argues for the need to expand our analytical focus from static residential spaces to other relevant places and times in people's everyday lives. Mobility is an essential element of people's spatiotemporal experiences, and these complex experiences cannot be fully understood by just looking at where people live. As many social scientists are interested in studying segregation, environmental exposure, and accessibility, geographers can contribute to advancing temporally integrated analysis of these issues through careful examination of people's everyday experiences as their lives unfold in space and time. Interdisciplinary research along this line could have a broad impact on many disciplines beyond geography.","container-title":"Annals of the Association of American Geographers","DOI":"10.1080/00045608.2013.792177","ISSN":"0004-5608","issue":"5","note":"publisher: Routledge\n_eprint: https://doi.org/10.1080/00045608.2013.792177","page":"1078-1086","source":"Taylor and Francis+NEJM","title":"Beyond Space (As We Knew It): Toward Temporally Integrated Geographies of Segregation, Health, and Accessibility","title-short":"Beyond Space (As We Knew It)","URL":"https://doi.org/10.1080/00045608.2013.792177","volume":"103","author":[{"family":"Kwan","given":"Mei-Po"}],"accessed":{"date-parts":[["2021",1,9]]},"issued":{"date-parts":[["2013",9,1]]}}}],"schema":"https://github.com/citation-style-language/schema/raw/master/csl-citation.json"} </w:instrText>
      </w:r>
      <w:r>
        <w:fldChar w:fldCharType="separate"/>
      </w:r>
      <w:r w:rsidR="00967900" w:rsidRPr="00967900">
        <w:t>(Hu &amp; Downs, 2019; Kwan, 2013)</w:t>
      </w:r>
      <w:r>
        <w:fldChar w:fldCharType="end"/>
      </w:r>
      <w:r>
        <w:t xml:space="preserve"> and experience contextual influences from areal units beyond their residential neighborhoods which changes the opportunities they encounter </w:t>
      </w:r>
      <w:r>
        <w:fldChar w:fldCharType="begin"/>
      </w:r>
      <w:r w:rsidR="00994C97">
        <w:instrText xml:space="preserve"> ADDIN ZOTERO_ITEM CSL_CITATION {"citationID":"ERCyPNJr","properties":{"formattedCitation":"(X. Chen &amp; Kwan, 2015; Kwan, 2012)","plainCitation":"(X. Chen &amp; Kwan, 2015; Kwan, 2012)","noteIndex":0},"citationItems":[{"id":1138,"uris":["http://zotero.org/users/5090392/items/8EWGKPA4"],"itemData":{"id":1138,"type":"article-journal","abstract":"We examined the uncertainty of the contextual influences on food access through an analytic framework of the uncertain geographic context problem (UGCoP)., We first examined the compounding effects of two kinds of spatiotemporal uncertainties on people’s everyday efforts to procure food and then outlined three key dimensions (food access in real time, temporality of the food environment, and perceived nutrition environment) in which research on food access must improve to better represent the contributing environmental influences that operate at the individual level., Guidelines to address the UGCoP in future food access research are provided to account for the multidimensional influences of the food environment on dietary behaviors.","container-title":"American Journal of Public Health","DOI":"10.2105/AJPH.2015.302792","ISSN":"0090-0036","issue":"9","journalAbbreviation":"Am J Public Health","note":"PMID: 26180982\nPMCID: PMC4539815","page":"1734-1737","source":"PubMed Central","title":"Contextual Uncertainties, Human Mobility, and Perceived Food Environment: The Uncertain Geographic Context Problem in Food Access Research","title-short":"Contextual Uncertainties, Human Mobility, and Perceived Food Environment","URL":"https://www.ncbi.nlm.nih.gov/pmc/articles/PMC4539815/","volume":"105","author":[{"family":"Chen","given":"Xiang"},{"family":"Kwan","given":"Mei-Po"}],"accessed":{"date-parts":[["2021",9,15]]},"issued":{"date-parts":[["2015",9]]}}},{"id":"aCCUDhF1/rgDqQZwD","uris":["http://zotero.org/users/5090392/items/HYZPLZPS"],"itemData":{"id":1492,"type":"article-journal","abstract":"Any study that examines the effects of area-based attributes on individual behaviors or outcomes faces another fundamental methodological problem besides the modifiable areal unit problem (MAUP). It is the problem that results about these effects can be affected by how contextual units or neighborhoods are geographically delineated and the extent to which these areal units deviate from the true geographic context. The problem arises because of the spatial uncertainty in the actual areas that exert the contextual influences under study and the temporal uncertainty in the timing and duration in which individuals experienced these contextual influences. Using neighborhood effects and environmental health research as a point of departure, this article clarifies the nature and sources of this problem, which is referred to as the uncertain geographic context problem (UGCoP). It highlights some of the inferential errors that the UGCoP might cause and discusses some means for mitigating the problem. It reviews recent studies to show that both contextual variables and research findings are sensitive to different delineations of contextual units. The article argues that the UGCoP is a problem as fundamental as the MAUP but is a different kind of problem. Future research needs to pay explicit attention to its potential confounding effects on research</w:instrText>
      </w:r>
      <w:r w:rsidR="00994C97">
        <w:rPr>
          <w:rFonts w:hint="eastAsia"/>
        </w:rPr>
        <w:instrText xml:space="preserve"> results and to methods for mitigating the problem. </w:instrText>
      </w:r>
      <w:r w:rsidR="00994C97">
        <w:rPr>
          <w:rFonts w:hint="eastAsia"/>
        </w:rPr>
        <w:instrText>任何探讨以区域为基础的属性对个体的行为或结果之影响的研究，除了可变面元问题（</w:instrText>
      </w:r>
      <w:r w:rsidR="00994C97">
        <w:rPr>
          <w:rFonts w:hint="eastAsia"/>
        </w:rPr>
        <w:instrText>MAUP</w:instrText>
      </w:r>
      <w:r w:rsidR="00994C97">
        <w:rPr>
          <w:rFonts w:hint="eastAsia"/>
        </w:rPr>
        <w:instrText>），还都面临着另一个基本方法的问题。该问题影响了这些研究结果，使它们受到背景单位或社区是如何被地理划定的影响，并受到这些面元偏离真实的地理环境的程度的影响。问题的产生是因为在这些实际区域的空间不确定性的情景，以及个人在经历这些情景影响时，在时间和持续时间上的不确定性的影响。使用邻里效应和环境健康研究作为出发点，本文阐明了这个被称为不确定的地理环境问题（</w:instrText>
      </w:r>
      <w:r w:rsidR="00994C97">
        <w:rPr>
          <w:rFonts w:hint="eastAsia"/>
        </w:rPr>
        <w:instrText>UGCoP</w:instrText>
      </w:r>
      <w:r w:rsidR="00994C97">
        <w:rPr>
          <w:rFonts w:hint="eastAsia"/>
        </w:rPr>
        <w:instrText>）的性质和来源。它突出了一些</w:instrText>
      </w:r>
      <w:r w:rsidR="00994C97">
        <w:rPr>
          <w:rFonts w:hint="eastAsia"/>
        </w:rPr>
        <w:instrText xml:space="preserve"> UGCoP </w:instrText>
      </w:r>
      <w:r w:rsidR="00994C97">
        <w:rPr>
          <w:rFonts w:hint="eastAsia"/>
        </w:rPr>
        <w:instrText>可能导致的推理错误，并讨论了减轻这个问题的一些手段。它回顾了最近的研究，揭示了情景变量和研究成果对情景单位的不同划定是敏感的。文章认为，</w:instrText>
      </w:r>
      <w:r w:rsidR="00994C97">
        <w:rPr>
          <w:rFonts w:hint="eastAsia"/>
        </w:rPr>
        <w:instrText xml:space="preserve">UGCoP </w:instrText>
      </w:r>
      <w:r w:rsidR="00994C97">
        <w:rPr>
          <w:rFonts w:hint="eastAsia"/>
        </w:rPr>
        <w:instrText>是与</w:instrText>
      </w:r>
      <w:r w:rsidR="00994C97">
        <w:rPr>
          <w:rFonts w:hint="eastAsia"/>
        </w:rPr>
        <w:instrText xml:space="preserve"> MAUP </w:instrText>
      </w:r>
      <w:r w:rsidR="00994C97">
        <w:rPr>
          <w:rFonts w:hint="eastAsia"/>
        </w:rPr>
        <w:instrText>类似的根本性问题，但又是不同类的问题。未来的研究需要明确注意其潜在的对研究结果的复杂影响，并关注减轻这一问题的方法。</w:instrText>
      </w:r>
      <w:r w:rsidR="00994C97">
        <w:rPr>
          <w:rFonts w:hint="eastAsia"/>
        </w:rPr>
        <w:instrText xml:space="preserve"> En cualquier estudio que examine los efectos que tienen atributos basado</w:instrText>
      </w:r>
      <w:r w:rsidR="00994C97">
        <w:instrText xml:space="preserve">s en área sobre conductas o logros individuales se tiene que enfrentar un problema metodológico fundamental aparte del problema de la unidad espacial modificable (PUEM). El inconveniente es que los resultados acerca de estos efectos pueden afectarse por la manera como las unidades contextuales o vecindarios sean delineados geográficamente y el grado en que dichas unidades espaciales se apartan del contexto geográfico verdadero. El problema surge debido a la incertidumbre espacial en las áreas reales que ejercen las influencias contextuales bajo estudio y la incertidumbre temporal presente en el cronograma y duración con que los individuos experimentaron estas influencias contextuales. Utilizando los efectos de vecindad y la investigación sobre salubridad ambiental como punto de partida, este artículo hace claridad sobre la naturaleza y orígenes de este problema, que se denomina problema de incertidumbre del contexto geográfico (PICoG). Se destacan algunos de los errores de inferencia que el PICoG podría ocasionar y se discuten algunos medios para mitigar el problema. En el artículo se revisan también estudios recientes para mostrar que tanto las variables contextuales como los hallazgos de la investigación son sensibles a las diferentes demarcaciones de las unidades contextuales. En el artículo se arguye que el PICoG es un problema tan fundamental como el PUEM, aunque se trata de un tipo diferente de problema. La futura investigación sobre el particular deberá poner atención explícita a los potenciales efectos desorientadores de los resultados que se logren y a los métodos para mitigar el problema.","container-title":"Annals of the Association of American Geographers","ISSN":"0004-5608","issue":"5","note":"publisher: Taylor &amp; Francis, Ltd.","page":"958-968","source":"JSTOR","title":"The Uncertain Geographic Context Problem","URL":"https://www.jstor.org/stable/23275570","volume":"102","author":[{"family":"Kwan","given":"Mei-Po"}],"accessed":{"date-parts":[["2022",3,31]]},"issued":{"date-parts":[["2012"]]}}}],"schema":"https://github.com/citation-style-language/schema/raw/master/csl-citation.json"} </w:instrText>
      </w:r>
      <w:r>
        <w:fldChar w:fldCharType="separate"/>
      </w:r>
      <w:r w:rsidR="00967900" w:rsidRPr="00967900">
        <w:t>(Chen &amp; Kwan, 2015; Kwan, 2012)</w:t>
      </w:r>
      <w:r>
        <w:fldChar w:fldCharType="end"/>
      </w:r>
      <w:r>
        <w:t xml:space="preserve">. This relative space approach emphasizes measurement of available opportunities in the surrounding environment relative to people’s needs and acknowledges that </w:t>
      </w:r>
      <w:r>
        <w:lastRenderedPageBreak/>
        <w:t xml:space="preserve">people frequently travel for various purposes; thus, people are frequently exposed to different areas. One example itinerary includes someone dropping children off at school, thereafter, driving along local highways to their workplace, running errands in a shopping mall fifteen minutes away during their lunch break, visiting clients in their downtown office, and then going home. There might not be supermarkets near their exurban home but more near the suburban shopping mall and a few </w:t>
      </w:r>
      <w:proofErr w:type="gramStart"/>
      <w:r>
        <w:t>downtown</w:t>
      </w:r>
      <w:proofErr w:type="gramEnd"/>
      <w:r>
        <w:t xml:space="preserve">. Moreover, the </w:t>
      </w:r>
      <w:r w:rsidRPr="007915BB">
        <w:t>supply</w:t>
      </w:r>
      <w:r>
        <w:t xml:space="preserve"> of opportunities fluctuates over time</w:t>
      </w:r>
      <w:r w:rsidRPr="007915BB">
        <w:t xml:space="preserve"> </w:t>
      </w:r>
      <w:r>
        <w:t>for myriad reasons, including, but not limited to,</w:t>
      </w:r>
      <w:r w:rsidRPr="007915BB">
        <w:t xml:space="preserve"> </w:t>
      </w:r>
      <w:r>
        <w:t xml:space="preserve">seasonality, supply chain issues, labor shortages, transport and logistics, processing, and consumer demand </w:t>
      </w:r>
      <w:r>
        <w:fldChar w:fldCharType="begin"/>
      </w:r>
      <w:r>
        <w:instrText xml:space="preserve"> ADDIN ZOTERO_ITEM CSL_CITATION {"citationID":"s327sxYG","properties":{"formattedCitation":"(Nijman &amp; Wei, 2020; Widener &amp; Shannon, 2014)","plainCitation":"(Nijman &amp; Wei, 2020; Widener &amp; Shannon, 2014)","noteIndex":0},"citationItems":[{"id":943,"uris":["http://zotero.org/users/5090392/items/HLZQDTSG"],"itemData":{"id":943,"type":"article-journal","abstract":"In the last decade or so, inequality studies have assumed renewed prominence across the social sciences. In this introduction to a special issue of Applied Geography, we set out to articulate the importance of urban spatial context in broader present-day inequality debates. We argue that the information-based economy is emphatically urban-based and that it has forged new spatial inequalities in and between cities and among urban populations. Income gaps have widened, inter-city disparities have grown, suburbs have been re-sorted into a wide array on the basis of class and race or ethnicity, and many central cities have assumed a renewed importance within metropolitan areas. We argue that attention to urban spatial dimensions at various scales is critical to understanding current inequality trends, from intra-urban to regional and global scales. Contributions to this special issue from North America, Europe, South America, and China suggest that deepening urban inequalities are pervasive across the globe.","container-title":"Applied Geography","DOI":"10.1016/j.apgeog.2020.102188","ISSN":"0143-6228","journalAbbreviation":"Applied Geography","language":"en","page":"102188","source":"ScienceDirect","title":"Urban inequalities in the 21st century economy","URL":"https://www.sciencedirect.com/science/article/pii/S0143622820301910","volume":"117","author":[{"family":"Nijman","given":"Jan"},{"family":"Wei","given":"Yehua Dennis"}],"accessed":{"date-parts":[["2021",2,27]]},"issued":{"date-parts":[["2020",4,1]]}}},{"id":682,"uris":["http://zotero.org/users/5090392/items/U5V7QJBR"],"itemData":{"id":682,"type":"article-journal","abstract":"The food desert concept is used as a means for defining regions as having inadequate spatial and socioeconomic access to vendors selling nutritious foods. This primarily aggregate-level and static method for understanding the food environment is commonly used by researchers and policy makers seeking to improve health outcomes of those affected by reduced access. However, recent research findings have brought the association between living in a food desert and adverse health outcomes into question. In this viewpoint, we put forward the idea that the food desert concept, and food accessibility research more generally, should be expanded to include a temporal component, and note potential avenues for future research.","container-title":"Health &amp; Place","DOI":"10.1016/j.healthplace.2014.07.011","ISSN":"1353-8292","journalAbbreviation":"Health &amp; Place","language":"en","page":"1-3","source":"ScienceDirect","title":"When are food deserts? Integrating time into research on food accessibility","title-short":"When are food deserts?","URL":"http://www.sciencedirect.com/science/article/pii/S1353829214001038","volume":"30","author":[{"family":"Widener","given":"Michael J."},{"family":"Shannon","given":"Jerry"}],"accessed":{"date-parts":[["2020",11,26]]},"issued":{"date-parts":[["2014",11,1]]}}}],"schema":"https://github.com/citation-style-language/schema/raw/master/csl-citation.json"} </w:instrText>
      </w:r>
      <w:r>
        <w:fldChar w:fldCharType="separate"/>
      </w:r>
      <w:r w:rsidR="00967900" w:rsidRPr="00967900">
        <w:t>(Nijman &amp; Wei, 2020; Widener &amp; Shannon, 2014)</w:t>
      </w:r>
      <w:r>
        <w:fldChar w:fldCharType="end"/>
      </w:r>
      <w:r w:rsidRPr="007915BB">
        <w:t xml:space="preserve">, </w:t>
      </w:r>
      <w:r>
        <w:t>e.g.,</w:t>
      </w:r>
      <w:r w:rsidRPr="007915BB">
        <w:t xml:space="preserve"> during </w:t>
      </w:r>
      <w:r>
        <w:t>Covid-19</w:t>
      </w:r>
      <w:r w:rsidRPr="007915BB">
        <w:t xml:space="preserve"> </w:t>
      </w:r>
      <w:r>
        <w:fldChar w:fldCharType="begin"/>
      </w:r>
      <w:r>
        <w:instrText xml:space="preserve"> ADDIN ZOTERO_ITEM CSL_CITATION {"citationID":"sSvXewP4","properties":{"formattedCitation":"(OECD, 2020)","plainCitation":"(OECD, 2020)","noteIndex":0},"citationItems":[{"id":1193,"uris":["http://zotero.org/users/5090392/items/7E7HZ6LK"],"itemData":{"id":1193,"type":"report","collection-title":"Tackling Coronavirus (COVID-19): Contributing to a Global Effort","page":"11","publisher":"OECD","title":"Food Supply Chains and COVID-19: Impacts and Policy Lessons","URL":"https://read.oecd-ilibrary.org/view/?ref=134_134305-ybqvdf0kg9&amp;title=Food-Supply-Chains-and-COVID-19-Impacts-and-policy-lessons&amp;_ga=2.64526696.619228526.1632841845-1499033358.1632841845","author":[{"literal":"OECD"}],"accessed":{"date-parts":[["2021",9,28]]},"issued":{"date-parts":[["2020",6,2]]}}}],"schema":"https://github.com/citation-style-language/schema/raw/master/csl-citation.json"} </w:instrText>
      </w:r>
      <w:r>
        <w:fldChar w:fldCharType="separate"/>
      </w:r>
      <w:r w:rsidR="00967900" w:rsidRPr="00967900">
        <w:t>(OECD, 2020)</w:t>
      </w:r>
      <w:r>
        <w:fldChar w:fldCharType="end"/>
      </w:r>
      <w:r>
        <w:t>.</w:t>
      </w:r>
    </w:p>
    <w:p w14:paraId="6C4A7969" w14:textId="111B5CB8" w:rsidR="00ED42F6" w:rsidRDefault="00020DF0" w:rsidP="009837A3">
      <w:pPr>
        <w:spacing w:line="480" w:lineRule="auto"/>
        <w:ind w:firstLine="720"/>
      </w:pPr>
      <w:r>
        <w:t xml:space="preserve">A relational space approach to availability considers the social relations and institutions that reduce or increase the supply of opportunities. Competition effects arise from the demand amongst people for limited opportunities </w:t>
      </w:r>
      <w:r>
        <w:fldChar w:fldCharType="begin"/>
      </w:r>
      <w:r>
        <w:instrText xml:space="preserve"> ADDIN ZOTERO_ITEM CSL_CITATION {"citationID":"Qdj2omTd","properties":{"formattedCitation":"(Geurs &amp; van Wee, 2004)","plainCitation":"(Geurs &amp; van Wee, 2004)","noteIndex":0},"citationItems":[{"id":1090,"uris":["http://zotero.org/users/5090392/items/F8WQ9CHA"],"itemData":{"id":1090,"type":"article-journal","abstract":"A review of accessibility measures is presented for assessing the usability of these measures in evaluations of land-use and transport strategies and developments. Accessibility measures are reviewed using a broad range of relevant criteria, including theoretical basis, interpretability and communicability, and data requirements of the measures. Accessibility impacts of land-use and transport strategies are often evaluated using accessibility measures, which researchers and policy makers can easily operationalise and interpret, such as travelling speed, but which generally do not satisfy theoretical criteria. More complex and disaggregated accessibility measures, however, increase complexity and the eﬀort for calculations and the diﬃculty of interpretation. The current practice can be much improved by operationalising more advanced location-based and utility-based accessibility measures that are still relatively easy to interpret for researchers and policy makers, and can be computed with state-of-the-practice data and/or landuse and transport models. Research directions towards theoretically more advanced accessibility measures point towards the inclusion of individual’s spatial–temporal constraints and feedback mechanisms between accessibility, land-use and travel behaviour. Furthermore, there is a need for theoretical and empirical research on relationships between accessibility, option values and non-user beneﬁts, and the measurement of diﬀerent components of accessibility.","container-title":"Journal of Transport Geography","DOI":"10.1016/j.jtrangeo.2003.10.005","ISSN":"09666923","issue":"2","journalAbbreviation":"Journal of Transport Geography","language":"en","page":"127-140","source":"DOI.org (Crossref)","title":"Accessibility evaluation of land-use and transport strategies: review and research directions","title-short":"Accessibility evaluation of land-use and transport strategies","URL":"https://linkinghub.elsevier.com/retrieve/pii/S0966692303000607","volume":"12","author":[{"family":"Geurs","given":"Karst T."},{"family":"Wee","given":"Bert","non-dropping-particle":"van"}],"accessed":{"date-parts":[["2021",5,6]]},"issued":{"date-parts":[["2004",6]]}}}],"schema":"https://github.com/citation-style-language/schema/raw/master/csl-citation.json"} </w:instrText>
      </w:r>
      <w:r>
        <w:fldChar w:fldCharType="separate"/>
      </w:r>
      <w:r w:rsidR="00967900" w:rsidRPr="00967900">
        <w:t>(Geurs &amp; van Wee, 2004)</w:t>
      </w:r>
      <w:r>
        <w:fldChar w:fldCharType="end"/>
      </w:r>
      <w:r>
        <w:t xml:space="preserve">. For example, supermarkets can only stock as much food as its size permits and supply decreases as demand increases. Research suggests that family, friends, neighbors, and other institutions (e.g., non-profit, charitable organizations) can compensate poor availability by provisioning and sharing services and resources in times of need </w:t>
      </w:r>
      <w:r>
        <w:fldChar w:fldCharType="begin"/>
      </w:r>
      <w:r>
        <w:instrText xml:space="preserve"> ADDIN ZOTERO_ITEM CSL_CITATION {"citationID":"yNLRo5pp","properties":{"formattedCitation":"(Schwartz et al., 2019)","plainCitation":"(Schwartz et al., 2019)","noteIndex":0},"citationItems":[{"id":1503,"uris":["http://zotero.org/users/5090392/items/D73PXK9C"],"itemData":{"id":1503,"type":"article-journal","abstract":"A scoping review was conducted, using a social ecological model approach, of 106 articles examining the effect of disability on food access and (in)security. Results of the review show a consistently increased risk of food insecurity among people with disabilities with a higher risk for mental health disabilities, and among disabled younger adults. Mediators of this relationship were underexplored. Disability was mainly conceptualized as a problematic category preventing food access while ignoring disabling social and environmental barriers. A social model of disability can inform future research by acknowledging the role of socio-environmental influences on the production and experience(s) of disability.","container-title":"Health &amp; Place","DOI":"10.1016/j.healthplace.2019.03.011","ISSN":"1353-8292","journalAbbreviation":"Health &amp; Place","language":"en","page":"107-121","source":"ScienceDirect","title":"Disability and food access and insecurity: A scoping review of the literature","title-short":"Disability and food access and insecurity","URL":"https://www.sciencedirect.com/science/article/pii/S1353829218304386","volume":"57","author":[{"family":"Schwartz","given":"Naomi"},{"family":"Buliung","given":"Ron"},{"family":"Wilson","given":"Kathi"}],"accessed":{"date-parts":[["2022",3,31]]},"issued":{"date-parts":[["2019",5,1]]}}}],"schema":"https://github.com/citation-style-language/schema/raw/master/csl-citation.json"} </w:instrText>
      </w:r>
      <w:r>
        <w:fldChar w:fldCharType="separate"/>
      </w:r>
      <w:r w:rsidR="00967900" w:rsidRPr="00967900">
        <w:t>(Schwartz et al., 2019)</w:t>
      </w:r>
      <w:r>
        <w:fldChar w:fldCharType="end"/>
      </w:r>
      <w:r>
        <w:t xml:space="preserve">. Meanwhile, the growing ubiquity of the Internet and digital applications expand the diversity and volume of opportunities in virtual space that can ameliorate a relative or complete dearth in opportunities people could feasibly reach in physical space-time throughout their daily travels </w:t>
      </w:r>
      <w:r>
        <w:fldChar w:fldCharType="begin"/>
      </w:r>
      <w:r>
        <w:instrText xml:space="preserve"> ADDIN ZOTERO_ITEM CSL_CITATION {"citationID":"CYacIna4","properties":{"formattedCitation":"(Kenyon, 2010; Ren &amp; Kwan, 2009)","plainCitation":"(Kenyon, 2010; Ren &amp; Kwan, 2009)","noteIndex":0},"citationItems":[{"id":1148,"uris":["http://zotero.org/users/5090392/items/KDANYHA9"],"itemData":{"id":1148,"type":"article-journal","abstract":"At the outset of this research, two fields of transport research were in the ascendant. The first reflected technological change, considering the growth of new information and communications technologies and their impacts for transport systems and travel behaviour. The second reflected social change, considering the growth in inequality and disadvantage and the contribution of transport systems and travel behaviour to the same. This paper investigates a potential link between the two, exploring the hypothesis that virtual mobility, via the Internet, could provide a viable alternative to physical mobility in reducing mobility-related social exclusion. The paper presents data from a longitudinal, panel-based diary study. Results support the hypothesis that virtual mobility can provide a viable alternative to physical mobility in reducing aspects of mobility-related exclusion, by providing additional accessibility (virtual accessibility) without an increase in physical mobility. Furthermore, there is no evidence in this research to support a link between physical mobility and virtual mobility; and no evidence to suggest a negative effect of virtual mobility for sociability.","collection-title":"Information/Communication Technologies and Travel Behaviour","container-title":"Transportation Research Part C: Emerging Technologies","DOI":"10.1016/j.trc.2009.04.014","ISSN":"0968-090X","issue":"1","journalAbbreviation":"Transportation Research Part C: Emerging Technologies","language":"en","page":"21-35","source":"ScienceDirect","title":"The impacts of Internet use upon activity participation and travel: Results from a longitudinal diary-based panel study","title-short":"The impacts of Internet use upon activity participation and travel","URL":"https://www.sciencedirect.com/science/article/pii/S0968090X09000382","volume":"18","author":[{"family":"Kenyon","given":"Susan"}],"accessed":{"date-parts":[["2021",9,18]]},"issued":{"date-parts":[["2010",2,1]]}}},{"id":1493,"uris":["http://zotero.org/users/5090392/items/9T9TWME9"],"itemData":{"id":1493,"type":"article-journal","abstract":"Recent studies have examined what factors affect the adoption of e-shopping (electronic shopping), why people adopt e-shopping, and what changes in activity?travel patterns will occur as a response to e-shopping. Very few studies to date, however, have investigated the impact of geographic context on people's e-shopping behavior. This study reexamines the explanatory factors that are related to people's e-shopping patterns through a study of the Columbus Metropolitan Area, OH. It focuses on the effect of accessibility to local shops and the residential context on the adoption of e-shopping and the frequency of buying online. Using an activity?Internet diary dataset, the results suggest that people with lower levels of accessibility to local shopping opportunities are more likely to engage in e-shopping, since the Internet enhances the efficiency of shopping by providing more product information and by eliminating the need of travel in the physical world. Further, people who live in areas with a white majority are more likely to adopt e-shopping. The magnitude of the impact of these context factors on e-shopping, however, is quite small.","container-title":"Environment and Planning B: Planning and Design","DOI":"10.1068/b34014t","ISSN":"0265-8135","issue":"2","journalAbbreviation":"Environ Plann B Plann Des","note":"publisher: SAGE Publications Ltd STM","page":"262-278","source":"SAGE Journals","title":"The Impact of Geographic Context on E-Shopping Behavior","URL":"https://doi.org/10.1068/b34014t","volume":"36","author":[{"family":"Ren","given":"Fang"},{"family":"Kwan","given":"Mei-Po"}],"accessed":{"date-parts":[["2022",3,31]]},"issued":{"date-parts":[["2009",4,1]]}}}],"schema":"https://github.com/citation-style-language/schema/raw/master/csl-citation.json"} </w:instrText>
      </w:r>
      <w:r>
        <w:fldChar w:fldCharType="separate"/>
      </w:r>
      <w:r w:rsidR="00967900" w:rsidRPr="00967900">
        <w:t>(Kenyon, 2010; Ren &amp; Kwan, 2009)</w:t>
      </w:r>
      <w:r>
        <w:fldChar w:fldCharType="end"/>
      </w:r>
      <w:r>
        <w:t xml:space="preserve">, especially those in rural and isolated areas </w:t>
      </w:r>
      <w:r>
        <w:fldChar w:fldCharType="begin"/>
      </w:r>
      <w:r>
        <w:instrText xml:space="preserve"> ADDIN ZOTERO_ITEM CSL_CITATION {"citationID":"a76vzoUW","properties":{"formattedCitation":"(Alford-Teaster et al., 2021)","plainCitation":"(Alford-Teaster et al., 2021)","noteIndex":0},"citationItems":[{"id":1499,"uris":["http://zotero.org/users/5090392/items/5V7FI3FN"],"itemData":{"id":1499,"type":"article-journal","abstract":"Abstract\n            The COVID-19 (coronavirus disease 2019) pandemic has expanded telehealth utilization in unprecedented ways and has important implications for measuring geographic access to healthcare services. Established measures of geographic access to care have focused on the spatial impedance of patients in seeking health care that pertains to specific transportation modes and do not account for the underlying broadband network that supports telemedicine and e-health. To be able to measure the impact of telehealth on healthcare access, we created a pilot augmentation of existing methods to incorporate measures of broadband accessibility to measure geographic access to telehealth. A reliable measure of telehealth accessibility is important to enable policy analysts to assess whether the increasing prevalence of telehealth may help alleviate the disparities in healthcare access in rural areas and for disadvantaged populations, or exacerbate the existing gaps as they experience “double burdens.”","container-title":"Journal of the American Medical Informatics Association","DOI":"10.1093/jamia/ocab149","ISSN":"1527-974X","issue":"11","language":"en","page":"2526-2530","source":"DOI.org (Crossref)","title":"Incorporating broadband durability in measuring geographic access to health care in the era of telehealth: A case example of the 2-step virtual catchment area (2SVCA) Method","title-short":"Incorporating broadband durability in measuring geographic access to health care in the era of telehealth","URL":"https://academic.oup.com/jamia/article/28/11/2526/6355335","volume":"28","author":[{"family":"Alford-Teaster","given":"Jennifer"},{"family":"Wang","given":"Fahui"},{"family":"Tosteson","given":"Anna N A"},{"family":"Onega","given":"Tracy"}],"accessed":{"date-parts":[["2022",3,31]]},"issued":{"date-parts":[["2021",10,12]]}}}],"schema":"https://github.com/citation-style-language/schema/raw/master/csl-citation.json"} </w:instrText>
      </w:r>
      <w:r>
        <w:fldChar w:fldCharType="separate"/>
      </w:r>
      <w:r w:rsidR="00967900" w:rsidRPr="00967900">
        <w:t>(Alford-Teaster et al., 2021)</w:t>
      </w:r>
      <w:r>
        <w:fldChar w:fldCharType="end"/>
      </w:r>
      <w:r>
        <w:t xml:space="preserve">. Modern ICT can provide people a larger choice set online </w:t>
      </w:r>
      <w:r>
        <w:fldChar w:fldCharType="begin"/>
      </w:r>
      <w:r>
        <w:instrText xml:space="preserve"> ADDIN ZOTERO_ITEM CSL_CITATION {"citationID":"qOV7v4Qh","properties":{"formattedCitation":"(Shen, 1998)","plainCitation":"(Shen, 1998)","noteIndex":0},"citationItems":[{"id":908,"uris":["http://zotero.org/users/5090392/items/UUYBGQJK"],"itemData":{"id":908,"type":"article-journal","abstract":"Accessibility is both an important concept, and a powerful indicator, in the understanding of the impact of spatial technologies, i.e. transportation, communication, and information technologies. However, virtually all existing measures of intra-metropolitan accessibility incorporate only transportation without considering other means of spatial interaction. In this paper, the author argues that by carefully examining the relationship between transportation and communication, it is possible to develop measures that represent urban spatial structure more completely. Based on studies of teleworking in the United States, the author presents an accessibility measure that takes into account both travel and telecommuting. A case study of employment accessibility in the Boston Metropolitan Area indicates that advances in spatial technologies may generate the dual effect of locational equalization and socio-spatial polarization. In the urban space that is increasingly technologically delineated and socially constructed, low-income workers will very likely find themselves in a more and more disadvantaged position.","container-title":"Computers, Environment and Urban Systems","DOI":"10.1016/S0198-9715(98)00039-8","ISSN":"0198-9715","issue":"5","journalAbbreviation":"Computers, Environment and Urban Systems","language":"en","page":"447-464","source":"ScienceDirect","title":"Spatial technologies, accessibility, and the social construction of urban space","URL":"https://www.sciencedirect.com/science/article/pii/S0198971598000398","volume":"22","author":[{"family":"Shen","given":"Qing"}],"accessed":{"date-parts":[["2021",2,22]]},"issued":{"date-parts":[["1998",9,1]]}}}],"schema":"https://github.com/citation-style-language/schema/raw/master/csl-citation.json"} </w:instrText>
      </w:r>
      <w:r>
        <w:fldChar w:fldCharType="separate"/>
      </w:r>
      <w:r w:rsidR="00967900" w:rsidRPr="00967900">
        <w:t>(Shen, 1998)</w:t>
      </w:r>
      <w:r>
        <w:fldChar w:fldCharType="end"/>
      </w:r>
      <w:r>
        <w:t xml:space="preserve">. With groceries, virtual options include online counterparts of traditional retailers (e.g., Kroger), subscription-based services (e.g., Instacart), social communities (e.g., Facebook Marketplace), and call-based orders. </w:t>
      </w:r>
      <w:r w:rsidR="00B12644">
        <w:t xml:space="preserve">In the case of food </w:t>
      </w:r>
      <w:r w:rsidR="00B12644">
        <w:lastRenderedPageBreak/>
        <w:t>access, m</w:t>
      </w:r>
      <w:r w:rsidR="00ED42F6">
        <w:t xml:space="preserve">ost of this information except for the last can be obtained from search platforms such as Google and Yelp. A study area may be partitioned into a grid with searches from the center of a cell to obtain the </w:t>
      </w:r>
      <w:r w:rsidR="00CF4098">
        <w:t xml:space="preserve">physical and virtual </w:t>
      </w:r>
      <w:r w:rsidR="00ED42F6">
        <w:t xml:space="preserve">locations of all providers as latitude-longitude pairs and URLs. Understanding the supply of food in these locations then requires food audits that survey the presence and </w:t>
      </w:r>
      <w:proofErr w:type="gramStart"/>
      <w:r w:rsidR="00ED42F6">
        <w:t>amount</w:t>
      </w:r>
      <w:proofErr w:type="gramEnd"/>
      <w:r w:rsidR="00ED42F6">
        <w:t xml:space="preserve"> of specific foods, and which can be carried out in-person and online. </w:t>
      </w:r>
    </w:p>
    <w:p w14:paraId="29755A38" w14:textId="4A0FB189" w:rsidR="00020DF0" w:rsidRDefault="00020DF0" w:rsidP="00156BEA">
      <w:pPr>
        <w:spacing w:line="480" w:lineRule="auto"/>
        <w:ind w:firstLine="720"/>
      </w:pPr>
      <w:r>
        <w:t xml:space="preserve">Similarly, smart technologies improve efficiency of different processes and transportation logistics, and enhance the volume, diversity, and quality of opportunities offered to people. However, inequalities may exist in the provision of virtual-based opportunities whereby organizations exclude services for those in some areas, e.g., Amazon excluding same day-delivery to several minority neighborhoods in major U.S. metros </w:t>
      </w:r>
      <w:r>
        <w:fldChar w:fldCharType="begin"/>
      </w:r>
      <w:r>
        <w:instrText xml:space="preserve"> ADDIN ZOTERO_ITEM CSL_CITATION {"citationID":"rMT87H4E","properties":{"formattedCitation":"(Ingold &amp; Soper, 2016)","plainCitation":"(Ingold &amp; Soper, 2016)","noteIndex":0},"citationItems":[{"id":418,"uris":["http://zotero.org/users/5090392/items/E9Z5ALXU"],"itemData":{"id":418,"type":"webpage","abstract":"In six big cities, Amazon Prime Same-Day delivery doesn't serve black ZIP codes as well as it does white ones.","container-title":"Bloomberg.com","language":"en","title":"Amazon Doesn’t Consider the Race of Its Customers. Should It?","URL":"http://www.bloomberg.com/graphics/2016-amazon-same-day/","author":[{"family":"Ingold","given":"David"},{"family":"Soper","given":"Spencer"}],"accessed":{"date-parts":[["2020",1,20]]},"issued":{"date-parts":[["2016",4,21]]}}}],"schema":"https://github.com/citation-style-language/schema/raw/master/csl-citation.json"} </w:instrText>
      </w:r>
      <w:r>
        <w:fldChar w:fldCharType="separate"/>
      </w:r>
      <w:r w:rsidR="00967900" w:rsidRPr="00967900">
        <w:t>(Ingold &amp; Soper, 2016)</w:t>
      </w:r>
      <w:r>
        <w:fldChar w:fldCharType="end"/>
      </w:r>
      <w:r>
        <w:t>.</w:t>
      </w:r>
      <w:r w:rsidR="00913F93">
        <w:t xml:space="preserve"> For example, we could identify the number of grocery stores with fresh produce within a mile radius of an individual at their home as the number of available opportunities in physical space. Similarly, online searches of a last mile option—such as two-hour delivery, same-day delivery, two-day delivery, etc.—by navigating the delivery options offered by each online grocery store from a location-based Google search could provide another quantifiable metric for the number of available opportunities in virtual space.</w:t>
      </w:r>
      <w:r w:rsidR="009D00C7">
        <w:t xml:space="preserve"> Measuring availability in virtual space could be comprised of identifying the number of URLs of different online stores in a partitioned area and collecting data on the last mile distribution channels in each partition.</w:t>
      </w:r>
    </w:p>
    <w:p w14:paraId="73F33AA9" w14:textId="4B9B73B8" w:rsidR="00F17680" w:rsidRDefault="00020DF0" w:rsidP="00156BEA">
      <w:pPr>
        <w:spacing w:line="480" w:lineRule="auto"/>
        <w:ind w:firstLine="720"/>
      </w:pPr>
      <w:r>
        <w:t xml:space="preserve">People, however, identify destinations as (not) available based on their knowledge and awareness of services, resources, and facilities </w:t>
      </w:r>
      <w:r>
        <w:fldChar w:fldCharType="begin"/>
      </w:r>
      <w:r>
        <w:instrText xml:space="preserve"> ADDIN ZOTERO_ITEM CSL_CITATION {"citationID":"aEz30szq","properties":{"formattedCitation":"(van Wee, 2016)","plainCitation":"(van Wee, 2016)","noteIndex":0},"citationItems":[{"id":1132,"uris":["http://zotero.org/users/5090392/items/QTGRMWJS"],"itemData":{"id":1132,"type":"article-journal","abstract":"Accessibility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fldChar w:fldCharType="separate"/>
      </w:r>
      <w:r w:rsidR="00967900" w:rsidRPr="00967900">
        <w:t>(van Wee, 2016)</w:t>
      </w:r>
      <w:r>
        <w:fldChar w:fldCharType="end"/>
      </w:r>
      <w:r>
        <w:t xml:space="preserve">, reflecting mental space. While </w:t>
      </w:r>
      <w:commentRangeStart w:id="41"/>
      <w:commentRangeStart w:id="42"/>
      <w:r>
        <w:t>virtual-based options enable a larger selection available to individuals</w:t>
      </w:r>
      <w:commentRangeEnd w:id="41"/>
      <w:r w:rsidR="00E61262">
        <w:rPr>
          <w:rStyle w:val="CommentReference"/>
        </w:rPr>
        <w:commentReference w:id="41"/>
      </w:r>
      <w:commentRangeEnd w:id="42"/>
      <w:r w:rsidR="004501C8">
        <w:rPr>
          <w:rStyle w:val="CommentReference"/>
        </w:rPr>
        <w:commentReference w:id="42"/>
      </w:r>
      <w:r>
        <w:t xml:space="preserve"> both in the presence of new forms of opportunities (e.g., online delivery) and information sources about the existence and inventory of opportunities in physical space, their use requires awareness </w:t>
      </w:r>
      <w:r>
        <w:fldChar w:fldCharType="begin"/>
      </w:r>
      <w:r>
        <w:instrText xml:space="preserve"> ADDIN ZOTERO_ITEM CSL_CITATION {"citationID":"NOtpVTt4","properties":{"formattedCitation":"(Pot et al., 2021; van Wee, 2016)","plainCitation":"(Pot et al., 2021; van Wee, 2016)","noteIndex":0},"citationItems":[{"id":1195,"uris":["http://zotero.org/users/5090392/items/WEWGP49U"],"itemData":{"id":1195,"type":"article-journal","abstract":"Accessibility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id":1132,"uris":["http://zotero.org/users/5090392/items/QTGRMWJS"],"itemData":{"id":1132,"type":"article-journal","abstract":"Accessibility is a key concept in the field of transport geography. There is a rich, though not very mature, body of literature on this topic which is largely application-driven. The focus in the literature is generally on methods and concept and/or on applications. Applications generally focus on ex ante or ex post evaluations of the implications for accessibility of (candidate) policy plans. An important question is which are the main challenges in the area of accessibility research? This paper aims to examine this question and provide a research agenda for the coming one or two decades or so. The focus is on putting relatively new topics on the agenda, rather than making suggestions for improvements of given accessibility indicators. The paper does not aim to provide a complete list, but rather proposes avenues for future research focusing on (1) indicators to express accessibility, and (2) evaluation. In the area of indicators the challenges include the impact of ICT on accessibility; the inclusion of the robustness of the transport system in indicators; comparing perceptions of accessibility and traditional accessibility indicators; the option value; and the indicators of accessibility for goods transport, air transport, and slow modes. In the area of evaluation the paper discusses the pros and cons of the logsum as an accessibility measure, ethical aspects, comparisons of accessibility indicators to evaluate a specific case, and the needs of the clients of accessibility research.","container-title":"Journal of Transport Geography","DOI":"10.1016/j.jtrangeo.2015.10.018","ISSN":"0966-6923","journalAbbreviation":"Journal of Transport Geography","language":"en","page":"9-16","source":"ScienceDirect","title":"Accessible accessibility research challenges","URL":"https://www.sciencedirect.com/science/article/pii/S0966692315002008","volume":"51","author":[{"family":"Wee","given":"Bert","non-dropping-particle":"van"}],"accessed":{"date-parts":[["2021",9,14]]},"issued":{"date-parts":[["2016",2,1]]}}}],"schema":"https://github.com/citation-style-language/schema/raw/master/csl-citation.json"} </w:instrText>
      </w:r>
      <w:r>
        <w:fldChar w:fldCharType="separate"/>
      </w:r>
      <w:r w:rsidR="00967900" w:rsidRPr="00967900">
        <w:t xml:space="preserve">(Pot et al., 2021; </w:t>
      </w:r>
      <w:r w:rsidR="00967900" w:rsidRPr="00967900">
        <w:lastRenderedPageBreak/>
        <w:t>van Wee, 2016)</w:t>
      </w:r>
      <w:r>
        <w:fldChar w:fldCharType="end"/>
      </w:r>
      <w:r>
        <w:t>.</w:t>
      </w:r>
      <w:r w:rsidRPr="001B6FB0">
        <w:t xml:space="preserve"> </w:t>
      </w:r>
      <w:r w:rsidR="00ED42F6">
        <w:t xml:space="preserve">People have different options available due in part to their technological aptitude, services offered by providers, and knowledge of their existence. </w:t>
      </w:r>
      <w:r>
        <w:t xml:space="preserve">A refugee from a developing country living in a new town may not have a fully developed mental map of the different places available to them, let alone possess sufficient technological capabilities. </w:t>
      </w:r>
      <w:r w:rsidR="00F834C9">
        <w:t xml:space="preserve">To understand the availability of opportunities, such as food providers, from the perspective of individuals </w:t>
      </w:r>
      <w:r w:rsidR="004A2015">
        <w:t xml:space="preserve">could involve </w:t>
      </w:r>
      <w:r w:rsidR="00F834C9">
        <w:t>a memory recollection exercise to list the options they are aware of and the degree to which they believe the food supply is sufficient</w:t>
      </w:r>
      <w:r w:rsidR="00260EBA">
        <w:t xml:space="preserve">. </w:t>
      </w:r>
      <w:r w:rsidR="001B71F1">
        <w:t>For virtual options, t</w:t>
      </w:r>
      <w:r w:rsidR="00260EBA">
        <w:t>his</w:t>
      </w:r>
      <w:r w:rsidR="00F834C9">
        <w:t xml:space="preserve"> can be carried out as questions in a survey</w:t>
      </w:r>
      <w:r w:rsidR="0073726B">
        <w:t xml:space="preserve"> such as ‘what are the names of stores you </w:t>
      </w:r>
      <w:r w:rsidR="00FE71E6">
        <w:t xml:space="preserve">are willing to </w:t>
      </w:r>
      <w:r w:rsidR="002451EE">
        <w:t>shop at?’</w:t>
      </w:r>
      <w:r w:rsidR="00260EBA">
        <w:t xml:space="preserve"> </w:t>
      </w:r>
      <w:r w:rsidR="001B71F1">
        <w:t xml:space="preserve">while for physical options, this can </w:t>
      </w:r>
      <w:r w:rsidR="0073726B">
        <w:t>involve</w:t>
      </w:r>
      <w:r w:rsidR="00260EBA" w:rsidRPr="00260EBA">
        <w:t xml:space="preserve"> a</w:t>
      </w:r>
      <w:r w:rsidR="00692850" w:rsidRPr="00260EBA">
        <w:t xml:space="preserve"> participatory mapping exercise where users </w:t>
      </w:r>
      <w:r w:rsidR="007E5C0D" w:rsidRPr="00260EBA">
        <w:t>identify all stores they visit on an interactive map.</w:t>
      </w:r>
      <w:r w:rsidR="00260EBA" w:rsidRPr="00260EBA">
        <w:t xml:space="preserve"> </w:t>
      </w:r>
      <w:r w:rsidR="00F834C9">
        <w:t>Measures of this dimension in physical space could then compare the total number of available and/or recognized options with sufficient healthy food options within a specified distance or time threshold.</w:t>
      </w:r>
      <w:r w:rsidR="00212EE9">
        <w:t xml:space="preserve"> In virtual space,</w:t>
      </w:r>
      <w:r w:rsidR="0073726B">
        <w:t xml:space="preserve"> </w:t>
      </w:r>
      <w:r w:rsidR="002451EE">
        <w:t xml:space="preserve">the opportunity set of available stores perceived by individuals would be </w:t>
      </w:r>
      <w:r w:rsidR="003C0259">
        <w:t>reduced to virtual options that match t</w:t>
      </w:r>
      <w:r w:rsidR="009C5056">
        <w:t xml:space="preserve">heir responses. For example, if an individual answers that they only shop at Kroger, Publix, and Costco, the opportunity set would only include </w:t>
      </w:r>
      <w:r w:rsidR="00D9428D">
        <w:t>all</w:t>
      </w:r>
      <w:r w:rsidR="00BE144F">
        <w:t xml:space="preserve"> </w:t>
      </w:r>
      <w:r w:rsidR="004501C8">
        <w:t xml:space="preserve">similarly branded </w:t>
      </w:r>
      <w:r w:rsidR="006B3A6A">
        <w:t xml:space="preserve">physical </w:t>
      </w:r>
      <w:r w:rsidR="00BE144F">
        <w:t>store</w:t>
      </w:r>
      <w:r w:rsidR="006B3A6A">
        <w:t>s</w:t>
      </w:r>
      <w:r w:rsidR="004501C8">
        <w:t xml:space="preserve"> and their virtual counterpart in the study area</w:t>
      </w:r>
      <w:r w:rsidR="00BE144F">
        <w:t>.</w:t>
      </w:r>
    </w:p>
    <w:p w14:paraId="1612DC1B" w14:textId="0436995F" w:rsidR="00020DF0" w:rsidRDefault="001F7C97" w:rsidP="00156BEA">
      <w:pPr>
        <w:spacing w:line="480" w:lineRule="auto"/>
        <w:ind w:firstLine="720"/>
      </w:pPr>
      <w:r>
        <w:t>People additionally</w:t>
      </w:r>
      <w:r w:rsidR="00020DF0">
        <w:t xml:space="preserve"> have different needs and preferences and </w:t>
      </w:r>
      <w:r>
        <w:t xml:space="preserve">may </w:t>
      </w:r>
      <w:r w:rsidR="00020DF0">
        <w:t xml:space="preserve">desire a large and diverse choice set </w:t>
      </w:r>
      <w:r w:rsidR="00020DF0">
        <w:fldChar w:fldCharType="begin"/>
      </w:r>
      <w:r w:rsidR="00020DF0">
        <w:instrText xml:space="preserve"> ADDIN ZOTERO_ITEM CSL_CITATION {"citationID":"pj6Qy7Y3","properties":{"formattedCitation":"(Cheng &amp; Bertolini, 2013)","plainCitation":"(Cheng &amp; Bertolini, 2013)","noteIndex":0},"citationItems":[{"id":1403,"uris":["http://zotero.org/users/5090392/items/5XBZDSTE"],"itemData":{"id":1403,"type":"article-journal","abstract":"As a key interface between urban transport and land use (workers and jobs) systems, job accessibility can provide a framework within which spatial and social interactions can be understood and interpreted. The extensive academic literature on job accessibility measurements suggests that there are many ways to represent, define, quantify, and interpret job accessibility. These measurements have been increasingly employed for exploring urban issues at varied spatial scales. However, in practice, an appropriate balance is required between the complexity of representation, accuracy of measurement and ease of interpretation and use. With this in mind, this paper demonstrates a modified measurement to represent, measure, and interpret, job accessibility and job opportunity, by incorporating the effects of competition, distance decay and job diversity. The measurement integrates a probabilistic methodology with a spatial interaction model. The methodology is implemented in a GIS environment and illustrated using the Amsterdam region of the Netherlands as a case study. We argue that this measurement can improve the application of job accessibility measurement for planning support practices.","container-title":"Journal of Transport Geography","DOI":"10.1016/j.jtrangeo.2013.03.005","ISSN":"0966-6923","journalAbbreviation":"Journal of Transport Geography","language":"en","page":"100-109","source":"ScienceDirect","title":"Measuring urban job accessibility with distance decay, competition and diversity","URL":"https://www.sciencedirect.com/science/article/pii/S0966692313000604","volume":"30","author":[{"family":"Cheng","given":"Jianquan"},{"family":"Bertolini","given":"Luca"}],"accessed":{"date-parts":[["2022",3,7]]},"issued":{"date-parts":[["2013",6,1]]}}}],"schema":"https://github.com/citation-style-language/schema/raw/master/csl-citation.json"} </w:instrText>
      </w:r>
      <w:r w:rsidR="00020DF0">
        <w:fldChar w:fldCharType="separate"/>
      </w:r>
      <w:r w:rsidR="00967900" w:rsidRPr="00967900">
        <w:t>(Cheng &amp; Bertolini, 2013)</w:t>
      </w:r>
      <w:r w:rsidR="00020DF0">
        <w:fldChar w:fldCharType="end"/>
      </w:r>
      <w:r w:rsidR="00020DF0">
        <w:t xml:space="preserve">. For example, </w:t>
      </w:r>
      <w:commentRangeStart w:id="43"/>
      <w:commentRangeStart w:id="44"/>
      <w:r w:rsidR="00020DF0">
        <w:t>some people may not find convenience stores sufficient as they offer a limited range of items</w:t>
      </w:r>
      <w:commentRangeEnd w:id="43"/>
      <w:r w:rsidR="00444240">
        <w:rPr>
          <w:rStyle w:val="CommentReference"/>
        </w:rPr>
        <w:commentReference w:id="43"/>
      </w:r>
      <w:commentRangeEnd w:id="44"/>
      <w:r w:rsidR="00F45D32">
        <w:rPr>
          <w:rStyle w:val="CommentReference"/>
        </w:rPr>
        <w:commentReference w:id="44"/>
      </w:r>
      <w:r w:rsidR="00020DF0">
        <w:t xml:space="preserve"> compared to fully stocked supermarkets. </w:t>
      </w:r>
      <w:r w:rsidR="00C81CC3">
        <w:t>One way of measuring th</w:t>
      </w:r>
      <w:r w:rsidR="00F33048">
        <w:t>ese preferences is to include a</w:t>
      </w:r>
      <w:r w:rsidR="00896B01">
        <w:t xml:space="preserve">n </w:t>
      </w:r>
      <w:r w:rsidR="00F33048">
        <w:t xml:space="preserve">indicator </w:t>
      </w:r>
      <w:r w:rsidR="00D77900">
        <w:t>for the preferences of individuals</w:t>
      </w:r>
      <w:r w:rsidR="00F807A3">
        <w:t xml:space="preserve"> for different opportunity subtypes</w:t>
      </w:r>
      <w:r w:rsidR="00D77900">
        <w:t xml:space="preserve">. For example, surveys can be carried out to </w:t>
      </w:r>
      <w:r w:rsidR="009708F9">
        <w:t>understand</w:t>
      </w:r>
      <w:r w:rsidR="00D77900">
        <w:t xml:space="preserve"> </w:t>
      </w:r>
      <w:r w:rsidR="009708F9">
        <w:t xml:space="preserve">the </w:t>
      </w:r>
      <w:r w:rsidR="00826C6B">
        <w:t>desirab</w:t>
      </w:r>
      <w:r w:rsidR="009708F9">
        <w:t>i</w:t>
      </w:r>
      <w:r w:rsidR="00826C6B">
        <w:t>l</w:t>
      </w:r>
      <w:r w:rsidR="009708F9">
        <w:t>ity of</w:t>
      </w:r>
      <w:r w:rsidR="00826C6B">
        <w:t xml:space="preserve"> traditional grocery retailers, convenience stores, </w:t>
      </w:r>
      <w:r w:rsidR="009708F9">
        <w:t xml:space="preserve">farmers’ markets, </w:t>
      </w:r>
      <w:r w:rsidR="00F807A3">
        <w:t>etc.</w:t>
      </w:r>
      <w:r w:rsidR="009708F9">
        <w:t xml:space="preserve"> This could be a binary </w:t>
      </w:r>
      <w:r w:rsidR="009D1FDA">
        <w:t xml:space="preserve">answer (“yes, I will shop at these </w:t>
      </w:r>
      <w:r w:rsidR="00CA4D84">
        <w:t xml:space="preserve">types of </w:t>
      </w:r>
      <w:r w:rsidR="009D1FDA">
        <w:t xml:space="preserve">stores” or </w:t>
      </w:r>
      <w:r w:rsidR="009D1FDA">
        <w:lastRenderedPageBreak/>
        <w:t xml:space="preserve">“no, I will not shop at these </w:t>
      </w:r>
      <w:r w:rsidR="00CA4D84">
        <w:t xml:space="preserve">types of </w:t>
      </w:r>
      <w:r w:rsidR="009D1FDA">
        <w:t xml:space="preserve">stores”) or </w:t>
      </w:r>
      <w:r w:rsidR="00D95D53">
        <w:t xml:space="preserve">a scaled answer </w:t>
      </w:r>
      <w:r w:rsidR="007A2220">
        <w:t xml:space="preserve">(“I strongly prefer shopping at this type of store” to “I strongly </w:t>
      </w:r>
      <w:r w:rsidR="00033C48">
        <w:t>do not prefer shopping at this type of store.”) The binary answer could be used to reduce the potential opportunity set</w:t>
      </w:r>
      <w:r w:rsidR="009708F9">
        <w:t xml:space="preserve"> </w:t>
      </w:r>
      <w:r w:rsidR="00033C48">
        <w:t xml:space="preserve">based on store types while the scaled answer could be used to weight </w:t>
      </w:r>
      <w:r w:rsidR="005D316E">
        <w:t xml:space="preserve">more desirable store types more greatly than less desirable ones. </w:t>
      </w:r>
      <w:r w:rsidR="00020DF0">
        <w:t xml:space="preserve">The provision of opportunities can also be restricted and influence people’s behaviors, as exemplified during Covid-19 and ensuing supply chain bottlenecks </w:t>
      </w:r>
      <w:r w:rsidR="00020DF0">
        <w:fldChar w:fldCharType="begin"/>
      </w:r>
      <w:r w:rsidR="00854690">
        <w:instrText xml:space="preserve"> ADDIN ZOTERO_ITEM CSL_CITATION {"citationID":"qLgGnZoP","properties":{"formattedCitation":"(Guan et al., 2020)","plainCitation":"(Guan et al., 2020)","noteIndex":0},"citationItems":[{"id":1516,"uris":["http://zotero.org/users/5090392/items/9Q28FJF5"],"itemData":{"id":1516,"type":"article-journal","abstract":"Countries have sought to stop the spread of coronavirus disease 2019 (COVID-19) by severely restricting travel and in-person commercial activities. Here, we analyse the supply-chain effects of a set of idealized lockdown scenarios, using the latest global trade modelling framework. We find that supply-chain losses that are related to initial COVID-19 lockdowns are largely dependent on the number of countries imposing restrictions and that losses are more sensitive to the duration of a lockdown than its strictness. However, a longer containment that can eradicate the disease imposes a smaller loss than shorter ones. Earlier, stricter and shorter lockdowns can minimize overall losses. A ‘go-slow’ approach to lifting restrictions may reduce overall damages if it avoids the need for further lockdowns. Regardless of the strategy, the complexity of global supply chains will magnify losses beyond the direct effects of COVID-19. Thus, pandemic control is a public good that requires collective efforts and support to lower-capacity countries.","container-title":"Nature Human Behaviour","DOI":"10.1038/s41562-020-0896-8","ISSN":"2397-3374","issue":"6","journalAbbreviation":"Nat Hum Behav","language":"en","license":"2020 The Author(s), under exclusive licence to Springer Nature Limited","note":"number: 6\npublisher: Nature Publishing Group","page":"577-587","source":"www.nature.com","title":"Global supply-chain effects of COVID-19 control measures","URL":"https://www.nature.com/articles/s41562-020-0896-8","volume":"4","author":[{"family":"Guan","given":"Dabo"},{"family":"Wang","given":"Daoping"},{"family":"Hallegatte","given":"Stephane"},{"family":"Davis","given":"Steven J."},{"family":"Huo","given":"Jingwen"},{"family":"Li","given":"Shuping"},{"family":"Bai","given":"Yangchun"},{"family":"Lei","given":"Tianyang"},{"family":"Xue","given":"Qianyu"},{"family":"Coffman","given":"D’Maris"},{"family":"Cheng","given":"Danyang"},{"family":"Chen","given":"Peipei"},{"family":"Liang","given":"Xi"},{"family":"Xu","given":"Bing"},{"family":"Lu","given":"Xiaosheng"},{"family":"Wang","given":"Shouyang"},{"family":"Hubacek","given":"Klaus"},{"family":"Gong","given":"Peng"}],"accessed":{"date-parts":[["2022",4,1]]},"issued":{"date-parts":[["2020",6]]}}}],"schema":"https://github.com/citation-style-language/schema/raw/master/csl-citation.json"} </w:instrText>
      </w:r>
      <w:r w:rsidR="00020DF0">
        <w:fldChar w:fldCharType="separate"/>
      </w:r>
      <w:r w:rsidR="00967900" w:rsidRPr="00967900">
        <w:t>(Guan et al., 2020)</w:t>
      </w:r>
      <w:r w:rsidR="00020DF0">
        <w:fldChar w:fldCharType="end"/>
      </w:r>
      <w:r w:rsidR="00020DF0">
        <w:t xml:space="preserve">. If a person needs </w:t>
      </w:r>
      <w:r w:rsidR="00020DF0">
        <w:rPr>
          <w:i/>
          <w:iCs/>
        </w:rPr>
        <w:t>x</w:t>
      </w:r>
      <w:r w:rsidR="00020DF0">
        <w:t xml:space="preserve"> amount of </w:t>
      </w:r>
      <w:r w:rsidR="00020DF0">
        <w:rPr>
          <w:i/>
          <w:iCs/>
        </w:rPr>
        <w:t xml:space="preserve">y </w:t>
      </w:r>
      <w:r w:rsidR="00020DF0">
        <w:t xml:space="preserve">but the provider will only supply </w:t>
      </w:r>
      <w:r w:rsidR="00020DF0">
        <w:rPr>
          <w:i/>
          <w:iCs/>
        </w:rPr>
        <w:t>x</w:t>
      </w:r>
      <w:r w:rsidR="00020DF0">
        <w:t>-</w:t>
      </w:r>
      <w:r w:rsidR="00020DF0">
        <w:rPr>
          <w:i/>
          <w:iCs/>
        </w:rPr>
        <w:t>n</w:t>
      </w:r>
      <w:r w:rsidR="00020DF0">
        <w:t xml:space="preserve"> amount, the person may not perceive the provider as able to satisfy their need for </w:t>
      </w:r>
      <w:r w:rsidR="00020DF0">
        <w:rPr>
          <w:i/>
          <w:iCs/>
        </w:rPr>
        <w:t>y</w:t>
      </w:r>
      <w:r w:rsidR="00020DF0">
        <w:t xml:space="preserve"> and may thus not be considered available to them. Geographic space alone does not fully capture the opportunities available to people and is differentiated alongside people’s contextual environment, relations enabled by ICT, and mental faculties.</w:t>
      </w:r>
    </w:p>
    <w:p w14:paraId="6C92AF67" w14:textId="3A8CA730" w:rsidR="00020DF0" w:rsidRPr="00ED4C3E" w:rsidRDefault="00ED4C3E" w:rsidP="00ED4C3E">
      <w:pPr>
        <w:pStyle w:val="Heading3"/>
        <w:spacing w:after="240"/>
        <w:jc w:val="center"/>
        <w:rPr>
          <w:rFonts w:ascii="Times New Roman" w:hAnsi="Times New Roman" w:cs="Times New Roman"/>
          <w:b/>
          <w:bCs/>
          <w:color w:val="auto"/>
        </w:rPr>
      </w:pPr>
      <w:bookmarkStart w:id="45" w:name="_Toc114258042"/>
      <w:r w:rsidRPr="00ED4C3E">
        <w:rPr>
          <w:rFonts w:ascii="Times New Roman" w:hAnsi="Times New Roman" w:cs="Times New Roman"/>
          <w:b/>
          <w:bCs/>
          <w:color w:val="auto"/>
        </w:rPr>
        <w:t xml:space="preserve">3.2.2. </w:t>
      </w:r>
      <w:r w:rsidR="00020DF0" w:rsidRPr="00ED4C3E">
        <w:rPr>
          <w:rFonts w:ascii="Times New Roman" w:hAnsi="Times New Roman" w:cs="Times New Roman"/>
          <w:b/>
          <w:bCs/>
          <w:color w:val="auto"/>
        </w:rPr>
        <w:t>A</w:t>
      </w:r>
      <w:r w:rsidRPr="00ED4C3E">
        <w:rPr>
          <w:rFonts w:ascii="Times New Roman" w:hAnsi="Times New Roman" w:cs="Times New Roman"/>
          <w:b/>
          <w:bCs/>
          <w:color w:val="auto"/>
        </w:rPr>
        <w:t>CCESSIBILITY IN HYBRID PHYSICAL-VIRTUAL SPACE</w:t>
      </w:r>
      <w:bookmarkEnd w:id="45"/>
    </w:p>
    <w:p w14:paraId="525FFA14" w14:textId="237509F8" w:rsidR="00020DF0" w:rsidRDefault="00020DF0" w:rsidP="00141524">
      <w:pPr>
        <w:spacing w:line="480" w:lineRule="auto"/>
        <w:ind w:firstLine="720"/>
      </w:pPr>
      <w:r>
        <w:t xml:space="preserve">Generally speaking, accessibility concerns the ease to which people can travel to and the potential for interaction with destinations with attractive opportunities </w:t>
      </w:r>
      <w:r>
        <w:fldChar w:fldCharType="begin"/>
      </w:r>
      <w:r w:rsidR="00753723">
        <w:instrText xml:space="preserve"> ADDIN ZOTERO_ITEM CSL_CITATION {"citationID":"t1Wug93i","properties":{"formattedCitation":"(E. J. Miller, 2018)","plainCitation":"(E. J. Miller, 2018)","noteIndex":0},"citationItems":[{"id":864,"uris":["http://zotero.org/users/5090392/items/LRC4Z6TH"],"itemData":{"id":864,"type":"article-journal","container-title":"Transport Reviews","DOI":"10.1080/01441647.2018.1492778","ISSN":"0144-1647","issue":"5","note":"publisher: Routledge\n_eprint: https://doi.org/10.1080/01441647.2018.1492778","page":"551-555","source":"Taylor and Francis+NEJM","title":"Accessibility: measurement and application in transportation planning","title-short":"Accessibility","URL":"https://doi.org/10.1080/01441647.2018.1492778","volume":"38","author":[{"family":"Miller","given":"Eric J."}],"accessed":{"date-parts":[["2021",2,18]]},"issued":{"date-parts":[["2018",9,3]]}}}],"schema":"https://github.com/citation-style-language/schema/raw/master/csl-citation.json"} </w:instrText>
      </w:r>
      <w:r>
        <w:fldChar w:fldCharType="separate"/>
      </w:r>
      <w:r w:rsidR="00967900" w:rsidRPr="00967900">
        <w:t>(Miller, 2018)</w:t>
      </w:r>
      <w:r>
        <w:fldChar w:fldCharType="end"/>
      </w:r>
      <w:r>
        <w:t xml:space="preserve"> and is typically evaluated with calculated indicators based upon land-use and transport data </w:t>
      </w:r>
      <w:r>
        <w:fldChar w:fldCharType="begin"/>
      </w:r>
      <w:r>
        <w:instrText xml:space="preserve"> ADDIN ZOTERO_ITEM CSL_CITATION {"citationID":"8QwOKCQl","properties":{"formattedCitation":"(Pot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xml:space="preserve">. The potential for reaching desired opportunities is additionally mediated by ICT, temporal constraints, social relations, and human perceptions. Conventional </w:t>
      </w:r>
      <w:r w:rsidR="00E5088D">
        <w:t>location</w:t>
      </w:r>
      <w:r>
        <w:t>-based measures assume an absolute space perspective in which accessibility is conceived as locational proximity or some close derivative (e.g., gravity measures) and evaluated by the cost distance between the fixed static origin location of people and activity destination(s) with one or multiple travel modes (e.g., drive, bus, walk)</w:t>
      </w:r>
      <w:r w:rsidR="006629A5">
        <w:t>.</w:t>
      </w:r>
      <w:r>
        <w:t xml:space="preserve"> A relative space perspective to accessibility acknowledges that people possess different time budgets for travel and activity over space and time. Reaching destinations varies spatiotemporally as people often travel to multiple fixed and non-fixed activity locations </w:t>
      </w:r>
      <w:r>
        <w:lastRenderedPageBreak/>
        <w:t xml:space="preserve">throughout a day and chain together different activities which in turn exposes them to various opportunities </w:t>
      </w:r>
      <w:r>
        <w:fldChar w:fldCharType="begin"/>
      </w:r>
      <w:r w:rsidR="00222641">
        <w:instrText xml:space="preserve"> ADDIN ZOTERO_ITEM CSL_CITATION {"citationID":"lq0biDLg","properties":{"formattedCitation":"(X. Chen &amp; Kwan, 2012; Kwan, 2013; Liu et al., 2021)","plainCitation":"(X. Chen &amp; Kwan, 2012; Kwan, 2013; Liu et al., 2021)","noteIndex":0},"citationItems":[{"id":1815,"uris":["http://zotero.org/users/5090392/items/VHIZRPFI"],"itemData":{"id":1815,"type":"article-journal","abstract":"In classical time geography, an individual travel path is composed of a chain of visits, with each visit being a flexible activity between two fixed activities at two known stations. In reality, individuals tend to carry out trips with much variation and complexity, with multipurpose trips being a prominent and pervasive phenomenon. There is limited research to date on multipurpose trips in time-geographic analysis by geographic information system (GIS) scientists, or more specifically, multiple flexible activities between two fixed stations. To fill this gap, this article proposes four models for identifying the choice set with multiple flexible activities under space–time constraints. The models are derived through set-theoretic formalism based on the concept of trip chaining. The structure of the four models establishes a theoretical framework for conceptualizing trip-chaining behaviour with respect to the fixity of activities and the number of fixed stations as destinations or origins. They provide fundamental and rigorous apparatus for studying complex individual activity–travel patterns in many applied contexts when multipurpose trips are involved. This article also describes implementation of the models with a real transportation network as a way of validation.","container-title":"International Journal of Geographical Information Science","DOI":"10.1080/13658816.2011.624520","ISSN":"1365-8816","issue":"5","note":"publisher: Taylor &amp; Francis\n_eprint: https://doi.org/10.1080/13658816.2011.624520","page":"941-961","source":"Taylor and Francis+NEJM","title":"Choice set formation with multiple flexible activities under space–time constraints","URL":"https://doi.org/10.1080/13658816.2011.624520","volume":"26","author":[{"family":"Chen","given":"Xiang"},{"family":"Kwan","given":"Mei-Po"}],"accessed":{"date-parts":[["2022",7,12]]},"issued":{"date-parts":[["2012",5,1]]}}},{"id":732,"uris":["http://zotero.org/users/5090392/items/M8GKY6U4"],"itemData":{"id":732,"type":"article-journal","abstract":"Many fundamental notions in geographic and social science research still tend to be conceptualized largely in static spatial terms, ignoring how our understanding of the issues we study can be greatly enriched through the lenses of time and human mobility. This article revisits three such notions: racial segregation, environmental exposure, and accessibility. It argues for the need to expand our analytical focus from static residential spaces to other relevant places and times in people's everyday lives. Mobility is an essential element of people's spatiotemporal experiences, and these complex experiences cannot be fully understood by just looking at where people live. As many social scientists are interested in studying segregation, environmental exposure, and accessibility, geographers can contribute to advancing temporally integrated analysis of these issues through careful examination of people's everyday experiences as their lives unfold in space and time. Interdisciplinary research along this line could have a broad impact on many disciplines beyond geography.","container-title":"Annals of the Association of American Geographers","DOI":"10.1080/00045608.2013.792177","ISSN":"0004-5608","issue":"5","note":"publisher: Routledge\n_eprint: https://doi.org/10.1080/00045608.2013.792177","page":"1078-1086","source":"Taylor and Francis+NEJM","title":"Beyond Space (As We Knew It): Toward Temporally Integrated Geographies of Segregation, Health, and Accessibility","title-short":"Beyond Space (As We Knew It)","URL":"https://doi.org/10.1080/00045608.2013.792177","volume":"103","author":[{"family":"Kwan","given":"Mei-Po"}],"accessed":{"date-parts":[["2021",1,9]]},"issued":{"date-parts":[["2013",9,1]]}}},{"id":1358,"uris":["http://zotero.org/users/5090392/items/TDYJXR8A"],"itemData":{"id":1358,"type":"article-journal","abstract":"Geographic access to food retailers has long been considered an important determinant of food-related behaviors. Despite methodological improvements in assessing food environments, their associations with food behaviors have remained inconsistent. We argue that one possible reason for these inconsistencies is the lack of information about how an individual’s time use dynamics play out in space. To this point, few studies on the combined effects of food geography and time use on food behaviors exist, and methods to achieve such analyses have been underdeveloped. In this study, we propose a novel application of multi-channel sequence analysis (MCSA) to identify joint patterns of time use and food-related geographic contexts. We explore how those spatiotemporal patterns are associated with individuals’ food shopping and food-related household chores. This analytical workflow is demonstrated using time use diaries and GPS trajectories collected in Toronto in 2019. This test case identifies spatiotemporal patterns with distinctive characteristics of disaggregated time use and spatial exposure to food retail and finds associations between these distinct space-time patterns and participation in food-related activities. This application of MCSA affords a promising novel approach for food environment researchers to perform nuanced assessments of the sequenced spatiotemporal contexts in which food-related behaviors occur.","container-title":"Geographical Analysis","DOI":"10.1111/gean.12305","ISSN":"1538-4632","language":"en","note":"_eprint: https://onlinelibrary.wiley.com/doi/pdf/10.1111/gean.12305","page":"1-37","source":"Wiley Online Library","title":"Disentangling Time Use, Food Environment, and Food Behaviors Using Multi-Channel Sequence Analysis","URL":"https://onlinelibrary.wiley.com/doi/abs/10.1111/gean.12305","volume":"0","author":[{"family":"Liu","given":"Bochu"},{"family":"Widener","given":"Michael J."},{"family":"Smith","given":"Lindsey G."},{"family":"Farber","given":"Steven"},{"family":"Minaker","given":"Leia M."},{"family":"Patterson","given":"Zachary"},{"family":"Larsen","given":"Kristian"},{"family":"Gilliland","given":"Jason"}],"accessed":{"date-parts":[["2022",3,4]]},"issued":{"date-parts":[["2021",8,13]]}}}],"schema":"https://github.com/citation-style-language/schema/raw/master/csl-citation.json"} </w:instrText>
      </w:r>
      <w:r>
        <w:fldChar w:fldCharType="separate"/>
      </w:r>
      <w:r w:rsidR="00967900" w:rsidRPr="00967900">
        <w:t>(Chen &amp; Kwan, 2012; Kwan, 2013; Liu et al., 2021)</w:t>
      </w:r>
      <w:r>
        <w:fldChar w:fldCharType="end"/>
      </w:r>
      <w:r>
        <w:t>. Some people have rigid schedules that require them to be at certain locations during specific times which means that their time availability varies based on the nature of their activities at different locations (e.g., dropping kids off at school and working in the office between 9-5)</w:t>
      </w:r>
      <w:r w:rsidR="006629A5">
        <w:t>.</w:t>
      </w:r>
      <w:r>
        <w:t xml:space="preserve"> Time is not only required to reach opportunity locations but also to meaningfully participate in an activity so their space-time feasibility fluctuates accordingly </w:t>
      </w:r>
      <w:r>
        <w:fldChar w:fldCharType="begin"/>
      </w:r>
      <w:r>
        <w:instrText xml:space="preserve"> ADDIN ZOTERO_ITEM CSL_CITATION {"citationID":"dRyX9qGY","properties":{"formattedCitation":"(H.-M. Kim &amp; Kwan, 2003)","plainCitation":"(H.-M. Kim &amp; Kwan, 2003)","noteIndex":0},"citationItems":[{"id":820,"uris":["http://zotero.org/users/5090392/items/QD4SKWPE"],"itemData":{"id":820,"type":"article-journal","abstract":"Space-time accessibility measures have received much attention in recent years due to their sensitivity to differences in individual ability to participate in activities in space and time. Despite the conceptual attractiveness and robustness of space-time measures, only few attempts have been made to operationalize them to date. Research that seeks to improve space-time accessibility measures is still sorely needed. This study seeks to enhance space-time accessibility measures through developing a new operational method and GIS-based algorithm that better represents the space-time characteristics of urban opportunities (e.g. their geographical distribution and opening hours) and human activity-travel behavior (e.g. delay times, minimum activity participation time, and maximum travel time threshold). The proposed method not only takes into account the number and size of opportunities, but also the possible activity duration at each activity location given its opening hours and the effect of transport network topology (e.g. one-way streets, turn restrictions and over-pass). Incorporating these elements into space-time measures helps overcome several shortcomings of previous approaches to evaluating space-time accessibility.","container-title":"Journal of Geographical Systems","DOI":"10.1007/s101090300104","ISSN":"1435-5930","issue":"1","journalAbbreviation":"J Geograph Syst","language":"en","page":"71-91","source":"Springer Link","title":"Space-time accessibility measures: A geocomputational algorithm with a focus on the feasible opportunity set and possible activity duration","title-short":"Space-time accessibility measures","URL":"https://doi.org/10.1007/s101090300104","volume":"5","author":[{"family":"Kim","given":"Hyun-Mi"},{"family":"Kwan","given":"Mei-Po"}],"accessed":{"date-parts":[["2021",2,4]]},"issued":{"date-parts":[["2003",5,1]]}}}],"schema":"https://github.com/citation-style-language/schema/raw/master/csl-citation.json"} </w:instrText>
      </w:r>
      <w:r>
        <w:fldChar w:fldCharType="separate"/>
      </w:r>
      <w:r w:rsidR="00967900" w:rsidRPr="00967900">
        <w:t>(Kim &amp; Kwan, 2003)</w:t>
      </w:r>
      <w:r>
        <w:fldChar w:fldCharType="end"/>
      </w:r>
      <w:r>
        <w:t xml:space="preserve">. Traveling in physical space may also be disrupted by inconvenient events including traffic congestion, volatile weather, and changes in transit availability </w:t>
      </w:r>
      <w:r>
        <w:fldChar w:fldCharType="begin"/>
      </w:r>
      <w:r>
        <w:instrText xml:space="preserve"> ADDIN ZOTERO_ITEM CSL_CITATION {"citationID":"zYJduJil","properties":{"formattedCitation":"(Weber &amp; Kwan, 2002)","plainCitation":"(Weber &amp; Kwan, 2002)","noteIndex":0},"citationItems":[{"id":1538,"uris":["http://zotero.org/users/5090392/items/G9C36XS3"],"itemData":{"id":1538,"type":"article-journal","abstract":"Although recent studies of individual accessibility have used detailed representations of urban street networks, unrealistic measures of travel time based on assumptions about constant travel speeds through the network were often used. Utilizing constant travel times does not allow for daily congestion and assumes that the effects of congestion are uniform throughout the city and affect all people equally. This research measures individual space-time accessibility in order to show that the incorporation of locally speciﬁc travel times within a street network allows a signiﬁcant increase in the ability to realistically evaluate individual accessibility within cities. The results show that the accessibility of individuals within cities is not homogenous, and neither does access to employment or shopping opportunities vary according to common expectations about urban form and human behavior. Instead, the role of distance in predicting accessibility variations within cities is quite limited. This article also shows that incorporating time into accessibility measures in the form of congestion and business hours leads to additional (and highly spatially uneven) reductions in accessibility, revealing that the temporal dimension is very important to accurately assessing individual accessibility.","container-title":"The Professional Geographer","DOI":"10.1111/0033-0124.00328","ISSN":"0033-0124","issue":"2","journalAbbreviation":"RTPG","language":"en","page":"226-240","source":"DOI.org (Crossref)","title":"Bringing Time Back In: A Study on the Influence of Travel Time Variations and Facility Opening Hours on Individual Accessibility","title-short":"Bringing Time Back In","URL":"http://www.tandfonline.com/doi/abs/10.1111/0033-0124.00328","volume":"54","author":[{"family":"Weber","given":"Joe"},{"family":"Kwan","given":"Mei-Po"}],"accessed":{"date-parts":[["2022",4,2]]},"issued":{"date-parts":[["2002",5]]}}}],"schema":"https://github.com/citation-style-language/schema/raw/master/csl-citation.json"} </w:instrText>
      </w:r>
      <w:r>
        <w:fldChar w:fldCharType="separate"/>
      </w:r>
      <w:r w:rsidR="00967900" w:rsidRPr="00967900">
        <w:t>(Weber &amp; Kwan, 2002)</w:t>
      </w:r>
      <w:r>
        <w:fldChar w:fldCharType="end"/>
      </w:r>
      <w:r>
        <w:t xml:space="preserve">. Travel time consequently varies within and across days </w:t>
      </w:r>
      <w:r>
        <w:fldChar w:fldCharType="begin"/>
      </w:r>
      <w:r w:rsidR="00753723">
        <w:instrText xml:space="preserve"> ADDIN ZOTERO_ITEM CSL_CITATION {"citationID":"RBfrs1L4","properties":{"formattedCitation":"(E. J. Miller, 2018)","plainCitation":"(E. J. Miller, 2018)","noteIndex":0},"citationItems":[{"id":864,"uris":["http://zotero.org/users/5090392/items/LRC4Z6TH"],"itemData":{"id":864,"type":"article-journal","container-title":"Transport Reviews","DOI":"10.1080/01441647.2018.1492778","ISSN":"0144-1647","issue":"5","note":"publisher: Routledge\n_eprint: https://doi.org/10.1080/01441647.2018.1492778","page":"551-555","source":"Taylor and Francis+NEJM","title":"Accessibility: measurement and application in transportation planning","title-short":"Accessibility","URL":"https://doi.org/10.1080/01441647.2018.1492778","volume":"38","author":[{"family":"Miller","given":"Eric J."}],"accessed":{"date-parts":[["2021",2,18]]},"issued":{"date-parts":[["2018",9,3]]}}}],"schema":"https://github.com/citation-style-language/schema/raw/master/csl-citation.json"} </w:instrText>
      </w:r>
      <w:r>
        <w:fldChar w:fldCharType="separate"/>
      </w:r>
      <w:r w:rsidR="00967900" w:rsidRPr="00967900">
        <w:t>(Miller, 2018)</w:t>
      </w:r>
      <w:r>
        <w:fldChar w:fldCharType="end"/>
      </w:r>
      <w:r>
        <w:t>. Similarly, loading provider websites and apps in virtual space also varies because of an uneven geographic distribution of physical Internet infrastructure</w:t>
      </w:r>
      <w:r>
        <w:rPr>
          <w:b/>
          <w:bCs/>
        </w:rPr>
        <w:t xml:space="preserve"> </w:t>
      </w:r>
      <w:r>
        <w:rPr>
          <w:b/>
          <w:bCs/>
        </w:rPr>
        <w:fldChar w:fldCharType="begin"/>
      </w:r>
      <w:r>
        <w:rPr>
          <w:b/>
          <w:bCs/>
        </w:rPr>
        <w:instrText xml:space="preserve"> ADDIN ZOTERO_ITEM CSL_CITATION {"citationID":"w0yORZ2l","properties":{"formattedCitation":"(Yu &amp; Shaw, 2007)","plainCitation":"(Yu &amp; Shaw, 2007)","noteIndex":0},"citationItems":[{"id":1115,"uris":["http://zotero.org/users/5090392/items/KAKXPZQZ"],"itemData":{"id":1115,"type":"chapter","container-title":"Societies and Cities in the Age of Instant Access","event-place":"Dordrecht","ISBN":"978-1-4020-5426-6","language":"en","note":"collection-title: The GeoJournal Library\nDOI: 10.1007/1-4020-5427-0_7","page":"103-118","publisher":"Springer Netherlands","publisher-place":"Dordrecht","source":"DOI.org (Crossref)","title":"Revisiting Hägerstrand’s time-geographic framework for individual activities in the age of instant access","URL":"http://link.springer.com/10.1007/1-4020-5427-0_7","volume":"88","collection-editor":[{"family":"Barlow","given":"Max"},{"family":"Tietze","given":"Wolf"},{"family":"Claval","given":"Paul"},{"family":"Gradus","given":"Yehuda"},{"family":"Park","given":"Sam Ock"},{"family":"Wusten","given":"Herman","non-dropping-particle":"van der"}],"editor":[{"family":"Miller","given":"Harvey J."}],"author":[{"family":"Yu","given":"Hongbo"},{"family":"Shaw","given":"Shih-Lung"}],"accessed":{"date-parts":[["2021",8,31]]},"issued":{"date-parts":[["2007"]]}}}],"schema":"https://github.com/citation-style-language/schema/raw/master/csl-citation.json"} </w:instrText>
      </w:r>
      <w:r>
        <w:rPr>
          <w:b/>
          <w:bCs/>
        </w:rPr>
        <w:fldChar w:fldCharType="separate"/>
      </w:r>
      <w:r w:rsidR="00967900" w:rsidRPr="00967900">
        <w:t>(Yu &amp; Shaw, 2007)</w:t>
      </w:r>
      <w:r>
        <w:rPr>
          <w:b/>
          <w:bCs/>
        </w:rPr>
        <w:fldChar w:fldCharType="end"/>
      </w:r>
      <w:r>
        <w:rPr>
          <w:b/>
          <w:bCs/>
        </w:rPr>
        <w:t xml:space="preserve">. </w:t>
      </w:r>
      <w:r>
        <w:t>A tech-savvy New York City resident may have multiple means of available transportation to easily reach supermarkets whereas a farmer in rural Tennessee might not have consistent Internet service nor supermarkets reachable in twenty minutes of driving.</w:t>
      </w:r>
    </w:p>
    <w:p w14:paraId="4709AE40" w14:textId="1A675F16" w:rsidR="00020DF0" w:rsidRDefault="00020DF0" w:rsidP="00156BEA">
      <w:pPr>
        <w:spacing w:line="480" w:lineRule="auto"/>
        <w:ind w:firstLine="720"/>
      </w:pPr>
      <w:r>
        <w:t xml:space="preserve">Accessibility from a relational space lens shifts focus to the social norms, relations and institutions that make it more difficult or easy for people to reach their needs. People lacking adequate mobility are often unable to reach various physical locations but shared informal transportation like carpooling, shadow transit, or carsharing arising from social networks (close friends, colleagues, community organizations) can ameliorate their situations </w:t>
      </w:r>
      <w:r>
        <w:fldChar w:fldCharType="begin"/>
      </w:r>
      <w:r w:rsidR="00B637E1">
        <w:instrText xml:space="preserve"> ADDIN ZOTERO_ITEM CSL_CITATION {"citationID":"PTWJrUQh","properties":{"formattedCitation":"(Cass et al., 2005; Clifton, 2004; Paul et al., 2019)","plainCitation":"(Cass et al., 2005; Clifton, 2004; Paul et al., 2019)","noteIndex":0},"citationItems":[{"id":1615,"uris":["http://zotero.org/users/5090392/items/6XLJYIYX"],"itemData":{"id":1615,"type":"article-journal","abstract":"Much of the literature on social exclusion ignores its ?spatial? or ?mobility? related aspects. This paper seeks to rectify this by examining the mobile processes and infrastructures of travel and transport that engender and reinforce social exclusion in contemporary societies. To the extent to which this issue is addressed, it is mainly organized around the notion of ?access? to activities, values and goods. This paper examines this discourse in some detail. It is argued that there are many dimensions of such access, that improving access is a complex matter because of the range of human activities that might need to be ?accessed?, that in order to know what is to be accessed the changing nature of travel and communications requires examination, and that some dimensions of access are only revealed through changes in the infrastructure that ?uncover? previously hidden social exclusions. Claims about access and socio-spatial exclusion routinely make assumptions about what it is to participate effectively in society. We turn this question around, also asking how mobilities of different forms constitute societal values and sets of relations, participation in which may become important for social inclusion. This paper draws upon an extensive range of library, desk and field research to deal with crucial issues relating to the nature of a fair, just and mobile society.","container-title":"The Sociological Review","DOI":"10.1111/j.1467-954X.2005.00565.x","ISSN":"0038-0261","issue":"3","journalAbbreviation":"The Sociological Review","note":"publisher: SAGE Publications Ltd","page":"539-555","source":"SAGE Journals","title":"Social Exclusion, Mobility and Access","URL":"https://doi.org/10.1111/j.1467-954X.2005.00565.x","volume":"53","author":[{"family":"Cass","given":"Noel"},{"family":"Shove","given":"Elizabeth"},{"family":"Urry","given":"John"}],"accessed":{"date-parts":[["2022",4,11]]},"issued":{"date-parts":[["2005",8,1]]}}},{"id":1841,"uris":["http://zotero.org/users/5090392/items/8WWB6992"],"itemData":{"id":1841,"type":"article-journal","abstract":"This article focuses on the relationship between the mobility constraints that low-income families face in their acquisition of food and the coping strategies they develop for this routine task. The motivations and rationale behind travel and provisioning choices of the working poor and the resources available to them are examined by means of a series of semistructured interviews conducted with members of twenty-six low-income house-holds residing in the Austin, Texas, area. The ways that these households cope with their mobility and economic disadvantage are complex, logical, and varied; depend on their resources and circumstances; and must be flexible to deal with day-to-day occurrences. Evidence from this study shows that the flexibility afforded by the automobile widens the spatial and temporal aspects of mobility, allowing for a more extensive search for goods and services. The automobile is an important mode for nonwork travel, even among those households that do not own one. However, the transit and walking remain critical in providing the mobility needed to access food-shopping destinations for these families.","container-title":"Journal of Planning Education and Research","DOI":"10.1177/0739456X04264919","ISSN":"0739-456X","issue":"4","journalAbbreviation":"Journal of Planning Education and Research","language":"en","note":"publisher: SAGE Publications Inc","page":"402-413","source":"SAGE Journals","title":"Mobility Strategies and Food Shopping for Low-Income Families: A Case Study","title-short":"Mobility Strategies and Food Shopping for Low-Income Families","URL":"https://doi.org/10.1177/0739456X04264919","volume":"23","author":[{"family":"Clifton","given":"Kelly J."}],"accessed":{"date-parts":[["2022",7,20]]},"issued":{"date-parts":[["2004",6,1]]}}},{"id":1176,"uris":["http://zotero.org/users/5090392/items/F9ITNSS3"],"itemData":{"id":1176,"type":"article-journal","abstract":"Food politics and economic forces may determine the macro conditions for food supply, but the local environment has the most substantial impact on population health. Food security is determined not only by the basic availability of food, but also by social, economic, and cultural factors influencing dietary behaviors. This paper investigates the role of social institutions, specifically social capital, in affecting food security by proposing a theoretical linkage between social capital and health behavior, and an illustrative case is provided. Social capital, defined as the value of the bonding, bridging, and linking relationships between people, is well demonstrated to be related to health. Many mechanisms link social capital to health, including shared access to food and nutritional behaviors. Further, social capital influences health through social status and race. This paper further investigates the links between minority status, food security, social capital, and health. The analysis draws on empirical work in North Carolina with community gardens, faith communities, the local food environment, and other social capital-related variables. By investigating the nature of local food security, particularly for minority populations, this analysis allows for better integration of local conditions with global food politics.","container-title":"International Journal of Environmental Research and Public Health","DOI":"10.3390/ijerph16245045","ISSN":"1661-7827","issue":"24","journalAbbreviation":"Int J Environ Res Public Health","note":"PMID: 31835721\nPMCID: PMC6950117","page":"5045","source":"PubMed Central","title":"The Local Food Environment and Food Security: The Health Behavior Role of Social Capital","title-short":"The Local Food Environment and Food Security","URL":"https://www.ncbi.nlm.nih.gov/pmc/articles/PMC6950117/","volume":"16","author":[{"family":"Paul","given":"Christopher J."},{"family":"Paul","given":"John E."},{"family":"Anderson","given":"Rosa S."}],"accessed":{"date-parts":[["2021",9,25]]},"issued":{"date-parts":[["2019",12]]}}}],"schema":"https://github.com/citation-style-language/schema/raw/master/csl-citation.json"} </w:instrText>
      </w:r>
      <w:r>
        <w:fldChar w:fldCharType="separate"/>
      </w:r>
      <w:r w:rsidR="00967900" w:rsidRPr="00967900">
        <w:t>(Cass et al., 2005; Clifton, 2004; Paul et al., 2019)</w:t>
      </w:r>
      <w:r>
        <w:fldChar w:fldCharType="end"/>
      </w:r>
      <w:r>
        <w:t xml:space="preserve">. Even then, this usually consumes more time and can reduce the space-time feasibility for people to carry out activities. For some people who comply to </w:t>
      </w:r>
      <w:r w:rsidR="004904BE">
        <w:t xml:space="preserve">social </w:t>
      </w:r>
      <w:r>
        <w:t xml:space="preserve">norms related to travel behavior, certain travel modes might be out of favor, for example, parents prohibiting children to travel by certain modes or rural folks disdaining transit </w:t>
      </w:r>
      <w:r>
        <w:fldChar w:fldCharType="begin"/>
      </w:r>
      <w:r>
        <w:instrText xml:space="preserve"> ADDIN ZOTERO_ITEM CSL_CITATION {"citationID":"1O4CAPK2","properties":{"formattedCitation":"(Pot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xml:space="preserve">. </w:t>
      </w:r>
      <w:r>
        <w:lastRenderedPageBreak/>
        <w:t>But modern ICT minimizes space-time constraints of physical travel and time allocation for activities as digital devices and the Internet become the means of navigation for people to carry out activities in virtual space. People</w:t>
      </w:r>
      <w:r w:rsidRPr="00D9645D">
        <w:t xml:space="preserve"> today have greater flexibility reaching different locations in physical and virtual space with modern ICT restructuring time requirements and permitting both multitasking</w:t>
      </w:r>
      <w:r>
        <w:t xml:space="preserve"> (e.g., calling to place an order while driving to the physical location of the provider)</w:t>
      </w:r>
      <w:r w:rsidRPr="00D9645D">
        <w:t xml:space="preserve"> and activity chaining.</w:t>
      </w:r>
      <w:r>
        <w:t xml:space="preserve"> The ease to which people are able to carry out activities in virtual space would then be limited by </w:t>
      </w:r>
      <w:r w:rsidRPr="00D231F9">
        <w:t>their technological means and capabilities</w:t>
      </w:r>
      <w:r>
        <w:t xml:space="preserve">, </w:t>
      </w:r>
      <w:r w:rsidRPr="00D231F9">
        <w:t>i.e., adequate Internet connection and skills to make productive use of ICT</w:t>
      </w:r>
      <w:r>
        <w:t xml:space="preserve"> </w:t>
      </w:r>
      <w:r>
        <w:fldChar w:fldCharType="begin"/>
      </w:r>
      <w:r>
        <w:instrText xml:space="preserve"> ADDIN ZOTERO_ITEM CSL_CITATION {"citationID":"DLKxnPqf","properties":{"formattedCitation":"(Dijst, 2004)","plainCitation":"(Dijst, 2004)","noteIndex":0},"citationItems":[{"id":1575,"uris":["http://zotero.org/users/5090392/items/EDRP93QU"],"itemData":{"id":1575,"type":"chapter","abstract":"Personal computers, mobile phones and the Internet are conquering the world apace. A few figures will illustrate this. Mokhtarian (1998) estimates that, at present, about 6 percent of the American workforce is telecommuting, while Nilles (1995) forecasts that, in the year 2020, 60 million American full-time employees will telecommute full-time or part-time. In 2001, the revenues of worldwide e-commerce were US$ 400 billions, probably 20 percent of which can be classified as business-to-consumer traffic. The revenue in the year 2003 is estimated at US$ 1.3 trillion (Golob and Regan 2001). Viswanathan and Goulias (2001) expect 15 percent to 20 percent of all shopping in 2010 in the USA to be labelled as e-commerce. These developments are being equipped technologically by faster and cheaper microchips, increased transmission speeds on the Internet, growth in the number of web pages on the Internet, small and portable wireless equipment, and so forth, (Golob and Regan 2001).","container-title":"Transport Developments and Innovations in an Evolving World","event-place":"Berlin, Heidelberg","ISBN":"978-3-540-24827-9","language":"en","note":"DOI: 10.1007/978-3-540-24827-9_3","page":"27-46","publisher":"Springer","publisher-place":"Berlin, Heidelberg","source":"Springer Link","title":"ICTs and Accessibility: An Action Space Perspective on the Impact of New Information and Communication Technologies","title-short":"ICTs and Accessibility","URL":"https://doi.org/10.1007/978-3-540-24827-9_3","author":[{"family":"Dijst","given":"Martin"}],"editor":[{"family":"Beuthe","given":"Michel"},{"family":"Himanen","given":"Veli"},{"family":"Reggiani","given":"Aura"},{"family":"Zamparini","given":"Luca"}],"accessed":{"date-parts":[["2022",4,5]]},"issued":{"date-parts":[["2004"]]}}}],"schema":"https://github.com/citation-style-language/schema/raw/master/csl-citation.json"} </w:instrText>
      </w:r>
      <w:r>
        <w:fldChar w:fldCharType="separate"/>
      </w:r>
      <w:r w:rsidR="00967900" w:rsidRPr="00967900">
        <w:t>(Dijst, 2004)</w:t>
      </w:r>
      <w:r>
        <w:fldChar w:fldCharType="end"/>
      </w:r>
      <w:r>
        <w:t xml:space="preserve">. Whereas people often perform each stage of an activity in succession in physical space, activities in virtual space can be fragmented or entirely minimized </w:t>
      </w:r>
      <w:r>
        <w:fldChar w:fldCharType="begin"/>
      </w:r>
      <w:r>
        <w:instrText xml:space="preserve"> ADDIN ZOTERO_ITEM CSL_CITATION {"citationID":"ItvyrZz9","properties":{"formattedCitation":"(Dijst, 2004)","plainCitation":"(Dijst, 2004)","noteIndex":0},"citationItems":[{"id":1575,"uris":["http://zotero.org/users/5090392/items/EDRP93QU"],"itemData":{"id":1575,"type":"chapter","abstract":"Personal computers, mobile phones and the Internet are conquering the world apace. A few figures will illustrate this. Mokhtarian (1998) estimates that, at present, about 6 percent of the American workforce is telecommuting, while Nilles (1995) forecasts that, in the year 2020, 60 million American full-time employees will telecommute full-time or part-time. In 2001, the revenues of worldwide e-commerce were US$ 400 billions, probably 20 percent of which can be classified as business-to-consumer traffic. The revenue in the year 2003 is estimated at US$ 1.3 trillion (Golob and Regan 2001). Viswanathan and Goulias (2001) expect 15 percent to 20 percent of all shopping in 2010 in the USA to be labelled as e-commerce. These developments are being equipped technologically by faster and cheaper microchips, increased transmission speeds on the Internet, growth in the number of web pages on the Internet, small and portable wireless equipment, and so forth, (Golob and Regan 2001).","container-title":"Transport Developments and Innovations in an Evolving World","event-place":"Berlin, Heidelberg","ISBN":"978-3-540-24827-9","language":"en","note":"DOI: 10.1007/978-3-540-24827-9_3","page":"27-46","publisher":"Springer","publisher-place":"Berlin, Heidelberg","source":"Springer Link","title":"ICTs and Accessibility: An Action Space Perspective on the Impact of New Information and Communication Technologies","title-short":"ICTs and Accessibility","URL":"https://doi.org/10.1007/978-3-540-24827-9_3","author":[{"family":"Dijst","given":"Martin"}],"editor":[{"family":"Beuthe","given":"Michel"},{"family":"Himanen","given":"Veli"},{"family":"Reggiani","given":"Aura"},{"family":"Zamparini","given":"Luca"}],"accessed":{"date-parts":[["2022",4,5]]},"issued":{"date-parts":[["2004"]]}}}],"schema":"https://github.com/citation-style-language/schema/raw/master/csl-citation.json"} </w:instrText>
      </w:r>
      <w:r>
        <w:fldChar w:fldCharType="separate"/>
      </w:r>
      <w:r w:rsidR="00967900" w:rsidRPr="00967900">
        <w:t>(Dijst, 2004)</w:t>
      </w:r>
      <w:r>
        <w:fldChar w:fldCharType="end"/>
      </w:r>
      <w:r>
        <w:t xml:space="preserve">. With grocery delivery, people place orders anytime via mobile apps for home delivery or store pick-up at specified times. The efficiency brought upon by automated systems such as self-checkout removes the necessity to checkout with cashiers in stories. </w:t>
      </w:r>
      <w:proofErr w:type="spellStart"/>
      <w:r>
        <w:t>Teleactivities</w:t>
      </w:r>
      <w:proofErr w:type="spellEnd"/>
      <w:r>
        <w:t xml:space="preserve"> relax the requirement for synchronous and face-to-face interaction at different stages of an activity and can afford significant time savings, making it easier for people to fulfill their needs. On the other hand, structural barriers as restrictions imposed by authorities on areas one can visit at particular times (e.g., Covid-19 lockdowns) and Internet connection speeds </w:t>
      </w:r>
      <w:r>
        <w:fldChar w:fldCharType="begin"/>
      </w:r>
      <w:r>
        <w:instrText xml:space="preserve"> ADDIN ZOTERO_ITEM CSL_CITATION {"citationID":"TrNTiaiX","properties":{"formattedCitation":"(Dijst, 2004)","plainCitation":"(Dijst, 2004)","noteIndex":0},"citationItems":[{"id":1575,"uris":["http://zotero.org/users/5090392/items/EDRP93QU"],"itemData":{"id":1575,"type":"chapter","abstract":"Personal computers, mobile phones and the Internet are conquering the world apace. A few figures will illustrate this. Mokhtarian (1998) estimates that, at present, about 6 percent of the American workforce is telecommuting, while Nilles (1995) forecasts that, in the year 2020, 60 million American full-time employees will telecommute full-time or part-time. In 2001, the revenues of worldwide e-commerce were US$ 400 billions, probably 20 percent of which can be classified as business-to-consumer traffic. The revenue in the year 2003 is estimated at US$ 1.3 trillion (Golob and Regan 2001). Viswanathan and Goulias (2001) expect 15 percent to 20 percent of all shopping in 2010 in the USA to be labelled as e-commerce. These developments are being equipped technologically by faster and cheaper microchips, increased transmission speeds on the Internet, growth in the number of web pages on the Internet, small and portable wireless equipment, and so forth, (Golob and Regan 2001).","container-title":"Transport Developments and Innovations in an Evolving World","event-place":"Berlin, Heidelberg","ISBN":"978-3-540-24827-9","language":"en","note":"DOI: 10.1007/978-3-540-24827-9_3","page":"27-46","publisher":"Springer","publisher-place":"Berlin, Heidelberg","source":"Springer Link","title":"ICTs and Accessibility: An Action Space Perspective on the Impact of New Information and Communication Technologies","title-short":"ICTs and Accessibility","URL":"https://doi.org/10.1007/978-3-540-24827-9_3","author":[{"family":"Dijst","given":"Martin"}],"editor":[{"family":"Beuthe","given":"Michel"},{"family":"Himanen","given":"Veli"},{"family":"Reggiani","given":"Aura"},{"family":"Zamparini","given":"Luca"}],"accessed":{"date-parts":[["2022",4,5]]},"issued":{"date-parts":[["2004"]]}}}],"schema":"https://github.com/citation-style-language/schema/raw/master/csl-citation.json"} </w:instrText>
      </w:r>
      <w:r>
        <w:fldChar w:fldCharType="separate"/>
      </w:r>
      <w:r w:rsidR="00967900" w:rsidRPr="00967900">
        <w:t>(Dijst, 2004)</w:t>
      </w:r>
      <w:r>
        <w:fldChar w:fldCharType="end"/>
      </w:r>
      <w:r>
        <w:t xml:space="preserve"> may constrain the ease to which people can reach physical and virtual locations.</w:t>
      </w:r>
    </w:p>
    <w:p w14:paraId="596EB70C" w14:textId="3BAAAB27" w:rsidR="00020DF0" w:rsidRDefault="00020DF0" w:rsidP="00590761">
      <w:pPr>
        <w:spacing w:line="480" w:lineRule="auto"/>
        <w:ind w:firstLine="720"/>
      </w:pPr>
      <w:r>
        <w:t xml:space="preserve">Still, a mental space perspective must be considered as different people have different perceptions of time requirements, travel modes, travel resistance, and characteristics of the spatial environment to reach their desired opportunities. In contrast to conventional cumulative opportunity measures which are highly sensitive to the threshold choice, </w:t>
      </w:r>
      <w:proofErr w:type="spellStart"/>
      <w:r>
        <w:t>Cascetta</w:t>
      </w:r>
      <w:proofErr w:type="spellEnd"/>
      <w:r>
        <w:t xml:space="preserve"> et al. </w:t>
      </w:r>
      <w:r>
        <w:fldChar w:fldCharType="begin"/>
      </w:r>
      <w:r>
        <w:instrText xml:space="preserve"> ADDIN ZOTERO_ITEM CSL_CITATION {"citationID":"ofMvDDBO","properties":{"formattedCitation":"(2013)","plainCitation":"(2013)","noteIndex":0},"citationItems":[{"id":1519,"uris":["http://zotero.org/users/5090392/items/4J26VDWJ"],"itemData":{"id":1519,"type":"article-journal","abstract":"Accessibility is a key concept in describing and simulating the interactions between activities and transportation in any given area. Over the decades several definitions and related indicators have been proposed for accessibility including opportunity- based and utility-based, active and passive, descriptive and behavioral ones. Limitations of the various definitions and related indicators have been discussed in the literature on the basis of their lack of behavioral content and/or lack of clear physical meaning and/or the lack of sound statistical procedures to estimate the parameters involved. In this paper a new behavioral definition of accessibility, both active and passive, is proposed and tested, based on the number of opportunities perceived by an (average) individual for satisfying his/her needs in the study area. These general definition overcomes most shortcomings of previous definitions belonging to the same class such as isochrones-based measures which, in turn, can be cast as particular cases of perceived opportunities measures.","collection-title":"SIDT Scientific Seminar 2012","container-title":"Procedia - Social and Behavioral Sciences","DOI":"10.1016/j.sbspro.2013.10.598","ISSN":"1877-0428","journalAbbreviation":"Procedia - Social and Behavioral Sciences","language":"en","page":"117-132","source":"ScienceDirect","title":"A New Measure of Accessibility based on Perceived Opportunities","URL":"https://www.sciencedirect.com/science/article/pii/S1877042813040433","volume":"87","author":[{"family":"Cascetta","given":"Ennio"},{"family":"Cartenì","given":"Armando"},{"family":"Montanino","given":"Marcello"}],"accessed":{"date-parts":[["2022",4,1]]},"issued":{"date-parts":[["2013",10,10]]}},"suppress-author":true}],"schema":"https://github.com/citation-style-language/schema/raw/master/csl-citation.json"} </w:instrText>
      </w:r>
      <w:r>
        <w:fldChar w:fldCharType="separate"/>
      </w:r>
      <w:r w:rsidR="00967900" w:rsidRPr="00967900">
        <w:t>(2013)</w:t>
      </w:r>
      <w:r>
        <w:fldChar w:fldCharType="end"/>
      </w:r>
      <w:r>
        <w:t xml:space="preserve"> </w:t>
      </w:r>
      <w:commentRangeStart w:id="46"/>
      <w:commentRangeStart w:id="47"/>
      <w:r>
        <w:t>introduced a behavioral indicator that captures perceptions of the value of travel time</w:t>
      </w:r>
      <w:commentRangeEnd w:id="46"/>
      <w:r w:rsidR="000E272E">
        <w:rPr>
          <w:rStyle w:val="CommentReference"/>
        </w:rPr>
        <w:commentReference w:id="46"/>
      </w:r>
      <w:commentRangeEnd w:id="47"/>
      <w:r w:rsidR="004A659C">
        <w:rPr>
          <w:rStyle w:val="CommentReference"/>
        </w:rPr>
        <w:commentReference w:id="47"/>
      </w:r>
      <w:r>
        <w:t xml:space="preserve"> and found </w:t>
      </w:r>
      <w:r>
        <w:lastRenderedPageBreak/>
        <w:t xml:space="preserve">that the model yielded results more closely aligned with the number of visited stores reported by survey participants. </w:t>
      </w:r>
      <w:r w:rsidR="00F130FA">
        <w:t xml:space="preserve">Their indicator </w:t>
      </w:r>
      <w:r w:rsidR="004C3BF8">
        <w:t xml:space="preserve">is essentially a binary </w:t>
      </w:r>
      <w:r w:rsidR="00900ACF">
        <w:t>value</w:t>
      </w:r>
      <w:r w:rsidR="006F4EED">
        <w:t xml:space="preserve"> (0 or 1) </w:t>
      </w:r>
      <w:r w:rsidR="006F2C9B">
        <w:t>which indicates whether an opportunity, respectively, can or cannot</w:t>
      </w:r>
      <w:r w:rsidR="00900ACF">
        <w:t xml:space="preserve"> </w:t>
      </w:r>
      <w:r w:rsidR="006F2C9B">
        <w:t>be visited</w:t>
      </w:r>
      <w:r w:rsidR="005D1860">
        <w:t xml:space="preserve"> </w:t>
      </w:r>
      <w:proofErr w:type="gramStart"/>
      <w:r w:rsidR="005D1860">
        <w:t>in a given</w:t>
      </w:r>
      <w:proofErr w:type="gramEnd"/>
      <w:r w:rsidR="005D1860">
        <w:t xml:space="preserve"> amount of travel time.</w:t>
      </w:r>
      <w:r w:rsidR="00826EBF">
        <w:t xml:space="preserve"> However, people also need time for activities, and not just travel, so this indicator should be expanded to also i</w:t>
      </w:r>
      <w:r w:rsidR="00590761">
        <w:t>nclude travel and activity time together.</w:t>
      </w:r>
      <w:r w:rsidR="005D1860">
        <w:t xml:space="preserve"> </w:t>
      </w:r>
      <w:commentRangeStart w:id="48"/>
      <w:commentRangeStart w:id="49"/>
      <w:r>
        <w:t>This finding supports recent arguments for also considering perceived</w:t>
      </w:r>
      <w:r w:rsidR="00483302">
        <w:t xml:space="preserve"> (mental)</w:t>
      </w:r>
      <w:r>
        <w:t xml:space="preserve"> accessibility as people vary in their willingness to spend time for travel and activities</w:t>
      </w:r>
      <w:commentRangeEnd w:id="48"/>
      <w:r w:rsidR="00255769">
        <w:rPr>
          <w:rStyle w:val="CommentReference"/>
        </w:rPr>
        <w:commentReference w:id="48"/>
      </w:r>
      <w:commentRangeEnd w:id="49"/>
      <w:r w:rsidR="00C00363">
        <w:rPr>
          <w:rStyle w:val="CommentReference"/>
        </w:rPr>
        <w:commentReference w:id="49"/>
      </w:r>
      <w:r>
        <w:t xml:space="preserve"> </w:t>
      </w:r>
      <w:r>
        <w:fldChar w:fldCharType="begin"/>
      </w:r>
      <w:r>
        <w:instrText xml:space="preserve"> ADDIN ZOTERO_ITEM CSL_CITATION {"citationID":"8OijOxQY","properties":{"formattedCitation":"(Van Acker et al., 2010)","plainCitation":"(Van Acker et al., 2010)","noteIndex":0},"citationItems":[{"id":1568,"uris":["http://zotero.org/users/5090392/items/XGNFEAI7"],"itemData":{"id":1568,"type":"article-journal","abstract":"Many studies model the effects of the built environment on travel behaviour. Usually, results are controlled for socio-economic differences and sometimes socio-psychological differences among respondents. However, these studies do not mention why after all a relationship should exist between travel behaviour and spatial, socio-economic and personality characteristics. Answering this query involves combining and linking theories stemming from transport geography (e.g. time geography, activity-based approach) and social psychology (e.g. Theory of Planned Behaviour, Theory of Repeated Behaviour). Using key-variables from these theories, this paper aims to develop a conceptual model for travel behaviour. Comparable to customary theories in transport geography, this conceptual model considers travel behaviour as derived from locational behaviour and activity behaviour. But the conceptual model adds concepts such as ‘lifestyle’, ‘perceptions’, ‘attitudes’ and ‘preferences’ which indirectly influence travel behaviour.","container-title":"Transport Reviews","DOI":"10.1080/01441640902943453","ISSN":"0144-1647, 1464-5327","issue":"2","journalAbbreviation":"Transport Reviews","language":"en","page":"219-240","source":"DOI.org (Crossref)","title":"When Transport Geography Meets Social Psychology: Toward a Conceptual Model of Travel Behaviour","title-short":"When Transport Geography Meets Social Psychology","URL":"http://www.tandfonline.com/doi/abs/10.1080/01441640902943453","volume":"30","author":[{"family":"Van Acker","given":"Veronique"},{"family":"Van Wee","given":"Bert"},{"family":"Witlox","given":"Frank"}],"accessed":{"date-parts":[["2022",4,4]]},"issued":{"date-parts":[["2010",3]]}}}],"schema":"https://github.com/citation-style-language/schema/raw/master/csl-citation.json"} </w:instrText>
      </w:r>
      <w:r>
        <w:fldChar w:fldCharType="separate"/>
      </w:r>
      <w:r w:rsidR="00967900" w:rsidRPr="00967900">
        <w:t>(Van Acker et al., 2010)</w:t>
      </w:r>
      <w:r>
        <w:fldChar w:fldCharType="end"/>
      </w:r>
      <w:r>
        <w:t>.</w:t>
      </w:r>
      <w:r w:rsidR="00590761">
        <w:t xml:space="preserve"> </w:t>
      </w:r>
      <w:r w:rsidR="008126C5">
        <w:t>However, t</w:t>
      </w:r>
      <w:r w:rsidR="00590761">
        <w:t xml:space="preserve">he amount of time people </w:t>
      </w:r>
      <w:proofErr w:type="gramStart"/>
      <w:r w:rsidR="00590761">
        <w:t>are</w:t>
      </w:r>
      <w:proofErr w:type="gramEnd"/>
      <w:r w:rsidR="00590761">
        <w:t xml:space="preserve"> willing to travel and subsequently participate in activities </w:t>
      </w:r>
      <w:r w:rsidR="008126C5">
        <w:t>may be different than the amount of time people have available for discretionary activities.</w:t>
      </w:r>
      <w:r w:rsidR="004A659C">
        <w:t xml:space="preserve"> </w:t>
      </w:r>
      <w:r>
        <w:t xml:space="preserve">People may also incorrectly estimate time required for travel and activity participation and consider a provider to be inaccessible </w:t>
      </w:r>
      <w:r>
        <w:fldChar w:fldCharType="begin"/>
      </w:r>
      <w:r>
        <w:instrText xml:space="preserve"> ADDIN ZOTERO_ITEM CSL_CITATION {"citationID":"ZZnov69l","properties":{"formattedCitation":"(Pot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xml:space="preserve">. These perceptions may be shaped by the travel modes and routes perceived as available to individuals. Vehicular ownership affords greater flexibility scheduling activities and makes it easier to reach destinations compared to someone reliant on public transit </w:t>
      </w:r>
      <w:r>
        <w:fldChar w:fldCharType="begin"/>
      </w:r>
      <w:r>
        <w:instrText xml:space="preserve"> ADDIN ZOTERO_ITEM CSL_CITATION {"citationID":"8HT8usbE","properties":{"formattedCitation":"(Cass et al., 2005)","plainCitation":"(Cass et al., 2005)","noteIndex":0},"citationItems":[{"id":1615,"uris":["http://zotero.org/users/5090392/items/6XLJYIYX"],"itemData":{"id":1615,"type":"article-journal","abstract":"Much of the literature on social exclusion ignores its ?spatial? or ?mobility? related aspects. This paper seeks to rectify this by examining the mobile processes and infrastructures of travel and transport that engender and reinforce social exclusion in contemporary societies. To the extent to which this issue is addressed, it is mainly organized around the notion of ?access? to activities, values and goods. This paper examines this discourse in some detail. It is argued that there are many dimensions of such access, that improving access is a complex matter because of the range of human activities that might need to be ?accessed?, that in order to know what is to be accessed the changing nature of travel and communications requires examination, and that some dimensions of access are only revealed through changes in the infrastructure that ?uncover? previously hidden social exclusions. Claims about access and socio-spatial exclusion routinely make assumptions about what it is to participate effectively in society. We turn this question around, also asking how mobilities of different forms constitute societal values and sets of relations, participation in which may become important for social inclusion. This paper draws upon an extensive range of library, desk and field research to deal with crucial issues relating to the nature of a fair, just and mobile society.","container-title":"The Sociological Review","DOI":"10.1111/j.1467-954X.2005.00565.x","ISSN":"0038-0261","issue":"3","journalAbbreviation":"The Sociological Review","note":"publisher: SAGE Publications Ltd","page":"539-555","source":"SAGE Journals","title":"Social Exclusion, Mobility and Access","URL":"https://doi.org/10.1111/j.1467-954X.2005.00565.x","volume":"53","author":[{"family":"Cass","given":"Noel"},{"family":"Shove","given":"Elizabeth"},{"family":"Urry","given":"John"}],"accessed":{"date-parts":[["2022",4,11]]},"issued":{"date-parts":[["2005",8,1]]}}}],"schema":"https://github.com/citation-style-language/schema/raw/master/csl-citation.json"} </w:instrText>
      </w:r>
      <w:r>
        <w:fldChar w:fldCharType="separate"/>
      </w:r>
      <w:r w:rsidR="00967900" w:rsidRPr="00967900">
        <w:t>(Cass et al., 2005)</w:t>
      </w:r>
      <w:r>
        <w:fldChar w:fldCharType="end"/>
      </w:r>
      <w:r>
        <w:t xml:space="preserve">. People who use public transit may often have to account for greater variability and possibility of delays in scheduling. Travel resistance as comfortability, safety, and convenience are consequently perceived differently among people </w:t>
      </w:r>
      <w:r>
        <w:fldChar w:fldCharType="begin"/>
      </w:r>
      <w:r>
        <w:instrText xml:space="preserve"> ADDIN ZOTERO_ITEM CSL_CITATION {"citationID":"Fd6IqZdl","properties":{"formattedCitation":"(Pot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xml:space="preserve">. </w:t>
      </w:r>
      <w:r w:rsidR="00DA0E54">
        <w:t xml:space="preserve">One way of measuring such perceptions could involve residents in a participatory mapping activity whereby they color or trace road segments they are willing to travel on in an interactive map. All colored or traced roads would then be the network in which network analyses and subsequently space-time prisms are based upon; in essence, only opportunities along the identified roads can be visited. Another way of measuring perceptions of willingness to travel and participate in activities could involve a survey component whereby individuals are asked about the time they are willing to spend and their preferred shopping modalities. The time value could be used to demarcate space-time </w:t>
      </w:r>
      <w:r w:rsidR="00DA0E54">
        <w:lastRenderedPageBreak/>
        <w:t xml:space="preserve">prisms that better reflect the perceptions of individuals while the shopping modalities could be used to determine whether or both in-person and online shopping is feasible, and how much time would be required for either. </w:t>
      </w:r>
      <w:r>
        <w:t xml:space="preserve">In another example, some might consider any physical travel a hassle and less productive use of their time and favor online activity such that even if a store is a short distance away, they will still favor shopping online. And if reaching a destination requires going through what people perceive as unsafe streets, people might consider it to be inaccessible </w:t>
      </w:r>
      <w:r>
        <w:fldChar w:fldCharType="begin"/>
      </w:r>
      <w:r>
        <w:instrText xml:space="preserve"> ADDIN ZOTERO_ITEM CSL_CITATION {"citationID":"gXKph5lr","properties":{"formattedCitation":"(Cao et al., 2006)","plainCitation":"(Cao et al., 2006)","noteIndex":0},"citationItems":[{"id":1572,"uris":["http://zotero.org/users/5090392/items/RKAWRMCG"],"itemData":{"id":1572,"type":"article-journal","abstract":"Pedestrian travel oﬀers a wide range of beneﬁts to both individuals and society. Planners and public health oﬃcials alike have been promoting policies that improve the quality of the built environment for pedestrians: mixed land uses, interconnected street networks, sidewalks and other facilities. Whether such policies will prove eﬀective remains open to debate. Two issues in particular need further attention. First, the impact of the built environment on pedestrian behavior may depend on the purpose of the trip, whether for utilitarian or recreational purposes. Second, the connection between the built environment and pedestrian behavior may be more a matter of residential location choice than of travel choice. This study aims to provide new evidence on both questions. Using 1368 respondents to a 1995 survey conducted in six neighborhoods in Austin, TX, two separate negative binomial models were estimated for the frequencies of strolling trips and pedestrian shopping trips within neighborhoods. We found that although residential self-selection impacts both types of trips, it is the most important factor explaining walking to a destination (i.e. for shopping). After accounting for self-selection, neighborhood characteristics (especially perceptions of these characteristics) impact strolling frequency, while characteristics of local commercial areas are important in facilitating shopping trips.","container-title":"Transportation","DOI":"10.1007/s11116-005-7027-2","ISSN":"0049-4488, 1572-9435","issue":"1","journalAbbreviation":"Transportation","language":"en","page":"1-20","source":"DOI.org (Crossref)","title":"The Influences of the Built Environment and Residential Self-Selection on Pedestrian Behavior: Evidence from Austin, TX","title-short":"The Influences of the Built Environment and Residential Self-Selection on Pedestrian Behavior","URL":"http://link.springer.com/10.1007/s11116-005-7027-2","volume":"33","author":[{"family":"Cao","given":"Xinyu"},{"family":"Handy","given":"Susan L."},{"family":"Mokhtarian","given":"Patricia L."}],"accessed":{"date-parts":[["2022",4,4]]},"issued":{"date-parts":[["2006",1]]}}}],"schema":"https://github.com/citation-style-language/schema/raw/master/csl-citation.json"} </w:instrText>
      </w:r>
      <w:r>
        <w:fldChar w:fldCharType="separate"/>
      </w:r>
      <w:r w:rsidR="00967900" w:rsidRPr="00967900">
        <w:t>(Cao et al., 2006)</w:t>
      </w:r>
      <w:r>
        <w:fldChar w:fldCharType="end"/>
      </w:r>
      <w:r>
        <w:t xml:space="preserve">. </w:t>
      </w:r>
    </w:p>
    <w:p w14:paraId="0771337C" w14:textId="2DA2A3CF" w:rsidR="00020DF0" w:rsidRPr="00ED4C3E" w:rsidRDefault="00ED4C3E" w:rsidP="00ED4C3E">
      <w:pPr>
        <w:pStyle w:val="Heading3"/>
        <w:spacing w:after="240"/>
        <w:jc w:val="center"/>
        <w:rPr>
          <w:rFonts w:ascii="Times New Roman" w:hAnsi="Times New Roman" w:cs="Times New Roman"/>
          <w:color w:val="auto"/>
        </w:rPr>
      </w:pPr>
      <w:bookmarkStart w:id="50" w:name="_Toc114258043"/>
      <w:r w:rsidRPr="00ED4C3E">
        <w:rPr>
          <w:rFonts w:ascii="Times New Roman" w:hAnsi="Times New Roman" w:cs="Times New Roman"/>
          <w:b/>
          <w:bCs/>
          <w:color w:val="auto"/>
        </w:rPr>
        <w:t xml:space="preserve">3.2.3. </w:t>
      </w:r>
      <w:r w:rsidR="00020DF0" w:rsidRPr="00ED4C3E">
        <w:rPr>
          <w:rFonts w:ascii="Times New Roman" w:hAnsi="Times New Roman" w:cs="Times New Roman"/>
          <w:b/>
          <w:bCs/>
          <w:color w:val="auto"/>
        </w:rPr>
        <w:t>A</w:t>
      </w:r>
      <w:r w:rsidRPr="00ED4C3E">
        <w:rPr>
          <w:rFonts w:ascii="Times New Roman" w:hAnsi="Times New Roman" w:cs="Times New Roman"/>
          <w:b/>
          <w:bCs/>
          <w:color w:val="auto"/>
        </w:rPr>
        <w:t>CCOMMODATION IN HYBRID PHYSICAL-VIRTUAL SPACE</w:t>
      </w:r>
      <w:bookmarkEnd w:id="50"/>
    </w:p>
    <w:p w14:paraId="1CD0D3A5" w14:textId="5912A726" w:rsidR="00020DF0" w:rsidRDefault="00020DF0" w:rsidP="00156BEA">
      <w:pPr>
        <w:spacing w:line="480" w:lineRule="auto"/>
        <w:ind w:firstLine="720"/>
      </w:pPr>
      <w:r>
        <w:t xml:space="preserve">The establishment of social (e.g., policies, auxiliary services), physical and virtual infrastructure in destinations are important to access as people have different capabilities, time budgets, and preferences for meeting their needs. Approaching accommodation from the perspective of absolute space places importance on the presence (or absence) and organization of physical infrastructure inside and around provider facilities, including but not limited to the location of wheelchair ramps, parking areas, automatic doors, braille signs, restrooms, and wide and even pavements </w:t>
      </w:r>
      <w:r>
        <w:fldChar w:fldCharType="begin"/>
      </w:r>
      <w:r w:rsidR="00854690">
        <w:instrText xml:space="preserve"> ADDIN ZOTERO_ITEM CSL_CITATION {"citationID":"MYpmMwhK","properties":{"formattedCitation":"(Gris\\uc0\\u233{} et al., 2019; Hagg &amp; El-Geneidy, 2010; Huang et al., 2012)","plainCitation":"(Grisé et al., 2019; Hagg &amp; El-Geneidy, 2010; Huang et al., 2012)","noteIndex":0},"citationItems":[{"id":1527,"uris":["http://zotero.org/users/5090392/items/G3RWB6D9"],"itemData":{"id":1527,"type":"article-journal","abstract":"Equal access to opportunities has emerged in public transport planning as a social objective that many transport agencies are trying to achieve. Yet in practice, not all public transport agencies are currently providing urban residents with comparable levels of service due to physical barriers in the public transport network that can significantly hinder the ability of individuals with physical disabilities to access opportunities. In countries without a strong federal accessibility act and/or with major financial constraints, some public transport agencies fall behind in applying universal access design principles, making it even harder for people with a physical disability to access opportunities. The objective of this study is to develop a methodology that can be used by public transport agencies or disability advocates to clearly highlight and quantify the performance of the public transport network in a region, in terms of providing transit services to people in a wheelchair and compare that to the service offered to an individual not in a wheelchair. In this study we use accessibility, the ease of reaching destinations, by public transport as the key performance measure in two major Canadian Cities (Montreal and Toronto). Furthermore, we focus on job accessibility in the most socially vulnerable census tracts in both cities, to evaluate levels of job accessibility for wheelchair users residing in socially vulnerable areas. The findings from our study show striking contrasts between the numbers of accessible jobs by public transport for wheelchair users compared to the general population. On average, wheelchair users in Toronto have access to 75% of jobs that are accessible to users that are not in a wheelchair, whilst their counterparts in Montreal have access to only 46% of the jobs accessible to other users. This research is expected to highlight for public transport engineers, planners, policy makers and advocates for those with disabilities, the importance of universal access in a region, especially along public transport networks, using a widely used land use and transport performance measure.","container-title":"Transportation Research Part A: Policy and Practice","DOI":"10.1016/j.tra.2018.02.017","ISSN":"0965-8564","journalAbbreviation":"Transportation Research Part A: Policy and Practice","language":"en","page":"280-293","source":"ScienceDirect","title":"Elevating access: Comparing accessibility to jobs by public transport for individuals with and without a physical disability","title-short":"Elevating access","URL":"https://www.sciencedirect.com/science/article/pii/S096585641730705X","volume":"125","author":[{"family":"Grisé","given":"Emily"},{"family":"Boisjoly","given":"Geneviève"},{"family":"Maguire","given":"Meadhbh"},{"family":"El-Geneidy","given":"Ahmed"}],"accessed":{"date-parts":[["2022",4,1]]},"issued":{"date-parts":[["2019",7,1]]}}},{"id":1526,"uris":["http://zotero.org/users/5090392/items/EYAQRT4B"],"itemData":{"id":1526,"type":"paper-conference","event-place":"Washington D.C., USA","event-title":"Transportation Research Board Annual Meeting","publisher-place":"Washington D.C., USA","title":"Making the Montreal indoor city accessible to people with disabilities","URL":"https://tram.mcgill.ca/Research/Publications/Indoor_city_accessible.pdf","author":[{"family":"Hagg","given":"Matt"},{"family":"El-Geneidy","given":"Ahmed M."}],"accessed":{"date-parts":[["2022",4,1]]},"issued":{"date-parts":[["2010"]]}}},{"id":1522,"uris":["http://zotero.org/users/5090392/items/ZDH6QG8A"],"itemData":{"id":1522,"type":"article-journal","abstract":"We examined where midlife and older adults wi</w:instrText>
      </w:r>
      <w:r w:rsidR="00854690">
        <w:rPr>
          <w:rFonts w:hint="eastAsia"/>
        </w:rPr>
        <w:instrText xml:space="preserve">th a mobility disability accessed food outside the home in King County, Washington, USA, how they travelled to these food destinations, and facilitators and barriers to food access using qualitative interviews. Thirty-five adults aged </w:instrText>
      </w:r>
      <w:r w:rsidR="00854690">
        <w:rPr>
          <w:rFonts w:hint="eastAsia"/>
        </w:rPr>
        <w:instrText>≥</w:instrText>
      </w:r>
      <w:r w:rsidR="00854690">
        <w:rPr>
          <w:rFonts w:hint="eastAsia"/>
        </w:rPr>
        <w:instrText>50 years with a mob</w:instrText>
      </w:r>
      <w:r w:rsidR="00854690">
        <w:instrText xml:space="preserve">ility disability (defined as use of an assistive device for mobility) were interviewed. Supplemental objective information was obtained from a Global Positioning System device worn by participants for 3 days. Participants primarily accessed food at grocery stores, restaurants, and coffee shops/cafés. The most common transportation modes were walking, obtaining a ride from friends, motorized chair/scooter, and public transit. Location and proximity of food destinations were factors affecting participants' ability to access these destinations. Adequate space, ease of entry, available amenities such as restrooms, and helpful people were facilitators for participants to access food outside the home.","container-title":"Journal of Aging Research","DOI":"10.1155/2012/231489","ISSN":"2090-2204","journalAbbreviation":"J Aging Res","note":"PMID: 23056944\nPMCID: PMC3463949","page":"231489","source":"PubMed Central","title":"Food Access Patterns and Barriers among Midlife and Older Adults with Mobility Disabilities","URL":"https://www.ncbi.nlm.nih.gov/pmc/articles/PMC3463949/","volume":"2012","author":[{"family":"Huang","given":"Deborah L."},{"family":"Rosenberg","given":"Dori E."},{"family":"Simonovich","given":"Shannon D."},{"family":"Belza","given":"Basia"}],"accessed":{"date-parts":[["2022",4,1]]},"issued":{"date-parts":[["2012"]]}}}],"schema":"https://github.com/citation-style-language/schema/raw/master/csl-citation.json"} </w:instrText>
      </w:r>
      <w:r>
        <w:fldChar w:fldCharType="separate"/>
      </w:r>
      <w:r w:rsidR="00967900" w:rsidRPr="00967900">
        <w:t>(Grisé et al., 2019; Hagg &amp; El-Geneidy, 2010; Huang et al., 2012)</w:t>
      </w:r>
      <w:r>
        <w:fldChar w:fldCharType="end"/>
      </w:r>
      <w:r>
        <w:t xml:space="preserve">. The lack of appropriate infrastructure effectively limits mobility and is a barrier to access, especially for those with physical and visual impairments who require additional features, e.g., wheelchair users requiring wide aisles to move around </w:t>
      </w:r>
      <w:r>
        <w:fldChar w:fldCharType="begin"/>
      </w:r>
      <w:r>
        <w:instrText xml:space="preserve"> ADDIN ZOTERO_ITEM CSL_CITATION {"citationID":"hJxm3lvI","properties":{"formattedCitation":"(F Bromley et al., 2007; Schwartz et al., 2019)","plainCitation":"(F Bromley et al., 2007; Schwartz et al., 2019)","noteIndex":0},"citationItems":[{"id":1506,"uris":["http://zotero.org/users/5090392/items/C97PT9AY"],"itemData":{"id":1506,"type":"article-journal","abstract":"In the context of recent ‘disability’ initiatives, evidence is drawn from 150 detailed interviews with wheelchair users, to investigate and reassess current city centre accessibility 10 years after the introduction of the Disability Discrimination Act, 1995 in the UK. Aspects of the built environment, public transport, and current levels of shopper activity continue to present a range of difficulties for wheelchair users, which restrict their physical mobility in the city centre. A majority of wheelchair users (61%), for example, feel that they are disabled by the way in which places are planned or designed. While 80% find the purpose-built modern covered shopping centre easy to negotiate, more peripheral shopping streets with vehicular traffic, and traditional market areas, are considered problematic by a third or more. Based on considerable empirical evidence, the findings can be generalised to suggest six issues relevant to the creation of ‘enabling’ or more accessible city centre environments for all, as urban planners across the world become more concerned about inclusion.","container-title":"Cities","DOI":"10.1016/j.cities.2007.01.009","ISSN":"0264-2751","issue":"3","journalAbbreviation":"Cities","language":"en","page":"229-241","source":"ScienceDirect","title":"City centre accessibility for wheelchair users: The consumer perspective and the planning implications","title-short":"City centre accessibility for wheelchair users","URL":"https://www.sciencedirect.com/science/article/pii/S0264275107000224","volume":"24","author":[{"family":"F Bromley","given":"Rosemary D"},{"family":"Matthews","given":"David L"},{"family":"Thomas","given":"Colin J"}],"accessed":{"date-parts":[["2022",3,31]]},"issued":{"date-parts":[["2007",6,1]]}}},{"id":1503,"uris":["http://zotero.org/users/5090392/items/D73PXK9C"],"itemData":{"id":1503,"type":"article-journal","abstract":"A scoping review was conducted, using a social ecological model approach, of 106 articles examining the effect of disability on food access and (in)security. Results of the review show a consistently increased risk of food insecurity among people with disabilities with a higher risk for mental health disabilities, and among disabled younger adults. Mediators of this relationship were underexplored. Disability was mainly conceptualized as a problematic category preventing food access while ignoring disabling social and environmental barriers. A social model of disability can inform future research by acknowledging the role of socio-environmental influences on the production and experience(s) of disability.","container-title":"Health &amp; Place","DOI":"10.1016/j.healthplace.2019.03.011","ISSN":"1353-8292","journalAbbreviation":"Health &amp; Place","language":"en","page":"107-121","source":"ScienceDirect","title":"Disability and food access and insecurity: A scoping review of the literature","title-short":"Disability and food access and insecurity","URL":"https://www.sciencedirect.com/science/article/pii/S1353829218304386","volume":"57","author":[{"family":"Schwartz","given":"Naomi"},{"family":"Buliung","given":"Ron"},{"family":"Wilson","given":"Kathi"}],"accessed":{"date-parts":[["2022",3,31]]},"issued":{"date-parts":[["2019",5,1]]}}}],"schema":"https://github.com/citation-style-language/schema/raw/master/csl-citation.json"} </w:instrText>
      </w:r>
      <w:r>
        <w:fldChar w:fldCharType="separate"/>
      </w:r>
      <w:r w:rsidR="00967900" w:rsidRPr="00967900">
        <w:t>(Bromley et al., 2007; Schwartz et al., 2019)</w:t>
      </w:r>
      <w:r>
        <w:fldChar w:fldCharType="end"/>
      </w:r>
      <w:r>
        <w:t xml:space="preserve">. This sentiment similarly characterizes virtual infrastructure (e.g., online frequently asked questions section, intuitive user experience design) </w:t>
      </w:r>
      <w:r>
        <w:fldChar w:fldCharType="begin"/>
      </w:r>
      <w:r>
        <w:instrText xml:space="preserve"> ADDIN ZOTERO_ITEM CSL_CITATION {"citationID":"A3E7lNP1","properties":{"formattedCitation":"(Garrett, 2010)","plainCitation":"(Garrett, 2010)","noteIndex":0},"citationItems":[{"id":1535,"uris":["http://zotero.org/users/5090392/items/4AAN9F8R"],"itemData":{"id":1535,"type":"book","abstract":"From the moment it was published almost ten years ago, Elements of User Experience became a vital reference for web and interaction designers the world over, and has come to define the core principles of the practice. Now, in this updated, expanded, and full-color new edition, Jesse James Garrett has refined his thinking about the Web, going beyond the desktop to include information that also applies to the sudden proliferation of mobile devices and applications.    Successful interaction design requires more than just creating clean code and sharp graphics. You must also fulfill your strategic objectives while meeting the needs of your users. Even the best content and the most sophisticated technology won't help you balance those goals without a cohesive, consistent user experience to support it.   With so many issues involved—usability, brand identity, information architecture, interaction design— creating the user experience can be overwhelmingly complex. This new edition of The Elements of User Experience cuts through that complexity with clear explanations and vivid illustrations that focus on ideas rather than tools or techniques. Garrett gives readers the big picture of user experience development, from strategy and requirements to information architecture and visual design.","ISBN":"978-0-321-62464-2","language":"en","note":"Google-Books-ID: 9QC6r5OzCpUC","number-of-pages":"226","publisher":"Pearson Education","source":"Google Books","title":"The Elements of User Experience: User-Centered Design for the Web and Beyond","title-short":"The Elements of User Experience","author":[{"family":"Garrett","given":"Jesse James"}],"issued":{"date-parts":[["2010",12,16]]}}}],"schema":"https://github.com/citation-style-language/schema/raw/master/csl-citation.json"} </w:instrText>
      </w:r>
      <w:r>
        <w:fldChar w:fldCharType="separate"/>
      </w:r>
      <w:r w:rsidR="00967900" w:rsidRPr="00967900">
        <w:t>(Garrett, 2010)</w:t>
      </w:r>
      <w:r>
        <w:fldChar w:fldCharType="end"/>
      </w:r>
      <w:r w:rsidR="00255769">
        <w:t>. W</w:t>
      </w:r>
      <w:r>
        <w:t>ithout</w:t>
      </w:r>
      <w:r w:rsidR="00255769">
        <w:t xml:space="preserve"> the necessary virtual infrastructure</w:t>
      </w:r>
      <w:r>
        <w:t xml:space="preserve">, the virtual needs of people are unable to be supported </w:t>
      </w:r>
      <w:r>
        <w:fldChar w:fldCharType="begin"/>
      </w:r>
      <w:r>
        <w:instrText xml:space="preserve"> ADDIN ZOTERO_ITEM CSL_CITATION {"citationID":"kxBTCgJK","properties":{"formattedCitation":"(Hong et al., 2020)","plainCitation":"(Hong et al., 2020)","noteIndex":0},"citationItems":[{"id":1500,"uris":["http://zotero.org/users/5090392/items/22549ITB"],"itemData":{"id":1500,"type":"article-journal","abstract":"BACKGROUND: As the novel coronavirus disease (COVID-19) is widely spreading across the United States, there is a concern about the overloading of the nation's health care capacity. The expansion of telehealth services is expected to deliver timely care for the initial screening of symptomatic patients while minimizing exposure in health care facilities, to protect health care providers and other patients. However, it is currently unknown whether US hospitals have the telehealth capacity to meet the increasing demand and needs of patients during this pandemic.\nOBJECTIVE: We investigated the population-level internet search volume for telehealth (as a proxy of population interest and demand) with the number of new COVID-19 cases and the proportion of hospitals that adopted a telehealth system in all US states.\nMETHODS: We used internet search volume data from Google Trends to measure population-level interest in telehealth and telemedicine between January 21, 2020 (when the first COVID-19 case was reported), and March 18, 2020. Data on COVID-19 cases in the United States were obtained from the Johns Hopkins Coronavirus Resources Center. We also used data from the 2018 American Hospital Association Annual Survey to estimate the proportion of hospitals that adopted telehealth (including telemedicine and electronic visits) and those with the capability of telemedicine intensive care unit (tele-ICU). Pearson correlation was used to examine the relations of population search volume for telehealth and telemedicine (composite score) with the cumulative numbers of COVID-19 cases in the United States during the study period and the proportion of hospitals with telehealth and tele-ICU capabilities.\nRESULTS: We found that US population-level interest in telehealth increased as the number of COVID-19 cases increased, with a strong correlation (r=0.948, P&lt;.001). We observed a higher population-level interest in telehealth in the Northeast and West census region, whereas the proportion of hospitals that adopted telehealth was higher in the Midwest region. There was no significant association between population interest and the proportion of hospitals that adopted telehealth (r=0.055, P=.70) nor hospitals having tele-ICU capability (r=-0.073, P=.61).\nCONCLUSIONS: As the number of COVID-19 cases increases, so does the US population's interest in telehealth. However, the level of population interest did not correlate with the proportion of hospitals providing telehealth services in the United States, suggesting that increased population demand may not be met with the current telehealth capacity. Telecommunication infrastructures in US hospitals may lack the capability to address the ongoing health care needs of patients with other health conditions. More practical investment is needed to deploy the telehealth system rapidly against the impending patient surge.","container-title":"JMIR public health and surveillance","DOI":"10.2196/18961","ISSN":"2369-2960","issue":"2","journalAbbreviation":"JMIR Public Health Surveill","language":"eng","note":"PMID: 32250963\nPMCID: PMC7141249","page":"e18961","source":"PubMed","title":"Population-Level Interest and Telehealth Capacity of US Hospitals in Response to COVID-19: Cross-Sectional Analysis of Google Search and National Hospital Survey Data","title-short":"Population-Level Interest and Telehealth Capacity of US Hospitals in Response to COVID-19","volume":"6","author":[{"family":"Hong","given":"Young-Rock"},{"family":"Lawrence","given":"John"},{"family":"Williams","given":"Dunc"},{"family":"Mainous III","given":"Arch"}],"issued":{"date-parts":[["2020",4,7]]}}}],"schema":"https://github.com/citation-style-language/schema/raw/master/csl-citation.json"} </w:instrText>
      </w:r>
      <w:r>
        <w:fldChar w:fldCharType="separate"/>
      </w:r>
      <w:r w:rsidR="00967900" w:rsidRPr="00967900">
        <w:t>(Hong et al., 2020)</w:t>
      </w:r>
      <w:r>
        <w:fldChar w:fldCharType="end"/>
      </w:r>
      <w:r>
        <w:t xml:space="preserve">. In other words, places that are well designed can mitigate social marginalization and improve access for those physically and technologically challenged. </w:t>
      </w:r>
    </w:p>
    <w:p w14:paraId="1254323E" w14:textId="106972C3" w:rsidR="00020DF0" w:rsidRDefault="00020DF0" w:rsidP="00156BEA">
      <w:pPr>
        <w:spacing w:line="480" w:lineRule="auto"/>
        <w:ind w:firstLine="720"/>
      </w:pPr>
      <w:r>
        <w:lastRenderedPageBreak/>
        <w:t xml:space="preserve">Context is critical for assessing the relevance of systems established at destinations suggesting a relative space approach to accommodation. People are restricted in their access when their time availability does not align with when destinations are open </w:t>
      </w:r>
      <w:r>
        <w:fldChar w:fldCharType="begin"/>
      </w:r>
      <w:r w:rsidR="00753723">
        <w:instrText xml:space="preserve"> ADDIN ZOTERO_ITEM CSL_CITATION {"citationID":"vwRCgdzI","properties":{"formattedCitation":"(Y. Wang et al., 2018; Weber &amp; Kwan, 2002)","plainCitation":"(Y. Wang et al., 2018; Weber &amp; Kwan, 2002)","noteIndex":0},"citationItems":[{"id":99,"uris":["http://zotero.org/users/5090392/items/B2LXR62I"],"itemData":{"id":99,"type":"article-journal","abstract":"Conventional location-based accessibility measures are static and cannot represent accessibility fluctuations at different times of day. To fill this gap, this study proposes location-based space-time accessibility measures to capture the temporal variation of location-based accessibility. Using the space-time utility perspective, the accessibility of a location is conceptualized as the space-time utility offered by a set of facilities accessible from the location. Individuals’ facility choice behaviors among multiple alternatives are explicitly considered. A time-dependent facility attractiveness function is introduced to represent the temporal variation of individuals’ needs to perform activities at a certain facility. The introduced function is formulated as two components: a time-invariant component representing individual satisfactions derived from activity participation at the facility, and a time-varying component expressing individuals’ dynamic intensities to perform a certain type of activities at different times of day. To demonstrate the applicability of these proposed measures, a comprehensive case study has been carried out in Wuhan, China. The results of the case study show that the proposed measures can well capture the temporal variation of accessibility, due to the dynamics both of traffic conditions and of individuals’ intensities in performing activities at different times of day. The proposed measures require moderate level of data, in terms of rich facility information; and most of these data could be extracted from social media applications.","container-title":"Journal of Transport Geography","source":"ResearchGate","title":"Measuring temporal variation of location-based accessibility using space-time utility perspective","author":[{"family":"Wang","given":"Yafei"},{"family":"Chen","given":"Bi Yu"},{"family":"Yuan","given":"Hui"},{"family":"Wang","given":"Donggen"},{"family":"Lam","given":"William"},{"family":"Li","given":"Qingquan"}],"issued":{"date-parts":[["2018",10,3]]}}},{"id":1538,"uris":["http://zotero.org/users/5090392/items/G9C36XS3"],"itemData":{"id":1538,"type":"article-journal","abstract":"Although recent studies of individual accessibility have used detailed representations of urban street networks, unrealistic measures of travel time based on assumptions about constant travel speeds through the network were often used. Utilizing constant travel times does not allow for daily congestion and assumes that the effects of congestion are uniform throughout the city and affect all people equally. This research measures individual space-time accessibility in order to show that the incorporation of locally speciﬁc travel times within a street network allows a signiﬁcant increase in the ability to realistically evaluate individual accessibility within cities. The results show that the accessibility of individuals within cities is not homogenous, and neither does access to employment or shopping opportunities vary according to common expectations about urban form and human behavior. Instead, the role of distance in predicting accessibility variations within cities is quite limited. This article also shows that incorporating time into accessibility measures in the form of congestion and business hours leads to additional (and highly spatially uneven) reductions in accessibility, revealing that the temporal dimension is very important to accurately assessing individual accessibility.","container-title":"The Professional Geographer","DOI":"10.1111/0033-0124.00328","ISSN":"0033-0124","issue":"2","journalAbbreviation":"RTPG","language":"en","page":"226-240","source":"DOI.org (Crossref)","title":"Bringing Time Back In: A Study on the Influence of Travel Time Variations and Facility Opening Hours on Individual Accessibility","title-short":"Bringing Time Back In","URL":"http://www.tandfonline.com/doi/abs/10.1111/0033-0124.00328","volume":"54","author":[{"family":"Weber","given":"Joe"},{"family":"Kwan","given":"Mei-Po"}],"accessed":{"date-parts":[["2022",4,2]]},"issued":{"date-parts":[["2002",5]]}}}],"schema":"https://github.com/citation-style-language/schema/raw/master/csl-citation.json"} </w:instrText>
      </w:r>
      <w:r>
        <w:fldChar w:fldCharType="separate"/>
      </w:r>
      <w:r w:rsidR="00967900" w:rsidRPr="00967900">
        <w:t>(Wang et al., 2018; Weber &amp; Kwan, 2002)</w:t>
      </w:r>
      <w:r>
        <w:fldChar w:fldCharType="end"/>
      </w:r>
      <w:r>
        <w:t xml:space="preserve">. The temporal fixity (or flexibility) of people relative to destinations leads to differing access over time and between people </w:t>
      </w:r>
      <w:r>
        <w:fldChar w:fldCharType="begin"/>
      </w:r>
      <w:r>
        <w:instrText xml:space="preserve"> ADDIN ZOTERO_ITEM CSL_CITATION {"citationID":"agUghLr1","properties":{"formattedCitation":"(Delafontaine et al., 2011)","plainCitation":"(Delafontaine et al., 2011)","noteIndex":0},"citationItems":[{"id":971,"uris":["http://zotero.org/users/5090392/items/C472VRFV"],"itemData":{"id":971,"type":"article-journal","abstract":"While many studies have concentrated on the effects of the spatial distribution of services on individual accessibility, only little is known about the ways in which equity of individual accessibility is affected by the temporal organisation of service delivery. This paper seeks to deepen our understanding about the relationship between accessibility, equity and the opening hours of public service facilities on the basis of space–time accessibility measures. Three approaches based on different equity principles are presented to schedule the opening hours of public service facilities: a utilitarian, an egalitarian and a distributive approach. A case study of public libraries in Ghent (Belgium) demonstrates the relevance of these approaches for amending the opening hours of public services to control the equity of accessibility levels across individuals.","container-title":"Computers, Environment and Urban Systems","DOI":"10.1016/j.compenvurbsys.2011.02.005","ISSN":"0198-9715","issue":"4","journalAbbreviation":"Computers, Environment and Urban Systems","language":"en","page":"276-288","source":"ScienceDirect","title":"The impact of opening hours on the equity of individual space–time accessibility","URL":"https://www.sciencedirect.com/science/article/pii/S0198971511000263","volume":"35","author":[{"family":"Delafontaine","given":"Matthias"},{"family":"Neutens","given":"Tijs"},{"family":"Schwanen","given":"Tim"},{"family":"Weghe","given":"Nico Van","dropping-particle":"de"}],"accessed":{"date-parts":[["2021",3,3]]},"issued":{"date-parts":[["2011",7,1]]}}}],"schema":"https://github.com/citation-style-language/schema/raw/master/csl-citation.json"} </w:instrText>
      </w:r>
      <w:r>
        <w:fldChar w:fldCharType="separate"/>
      </w:r>
      <w:r w:rsidR="00967900" w:rsidRPr="00967900">
        <w:t>(Delafontaine et al., 2011)</w:t>
      </w:r>
      <w:r>
        <w:fldChar w:fldCharType="end"/>
      </w:r>
      <w:r>
        <w:t xml:space="preserve">. Hours of operation at destinations may not fit the time budget of someone at work on a weekday but be more suitable when they are home on a weekend. But destinations in virtual space as websites and phone services are almost always available except in times of server crashes, internet outages, etc. Even while physical facilities are closed, the virtual counterpart of opportunities in physical space are almost universally open for people to schedule orders anytime or communicate with others. This is especially important to account for those who may not have a traditional schedule and are only available to carry out various activities at specific times, for example, night-shift workers. In some areas, access to specific websites may be restricted, e.g., censorship by governments </w:t>
      </w:r>
      <w:r>
        <w:fldChar w:fldCharType="begin"/>
      </w:r>
      <w:r>
        <w:instrText xml:space="preserve"> ADDIN ZOTERO_ITEM CSL_CITATION {"citationID":"JVltJd5t","properties":{"formattedCitation":"(Warf, 2011)","plainCitation":"(Warf, 2011)","noteIndex":0},"citationItems":[{"id":1539,"uris":["http://zotero.org/users/5090392/items/X34X94K5"],"itemData":{"id":1539,"type":"article-journal","abstract":"More than one-quarter of the planet’s population uses the Internet today, although access to it is highly uneven throughout the world. While it is widely celebrated for its emancipatory potential, many governments view the Internet with alarm and have attempted to limit access or to control its contents. This project seeks to provide a comprehensive, theoretically informed analysis of the geographies of Internet censorship. It begins by clarifying the reasons, types, extent of, and opposition to, government limitations of Internet access and contents. Invoking an index of censorship by Reporters Without Borders, it maps the severity of censorship worldwide and assesses the numbers of people affected, and using the Freedom House index, it correlates political liberty with penetration rates. Second, it explores Internet censorship at several levels of severity to explicate the multiple means through which censorship is implemented and resisted. The third part offers a moral critique of Internet censorship via a Habermasian interpretation of cyberspace as the closest real-world approximation of an ideal speech situation. The summary notes the paradox of growing e-government and continued fears of an expanded domain of public discourse.","container-title":"GeoJournal","DOI":"10.1007/s10708-010-9393-3","ISSN":"1572-9893","issue":"1","journalAbbreviation":"GeoJournal","language":"en","page":"1-23","source":"Springer Link","title":"Geographies of global Internet censorship","URL":"https://doi.org/10.1007/s10708-010-9393-3","volume":"76","author":[{"family":"Warf","given":"Barney"}],"accessed":{"date-parts":[["2022",4,2]]},"issued":{"date-parts":[["2011",2,1]]}}}],"schema":"https://github.com/citation-style-language/schema/raw/master/csl-citation.json"} </w:instrText>
      </w:r>
      <w:r>
        <w:fldChar w:fldCharType="separate"/>
      </w:r>
      <w:r w:rsidR="00967900" w:rsidRPr="00967900">
        <w:t>(Warf, 2011)</w:t>
      </w:r>
      <w:r>
        <w:fldChar w:fldCharType="end"/>
      </w:r>
      <w:r>
        <w:t>.</w:t>
      </w:r>
    </w:p>
    <w:p w14:paraId="43182B12" w14:textId="3DAAFB66" w:rsidR="00020DF0" w:rsidRDefault="00020DF0" w:rsidP="00156BEA">
      <w:pPr>
        <w:spacing w:line="480" w:lineRule="auto"/>
        <w:ind w:firstLine="720"/>
      </w:pPr>
      <w:r>
        <w:t xml:space="preserve">Accommodation approached from </w:t>
      </w:r>
      <w:commentRangeStart w:id="51"/>
      <w:commentRangeStart w:id="52"/>
      <w:r>
        <w:t>relational space emphasizes the social infrastructure</w:t>
      </w:r>
      <w:commentRangeEnd w:id="51"/>
      <w:r w:rsidR="0067436A">
        <w:rPr>
          <w:rStyle w:val="CommentReference"/>
        </w:rPr>
        <w:commentReference w:id="51"/>
      </w:r>
      <w:commentRangeEnd w:id="52"/>
      <w:r w:rsidR="000D03FA">
        <w:rPr>
          <w:rStyle w:val="CommentReference"/>
        </w:rPr>
        <w:commentReference w:id="52"/>
      </w:r>
      <w:r>
        <w:t xml:space="preserve"> </w:t>
      </w:r>
      <w:r w:rsidR="00927F1C">
        <w:t xml:space="preserve">and new forms of interactions </w:t>
      </w:r>
      <w:r>
        <w:t xml:space="preserve">established by destinations. Traditionally, most user-centric activities would involve face-to-face interaction such as an individual asking an </w:t>
      </w:r>
      <w:proofErr w:type="gramStart"/>
      <w:r>
        <w:t>employee questions</w:t>
      </w:r>
      <w:proofErr w:type="gramEnd"/>
      <w:r>
        <w:t xml:space="preserve"> at the helpdesk. Specific forms of virtual communications such as an online app can remove coupling constraints that exist in physical space </w:t>
      </w:r>
      <w:r>
        <w:fldChar w:fldCharType="begin"/>
      </w:r>
      <w:r>
        <w:instrText xml:space="preserve"> ADDIN ZOTERO_ITEM CSL_CITATION {"citationID":"ZHjhTB2O","properties":{"formattedCitation":"(Yu &amp; Shaw, 2007)","plainCitation":"(Yu &amp; Shaw, 2007)","noteIndex":0},"citationItems":[{"id":1115,"uris":["http://zotero.org/users/5090392/items/KAKXPZQZ"],"itemData":{"id":1115,"type":"chapter","container-title":"Societies and Cities in the Age of Instant Access","event-place":"Dordrecht","ISBN":"978-1-4020-5426-6","language":"en","note":"collection-title: The GeoJournal Library\nDOI: 10.1007/1-4020-5427-0_7","page":"103-118","publisher":"Springer Netherlands","publisher-place":"Dordrecht","source":"DOI.org (Crossref)","title":"Revisiting Hägerstrand’s time-geographic framework for individual activities in the age of instant access","URL":"http://link.springer.com/10.1007/1-4020-5427-0_7","volume":"88","collection-editor":[{"family":"Barlow","given":"Max"},{"family":"Tietze","given":"Wolf"},{"family":"Claval","given":"Paul"},{"family":"Gradus","given":"Yehuda"},{"family":"Park","given":"Sam Ock"},{"family":"Wusten","given":"Herman","non-dropping-particle":"van der"}],"editor":[{"family":"Miller","given":"Harvey J."}],"author":[{"family":"Yu","given":"Hongbo"},{"family":"Shaw","given":"Shih-Lung"}],"accessed":{"date-parts":[["2021",8,31]]},"issued":{"date-parts":[["2007"]]}}}],"schema":"https://github.com/citation-style-language/schema/raw/master/csl-citation.json"} </w:instrText>
      </w:r>
      <w:r>
        <w:fldChar w:fldCharType="separate"/>
      </w:r>
      <w:r w:rsidR="00967900" w:rsidRPr="00967900">
        <w:t>(Yu &amp; Shaw, 2007)</w:t>
      </w:r>
      <w:r>
        <w:fldChar w:fldCharType="end"/>
      </w:r>
      <w:r>
        <w:t xml:space="preserve">. For example, making appointments online does not require another individual to be present from the provider side as people can arrange times through an app that tracks the schedule and capabilities of the provider to fulfill people’s needs in real time. Voice services, apart from voicemail, only require that people converse at the same time. Other modalities such as communicating with online </w:t>
      </w:r>
      <w:r>
        <w:lastRenderedPageBreak/>
        <w:t xml:space="preserve">agents enable people in different physical locations to interact and address people’s needs. Thus, asynchronous and remote interactions enabled by telecommunications can accommodate the preferences for different people and increase potential opportunities </w:t>
      </w:r>
      <w:r>
        <w:fldChar w:fldCharType="begin"/>
      </w:r>
      <w:r>
        <w:instrText xml:space="preserve"> ADDIN ZOTERO_ITEM CSL_CITATION {"citationID":"CcNMWRPr","properties":{"formattedCitation":"(Shen, 2000)","plainCitation":"(Shen, 2000)","noteIndex":0},"citationItems":[{"id":1146,"uris":["http://zotero.org/users/5090392/items/YQR4EYLS"],"itemData":{"id":1146,"type":"chapter","abstract":"New telecommunications — digital information and communication technologies that support interaction and transaction over long distances — are emerging as a primary force in shaping cities. And more fundamentally, they are becoming one of the most important variables in defining spatial relationships among people and organizations located in metropolitan areas. Manifested by the rapid growth of the Internet, ATMs, and mobile phones, telecommunications are permeating the physical structure, the economic production, and the social life of cities. Visibly and invisibly, these technologies are creating new spatial paths and barriers that will profoundly affect people’s access to economic opportunities and social services. Therefore, one of the most important tasks for urban researchers in the information age is to help policy makers and the general public to understand, monitor, predict, and respond to spatial consequences resulting from a massive-scale deployment of new telecommunications.","collection-title":"Advances in Spatial Science","container-title":"Information, Place, and Cyberspace: Issues in Accessibility","event-place":"Berlin, Heidelberg","ISBN":"978-3-662-04027-0","language":"en","note":"DOI: 10.1007/978-3-662-04027-0_4","page":"47-72","publisher":"Springer","publisher-place":"Berlin, Heidelberg","source":"Springer Link","title":"Transportation, Telecommunications, and the Changing Geography of Opportunity","URL":"https://doi.org/10.1007/978-3-662-04027-0_4","author":[{"family":"Shen","given":"Qing"}],"editor":[{"family":"Janelle","given":"Donald G."},{"family":"Hodge","given":"David C."}],"accessed":{"date-parts":[["2021",9,18]]},"issued":{"date-parts":[["2000"]]}}}],"schema":"https://github.com/citation-style-language/schema/raw/master/csl-citation.json"} </w:instrText>
      </w:r>
      <w:r>
        <w:fldChar w:fldCharType="separate"/>
      </w:r>
      <w:r w:rsidR="00967900" w:rsidRPr="00967900">
        <w:t>(Shen, 2000)</w:t>
      </w:r>
      <w:r>
        <w:fldChar w:fldCharType="end"/>
      </w:r>
      <w:r>
        <w:t xml:space="preserve">. The presence or absence and structure of these infrastructure and systems shapes people’s perceptions of their appropriateness and whether they accommodate to their needs and preferences, reflecting a mental space approach. People have different abilities—the needs of the older differ than those of the younger generation who are often more technologically proficient and physically abled </w:t>
      </w:r>
      <w:r>
        <w:fldChar w:fldCharType="begin"/>
      </w:r>
      <w:r w:rsidR="00994C97">
        <w:instrText xml:space="preserve"> ADDIN ZOTERO_ITEM CSL_CITATION {"citationID":"zddWdKrw","properties":{"formattedCitation":"(Lavieri et al., 2018)","plainCitation":"(Lavieri et al., 2018)","noteIndex":0},"citationItems":[{"id":"aCCUDhF1/a2Nzj1Ly","uris":["http://zotero.org/users/5090392/items/E6R2NSMX"],"itemData":{"id":1562,"type":"article-journal","abstract":"In this study, we propose a conceptual and analytic framework anchored on the concepts of physical and virtual accessibility (the “ease” with which opportunities or activities can be reached in the physical and in the virtual space, respectively) to investigate the rich interplay between virtual and physical activity engagements in multiple activity purposes, while controlling for information and communication technology (ICT) use measures, physical accessibility measures, and demographics. Our framework considers that activity-travel choices are consequences of individual, household, and work characteristics that are mediated by virtual accessibility and physical accessibility. As part of our analysis, we also analyze activity chaining characteristics during travel to study any fragmentation impacts caused by ICT use on activity engagement and scheduling. We use data from the 2011 and 2012 National Travel Survey in Great Britain and apply Bhat’s (2015) generalized heterogeneous data model (GHDM) to jointly model multiple activity and travel outcomes. Our results provide important insights for social welfare, work-life balance, and equity policies, and suggest that decisions regarding virtual activity participations and in-person out-of-home activity participations are determined as a package. Ignoring this package nature of choices can lead to misleading inferences about the effects of virtual activity participations on in-person out-of-home activity participations.","container-title":"Transportation Research Part A: Policy and Practice","DOI":"10.1016/j.tra.2018.08.042","ISSN":"0965-8564","journalAbbreviation":"Transportation Research Part A: Policy and Practice","language":"en","page":"527-544","source":"ScienceDirect","title":"Using virtual accessibility and physical accessibility as joint predictors of activity-travel behavior","URL":"https://www.sciencedirect.com/science/article/pii/S0965856417309023","volume":"118","author":[{"family":"Lavieri","given":"Patrícia S."},{"family":"Dai","given":"Qichun"},{"family":"Bhat","given":"Chandra R."}],"accessed":{"date-parts":[["2022",4,4]]},"issued":{"date-parts":[["2018",12,1]]}}}],"schema":"https://github.com/citation-style-language/schema/raw/master/csl-citation.json"} </w:instrText>
      </w:r>
      <w:r>
        <w:fldChar w:fldCharType="separate"/>
      </w:r>
      <w:r w:rsidR="00967900" w:rsidRPr="00967900">
        <w:t>(Lavieri et al., 2018)</w:t>
      </w:r>
      <w:r>
        <w:fldChar w:fldCharType="end"/>
      </w:r>
      <w:r>
        <w:t>. Moreover, people possess different values that result in different perceptions of enforced policies (e.g., refusal of mask-wearing)</w:t>
      </w:r>
      <w:r w:rsidR="006629A5">
        <w:t>.</w:t>
      </w:r>
      <w:r>
        <w:t xml:space="preserve"> </w:t>
      </w:r>
      <w:r w:rsidR="00297E0D">
        <w:t xml:space="preserve">In practice, the presence or absence of physical and virtual infrastructure can be conceived as queries on specific store characteristics to identify more appropriate opportunity sets based on the mental preferences and physical abilities of individuals. For example, a wheelchair-bound individual requires wheelchair ramps and entrances to get around a store. Stores without such infrastructure would not be able to accommodate the needs of the individual and thus they would be not included in the opportunity set of the individual. </w:t>
      </w:r>
      <w:r>
        <w:t>Understanding how different people perceive the systems in place at destinations is crucial in understanding whether they can accommodate the needs of people; their structure and organization must be at least adequate based on people’s perceptions.</w:t>
      </w:r>
      <w:r w:rsidR="00704948">
        <w:t xml:space="preserve"> </w:t>
      </w:r>
    </w:p>
    <w:p w14:paraId="1139345F" w14:textId="6330E664" w:rsidR="00020DF0" w:rsidRPr="00ED4C3E" w:rsidRDefault="00ED4C3E" w:rsidP="00ED4C3E">
      <w:pPr>
        <w:pStyle w:val="Heading3"/>
        <w:spacing w:after="240"/>
        <w:jc w:val="center"/>
        <w:rPr>
          <w:rFonts w:ascii="Times New Roman" w:hAnsi="Times New Roman" w:cs="Times New Roman"/>
          <w:b/>
          <w:bCs/>
          <w:color w:val="auto"/>
        </w:rPr>
      </w:pPr>
      <w:bookmarkStart w:id="53" w:name="_Toc114258044"/>
      <w:r w:rsidRPr="00ED4C3E">
        <w:rPr>
          <w:rFonts w:ascii="Times New Roman" w:hAnsi="Times New Roman" w:cs="Times New Roman"/>
          <w:b/>
          <w:bCs/>
          <w:color w:val="auto"/>
        </w:rPr>
        <w:t xml:space="preserve">3.2.4. </w:t>
      </w:r>
      <w:r w:rsidR="00020DF0" w:rsidRPr="00ED4C3E">
        <w:rPr>
          <w:rFonts w:ascii="Times New Roman" w:hAnsi="Times New Roman" w:cs="Times New Roman"/>
          <w:b/>
          <w:bCs/>
          <w:color w:val="auto"/>
        </w:rPr>
        <w:t>A</w:t>
      </w:r>
      <w:r w:rsidRPr="00ED4C3E">
        <w:rPr>
          <w:rFonts w:ascii="Times New Roman" w:hAnsi="Times New Roman" w:cs="Times New Roman"/>
          <w:b/>
          <w:bCs/>
          <w:color w:val="auto"/>
        </w:rPr>
        <w:t>FFORDABILITY IN HYBRID PHYSICAL-VIRTUAL SPACE</w:t>
      </w:r>
      <w:bookmarkEnd w:id="53"/>
    </w:p>
    <w:p w14:paraId="5A9AEA64" w14:textId="39E82008" w:rsidR="00020DF0" w:rsidRPr="00276F43" w:rsidRDefault="00020DF0" w:rsidP="00156BEA">
      <w:pPr>
        <w:spacing w:line="480" w:lineRule="auto"/>
        <w:ind w:firstLine="720"/>
      </w:pPr>
      <w:r>
        <w:t xml:space="preserve">The financial arrangements and willingness of people to overcome all associated costs of opportunities are important to affordability. Cost of living standards vary geographically and people vary in their economic status </w:t>
      </w:r>
      <w:r>
        <w:fldChar w:fldCharType="begin"/>
      </w:r>
      <w:r>
        <w:instrText xml:space="preserve"> ADDIN ZOTERO_ITEM CSL_CITATION {"citationID":"AVY1f69v","properties":{"formattedCitation":"(Wachs &amp; Kumagai, 1973)","plainCitation":"(Wachs &amp; Kumagai, 1973)","noteIndex":0},"citationItems":[{"id":920,"uris":["http://zotero.org/users/5090392/items/QU3E26PY"],"itemData":{"id":920,"type":"article-journal","container-title":"Socio-Economic Planning Sciences","ISSN":"00380121","issue":"5","note":"publisher: Elsevier","page":"437-456","source":"RePEc - Econpapers","title":"Physical accessibility as a social indicator","URL":"https://econpapers.repec.org/article/eeesoceps/v_3a7_3ay_3a1973_3ai_3a5_3ap_3a437-456.htm","volume":"7","author":[{"family":"Wachs","given":"Martin"},{"family":"Kumagai","given":"T. Gordon"}],"accessed":{"date-parts":[["2021",2,23]]},"issued":{"date-parts":[["1973"]]}}}],"schema":"https://github.com/citation-style-language/schema/raw/master/csl-citation.json"} </w:instrText>
      </w:r>
      <w:r>
        <w:fldChar w:fldCharType="separate"/>
      </w:r>
      <w:r w:rsidR="00967900" w:rsidRPr="00967900">
        <w:t>(Wachs &amp; Kumagai, 1973)</w:t>
      </w:r>
      <w:r>
        <w:fldChar w:fldCharType="end"/>
      </w:r>
      <w:r>
        <w:t xml:space="preserve"> which results in differential average income and prices and the ability of people to afford different opportunities. To get to desired activity destinations requires incurring a monetary cost for travel which may be not an </w:t>
      </w:r>
      <w:r>
        <w:lastRenderedPageBreak/>
        <w:t xml:space="preserve">insignificant amount of money depending on the travel mode and distance to be overcome. In virtual space, people need to also afford devices and Internet services at sufficient speeds. Understanding these characteristics requires contextualizing people in their local environment and a relative space perspective to affordability. For example, the movement overseas of an auto-manufacturing plant in Detroit, Michigan, subsequently decreases income and purchasing power for many unemployed autoworkers. Elsewhere, a banker living in Chelsea, Manhattan, New York earns higher wages but encounters higher food prices in their affluent neighborhood compared to those of supermarkets in Chinatown. </w:t>
      </w:r>
      <w:commentRangeStart w:id="54"/>
      <w:commentRangeStart w:id="55"/>
      <w:r>
        <w:t xml:space="preserve">This perspective emphasizes </w:t>
      </w:r>
      <w:proofErr w:type="spellStart"/>
      <w:r>
        <w:t>sociospatial</w:t>
      </w:r>
      <w:proofErr w:type="spellEnd"/>
      <w:r>
        <w:t xml:space="preserve"> heterogeneity; that people have different financial resources, different regions have different economic policies, and the cost of opportunities varies across space.</w:t>
      </w:r>
      <w:commentRangeEnd w:id="54"/>
      <w:r w:rsidR="00BA6E19">
        <w:rPr>
          <w:rStyle w:val="CommentReference"/>
        </w:rPr>
        <w:commentReference w:id="54"/>
      </w:r>
      <w:commentRangeEnd w:id="55"/>
      <w:r w:rsidR="002912A0">
        <w:rPr>
          <w:rStyle w:val="CommentReference"/>
        </w:rPr>
        <w:commentReference w:id="55"/>
      </w:r>
      <w:r w:rsidR="00865848">
        <w:t xml:space="preserve"> While not easily </w:t>
      </w:r>
      <w:r w:rsidR="00AE702A">
        <w:t>retrievable currently, i</w:t>
      </w:r>
      <w:r w:rsidR="00865848">
        <w:t>ncluding contextual layers of cost-of-living standards</w:t>
      </w:r>
      <w:r w:rsidR="00AE702A">
        <w:t xml:space="preserve">, </w:t>
      </w:r>
      <w:r w:rsidR="003D4D4F">
        <w:t xml:space="preserve">median income, and </w:t>
      </w:r>
      <w:r w:rsidR="00392B74">
        <w:t>municipal, state, and federal policies</w:t>
      </w:r>
      <w:r w:rsidR="00865848">
        <w:t xml:space="preserve"> </w:t>
      </w:r>
      <w:r w:rsidR="00AE702A">
        <w:t xml:space="preserve">at </w:t>
      </w:r>
      <w:r w:rsidR="00392B74">
        <w:t xml:space="preserve">finer geopolitical scales such as neighborhoods or census blocks could </w:t>
      </w:r>
      <w:r w:rsidR="00E53B6D">
        <w:t>provide additional insight into the economic and fiscal variation across areas.</w:t>
      </w:r>
      <w:r w:rsidR="007A023D">
        <w:t xml:space="preserve"> </w:t>
      </w:r>
      <w:r w:rsidR="00FB402C">
        <w:t xml:space="preserve">Indices </w:t>
      </w:r>
      <w:proofErr w:type="gramStart"/>
      <w:r w:rsidR="00FB402C">
        <w:t>similar to</w:t>
      </w:r>
      <w:proofErr w:type="gramEnd"/>
      <w:r w:rsidR="00FB402C">
        <w:t xml:space="preserve"> cost-of-living indices could be created to assess </w:t>
      </w:r>
      <w:r w:rsidR="00410D61">
        <w:t xml:space="preserve">how much fresh and healthy food a given amount of money could purchase in </w:t>
      </w:r>
      <w:r w:rsidR="008F62D0">
        <w:t xml:space="preserve">each location. This </w:t>
      </w:r>
      <w:r w:rsidR="000543E5">
        <w:t xml:space="preserve">involves </w:t>
      </w:r>
      <w:r w:rsidR="00BE2D32">
        <w:t xml:space="preserve">understanding wage differences and </w:t>
      </w:r>
      <w:r w:rsidR="008F62D0">
        <w:t xml:space="preserve">food audits which </w:t>
      </w:r>
      <w:r w:rsidR="000543E5">
        <w:t xml:space="preserve">could </w:t>
      </w:r>
      <w:r w:rsidR="008F62D0">
        <w:t xml:space="preserve">either </w:t>
      </w:r>
      <w:r w:rsidR="000543E5">
        <w:t xml:space="preserve">be carried out in-person or online. For example, </w:t>
      </w:r>
      <w:r w:rsidR="000C288F">
        <w:t xml:space="preserve">how easy is it to earn $100 in </w:t>
      </w:r>
      <w:r w:rsidR="000C288F">
        <w:rPr>
          <w:i/>
          <w:iCs/>
        </w:rPr>
        <w:t>w</w:t>
      </w:r>
      <w:r w:rsidR="000C288F">
        <w:t xml:space="preserve"> location compared to </w:t>
      </w:r>
      <w:r w:rsidR="000C288F">
        <w:rPr>
          <w:i/>
          <w:iCs/>
        </w:rPr>
        <w:t>x</w:t>
      </w:r>
      <w:r w:rsidR="000C288F">
        <w:t xml:space="preserve"> location or for </w:t>
      </w:r>
      <w:r w:rsidR="000C288F">
        <w:rPr>
          <w:i/>
          <w:iCs/>
        </w:rPr>
        <w:t xml:space="preserve">y </w:t>
      </w:r>
      <w:r w:rsidR="000C288F">
        <w:t xml:space="preserve">person compared to </w:t>
      </w:r>
      <w:r w:rsidR="000C288F">
        <w:rPr>
          <w:i/>
          <w:iCs/>
        </w:rPr>
        <w:t xml:space="preserve">z </w:t>
      </w:r>
      <w:r w:rsidR="000C288F">
        <w:t xml:space="preserve">person? </w:t>
      </w:r>
      <w:r w:rsidR="00D42F7F">
        <w:t xml:space="preserve">Then, for </w:t>
      </w:r>
      <w:r w:rsidR="005E2014">
        <w:rPr>
          <w:i/>
          <w:iCs/>
        </w:rPr>
        <w:t>w</w:t>
      </w:r>
      <w:r w:rsidR="00D42F7F">
        <w:rPr>
          <w:i/>
          <w:iCs/>
        </w:rPr>
        <w:t xml:space="preserve"> </w:t>
      </w:r>
      <w:r w:rsidR="00D42F7F">
        <w:t xml:space="preserve">or </w:t>
      </w:r>
      <w:r w:rsidR="005E2014">
        <w:t>x</w:t>
      </w:r>
      <w:r w:rsidR="00D42F7F">
        <w:rPr>
          <w:i/>
          <w:iCs/>
        </w:rPr>
        <w:t xml:space="preserve"> </w:t>
      </w:r>
      <w:r w:rsidR="00D42F7F">
        <w:t xml:space="preserve">location or for </w:t>
      </w:r>
      <w:r w:rsidR="005E2014">
        <w:rPr>
          <w:i/>
          <w:iCs/>
        </w:rPr>
        <w:t xml:space="preserve">y </w:t>
      </w:r>
      <w:r w:rsidR="005E2014">
        <w:t xml:space="preserve">or </w:t>
      </w:r>
      <w:r w:rsidR="005E2014">
        <w:rPr>
          <w:i/>
          <w:iCs/>
        </w:rPr>
        <w:t xml:space="preserve">z </w:t>
      </w:r>
      <w:r w:rsidR="005E2014">
        <w:t>person, h</w:t>
      </w:r>
      <w:r w:rsidR="00872D42">
        <w:t>ow much of an average market basket of groceries can $100 buy</w:t>
      </w:r>
      <w:r w:rsidR="00B602B4">
        <w:t xml:space="preserve"> in a </w:t>
      </w:r>
      <w:r w:rsidR="007C0986">
        <w:t>specific store (e.g., Kroger), and how does that compare to another store (e.g., Whole Foods)</w:t>
      </w:r>
      <w:r w:rsidR="00663E08">
        <w:t xml:space="preserve">? </w:t>
      </w:r>
    </w:p>
    <w:p w14:paraId="041EDBEB" w14:textId="5D4CBF91" w:rsidR="00020DF0" w:rsidRDefault="00020DF0" w:rsidP="00156BEA">
      <w:pPr>
        <w:spacing w:line="480" w:lineRule="auto"/>
        <w:ind w:firstLine="720"/>
      </w:pPr>
      <w:r>
        <w:t xml:space="preserve">But financial resources of people extend beyond just income. </w:t>
      </w:r>
      <w:r w:rsidRPr="009A3B2A">
        <w:t>Understanding the different ways in which people rely upon and the processes by which they obtain financial resources</w:t>
      </w:r>
      <w:r>
        <w:t xml:space="preserve"> and information</w:t>
      </w:r>
      <w:r w:rsidRPr="009A3B2A">
        <w:t xml:space="preserve"> from different </w:t>
      </w:r>
      <w:r>
        <w:t>organizations, as well as broader economic situations,</w:t>
      </w:r>
      <w:r w:rsidRPr="009A3B2A">
        <w:t xml:space="preserve"> requires a </w:t>
      </w:r>
      <w:r w:rsidRPr="009A3B2A">
        <w:lastRenderedPageBreak/>
        <w:t xml:space="preserve">relational approach to affordability. </w:t>
      </w:r>
      <w:r>
        <w:t xml:space="preserve">Changes in incomes affect consumer expenditure and saving which lead to changes in economic policies; similarly, changes in economic policies affect consumer incomes and result in changes to spending and saving </w:t>
      </w:r>
      <w:r>
        <w:fldChar w:fldCharType="begin"/>
      </w:r>
      <w:r>
        <w:instrText xml:space="preserve"> ADDIN ZOTERO_ITEM CSL_CITATION {"citationID":"EgOF0NUO","properties":{"formattedCitation":"(Notani, 1997)","plainCitation":"(Notani, 1997)","noteIndex":0},"citationItems":[{"id":1555,"uris":["http://zotero.org/users/5090392/items/AMVSSVBH"],"itemData":{"id":1555,"type":"article-journal","abstract":"While consumer researchers have found that attitudes and purchase intentions are important predictors of purchase, they have neglected the role of affordability concerns that should be equally important. We examined the role of perceptions of affordability in predicting purchase intent and actual purchase. We found that (1) perceptions of affordability improve the prediction of purchase intent over and above that provided by attitude and subjective norms. Also, affordability perceptions are not mediated by attitude, but rather have a direct influence on purchase intention; (2) affordability perceptions also improve prediction of purchase over and above that provided by purchase intent, but only when consumers perceive the product to be relatively expensive. In addition, the effect of affordability perceptions on actual purchase is not mediated by purchase intent when the product is viewed as relatively expensive, but completely mediated by purchase intent when the product is viewed as more easily affordable; (3) perceptions of affordability moderate the attitude-intention, subjective norm-intention, and the purchase intention-purchase relationships.","container-title":"Journal of Economic Psychology","DOI":"10.1016/S0167-4870(97)00022-6","ISSN":"0167-4870","issue":"5","journalAbbreviation":"Journal of Economic Psychology","language":"en","page":"525-546","source":"ScienceDirect","title":"Perceptions of affordability: Their role in predicting purchase intent and purchase","title-short":"Perceptions of affordability","URL":"https://www.sciencedirect.com/science/article/pii/S0167487097000226","volume":"18","author":[{"family":"Notani","given":"Arti Sahni"}],"accessed":{"date-parts":[["2022",4,3]]},"issued":{"date-parts":[["1997",9,1]]}}}],"schema":"https://github.com/citation-style-language/schema/raw/master/csl-citation.json"} </w:instrText>
      </w:r>
      <w:r>
        <w:fldChar w:fldCharType="separate"/>
      </w:r>
      <w:r w:rsidR="00967900" w:rsidRPr="00967900">
        <w:t>(Notani, 1997)</w:t>
      </w:r>
      <w:r>
        <w:fldChar w:fldCharType="end"/>
      </w:r>
      <w:r>
        <w:t>. The capabilities of people to afford opportunities are constrained without sufficient funds and/or when destinations are not accepting of their payment options (e.g., places not accepting of cash or governmental subsidies)</w:t>
      </w:r>
      <w:r w:rsidR="002D733E">
        <w:t>.</w:t>
      </w:r>
      <w:r>
        <w:t xml:space="preserve"> Consider also how authoritative bodies including governmental entities can impose minimum wages and price mandates (e.g., price floor of milk)</w:t>
      </w:r>
      <w:r w:rsidR="002D733E">
        <w:t>.</w:t>
      </w:r>
      <w:r>
        <w:t xml:space="preserve"> </w:t>
      </w:r>
      <w:r w:rsidRPr="006938F8">
        <w:t xml:space="preserve">In the </w:t>
      </w:r>
      <w:r>
        <w:t xml:space="preserve">presence of stringent economic policies and/or </w:t>
      </w:r>
      <w:r w:rsidRPr="006938F8">
        <w:t xml:space="preserve">absence of self-sufficiency, </w:t>
      </w:r>
      <w:r>
        <w:t>people</w:t>
      </w:r>
      <w:r w:rsidRPr="006938F8">
        <w:t xml:space="preserve"> may work with other people (e.g., borrowing from friends) and institutions (e.g., loans and assistance from banks, credit unions, insurance agencies, governmental programs, etc.)</w:t>
      </w:r>
      <w:r w:rsidR="002D733E">
        <w:t>.</w:t>
      </w:r>
      <w:r w:rsidRPr="006938F8">
        <w:t xml:space="preserve"> </w:t>
      </w:r>
      <w:r>
        <w:t xml:space="preserve">People also communicate with individuals in their social networks employed at destinations that could provide inside information about deals, tips, and wages </w:t>
      </w:r>
      <w:r>
        <w:fldChar w:fldCharType="begin"/>
      </w:r>
      <w:r>
        <w:instrText xml:space="preserve"> ADDIN ZOTERO_ITEM CSL_CITATION {"citationID":"7asv1Je3","properties":{"formattedCitation":"(Cannuscio et al., 2014)","plainCitation":"(Cannuscio et al., 2014)","noteIndex":0},"citationItems":[{"id":1564,"uris":["http://zotero.org/users/5090392/items/8JN3AF5Q"],"itemData":{"id":1564,"type":"article-journal","abstract":"To respond to the high prevalence of obesity and its associated health consequences, recent food research and policy have focused on neighborhood food environments, especially the links between health and retail mix, proximity of food outlets, and types of foods available. In addition, the social environment exerts important influences on food-related behaviors, through mechanisms like role-modeling, social support, and social norms. This study examined the social dynamics of residents' health-related food-shopping behaviors in 2010–11 in urban Philadelphia, where we conducted 25 semi-structured resident interviews—the foundation for this paper—in addition to 514 structured interviews and a food environment audit. In interviews, participants demonstrated adaptability and resourcefulness in their food shopping; they chose to shop at stores that met a range of social needs. Those needs ranged from practical financial considerations, to fundamental issues of safety, to mundane concerns about convenience, and juggling multiple work and family responsibilities. The majority of participants were highly motivated to adapt their shopping patterns to accommodate personal financial constraints. In addition, they selectively shopped at stores frequented by people who shared their race/ethnicity, income and education, and they sought stores where they had positive interactions with personnel and proprietors. In deciding where to shop in this urban context, participants adapted their routines to avoid unsafe places and the threat of violence. Participants also discussed the importance of convenient stores that allowed for easy parking, accommodation of physical disabilities or special needs, and integration of food shopping into other daily activities like meeting children at school. Food research and policies should explicitly attend to the social dynamics that influence food-shopping behavior. In our social relationships, interactions, and responsibilities, there are countless opportunities to influence—and also to improve—health.","container-title":"Social Science &amp; Medicine","DOI":"10.1016/j.socscimed.2014.10.005","ISSN":"0277-9536","journalAbbreviation":"Social Science &amp; Medicine","language":"en","page":"13-20","source":"ScienceDirect","title":"The social dynamics of healthy food shopping and store choice in an urban environment","URL":"https://www.sciencedirect.com/science/article/pii/S0277953614006510","volume":"122","author":[{"family":"Cannuscio","given":"Carolyn C."},{"family":"Hillier","given":"Amy"},{"family":"Karpyn","given":"Allison"},{"family":"Glanz","given":"Karen"}],"accessed":{"date-parts":[["2022",4,4]]},"issued":{"date-parts":[["2014",12,1]]}}}],"schema":"https://github.com/citation-style-language/schema/raw/master/csl-citation.json"} </w:instrText>
      </w:r>
      <w:r>
        <w:fldChar w:fldCharType="separate"/>
      </w:r>
      <w:r w:rsidR="00967900" w:rsidRPr="00967900">
        <w:t>(Cannuscio et al., 2014)</w:t>
      </w:r>
      <w:r>
        <w:fldChar w:fldCharType="end"/>
      </w:r>
      <w:r>
        <w:t xml:space="preserve"> or work together to develop strategies for reducing cost such as roommates splitting bulk groceries at a store. Modern ICT too can improve the ability of people to afford opportunities by offering more competitive prices </w:t>
      </w:r>
      <w:r>
        <w:fldChar w:fldCharType="begin"/>
      </w:r>
      <w:r w:rsidR="00854690">
        <w:instrText xml:space="preserve"> ADDIN ZOTERO_ITEM CSL_CITATION {"citationID":"Z0TCLalY","properties":{"formattedCitation":"(H. Kim, 2021)","plainCitation":"(H. Kim, 2021)","noteIndex":0},"citationItems":[{"id":1541,"uris":["http://zotero.org/users/5090392/items/2BZES2VT"],"itemData":{"id":1541,"type":"article-journal","abstract":"With the revitalization of the online grocery trading market, many consumers are using mobile applications to purchase groceries. Although past studies were conducted on online grocery purchases, few measured mobile app users in a conceptual model that combines both motivational needs and behavioral components. Grounded in the uses and gratifications theory and the theory of planned behavior, this study investigated utilitarian motives, hedonic motives, experiential motives, attitudes, subjective norms, perceived behavioral control, purchase intention, and purchase behavior among mobile grocery app users in South Korea. As an additional analysis, a comparison between users and non-users of mobile grocery apps was implemented. The results showed that the utilitarian motives of grocery app users significantly influenced attitudes, attitudes and subjective norms influenced user intention, and user intention influenced grocery purchase behavior. Users showed statistically higher utilitarian motives, hedonic motives, and attitudes than non-users. The results suggest that South Korean consumers hold positive attitudes toward mobile grocery shopping and that the opinions of others may influence the decision to use the services. Mobile groceries in South Korea may have the potential for continued growth if individuals’ perceived control of the service improves. Implications and suggestions for future research are discussed.","container-title":"Journal of Theoretical and Applied Electronic Commerce Research","DOI":"10.3390/jtaer16070147","ISSN":"0718-1876","issue":"7","language":"en","license":"http://creativecommons.org/licenses/by/3.0/","note":"number: 7\npublisher: Multidisciplinary Digital Publishing Institute","page":"2672-2693","source":"www.mdpi.com","title":"Use of Mobile Grocery Shopping Application: Motivation and Decision-Making Process among South Korean Consumers","title-short":"Use of Mobile Grocery Shopping Application","URL":"https://www.mdpi.com/0718-1876/16/7/147","volume":"16","author":[{"family":"Kim","given":"Hyungjoon"}],"accessed":{"date-parts":[["2022",4,2]]},"issued":{"date-parts":[["2021",12]]}}}],"schema":"https://github.com/citation-style-language/schema/raw/master/csl-citation.json"} </w:instrText>
      </w:r>
      <w:r>
        <w:fldChar w:fldCharType="separate"/>
      </w:r>
      <w:r w:rsidR="00967900" w:rsidRPr="00967900">
        <w:t>(Kim, 2021)</w:t>
      </w:r>
      <w:r>
        <w:fldChar w:fldCharType="end"/>
      </w:r>
      <w:r>
        <w:t xml:space="preserve">, expanding people’s knowledge about cost mitigation by enabling price comparisons </w:t>
      </w:r>
      <w:r>
        <w:fldChar w:fldCharType="begin"/>
      </w:r>
      <w:r>
        <w:instrText xml:space="preserve"> ADDIN ZOTERO_ITEM CSL_CITATION {"citationID":"f8Cu2D2S","properties":{"formattedCitation":"(Golob &amp; Regan, 2001)","plainCitation":"(Golob &amp; Regan, 2001)","noteIndex":0},"citationItems":[{"id":1130,"uris":["http://zotero.org/users/5090392/items/XMIWZFXG"],"itemData":{"id":1130,"type":"article-journal","abstract":"Travel, like many other aspects of daily life is being transformed by the information technology (IT) revolution. Accessibility can no longer be measured only in terms of travel time, distance or generalized travel cost. IT gives people virtual accessibility to a rapidly growing range of activities. E-commerce has become a catalyst for structural changes in the freight transportation industry and is changing where freight moves, the size of typical shipments and the time within which goods must be delivered. In this paper, we explore some of the potential effects of IT on transportation, both personal and freight.","collection-title":"Implications of New Information Technology","container-title":"Transportation Research Part C: Emerging Technologies","DOI":"10.1016/S0968-090X(00)00042-5","ISSN":"0968-090X","issue":"2","journalAbbreviation":"Transportation Research Part C: Emerging Technologies","language":"en","page":"87-121","source":"ScienceDirect","title":"Impacts of information technology on personal travel and commercial vehicle operations: research challenges and opportunities","title-short":"Impacts of information technology on personal travel and commercial vehicle operations","URL":"https://www.sciencedirect.com/science/article/pii/S0968090X00000425","volume":"9","author":[{"family":"Golob","given":"Thomas F."},{"family":"Regan","given":"Amelia C."}],"accessed":{"date-parts":[["2021",9,14]]},"issued":{"date-parts":[["2001",4,1]]}}}],"schema":"https://github.com/citation-style-language/schema/raw/master/csl-citation.json"} </w:instrText>
      </w:r>
      <w:r>
        <w:fldChar w:fldCharType="separate"/>
      </w:r>
      <w:r w:rsidR="00967900" w:rsidRPr="00967900">
        <w:t>(Golob &amp; Regan, 2001)</w:t>
      </w:r>
      <w:r>
        <w:fldChar w:fldCharType="end"/>
      </w:r>
      <w:r>
        <w:t xml:space="preserve">, and increasing financial capabilities. Interactions in physical and virtual space can together help reduce costs and </w:t>
      </w:r>
      <w:r w:rsidR="00826261">
        <w:t>increase the possibility for people</w:t>
      </w:r>
      <w:r>
        <w:t xml:space="preserve"> to afford the services and resources they need. Promotions including sales, coupons, and rewards help reduce the cost of opportunities and are now more widespread with virtual communications such as weekly circulars delivered via e-mail. Mobile money options, including e-wallets (e.g., Venmo, </w:t>
      </w:r>
      <w:proofErr w:type="spellStart"/>
      <w:r>
        <w:t>Paypal</w:t>
      </w:r>
      <w:proofErr w:type="spellEnd"/>
      <w:r>
        <w:t xml:space="preserve">) additionally provide people greater capabilities to carry out transactions in virtual space without requiring the physical exchange of money </w:t>
      </w:r>
      <w:r>
        <w:fldChar w:fldCharType="begin"/>
      </w:r>
      <w:r>
        <w:instrText xml:space="preserve"> ADDIN ZOTERO_ITEM CSL_CITATION {"citationID":"1Yueq9YX","properties":{"formattedCitation":"(Diniz et al., 2011)","plainCitation":"(Diniz et al., 2011)","noteIndex":0},"citationItems":[{"id":1547,"uris":["http://zotero.org/users/5090392/items/CE3MXPHH"],"itemData":{"id":1547,"type":"paper-conference","abstract":"a literature review based on academic and practitioner-oriented publications (2001-2011)","container-title":"Proceedings of SIG GlobDev Fourth Annual Workshop","event-place":"Shanghai, China","publisher-place":"Shanghai, China","source":"CiteSeer","title":"Mobile Money and Payment: a literature review based on academic and practitioner-oriented publications (2001-2011)","URL":"https://citeseerx.ist.psu.edu/viewdoc/download?doi=10.1.1.688.4520&amp;rep=rep1&amp;type=pdf","author":[{"family":"Diniz","given":"Eduardo Henrique"},{"family":"Porto de Albuquerque","given":"João"},{"family":"Cernev","given":"Adrian Kemmer"}],"issued":{"date-parts":[["2011"]]}}}],"schema":"https://github.com/citation-style-language/schema/raw/master/csl-citation.json"} </w:instrText>
      </w:r>
      <w:r>
        <w:fldChar w:fldCharType="separate"/>
      </w:r>
      <w:r w:rsidR="00967900" w:rsidRPr="00967900">
        <w:t>(Diniz et al., 2011)</w:t>
      </w:r>
      <w:r>
        <w:fldChar w:fldCharType="end"/>
      </w:r>
      <w:r>
        <w:t xml:space="preserve">. Other ICT developments, including blockchain and cryptocurrency, and their regulation will likely provoke </w:t>
      </w:r>
      <w:r>
        <w:lastRenderedPageBreak/>
        <w:t>new changes to affordability yet unknown, including the legality of e-currency as acceptable payment.</w:t>
      </w:r>
    </w:p>
    <w:p w14:paraId="25678629" w14:textId="3CD7E504" w:rsidR="00FE3AC7" w:rsidRDefault="0032093C" w:rsidP="00156BEA">
      <w:pPr>
        <w:spacing w:line="480" w:lineRule="auto"/>
        <w:ind w:firstLine="720"/>
      </w:pPr>
      <w:r>
        <w:t>B</w:t>
      </w:r>
      <w:commentRangeStart w:id="56"/>
      <w:commentRangeStart w:id="57"/>
      <w:r>
        <w:t>ehavioral</w:t>
      </w:r>
      <w:r w:rsidR="00020DF0">
        <w:t xml:space="preserve"> economists have argued for decades that affordability involves not just the ability to overcome costs (e.g., sufficient financial resources) but also perceived willingness, including attitudes, preferences, motivations, and perceptions of the economic realities of individuals</w:t>
      </w:r>
      <w:commentRangeEnd w:id="56"/>
      <w:r w:rsidR="00641984">
        <w:rPr>
          <w:rStyle w:val="CommentReference"/>
        </w:rPr>
        <w:commentReference w:id="56"/>
      </w:r>
      <w:commentRangeEnd w:id="57"/>
      <w:r w:rsidR="008969B9">
        <w:rPr>
          <w:rStyle w:val="CommentReference"/>
        </w:rPr>
        <w:commentReference w:id="57"/>
      </w:r>
      <w:r w:rsidR="00020DF0">
        <w:t xml:space="preserve"> </w:t>
      </w:r>
      <w:r w:rsidR="00020DF0">
        <w:fldChar w:fldCharType="begin"/>
      </w:r>
      <w:r w:rsidR="00994C97">
        <w:instrText xml:space="preserve"> ADDIN ZOTERO_ITEM CSL_CITATION {"citationID":"MW9B5l6b","properties":{"formattedCitation":"(Katona, 1974, 1975)","plainCitation":"(Katona, 1974, 1975)","noteIndex":0},"citationItems":[{"id":"aCCUDhF1/TIVuZJ4F","uris":["http://zotero.org/users/5090392/items/FSSTJPXG"],"itemData":{"id":1559,"type":"article-journal","abstract":"Psychological analysis of consumers' spending and saving behavior in response to inflation, recession, or increased assets and inventories is shown to result in findings that differ from generalizations presented by traditional economic analysis. The paper indicates the usefulness of the methods applied in behavioral studies of economic processes.","container-title":"Journal of Consumer Research","ISSN":"0093-5301","issue":"1","note":"publisher: Oxford University Press","page":"1-8","source":"JSTOR","title":"Psychology and Consumer Economics","URL":"https://www.jstor.org/stable/2488948","volume":"1","author":[{"family":"Katona","given":"George"}],"accessed":{"date-parts":[["2022",4,3]]},"issued":{"date-parts":[["1974"]]}}},{"id":1558,"uris":["http://zotero.org/users/5090392/items/6A254YUR"],"itemData":{"id":1558,"type":"book","abstract":"Presents an introduction to the theory, methodology, and findings of psychological economics, the study of the human factor in economic affairs. Ways in which past experiences, attitudes, and aspirations of consumers and businessmen alter their decisions to spend, save, and invest; psychological principles of consumer behavior; the psychology of inflation; and the relation between quality of life, social discontent, and consumerism are examined. (9 p ref) (PsycINFO Database Record (c) 2016 APA, all rights reserved)","collection-title":"Psychological economics","event-place":"Oxford, England","ISBN":"978-0-444-99003-7","note":"page: x, 438","number-of-pages":"x, 438","publisher":"Elsevier","publisher-place":"Oxford, England","source":"APA PsycNet","title":"Psychological economics","author":[{"family":"Katona","given":"George"}],"issued":{"date-parts":[["1975"]]}}}],"schema":"https://github.com/citation-style-language/schema/raw/master/csl-citation.json"} </w:instrText>
      </w:r>
      <w:r w:rsidR="00020DF0">
        <w:fldChar w:fldCharType="separate"/>
      </w:r>
      <w:r w:rsidR="00967900" w:rsidRPr="00967900">
        <w:t>(Katona, 1974, 1975)</w:t>
      </w:r>
      <w:r w:rsidR="00020DF0">
        <w:fldChar w:fldCharType="end"/>
      </w:r>
      <w:r w:rsidR="00020DF0">
        <w:t xml:space="preserve">, reflecting a mental space approach to affordability. Despite having significant financial resources, people may not consider some opportunities because of their perceived worthlessness relative to the associated costs or other reasons including frugality. Conversely, while much literature assumes that low-income people and households only access </w:t>
      </w:r>
      <w:proofErr w:type="spellStart"/>
      <w:r w:rsidR="00020DF0">
        <w:t>economical</w:t>
      </w:r>
      <w:proofErr w:type="spellEnd"/>
      <w:r w:rsidR="00020DF0">
        <w:t xml:space="preserve"> opportunities, poor should not automatically be equated with financial inability to overcome costs as installment plans and credit cards can make opportunities more affordable </w:t>
      </w:r>
      <w:r w:rsidR="00020DF0">
        <w:fldChar w:fldCharType="begin"/>
      </w:r>
      <w:r w:rsidR="00020DF0">
        <w:instrText xml:space="preserve"> ADDIN ZOTERO_ITEM CSL_CITATION {"citationID":"VkP25VbG","properties":{"formattedCitation":"(Notani, 1997)","plainCitation":"(Notani, 1997)","noteIndex":0},"citationItems":[{"id":1555,"uris":["http://zotero.org/users/5090392/items/AMVSSVBH"],"itemData":{"id":1555,"type":"article-journal","abstract":"While consumer researchers have found that attitudes and purchase intentions are important predictors of purchase, they have neglected the role of affordability concerns that should be equally important. We examined the role of perceptions of affordability in predicting purchase intent and actual purchase. We found that (1) perceptions of affordability improve the prediction of purchase intent over and above that provided by attitude and subjective norms. Also, affordability perceptions are not mediated by attitude, but rather have a direct influence on purchase intention; (2) affordability perceptions also improve prediction of purchase over and above that provided by purchase intent, but only when consumers perceive the product to be relatively expensive. In addition, the effect of affordability perceptions on actual purchase is not mediated by purchase intent when the product is viewed as relatively expensive, but completely mediated by purchase intent when the product is viewed as more easily affordable; (3) perceptions of affordability moderate the attitude-intention, subjective norm-intention, and the purchase intention-purchase relationships.","container-title":"Journal of Economic Psychology","DOI":"10.1016/S0167-4870(97)00022-6","ISSN":"0167-4870","issue":"5","journalAbbreviation":"Journal of Economic Psychology","language":"en","page":"525-546","source":"ScienceDirect","title":"Perceptions of affordability: Their role in predicting purchase intent and purchase","title-short":"Perceptions of affordability","URL":"https://www.sciencedirect.com/science/article/pii/S0167487097000226","volume":"18","author":[{"family":"Notani","given":"Arti Sahni"}],"accessed":{"date-parts":[["2022",4,3]]},"issued":{"date-parts":[["1997",9,1]]}}}],"schema":"https://github.com/citation-style-language/schema/raw/master/csl-citation.json"} </w:instrText>
      </w:r>
      <w:r w:rsidR="00020DF0">
        <w:fldChar w:fldCharType="separate"/>
      </w:r>
      <w:r w:rsidR="00967900" w:rsidRPr="00967900">
        <w:t>(Notani, 1997)</w:t>
      </w:r>
      <w:r w:rsidR="00020DF0">
        <w:fldChar w:fldCharType="end"/>
      </w:r>
      <w:r w:rsidR="00020DF0">
        <w:t xml:space="preserve">. </w:t>
      </w:r>
      <w:r w:rsidR="003F5969">
        <w:t xml:space="preserve">As George Katona, regarded as one of the fathers of behavioral economics, writes, “we shall not assume at the outset that rational behavior </w:t>
      </w:r>
      <w:proofErr w:type="gramStart"/>
      <w:r w:rsidR="003F5969">
        <w:t>exists</w:t>
      </w:r>
      <w:proofErr w:type="gramEnd"/>
      <w:r w:rsidR="003F5969">
        <w:t xml:space="preserve"> or that rational behavior constitutes the topic of economic analysis. We shall study economic behavior as we find it” </w:t>
      </w:r>
      <w:r w:rsidR="003F5969">
        <w:fldChar w:fldCharType="begin"/>
      </w:r>
      <w:r w:rsidR="003F5969">
        <w:instrText xml:space="preserve"> ADDIN ZOTERO_ITEM CSL_CITATION {"citationID":"kSjqIlcY","properties":{"formattedCitation":"(Katona, 1951, p. 16)","plainCitation":"(Katona, 1951, p. 16)","noteIndex":0},"citationItems":[{"id":1920,"uris":["http://zotero.org/users/5090392/items/55SKT2SJ"],"itemData":{"id":1920,"type":"book","abstract":"The author combines the study of economics with a Gestalt psychological theory. Psychological studies, research methods, and theory are applied in the following areas: problems and tools in economic behavior, consumer behavior, business behavior, economic fluctuations, and research methods. Extensive bibliography. (PsycINFO Database Record (c) 2016 APA, all rights reserved)","collection-title":"Psychological analysis of economic behavior","event-place":"New York, NY, US","note":"page: ix, 347","number-of-pages":"ix, 347","publisher":"McGraw-Hill","publisher-place":"New York, NY, US","source":"APA PsycNet","title":"Psychological analysis of economic behavior","author":[{"family":"Katona","given":"George"}],"issued":{"date-parts":[["1951"]]}},"locator":"16","label":"page"}],"schema":"https://github.com/citation-style-language/schema/raw/master/csl-citation.json"} </w:instrText>
      </w:r>
      <w:r w:rsidR="003F5969">
        <w:fldChar w:fldCharType="separate"/>
      </w:r>
      <w:r w:rsidR="003F5969" w:rsidRPr="00802BB7">
        <w:t>(Katona, 1951, p. 16)</w:t>
      </w:r>
      <w:r w:rsidR="003F5969">
        <w:fldChar w:fldCharType="end"/>
      </w:r>
      <w:r w:rsidR="00020DF0">
        <w:t>.</w:t>
      </w:r>
      <w:r w:rsidR="008257C7">
        <w:t xml:space="preserve"> </w:t>
      </w:r>
      <w:r w:rsidR="00EF3D69">
        <w:t>In other words, affordability of the same opportunity could be perceived differently between groups of people who adopt various mechanisms to afford opportunities which are largely shaped by intention to access.</w:t>
      </w:r>
    </w:p>
    <w:p w14:paraId="2EE774D4" w14:textId="75888997" w:rsidR="00020DF0" w:rsidRDefault="002B1B33" w:rsidP="00156BEA">
      <w:pPr>
        <w:spacing w:line="480" w:lineRule="auto"/>
        <w:ind w:firstLine="720"/>
      </w:pPr>
      <w:r>
        <w:t>Questionnaire s</w:t>
      </w:r>
      <w:r w:rsidR="008257C7">
        <w:t>urveys</w:t>
      </w:r>
      <w:r w:rsidR="008C56F6">
        <w:t xml:space="preserve"> following a Likert scale</w:t>
      </w:r>
      <w:r w:rsidR="008257C7">
        <w:t xml:space="preserve"> for collecting data on individual consumer behavior</w:t>
      </w:r>
      <w:r w:rsidR="0088196F">
        <w:t xml:space="preserve"> </w:t>
      </w:r>
      <w:r w:rsidR="000B6B11">
        <w:t>wit</w:t>
      </w:r>
      <w:r w:rsidR="00A3224A">
        <w:t>h representative samples have been a popular method after World War II</w:t>
      </w:r>
      <w:r w:rsidR="00816A0F">
        <w:t xml:space="preserve"> </w:t>
      </w:r>
      <w:r w:rsidR="00816A0F">
        <w:fldChar w:fldCharType="begin"/>
      </w:r>
      <w:r w:rsidR="00994C97">
        <w:instrText xml:space="preserve"> ADDIN ZOTERO_ITEM CSL_CITATION {"citationID":"C3kpQVf6","properties":{"formattedCitation":"(Katona, 1974)","plainCitation":"(Katona, 1974)","noteIndex":0},"citationItems":[{"id":"aCCUDhF1/TIVuZJ4F","uris":["http://zotero.org/users/5090392/items/FSSTJPXG"],"itemData":{"id":"OL0VDUqO/5YAfdtV1","type":"article-journal","abstract":"Psychological analysis of consumers' spending and saving behavior in response to inflation, recession, or increased assets and inventories is shown to result in findings that differ from generalizations presented by traditional economic analysis. The paper indicates the usefulness of the methods applied in behavioral studies of economic processes.","container-title":"Journal of Consumer Research","ISSN":"0093-5301","issue":"1","note":"publisher: Oxford University Press","page":"1-8","source":"JSTOR","title":"Psychology and Consumer Economics","URL":"https://www.jstor.org/stable/2488948","volume":"1","author":[{"family":"Katona","given":"George"}],"accessed":{"date-parts":[["2022",4,3]]},"issued":{"date-parts":[["1974"]]}}}],"schema":"https://github.com/citation-style-language/schema/raw/master/csl-citation.json"} </w:instrText>
      </w:r>
      <w:r w:rsidR="00816A0F">
        <w:fldChar w:fldCharType="separate"/>
      </w:r>
      <w:r w:rsidR="00816A0F" w:rsidRPr="00816A0F">
        <w:t>(Katona, 1974)</w:t>
      </w:r>
      <w:r w:rsidR="00816A0F">
        <w:fldChar w:fldCharType="end"/>
      </w:r>
      <w:r w:rsidR="00816A0F">
        <w:t>.</w:t>
      </w:r>
      <w:r w:rsidR="00665D3D">
        <w:t xml:space="preserve"> </w:t>
      </w:r>
      <w:r w:rsidR="001E2C9D">
        <w:t xml:space="preserve">In fact, Katona collaborated with </w:t>
      </w:r>
      <w:proofErr w:type="spellStart"/>
      <w:r w:rsidR="00CE133F">
        <w:t>Rensis</w:t>
      </w:r>
      <w:proofErr w:type="spellEnd"/>
      <w:r w:rsidR="00CE133F">
        <w:t xml:space="preserve"> Likert, </w:t>
      </w:r>
      <w:r w:rsidR="00096DC9">
        <w:t xml:space="preserve">the </w:t>
      </w:r>
      <w:r w:rsidR="001E2C9D">
        <w:t xml:space="preserve">eponymous </w:t>
      </w:r>
      <w:r w:rsidR="00096DC9">
        <w:t xml:space="preserve">inventor of the popular psychometric scale </w:t>
      </w:r>
      <w:r w:rsidR="00096DC9">
        <w:fldChar w:fldCharType="begin"/>
      </w:r>
      <w:r w:rsidR="00096DC9">
        <w:instrText xml:space="preserve"> ADDIN ZOTERO_ITEM CSL_CITATION {"citationID":"80T8h7W8","properties":{"formattedCitation":"(Katona &amp; Likert, 1946)","plainCitation":"(Katona &amp; Likert, 1946)","noteIndex":0},"citationItems":[{"id":1923,"uris":["http://zotero.org/users/5090392/items/MJXKQWZC"],"itemData":{"id":1923,"type":"article-journal","container-title":"The Review of Economics and Statistics","DOI":"10.2307/1925415","ISSN":"0034-6535","issue":"4","note":"publisher: The MIT Press","page":"197-199","source":"JSTOR","title":"Relationship between Consumer Expenditures and Savings: The Contribution of Survey Research","title-short":"Relationship between Consumer Expenditures and Savings","URL":"https://www.jstor.org/stable/1925415","volume":"28","author":[{"family":"Katona","given":"George"},{"family":"Likert","given":"Rensis"}],"accessed":{"date-parts":[["2022",8,19]]},"issued":{"date-parts":[["1946"]]}}}],"schema":"https://github.com/citation-style-language/schema/raw/master/csl-citation.json"} </w:instrText>
      </w:r>
      <w:r w:rsidR="00096DC9">
        <w:fldChar w:fldCharType="separate"/>
      </w:r>
      <w:r w:rsidR="00096DC9" w:rsidRPr="00096DC9">
        <w:t>(Katona &amp; Likert, 1946)</w:t>
      </w:r>
      <w:r w:rsidR="00096DC9">
        <w:fldChar w:fldCharType="end"/>
      </w:r>
      <w:r w:rsidR="00096DC9">
        <w:t>.</w:t>
      </w:r>
      <w:r w:rsidR="001E2C9D">
        <w:t xml:space="preserve"> </w:t>
      </w:r>
      <w:r w:rsidR="006F6035">
        <w:t xml:space="preserve">The different perceptions of individuals, including their motives, </w:t>
      </w:r>
      <w:r w:rsidR="008878D7">
        <w:t xml:space="preserve">emotions, feelings, attitudes, aspirations, expectations, social values, and more </w:t>
      </w:r>
      <w:proofErr w:type="gramStart"/>
      <w:r w:rsidR="008878D7">
        <w:t>are considered to be</w:t>
      </w:r>
      <w:proofErr w:type="gramEnd"/>
      <w:r w:rsidR="008878D7">
        <w:t xml:space="preserve"> </w:t>
      </w:r>
      <w:r w:rsidR="008E1F0D">
        <w:t>constantly</w:t>
      </w:r>
      <w:r w:rsidR="007A7DD5">
        <w:t xml:space="preserve"> </w:t>
      </w:r>
      <w:r w:rsidR="008E1F0D">
        <w:t xml:space="preserve">changing </w:t>
      </w:r>
      <w:r w:rsidR="008878D7">
        <w:t>intervening variables</w:t>
      </w:r>
      <w:r w:rsidR="00192977">
        <w:t xml:space="preserve"> that mediate how individuals respond </w:t>
      </w:r>
      <w:r w:rsidR="00192977">
        <w:lastRenderedPageBreak/>
        <w:t xml:space="preserve">to different stimuli and consequently result in differing </w:t>
      </w:r>
      <w:r w:rsidR="008E1F0D">
        <w:t xml:space="preserve">views of affordability. </w:t>
      </w:r>
      <w:r w:rsidR="00665D3D">
        <w:t xml:space="preserve">The resulting data </w:t>
      </w:r>
      <w:r w:rsidR="003F060F">
        <w:t>can be used to inquire into the relationships between individual financial capabilities, perceptions, and behaviors.</w:t>
      </w:r>
      <w:r w:rsidR="003F5969">
        <w:t xml:space="preserve"> </w:t>
      </w:r>
      <w:r w:rsidR="00FE3AC7" w:rsidRPr="00AD586B">
        <w:t xml:space="preserve">For example, a Likert scale </w:t>
      </w:r>
      <w:r w:rsidR="001C5223">
        <w:t>can be developed</w:t>
      </w:r>
      <w:r w:rsidR="00FE3AC7" w:rsidRPr="00AD586B">
        <w:t xml:space="preserve"> for </w:t>
      </w:r>
      <w:r w:rsidR="001B6F0B">
        <w:t xml:space="preserve">aggregate and </w:t>
      </w:r>
      <w:r w:rsidR="001C5223">
        <w:t>individual affordability</w:t>
      </w:r>
      <w:r w:rsidR="00FE3AC7" w:rsidRPr="00AD586B">
        <w:t xml:space="preserve">, and </w:t>
      </w:r>
      <w:r w:rsidR="001C5223">
        <w:t>which</w:t>
      </w:r>
      <w:r w:rsidR="00FE3AC7" w:rsidRPr="00AD586B">
        <w:t xml:space="preserve"> </w:t>
      </w:r>
      <w:r w:rsidR="001C5223">
        <w:t>is</w:t>
      </w:r>
      <w:r w:rsidR="00FE3AC7" w:rsidRPr="00AD586B">
        <w:t xml:space="preserve"> comprised of multiple Likert-type items that asks individuals whether they agree that </w:t>
      </w:r>
      <w:r w:rsidR="006350B4">
        <w:t xml:space="preserve">a particular </w:t>
      </w:r>
      <w:r w:rsidR="00633B3A">
        <w:t>category</w:t>
      </w:r>
      <w:r w:rsidR="005A1166">
        <w:t xml:space="preserve"> of items</w:t>
      </w:r>
      <w:r w:rsidR="001B6F0B">
        <w:t>,</w:t>
      </w:r>
      <w:r w:rsidR="00633B3A">
        <w:t xml:space="preserve"> such as fruits</w:t>
      </w:r>
      <w:r w:rsidR="001B6F0B">
        <w:t>,</w:t>
      </w:r>
      <w:r w:rsidR="00633B3A">
        <w:t xml:space="preserve"> are</w:t>
      </w:r>
      <w:r w:rsidR="006350B4">
        <w:t xml:space="preserve"> affordable based on different conditions (e.g., </w:t>
      </w:r>
      <w:r w:rsidR="00C35E81">
        <w:t xml:space="preserve">branding, current and future income, </w:t>
      </w:r>
      <w:r w:rsidR="00B5285C">
        <w:t>frugality, etc.)</w:t>
      </w:r>
      <w:r w:rsidR="002D733E">
        <w:t>.</w:t>
      </w:r>
      <w:r w:rsidR="00FE3AC7" w:rsidRPr="00AD586B">
        <w:t xml:space="preserve"> The Likert-type items for each Likert scale can be grouped</w:t>
      </w:r>
      <w:r w:rsidR="005A1166">
        <w:t xml:space="preserve">, </w:t>
      </w:r>
      <w:r w:rsidR="00D57029" w:rsidRPr="00AD586B">
        <w:t>summed,</w:t>
      </w:r>
      <w:r w:rsidR="00FE3AC7" w:rsidRPr="00AD586B">
        <w:t xml:space="preserve"> </w:t>
      </w:r>
      <w:r w:rsidR="005A1166">
        <w:t xml:space="preserve">and </w:t>
      </w:r>
      <w:r w:rsidR="00FE3AC7" w:rsidRPr="00AD586B">
        <w:t xml:space="preserve">averaged to measure the degree to which </w:t>
      </w:r>
      <w:r w:rsidR="00B5285C">
        <w:t>affordability</w:t>
      </w:r>
      <w:r w:rsidR="00FE3AC7" w:rsidRPr="00AD586B">
        <w:t xml:space="preserve"> is related to </w:t>
      </w:r>
      <w:r w:rsidR="00B5285C">
        <w:t>different financial and economic conditions perceived by individuals</w:t>
      </w:r>
      <w:r w:rsidR="00FE3AC7" w:rsidRPr="00AD586B">
        <w:t>.</w:t>
      </w:r>
    </w:p>
    <w:p w14:paraId="0079B42C" w14:textId="0BE1EA8A" w:rsidR="00020DF0" w:rsidRPr="00ED4C3E" w:rsidRDefault="00ED4C3E" w:rsidP="00ED4C3E">
      <w:pPr>
        <w:pStyle w:val="Heading3"/>
        <w:spacing w:after="240"/>
        <w:jc w:val="center"/>
        <w:rPr>
          <w:rFonts w:ascii="Times New Roman" w:hAnsi="Times New Roman" w:cs="Times New Roman"/>
          <w:b/>
          <w:bCs/>
          <w:color w:val="auto"/>
        </w:rPr>
      </w:pPr>
      <w:bookmarkStart w:id="58" w:name="_Toc114258045"/>
      <w:r w:rsidRPr="00ED4C3E">
        <w:rPr>
          <w:rFonts w:ascii="Times New Roman" w:hAnsi="Times New Roman" w:cs="Times New Roman"/>
          <w:b/>
          <w:bCs/>
          <w:color w:val="auto"/>
        </w:rPr>
        <w:t xml:space="preserve">3.2.5. </w:t>
      </w:r>
      <w:r w:rsidR="00020DF0" w:rsidRPr="00ED4C3E">
        <w:rPr>
          <w:rFonts w:ascii="Times New Roman" w:hAnsi="Times New Roman" w:cs="Times New Roman"/>
          <w:b/>
          <w:bCs/>
          <w:color w:val="auto"/>
        </w:rPr>
        <w:t>A</w:t>
      </w:r>
      <w:r w:rsidRPr="00ED4C3E">
        <w:rPr>
          <w:rFonts w:ascii="Times New Roman" w:hAnsi="Times New Roman" w:cs="Times New Roman"/>
          <w:b/>
          <w:bCs/>
          <w:color w:val="auto"/>
        </w:rPr>
        <w:t>CCEPTABILITY IN HYBRID PHYSICAL-VIRTUAL SPACE</w:t>
      </w:r>
      <w:bookmarkEnd w:id="58"/>
    </w:p>
    <w:p w14:paraId="5801B694" w14:textId="796B897A" w:rsidR="00020DF0" w:rsidRDefault="00020DF0" w:rsidP="0010276D">
      <w:pPr>
        <w:spacing w:line="480" w:lineRule="auto"/>
        <w:ind w:firstLine="720"/>
      </w:pPr>
      <w:r>
        <w:t>Acceptability captures the degree to which the personal qualities—race/ethnicity, gender, class, language, etc.—of people and destinations are appropriate for each other based on their respective cognitive and emotional responses. Destinations and the opportunities they offer must be morally and culturally appropriate if people are to access them lest they become barriers to access. Physical appearances, ideologies, and personal capabilities, including spoken language, can shape how people perceive and intention to patronize destinations. These social and cultural contexts point to a relational space perspective of acceptability. For instance, a Chinese immigrant may prefer shopping at Chinese supermarkets because of cultural and linguistic familiarity</w:t>
      </w:r>
      <w:r w:rsidR="001B1CFF">
        <w:t xml:space="preserve"> </w:t>
      </w:r>
      <w:r w:rsidR="001B1CFF">
        <w:fldChar w:fldCharType="begin"/>
      </w:r>
      <w:r w:rsidR="001B1CFF">
        <w:instrText xml:space="preserve"> ADDIN ZOTERO_ITEM CSL_CITATION {"citationID":"9tRZw7G4","properties":{"formattedCitation":"(L. Wang &amp; Lo, 2007)","plainCitation":"(L. Wang &amp; Lo, 2007)","noteIndex":0},"citationItems":[{"id":1922,"uris":["http://zotero.org/users/5090392/items/FTVAQHIU"],"itemData":{"id":1922,"type":"article-journal","abstract":"This paper contributes to the ongoing debate in the ‘new’ economic geography over the dialectic between the cultural and the economic, and in which the study of the geography of consumption is a prime example. The consumer behavior of culturally distinct immigrants is an intriguing and complex economic and cultural inquiry. In this paper we explore the grocery-shopping behavior of suburban middle-class Chinese immigrants in Toronto, where the group's ethnic economy has become full-fledged. Using a mixed approach combining focus groups and logistic modeling, we examine the preferences of Chinese immigrants between the fast-growing Chinese supermarkets and competing mainstream supermarket chains. Attention is focused upon the interplay of ethnic identity and accessibility in determining store patronage. The findings suggest a stronger effect of ethnic affinity on immigrants' choice of shopping venue than that of economic rationality. Grocery shopping, a most mundane and taken-for-granted activity, is practiced with sociocultural meanings by immigrants, and the social use of ethnic shopping spaces indicates that immigrants are not only consumers in ethnic shopping places but coactors in producing the unique ethnic retail environment.","container-title":"Environment and Planning A: Economy and Space","DOI":"10.1068/a3833","ISSN":"0308-518X","issue":"3","journalAbbreviation":"Environ Plan A","language":"en","note":"publisher: SAGE Publications Ltd","page":"684-699","source":"SAGE Journals","title":"Immigrant Grocery-Shopping Behavior: Ethnic Identity versus Accessibility","title-short":"Immigrant Grocery-Shopping Behavior","URL":"https://doi.org/10.1068/a3833","volume":"39","author":[{"family":"Wang","given":"Lu"},{"family":"Lo","given":"Lucia"}],"accessed":{"date-parts":[["2022",8,19]]},"issued":{"date-parts":[["2007",3,1]]}}}],"schema":"https://github.com/citation-style-language/schema/raw/master/csl-citation.json"} </w:instrText>
      </w:r>
      <w:r w:rsidR="001B1CFF">
        <w:fldChar w:fldCharType="separate"/>
      </w:r>
      <w:r w:rsidR="001B1CFF" w:rsidRPr="001B1CFF">
        <w:t>(Wang &amp; Lo, 2007)</w:t>
      </w:r>
      <w:r w:rsidR="001B1CFF">
        <w:fldChar w:fldCharType="end"/>
      </w:r>
      <w:r>
        <w:t xml:space="preserve">. But it is not enough to only consider individual characteristics as social interactions and environments too have major influence on people’s behaviors and perceptions of the objective characteristics of destinations </w:t>
      </w:r>
      <w:r>
        <w:fldChar w:fldCharType="begin"/>
      </w:r>
      <w:r>
        <w:instrText xml:space="preserve"> ADDIN ZOTERO_ITEM CSL_CITATION {"citationID":"mFAuIIOT","properties":{"formattedCitation":"(Van Acker et al., 2010)","plainCitation":"(Van Acker et al., 2010)","noteIndex":0},"citationItems":[{"id":1568,"uris":["http://zotero.org/users/5090392/items/XGNFEAI7"],"itemData":{"id":1568,"type":"article-journal","abstract":"Many studies model the effects of the built environment on travel behaviour. Usually, results are controlled for socio-economic differences and sometimes socio-psychological differences among respondents. However, these studies do not mention why after all a relationship should exist between travel behaviour and spatial, socio-economic and personality characteristics. Answering this query involves combining and linking theories stemming from transport geography (e.g. time geography, activity-based approach) and social psychology (e.g. Theory of Planned Behaviour, Theory of Repeated Behaviour). Using key-variables from these theories, this paper aims to develop a conceptual model for travel behaviour. Comparable to customary theories in transport geography, this conceptual model considers travel behaviour as derived from locational behaviour and activity behaviour. But the conceptual model adds concepts such as ‘lifestyle’, ‘perceptions’, ‘attitudes’ and ‘preferences’ which indirectly influence travel behaviour.","container-title":"Transport Reviews","DOI":"10.1080/01441640902943453","ISSN":"0144-1647, 1464-5327","issue":"2","journalAbbreviation":"Transport Reviews","language":"en","page":"219-240","source":"DOI.org (Crossref)","title":"When Transport Geography Meets Social Psychology: Toward a Conceptual Model of Travel Behaviour","title-short":"When Transport Geography Meets Social Psychology","URL":"http://www.tandfonline.com/doi/abs/10.1080/01441640902943453","volume":"30","author":[{"family":"Van Acker","given":"Veronique"},{"family":"Van Wee","given":"Bert"},{"family":"Witlox","given":"Frank"}],"accessed":{"date-parts":[["2022",4,4]]},"issued":{"date-parts":[["2010",3]]}}}],"schema":"https://github.com/citation-style-language/schema/raw/master/csl-citation.json"} </w:instrText>
      </w:r>
      <w:r>
        <w:fldChar w:fldCharType="separate"/>
      </w:r>
      <w:r w:rsidR="00967900" w:rsidRPr="00967900">
        <w:t>(Van Acker et al., 2010)</w:t>
      </w:r>
      <w:r>
        <w:fldChar w:fldCharType="end"/>
      </w:r>
      <w:r>
        <w:t xml:space="preserve">. Social norms can have vast influence on the opportunities one considers appropriate, for example, the perceived classiness and prestige associated with certain organizations </w:t>
      </w:r>
      <w:r>
        <w:fldChar w:fldCharType="begin"/>
      </w:r>
      <w:r>
        <w:instrText xml:space="preserve"> ADDIN ZOTERO_ITEM CSL_CITATION {"citationID":"PMJnqjam","properties":{"formattedCitation":"(Sublette &amp; Martin, 2013)","plainCitation":"(Sublette &amp; Martin, 2013)","noteIndex":0},"citationItems":[{"id":1607,"uris":["http://zotero.org/users/5090392/items/25WGUDLR"],"itemData":{"id":1607,"type":"article-journal","container-title":"Studies in Popular Culture","ISSN":"0888-5753","issue":"1","note":"publisher: Popular Culture Association in the South","page":"21-44","source":"JSTOR","title":"Let Them Eat Cake, Caviar, Organic, and Whole Foods: American Elitism, White Trash Dinner Parties, and Diet","title-short":"Let Them Eat Cake, Caviar, Organic, and Whole Foods","URL":"https://www.jstor.org/stable/23610150","volume":"36","author":[{"family":"Sublette","given":"Cammie M."},{"family":"Martin","given":"Jennifer"}],"accessed":{"date-parts":[["2022",4,9]]},"issued":{"date-parts":[["2013"]]}}}],"schema":"https://github.com/citation-style-language/schema/raw/master/csl-citation.json"} </w:instrText>
      </w:r>
      <w:r>
        <w:fldChar w:fldCharType="separate"/>
      </w:r>
      <w:r w:rsidR="00967900" w:rsidRPr="00967900">
        <w:t xml:space="preserve">(Sublette &amp; Martin, </w:t>
      </w:r>
      <w:r w:rsidR="00967900" w:rsidRPr="00967900">
        <w:lastRenderedPageBreak/>
        <w:t>2013)</w:t>
      </w:r>
      <w:r>
        <w:fldChar w:fldCharType="end"/>
      </w:r>
      <w:r>
        <w:t xml:space="preserve">. Someone talking about their pleasant experience at a new supermarket could result in a favorable perception in the mind of their colleague who then patronizes the location. Modern ICT offer people more and easier opportunities for interaction to exchange information about the characteristics of destinations which can consequently shape attitudes and behaviors </w:t>
      </w:r>
      <w:r>
        <w:fldChar w:fldCharType="begin"/>
      </w:r>
      <w:r>
        <w:instrText xml:space="preserve"> ADDIN ZOTERO_ITEM CSL_CITATION {"citationID":"kpgUvRmx","properties":{"formattedCitation":"(Kenyon et al., 2002)","plainCitation":"(Kenyon et al., 2002)","noteIndex":0},"citationItems":[{"id":1544,"uris":["http://zotero.org/users/5090392/items/CL5BEQ2Z"],"itemData":{"id":1544,"type":"article-journal","abstract":"This paper introduces a mobility dimension to social exclusion, suggesting a strong correlation between a lack of access to adequate mobility and lack of access to opportunities, social networks, goods and services. This correlation exists as both a cause and consequence of social exclusion. The authors question the likelihood that increased physical mobility, by car or public transport, can, by itself, provide a fully viable or sustainable solution to mobility-related aspects of social exclusion. This paper cautiously suggests that the use of information and communications technologies could enable a new, virtual mobility, enabling an Internet-based increase in accessibility as an alternative to an increase in physical mobility. Finally, consideration is given to the possibility of a virtual mobility-related dimension of exclusion and to the possible social implications of inclusion of virtual mobility in an integrated transport strategy.","container-title":"Journal of Transport Geography","DOI":"10.1016/S0966-6923(02)00012-1","ISSN":"0966-6923","issue":"3","journalAbbreviation":"Journal of Transport Geography","language":"en","page":"207-219","source":"ScienceDirect","title":"Transport and social exclusion: investigating the possibility of promoting inclusion through virtual mobility","title-short":"Transport and social exclusion","URL":"https://www.sciencedirect.com/science/article/pii/S0966692302000121","volume":"10","author":[{"family":"Kenyon","given":"Susan"},{"family":"Lyons","given":"Glenn"},{"family":"Rafferty","given":"Jackie"}],"accessed":{"date-parts":[["2022",4,2]]},"issued":{"date-parts":[["2002",9,1]]}}}],"schema":"https://github.com/citation-style-language/schema/raw/master/csl-citation.json"} </w:instrText>
      </w:r>
      <w:r>
        <w:fldChar w:fldCharType="separate"/>
      </w:r>
      <w:r w:rsidR="00967900" w:rsidRPr="00967900">
        <w:t>(Kenyon et al., 2002)</w:t>
      </w:r>
      <w:r>
        <w:fldChar w:fldCharType="end"/>
      </w:r>
      <w:r>
        <w:t>. Online platforms can augment</w:t>
      </w:r>
      <w:r w:rsidRPr="00AD586B">
        <w:t xml:space="preserve"> people’s understanding of their local environments and </w:t>
      </w:r>
      <w:r>
        <w:t xml:space="preserve">opportunities </w:t>
      </w:r>
      <w:r w:rsidRPr="00AD586B">
        <w:t>available to them</w:t>
      </w:r>
      <w:r>
        <w:t xml:space="preserve">. </w:t>
      </w:r>
      <w:commentRangeStart w:id="59"/>
      <w:commentRangeStart w:id="60"/>
      <w:r>
        <w:t>Crowdsourcing personal opinions online, such as a new immigrant polling their local Facebook group about favorite grocery stores</w:t>
      </w:r>
      <w:commentRangeEnd w:id="59"/>
      <w:r w:rsidR="000E36BF">
        <w:rPr>
          <w:rStyle w:val="CommentReference"/>
        </w:rPr>
        <w:commentReference w:id="59"/>
      </w:r>
      <w:commentRangeEnd w:id="60"/>
      <w:r w:rsidR="007A2456">
        <w:rPr>
          <w:rStyle w:val="CommentReference"/>
        </w:rPr>
        <w:commentReference w:id="60"/>
      </w:r>
      <w:r>
        <w:t>, can shape the perceptions of individuals and their attitudes towards different destinations.</w:t>
      </w:r>
      <w:r w:rsidR="00497AD0">
        <w:t xml:space="preserve"> These personal opinions </w:t>
      </w:r>
      <w:r w:rsidR="001054B7">
        <w:t>could effectively act as ratings</w:t>
      </w:r>
      <w:r w:rsidR="006F2A28">
        <w:t>, scaled along a one-to-five-star</w:t>
      </w:r>
      <w:r w:rsidRPr="00AD586B">
        <w:t xml:space="preserve"> </w:t>
      </w:r>
      <w:r w:rsidR="006F2A28">
        <w:t xml:space="preserve">system used by many review </w:t>
      </w:r>
      <w:r w:rsidR="00BA7A04">
        <w:t>platforms,</w:t>
      </w:r>
      <w:r w:rsidR="001F157B">
        <w:t xml:space="preserve"> and used to </w:t>
      </w:r>
      <w:r w:rsidR="009A435A">
        <w:t>identify a more appropriate opportunity set based on individual preferences</w:t>
      </w:r>
      <w:r w:rsidR="00A72346">
        <w:t xml:space="preserve"> for stores above a certain rating level</w:t>
      </w:r>
      <w:r w:rsidR="009A435A">
        <w:t>, with more details discussed later.</w:t>
      </w:r>
      <w:r w:rsidR="006F2A28">
        <w:t xml:space="preserve"> </w:t>
      </w:r>
      <w:r>
        <w:t xml:space="preserve">On the other hand, recommendation systems are built to offer suggestions based on their past viewing and shopping history which can consequently narrow the set of opportunities shown to people and reinforce their existing habits </w:t>
      </w:r>
      <w:r>
        <w:fldChar w:fldCharType="begin"/>
      </w:r>
      <w:r>
        <w:instrText xml:space="preserve"> ADDIN ZOTERO_ITEM CSL_CITATION {"citationID":"PiwQ8Ggd","properties":{"formattedCitation":"(Sublette &amp; Martin, 2013)","plainCitation":"(Sublette &amp; Martin, 2013)","noteIndex":0},"citationItems":[{"id":1607,"uris":["http://zotero.org/users/5090392/items/25WGUDLR"],"itemData":{"id":1607,"type":"article-journal","container-title":"Studies in Popular Culture","ISSN":"0888-5753","issue":"1","note":"publisher: Popular Culture Association in the South","page":"21-44","source":"JSTOR","title":"Let Them Eat Cake, Caviar, Organic, and Whole Foods: American Elitism, White Trash Dinner Parties, and Diet","title-short":"Let Them Eat Cake, Caviar, Organic, and Whole Foods","URL":"https://www.jstor.org/stable/23610150","volume":"36","author":[{"family":"Sublette","given":"Cammie M."},{"family":"Martin","given":"Jennifer"}],"accessed":{"date-parts":[["2022",4,9]]},"issued":{"date-parts":[["2013"]]}}}],"schema":"https://github.com/citation-style-language/schema/raw/master/csl-citation.json"} </w:instrText>
      </w:r>
      <w:r>
        <w:fldChar w:fldCharType="separate"/>
      </w:r>
      <w:r w:rsidR="00967900" w:rsidRPr="00967900">
        <w:t>(Sublette &amp; Martin, 2013)</w:t>
      </w:r>
      <w:r>
        <w:fldChar w:fldCharType="end"/>
      </w:r>
      <w:r>
        <w:t xml:space="preserve">. In turn, both physical and virtual interactions may influence behaviors whereby people patronize </w:t>
      </w:r>
      <w:proofErr w:type="gramStart"/>
      <w:r>
        <w:t>particular destinations</w:t>
      </w:r>
      <w:proofErr w:type="gramEnd"/>
      <w:r>
        <w:t>. The preferences of people and destinations are conditioned by experiences and interactions in both physical and virtual space.</w:t>
      </w:r>
    </w:p>
    <w:p w14:paraId="7B491DE9" w14:textId="77777777" w:rsidR="0010276D" w:rsidRDefault="00020DF0" w:rsidP="00156BEA">
      <w:pPr>
        <w:spacing w:line="480" w:lineRule="auto"/>
        <w:ind w:firstLine="720"/>
      </w:pPr>
      <w:r>
        <w:t xml:space="preserve">The nexus of the social environment (e.g., norms, close connections, social media), the physical environment, and individual characteristics results in different individual preferences </w:t>
      </w:r>
      <w:r>
        <w:fldChar w:fldCharType="begin"/>
      </w:r>
      <w:r>
        <w:instrText xml:space="preserve"> ADDIN ZOTERO_ITEM CSL_CITATION {"citationID":"4kcLSUjE","properties":{"formattedCitation":"(Van Acker et al., 2010)","plainCitation":"(Van Acker et al., 2010)","noteIndex":0},"citationItems":[{"id":1568,"uris":["http://zotero.org/users/5090392/items/XGNFEAI7"],"itemData":{"id":1568,"type":"article-journal","abstract":"Many studies model the effects of the built environment on travel behaviour. Usually, results are controlled for socio-economic differences and sometimes socio-psychological differences among respondents. However, these studies do not mention why after all a relationship should exist between travel behaviour and spatial, socio-economic and personality characteristics. Answering this query involves combining and linking theories stemming from transport geography (e.g. time geography, activity-based approach) and social psychology (e.g. Theory of Planned Behaviour, Theory of Repeated Behaviour). Using key-variables from these theories, this paper aims to develop a conceptual model for travel behaviour. Comparable to customary theories in transport geography, this conceptual model considers travel behaviour as derived from locational behaviour and activity behaviour. But the conceptual model adds concepts such as ‘lifestyle’, ‘perceptions’, ‘attitudes’ and ‘preferences’ which indirectly influence travel behaviour.","container-title":"Transport Reviews","DOI":"10.1080/01441640902943453","ISSN":"0144-1647, 1464-5327","issue":"2","journalAbbreviation":"Transport Reviews","language":"en","page":"219-240","source":"DOI.org (Crossref)","title":"When Transport Geography Meets Social Psychology: Toward a Conceptual Model of Travel Behaviour","title-short":"When Transport Geography Meets Social Psychology","URL":"http://www.tandfonline.com/doi/abs/10.1080/01441640902943453","volume":"30","author":[{"family":"Van Acker","given":"Veronique"},{"family":"Van Wee","given":"Bert"},{"family":"Witlox","given":"Frank"}],"accessed":{"date-parts":[["2022",4,4]]},"issued":{"date-parts":[["2010",3]]}}}],"schema":"https://github.com/citation-style-language/schema/raw/master/csl-citation.json"} </w:instrText>
      </w:r>
      <w:r>
        <w:fldChar w:fldCharType="separate"/>
      </w:r>
      <w:r w:rsidR="00967900" w:rsidRPr="00967900">
        <w:t>(Van Acker et al., 2010)</w:t>
      </w:r>
      <w:r>
        <w:fldChar w:fldCharType="end"/>
      </w:r>
      <w:r>
        <w:t xml:space="preserve">, reflecting a mental space approach to acceptability. In addition to interactions and dissemination of information in physical space, the Internet can introduce and augment new information about destinations and alter people’s mental image of their environment </w:t>
      </w:r>
      <w:r>
        <w:fldChar w:fldCharType="begin"/>
      </w:r>
      <w:r>
        <w:instrText xml:space="preserve"> ADDIN ZOTERO_ITEM CSL_CITATION {"citationID":"sbk1FTFW","properties":{"formattedCitation":"(Golob &amp; Regan, 2001; Pot et al., 2021)","plainCitation":"(Golob &amp; Regan, 2001; Pot et al., 2021)","noteIndex":0},"citationItems":[{"id":1130,"uris":["http://zotero.org/users/5090392/items/XMIWZFXG"],"itemData":{"id":1130,"type":"article-journal","abstract":"Travel, like many other aspects of daily life is being transformed by the information technology (IT) revolution. Accessibility can no longer be measured only in terms of travel time, distance or generalized travel cost. IT gives people virtual accessibility to a rapidly growing range of activities. E-commerce has become a catalyst for structural changes in the freight transportation industry and is changing where freight moves, the size of typical shipments and the time within which goods must be delivered. In this paper, we explore some of the potential effects of IT on transportation, both personal and freight.","collection-title":"Implications of New Information Technology","container-title":"Transportation Research Part C: Emerging Technologies","DOI":"10.1016/S0968-090X(00)00042-5","ISSN":"0968-090X","issue":"2","journalAbbreviation":"Transportation Research Part C: Emerging Technologies","language":"en","page":"87-121","source":"ScienceDirect","title":"Impacts of information technology on personal travel and commercial vehicle operations: research challenges and opportunities","title-short":"Impacts of information technology on personal travel and commercial vehicle operations","URL":"https://www.sciencedirect.com/science/article/pii/S0968090X00000425","volume":"9","author":[{"family":"Golob","given":"Thomas F."},{"family":"Regan","given":"Amelia C."}],"accessed":{"date-parts":[["2021",9,14]]},"issued":{"date-parts":[["2001",4,1]]}}},{"id":1195,"uris":["http://zotero.org/users/5090392/items/WEWGP49U"],"itemData":{"id":1195,"type":"article-journal","abstract":"Accessibility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(Golob &amp; Regan, 2001; Pot et al., 2021)</w:t>
      </w:r>
      <w:r>
        <w:fldChar w:fldCharType="end"/>
      </w:r>
      <w:r>
        <w:t xml:space="preserve">. </w:t>
      </w:r>
      <w:r w:rsidRPr="00AD586B">
        <w:t xml:space="preserve">Platforms such as Google Maps provide </w:t>
      </w:r>
      <w:r w:rsidRPr="00AD586B">
        <w:lastRenderedPageBreak/>
        <w:t xml:space="preserve">users </w:t>
      </w:r>
      <w:r>
        <w:t xml:space="preserve">greater knowledge </w:t>
      </w:r>
      <w:r w:rsidRPr="00AD586B">
        <w:t>with navigational information and curated results for people’s destinations and local environments</w:t>
      </w:r>
      <w:r>
        <w:t xml:space="preserve"> as well as information about provider attributes: location, amenities, safety measures, etc</w:t>
      </w:r>
      <w:r w:rsidRPr="00AD586B">
        <w:t xml:space="preserve">. In this regard, knowledge of a service and the ability for </w:t>
      </w:r>
      <w:r>
        <w:t>destinations,</w:t>
      </w:r>
      <w:r w:rsidRPr="00AD586B">
        <w:t xml:space="preserve"> such as grocery stores</w:t>
      </w:r>
      <w:r>
        <w:t>,</w:t>
      </w:r>
      <w:r w:rsidRPr="00AD586B">
        <w:t xml:space="preserve"> to tailor their services to the needs of its customers and clients, may be influenced by </w:t>
      </w:r>
      <w:r>
        <w:t>virtual space</w:t>
      </w:r>
      <w:r w:rsidRPr="00AD586B">
        <w:t xml:space="preserve">. </w:t>
      </w:r>
      <w:r>
        <w:t xml:space="preserve">This information </w:t>
      </w:r>
      <w:r w:rsidRPr="00AD586B">
        <w:t>provide</w:t>
      </w:r>
      <w:r>
        <w:t>s</w:t>
      </w:r>
      <w:r w:rsidRPr="00AD586B">
        <w:t xml:space="preserve"> individuals a better understanding of </w:t>
      </w:r>
      <w:r>
        <w:t>provider characteristics and influences their perceived acceptance</w:t>
      </w:r>
      <w:r w:rsidRPr="00AD586B">
        <w:t>.</w:t>
      </w:r>
      <w:r>
        <w:t xml:space="preserve"> But strategies for how people identify, obtain, and subsequently interpret information can widely vary between individuals who also possess different value systems that reflect unique attitudes and beliefs </w:t>
      </w:r>
      <w:r>
        <w:fldChar w:fldCharType="begin"/>
      </w:r>
      <w:r>
        <w:instrText xml:space="preserve"> ADDIN ZOTERO_ITEM CSL_CITATION {"citationID":"YnodmJQO","properties":{"formattedCitation":"(Pot et al., 2021)","plainCitation":"(Pot et al., 2021)","noteIndex":0},"citationItems":[{"id":1195,"uris":["http://zotero.org/users/5090392/items/WEWGP49U"],"itemData":{"id":1195,"type":"article-journal","abstract":"Accessibility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schema":"https://github.com/citation-style-language/schema/raw/master/csl-citation.json"} </w:instrText>
      </w:r>
      <w:r>
        <w:fldChar w:fldCharType="separate"/>
      </w:r>
      <w:r w:rsidR="00967900" w:rsidRPr="00967900">
        <w:t>(Pot et al., 2021)</w:t>
      </w:r>
      <w:r>
        <w:fldChar w:fldCharType="end"/>
      </w:r>
      <w:r>
        <w:t xml:space="preserve">. In turn, this leads to different perceptions of the degree to which destinations are considered acceptable. Platforms encourage users to review different places, attach photos and videos, befriend each other, and exchange comments. </w:t>
      </w:r>
      <w:commentRangeStart w:id="61"/>
      <w:commentRangeStart w:id="62"/>
      <w:r>
        <w:t>Ultimately, these online activities and interactions can shape whether people find destinations (not) acceptable</w:t>
      </w:r>
      <w:commentRangeEnd w:id="61"/>
      <w:r w:rsidR="000E36BF">
        <w:rPr>
          <w:rStyle w:val="CommentReference"/>
        </w:rPr>
        <w:commentReference w:id="61"/>
      </w:r>
      <w:commentRangeEnd w:id="62"/>
      <w:r w:rsidR="00E95559">
        <w:rPr>
          <w:rStyle w:val="CommentReference"/>
        </w:rPr>
        <w:commentReference w:id="62"/>
      </w:r>
      <w:r w:rsidR="0061354B">
        <w:t xml:space="preserve">. </w:t>
      </w:r>
    </w:p>
    <w:p w14:paraId="7F565DDA" w14:textId="5CB4AF7D" w:rsidR="0010276D" w:rsidRDefault="0010276D" w:rsidP="004239B1">
      <w:pPr>
        <w:spacing w:line="480" w:lineRule="auto"/>
        <w:ind w:firstLine="720"/>
      </w:pPr>
      <w:r>
        <w:t xml:space="preserve">Platforms like Google Maps and Yelp encourage users to review different POIs, attach photos and videos, add each other as friends and comment on posts. </w:t>
      </w:r>
      <w:r w:rsidRPr="00AD586B">
        <w:t xml:space="preserve">People may have different ratings (sentiments) and priorities (weights) for different aspects (semantics) of their food situation. </w:t>
      </w:r>
      <w:r>
        <w:t>The reviews and ratings on these platforms provide one avenue for understanding the sentiments of people for different aspects of POIs. Such user-generated information can be harvested for various machine learning tasks, such as natural language processing to understand the associated sentiments and semantics in text reviews</w:t>
      </w:r>
      <w:r w:rsidR="00960255">
        <w:t>. Nam</w:t>
      </w:r>
      <w:r>
        <w:t xml:space="preserve">ely, </w:t>
      </w:r>
      <w:r w:rsidR="00960255">
        <w:t>reviews</w:t>
      </w:r>
      <w:r>
        <w:t xml:space="preserve"> can be analyzed to understand how people generally perceive providers and their different characteristics. For example, if many </w:t>
      </w:r>
      <w:proofErr w:type="gramStart"/>
      <w:r>
        <w:t>reviewers</w:t>
      </w:r>
      <w:proofErr w:type="gramEnd"/>
      <w:r>
        <w:t xml:space="preserve"> comment about the high quality of fresh food, we could theoretically extract a very positive sentiment for that aspect of the store and reduce the potential opportunity set to stores with a rating above a threshold level (e.g., at least a rating of 4 out of 5)</w:t>
      </w:r>
      <w:r w:rsidR="00076D10">
        <w:t>.</w:t>
      </w:r>
      <w:r>
        <w:t xml:space="preserve"> Aspect-</w:t>
      </w:r>
      <w:r>
        <w:lastRenderedPageBreak/>
        <w:t xml:space="preserve">based sentiment analysis provides one way of carrying this out by first identifying the </w:t>
      </w:r>
      <w:r w:rsidR="009D16E9">
        <w:t xml:space="preserve">semantics </w:t>
      </w:r>
      <w:r w:rsidR="0014053F">
        <w:t>and their respective weights in</w:t>
      </w:r>
      <w:r w:rsidR="009D16E9">
        <w:t xml:space="preserve"> reviews</w:t>
      </w:r>
      <w:r w:rsidR="0014053F">
        <w:t xml:space="preserve"> and secondly to </w:t>
      </w:r>
      <w:r w:rsidR="00116BCB">
        <w:t>parse the sentiments of these semantic</w:t>
      </w:r>
      <w:r w:rsidR="00590681">
        <w:t>s.</w:t>
      </w:r>
      <w:r w:rsidR="009D16E9">
        <w:t xml:space="preserve"> </w:t>
      </w:r>
      <w:r w:rsidR="00590681">
        <w:t xml:space="preserve">Ratings also </w:t>
      </w:r>
      <w:r w:rsidR="004A0577">
        <w:t xml:space="preserve">follow a similar concept in that they offer a subjective numerical rating that captures how individuals feel about different POIs but </w:t>
      </w:r>
      <w:r w:rsidR="00B7473A">
        <w:t>usually do not offer a nuanced understanding into the different aspects that people care about. Nonetheless, they can still be a useful parameter</w:t>
      </w:r>
      <w:r w:rsidR="0032623C">
        <w:t>.</w:t>
      </w:r>
      <w:r w:rsidR="004239B1">
        <w:t xml:space="preserve"> </w:t>
      </w:r>
      <w:r w:rsidR="00C906B2">
        <w:t>With the premise that</w:t>
      </w:r>
      <w:r w:rsidR="009D05D6" w:rsidRPr="00AD586B">
        <w:t xml:space="preserve"> not every </w:t>
      </w:r>
      <w:r w:rsidR="009D05D6">
        <w:t>POI</w:t>
      </w:r>
      <w:r w:rsidR="009D05D6" w:rsidRPr="00AD586B">
        <w:t xml:space="preserve"> (e.g.</w:t>
      </w:r>
      <w:r w:rsidR="009D05D6">
        <w:t>,</w:t>
      </w:r>
      <w:r w:rsidR="009D05D6" w:rsidRPr="00AD586B">
        <w:t xml:space="preserve"> grocery store) located within a</w:t>
      </w:r>
      <w:r w:rsidR="008D7F4E">
        <w:t xml:space="preserve"> space-time</w:t>
      </w:r>
      <w:r w:rsidR="009D05D6" w:rsidRPr="00AD586B">
        <w:t xml:space="preserve"> prism </w:t>
      </w:r>
      <w:r w:rsidR="008D7F4E">
        <w:t xml:space="preserve">of an individual </w:t>
      </w:r>
      <w:r w:rsidR="009D05D6" w:rsidRPr="00AD586B">
        <w:t xml:space="preserve">is part of </w:t>
      </w:r>
      <w:r w:rsidR="008D7F4E">
        <w:t>their</w:t>
      </w:r>
      <w:r w:rsidR="009D05D6" w:rsidRPr="00AD586B">
        <w:t xml:space="preserve"> </w:t>
      </w:r>
      <w:r w:rsidR="00DE150A">
        <w:t>opportunity</w:t>
      </w:r>
      <w:r w:rsidR="009D05D6" w:rsidRPr="00AD586B">
        <w:t xml:space="preserve"> set</w:t>
      </w:r>
      <w:r w:rsidR="00ED73E2">
        <w:t xml:space="preserve">, a </w:t>
      </w:r>
      <w:proofErr w:type="spellStart"/>
      <w:r w:rsidR="00ED73E2">
        <w:t>geocomputational</w:t>
      </w:r>
      <w:proofErr w:type="spellEnd"/>
      <w:r w:rsidR="00ED73E2">
        <w:t xml:space="preserve"> approach to cull their potential opportunities co</w:t>
      </w:r>
      <w:r w:rsidR="006C3B31">
        <w:t>uld include queries for ratings of different store characteristics</w:t>
      </w:r>
      <w:r w:rsidR="004B2FE2">
        <w:t xml:space="preserve"> above a certain threshold level. Essentially, if </w:t>
      </w:r>
      <w:r w:rsidR="007B448C">
        <w:t xml:space="preserve">a store is perceived poorly (e.g., less than 4 stars) in </w:t>
      </w:r>
      <w:r w:rsidR="00F91B9B">
        <w:t xml:space="preserve">some </w:t>
      </w:r>
      <w:r w:rsidR="004239B1">
        <w:t xml:space="preserve">or all </w:t>
      </w:r>
      <w:r w:rsidR="00F91B9B">
        <w:t>aspect</w:t>
      </w:r>
      <w:r w:rsidR="004239B1">
        <w:t>s</w:t>
      </w:r>
      <w:r w:rsidR="00F91B9B">
        <w:t xml:space="preserve"> (e.g., </w:t>
      </w:r>
      <w:r w:rsidR="004239B1">
        <w:t xml:space="preserve">general rating </w:t>
      </w:r>
      <w:r w:rsidR="00F9134F">
        <w:t xml:space="preserve">or </w:t>
      </w:r>
      <w:r w:rsidR="00F91B9B">
        <w:t>customer service)</w:t>
      </w:r>
      <w:r w:rsidR="00DE150A">
        <w:t xml:space="preserve"> that is important to an individual</w:t>
      </w:r>
      <w:r w:rsidR="00F91B9B">
        <w:t xml:space="preserve">, the store is </w:t>
      </w:r>
      <w:r w:rsidR="00970B34">
        <w:t xml:space="preserve">not included in </w:t>
      </w:r>
      <w:r w:rsidR="00F91B9B">
        <w:t xml:space="preserve">the </w:t>
      </w:r>
      <w:r w:rsidR="00DE150A">
        <w:t xml:space="preserve">opportunity </w:t>
      </w:r>
      <w:r w:rsidR="00F91B9B">
        <w:t>set</w:t>
      </w:r>
      <w:r w:rsidR="00970B34">
        <w:t>.</w:t>
      </w:r>
      <w:r w:rsidR="004239B1">
        <w:t xml:space="preserve"> This measure of perceived acceptability can thus </w:t>
      </w:r>
      <w:r w:rsidR="009D05D6" w:rsidRPr="00AD586B">
        <w:t>further distinguish opportunities based on the examined individual’s perceptions.</w:t>
      </w:r>
    </w:p>
    <w:p w14:paraId="5630B7A9" w14:textId="1C436A5B" w:rsidR="002F630E" w:rsidRDefault="002F630E" w:rsidP="00451F49">
      <w:pPr>
        <w:pStyle w:val="Heading2"/>
        <w:spacing w:after="240"/>
        <w:jc w:val="center"/>
        <w:rPr>
          <w:rFonts w:ascii="Times New Roman" w:hAnsi="Times New Roman" w:cs="Times New Roman"/>
          <w:b/>
          <w:bCs/>
          <w:color w:val="auto"/>
        </w:rPr>
      </w:pPr>
      <w:bookmarkStart w:id="63" w:name="_Toc114258046"/>
      <w:r w:rsidRPr="00451F49">
        <w:rPr>
          <w:rFonts w:ascii="Times New Roman" w:hAnsi="Times New Roman" w:cs="Times New Roman"/>
          <w:b/>
          <w:bCs/>
          <w:color w:val="auto"/>
        </w:rPr>
        <w:t>3.</w:t>
      </w:r>
      <w:r w:rsidR="001C6F59">
        <w:rPr>
          <w:rFonts w:ascii="Times New Roman" w:hAnsi="Times New Roman" w:cs="Times New Roman"/>
          <w:b/>
          <w:bCs/>
          <w:color w:val="auto"/>
        </w:rPr>
        <w:t>3</w:t>
      </w:r>
      <w:r w:rsidRPr="00451F49">
        <w:rPr>
          <w:rFonts w:ascii="Times New Roman" w:hAnsi="Times New Roman" w:cs="Times New Roman"/>
          <w:b/>
          <w:bCs/>
          <w:color w:val="auto"/>
        </w:rPr>
        <w:t>. IMPLEMENTATION CONSIDERATIONS</w:t>
      </w:r>
      <w:bookmarkEnd w:id="63"/>
    </w:p>
    <w:p w14:paraId="3831A987" w14:textId="79DE4D89" w:rsidR="00E169A2" w:rsidRDefault="00E169A2" w:rsidP="00E169A2">
      <w:pPr>
        <w:spacing w:line="480" w:lineRule="auto"/>
        <w:ind w:firstLine="720"/>
      </w:pPr>
      <w:r>
        <w:t xml:space="preserve">But how can these concepts be translated into actionable insights? There are important considerations for implementing the conceptual framework </w:t>
      </w:r>
      <w:r w:rsidRPr="0030680D">
        <w:t xml:space="preserve">of access </w:t>
      </w:r>
      <w:r>
        <w:t>for research and application.</w:t>
      </w:r>
    </w:p>
    <w:p w14:paraId="60517428" w14:textId="6AD52AD4" w:rsidR="00E169A2" w:rsidRPr="00EC6FAC" w:rsidRDefault="0011386D" w:rsidP="00EC6FAC">
      <w:pPr>
        <w:pStyle w:val="Heading3"/>
        <w:spacing w:after="240"/>
        <w:jc w:val="center"/>
        <w:rPr>
          <w:rFonts w:ascii="Times New Roman" w:hAnsi="Times New Roman" w:cs="Times New Roman"/>
          <w:b/>
          <w:bCs/>
          <w:color w:val="auto"/>
        </w:rPr>
      </w:pPr>
      <w:bookmarkStart w:id="64" w:name="_Toc114258047"/>
      <w:r w:rsidRPr="00EC6FAC">
        <w:rPr>
          <w:rFonts w:ascii="Times New Roman" w:hAnsi="Times New Roman" w:cs="Times New Roman"/>
          <w:b/>
          <w:bCs/>
          <w:color w:val="auto"/>
        </w:rPr>
        <w:t>3.</w:t>
      </w:r>
      <w:r w:rsidR="001C6F59">
        <w:rPr>
          <w:rFonts w:ascii="Times New Roman" w:hAnsi="Times New Roman" w:cs="Times New Roman"/>
          <w:b/>
          <w:bCs/>
          <w:color w:val="auto"/>
        </w:rPr>
        <w:t>3</w:t>
      </w:r>
      <w:r w:rsidRPr="00EC6FAC">
        <w:rPr>
          <w:rFonts w:ascii="Times New Roman" w:hAnsi="Times New Roman" w:cs="Times New Roman"/>
          <w:b/>
          <w:bCs/>
          <w:color w:val="auto"/>
        </w:rPr>
        <w:t>.1. DATA CONSIDERATIONS</w:t>
      </w:r>
      <w:bookmarkEnd w:id="64"/>
    </w:p>
    <w:p w14:paraId="4B37CD97" w14:textId="578DEF89" w:rsidR="00EA79DA" w:rsidRDefault="00EA79DA" w:rsidP="00EC6FAC">
      <w:pPr>
        <w:spacing w:line="480" w:lineRule="auto"/>
        <w:ind w:firstLine="720"/>
      </w:pPr>
      <w:r>
        <w:t xml:space="preserve">We need data beyond the typical purview of researchers and practitioners. </w:t>
      </w:r>
      <w:r w:rsidRPr="00E23D65">
        <w:t xml:space="preserve">No dataset is perfect but increasing capabilities </w:t>
      </w:r>
      <w:r>
        <w:t>in</w:t>
      </w:r>
      <w:r w:rsidRPr="00E23D65">
        <w:t xml:space="preserve"> open-source software, cloud computing, parallel processing, and machine learning can be leveraged to </w:t>
      </w:r>
      <w:r>
        <w:t>enhance</w:t>
      </w:r>
      <w:r w:rsidRPr="00E23D65">
        <w:t xml:space="preserve"> data collection and analysis. </w:t>
      </w:r>
      <w:r>
        <w:t xml:space="preserve">Data relating to people’s perceptions and ‘objective’ characteristics of land-use and travel systems are increasingly abundant with the emergence of volunteered geographic information, open data portals, review websites, and social media platforms, e.g., POIs, reviews, place details, and </w:t>
      </w:r>
      <w:r>
        <w:lastRenderedPageBreak/>
        <w:t xml:space="preserve">routes from Google Maps. Aspect-based sentiment analysis of web-scraped comments could be used to understand the sentiments of people for </w:t>
      </w:r>
      <w:proofErr w:type="gramStart"/>
      <w:r>
        <w:t>particular aspects</w:t>
      </w:r>
      <w:proofErr w:type="gramEnd"/>
      <w:r>
        <w:t xml:space="preserve"> of opportunities such as their sense of place, perceived quality of opportunities, customer service, and social atmosphere. The </w:t>
      </w:r>
      <w:proofErr w:type="gramStart"/>
      <w:r>
        <w:t>rapidly-growing</w:t>
      </w:r>
      <w:proofErr w:type="gramEnd"/>
      <w:r>
        <w:t xml:space="preserve"> data economy of geolocated signals: market baskets and transactions, social media interactions, job listings, mobile phone traces, etc. means that </w:t>
      </w:r>
      <w:proofErr w:type="spellStart"/>
      <w:r>
        <w:t>sociospatial</w:t>
      </w:r>
      <w:proofErr w:type="spellEnd"/>
      <w:r>
        <w:t xml:space="preserve"> behaviors, flows and relations can be more easily captured than before. Qualitative</w:t>
      </w:r>
      <w:r w:rsidRPr="00E23D65">
        <w:t xml:space="preserve"> </w:t>
      </w:r>
      <w:r>
        <w:t>data</w:t>
      </w:r>
      <w:r w:rsidRPr="00E23D65">
        <w:t xml:space="preserve"> </w:t>
      </w:r>
      <w:r>
        <w:t>including</w:t>
      </w:r>
      <w:r w:rsidRPr="00E23D65">
        <w:t xml:space="preserve"> </w:t>
      </w:r>
      <w:r>
        <w:t xml:space="preserve">travel diaries, surveys and </w:t>
      </w:r>
      <w:r w:rsidRPr="00E23D65">
        <w:t xml:space="preserve">interviews </w:t>
      </w:r>
      <w:r>
        <w:t xml:space="preserve">are </w:t>
      </w:r>
      <w:r w:rsidRPr="00E23D65">
        <w:t xml:space="preserve">valuable as data sources </w:t>
      </w:r>
      <w:r>
        <w:t>are sometimes only</w:t>
      </w:r>
      <w:r w:rsidRPr="00E23D65">
        <w:t xml:space="preserve"> representative of </w:t>
      </w:r>
      <w:proofErr w:type="gramStart"/>
      <w:r w:rsidRPr="00E23D65">
        <w:t>particular population</w:t>
      </w:r>
      <w:proofErr w:type="gramEnd"/>
      <w:r w:rsidRPr="00E23D65">
        <w:t xml:space="preserve"> groups and there </w:t>
      </w:r>
      <w:r>
        <w:t xml:space="preserve">are </w:t>
      </w:r>
      <w:r w:rsidRPr="00E23D65">
        <w:t xml:space="preserve">questions </w:t>
      </w:r>
      <w:r>
        <w:t>unanswerable</w:t>
      </w:r>
      <w:r w:rsidRPr="00E23D65">
        <w:t xml:space="preserve"> simply by </w:t>
      </w:r>
      <w:r>
        <w:t>retrieving</w:t>
      </w:r>
      <w:r w:rsidRPr="00E23D65">
        <w:t xml:space="preserve"> data online. </w:t>
      </w:r>
      <w:r>
        <w:t xml:space="preserve">Less native to the domain of most accessibility researchers, neural sensing technologies (e.g., </w:t>
      </w:r>
      <w:r w:rsidRPr="002A1BDF">
        <w:t>electroencephalography</w:t>
      </w:r>
      <w:r>
        <w:t xml:space="preserve">) can be used to understand how people cognitively respond to different stimuli and situations and their subjective understanding of their environments such as safety along travel corridors. The use of humans as sensors to learn more about their social environments (e.g., interactions, broader societal trends) over space-time also looks to be a fruitful endeavor that complement administrative records and digital traces and grounds empirical models </w:t>
      </w:r>
      <w:r>
        <w:fldChar w:fldCharType="begin"/>
      </w:r>
      <w:r w:rsidR="00B34326">
        <w:instrText xml:space="preserve"> ADDIN ZOTERO_ITEM CSL_CITATION {"citationID":"1zyufvJT","properties":{"formattedCitation":"(Galesic et al., 2021)","plainCitation":"(Galesic et al., 2021)","noteIndex":0},"citationItems":[{"id":1612,"uris":["http://zotero.org/users/5090392/items/9ZCBA2CU"],"itemData":{"id":1612,"type":"article-journal","abstract":"The ability to ‘sense’ the social environment and thereby to understand the thoughts and actions of others allows humans to fit into their social worlds, communicate and cooperate, and learn from others’ experiences. Here we argue that, through the lens of computational social science, this ability can be used to advance research into human sociality. When strategically selected to represent a specific population of interest, human social sensors can help to describe and predict societal trends. In addition, their reports of how they experience their social worlds can help to build models of social dynamics that are constrained by the empirical reality of human social systems.","container-title":"Nature","DOI":"10.1038/s41586-021-03649-2","ISSN":"1476-4687","issue":"7866","language":"en","license":"2021 Springer Nature Limited","note":"number: 7866\npublisher: Nature Publishing Group","page":"214-222","source":"www-nature-com.utk.idm.oclc.org","title":"Human social sensing is an untapped resource for computational social science","URL":"http://www.nature.com/articles/s41586-021-03649-2","volume":"595","author":[{"family":"Galesic","given":"Mirta"},{"family":"Bruine de Bruin","given":"Wändi"},{"family":"Dalege","given":"Jonas"},{"family":"Feld","given":"Scott L."},{"family":"Kreuter","given":"Frauke"},{"family":"Olsson","given":"Henrik"},{"family":"Prelec","given":"Drazen"},{"family":"Stein","given":"Daniel L."},{"family":"Does","given":"Tamara","non-dropping-particle":"van der"}],"accessed":{"date-parts":[["2022",4,11]]},"issued":{"date-parts":[["2021",7]]}}}],"schema":"https://github.com/citation-style-language/schema/raw/master/csl-citation.json"} </w:instrText>
      </w:r>
      <w:r>
        <w:fldChar w:fldCharType="separate"/>
      </w:r>
      <w:r w:rsidRPr="001F4D1E">
        <w:t>(Galesic et al., 2021)</w:t>
      </w:r>
      <w:r>
        <w:fldChar w:fldCharType="end"/>
      </w:r>
      <w:r>
        <w:t>. H</w:t>
      </w:r>
      <w:r w:rsidRPr="00E23D65">
        <w:t xml:space="preserve">armonizing these datasets and implementing different </w:t>
      </w:r>
      <w:r>
        <w:t>concepts</w:t>
      </w:r>
      <w:r w:rsidRPr="00E23D65">
        <w:t xml:space="preserve"> specified in </w:t>
      </w:r>
      <w:r w:rsidR="00EC6FAC">
        <w:t xml:space="preserve">the proposed </w:t>
      </w:r>
      <w:r w:rsidRPr="00E23D65">
        <w:t>framework requires renewed thinking.</w:t>
      </w:r>
    </w:p>
    <w:p w14:paraId="665BBD3F" w14:textId="32539694" w:rsidR="00EC6FAC" w:rsidRDefault="00EC6FAC" w:rsidP="00EC6FAC">
      <w:pPr>
        <w:pStyle w:val="Heading3"/>
        <w:spacing w:after="240"/>
        <w:jc w:val="center"/>
        <w:rPr>
          <w:rFonts w:ascii="Times New Roman" w:hAnsi="Times New Roman" w:cs="Times New Roman"/>
          <w:b/>
          <w:bCs/>
          <w:color w:val="auto"/>
        </w:rPr>
      </w:pPr>
      <w:bookmarkStart w:id="65" w:name="_Toc114258048"/>
      <w:r w:rsidRPr="00EC6FAC">
        <w:rPr>
          <w:rFonts w:ascii="Times New Roman" w:hAnsi="Times New Roman" w:cs="Times New Roman"/>
          <w:b/>
          <w:bCs/>
          <w:color w:val="auto"/>
        </w:rPr>
        <w:t>3.</w:t>
      </w:r>
      <w:r w:rsidR="001C6F59">
        <w:rPr>
          <w:rFonts w:ascii="Times New Roman" w:hAnsi="Times New Roman" w:cs="Times New Roman"/>
          <w:b/>
          <w:bCs/>
          <w:color w:val="auto"/>
        </w:rPr>
        <w:t>3</w:t>
      </w:r>
      <w:r w:rsidRPr="00EC6FAC">
        <w:rPr>
          <w:rFonts w:ascii="Times New Roman" w:hAnsi="Times New Roman" w:cs="Times New Roman"/>
          <w:b/>
          <w:bCs/>
          <w:color w:val="auto"/>
        </w:rPr>
        <w:t>.2. MEASUREMENT CONSIDERATIONS</w:t>
      </w:r>
      <w:bookmarkEnd w:id="65"/>
    </w:p>
    <w:p w14:paraId="6CE0BF02" w14:textId="47D2A893" w:rsidR="00B344CB" w:rsidRDefault="00B344CB" w:rsidP="00CB3D4F">
      <w:pPr>
        <w:spacing w:line="480" w:lineRule="auto"/>
        <w:ind w:firstLine="720"/>
      </w:pPr>
      <w:r>
        <w:t xml:space="preserve">Firstly, existing accessibility measures are still useful. Methodological improvements will be important and further advance but measures are only appropriate if they “reflect those elements that matter most to residents” </w:t>
      </w:r>
      <w:r>
        <w:fldChar w:fldCharType="begin"/>
      </w:r>
      <w:r>
        <w:instrText xml:space="preserve"> ADDIN ZOTERO_ITEM CSL_CITATION {"citationID":"rUXzgwtx","properties":{"formattedCitation":"(Handy &amp; Niemeier, 1997, p. 1176)","plainCitation":"(Handy &amp; Niemeier, 1997, p. 1176)","noteIndex":0},"citationItems":[{"id":883,"uris":["http://zotero.org/users/5090392/items/A8QR5C3U"],"itemData":{"id":883,"type":"article-journal","abstract":"Accessibility is an important characteristic of metropolitan areas and is often reflected in transportation and land-use planning goals. But the concept of accessibility has rarely been translated into performance measures by which policies are evaluated, despite a substantial literature on the concept. This paper is an attempt to bridge the gap between the academic literature and the practical application of such measures and provide a framework for the development of accessibility measures. Issues that planners must address in developing an accessibility measure are outlined, and two case studies suggestive of the range of possible approaches are presented.","container-title":"Environment and Planning A: Economy and Space","DOI":"10.1068/a291175","ISSN":"0308-518X","issue":"7","journalAbbreviation":"Environ Plan A","language":"en","note":"publisher: SAGE Publications Ltd","page":"1175-1194","source":"SAGE Journals","title":"Measuring Accessibility: An Exploration of Issues and Alternatives","title-short":"Measuring Accessibility","URL":"https://doi.org/10.1068/a291175","volume":"29","author":[{"family":"Handy","given":"Susan"},{"family":"Niemeier","given":"D A"}],"accessed":{"date-parts":[["2021",2,21]]},"issued":{"date-parts":[["1997",7,1]]}},"locator":"1176"}],"schema":"https://github.com/citation-style-language/schema/raw/master/csl-citation.json"} </w:instrText>
      </w:r>
      <w:r>
        <w:fldChar w:fldCharType="separate"/>
      </w:r>
      <w:r w:rsidRPr="00B4288B">
        <w:t>(Handy &amp; Niemeier, 1997, p. 1176)</w:t>
      </w:r>
      <w:r>
        <w:fldChar w:fldCharType="end"/>
      </w:r>
      <w:r>
        <w:t xml:space="preserve">. The proposed framework includes these elements as individual concepts reflecting upon the spatial contexts that shape the potential opportunities for people in a hybrid physical-virtual world. We need to reconceive the ‘spatial’ in spatial accessibility as a multi-spatial construct whereby we not only </w:t>
      </w:r>
      <w:r>
        <w:lastRenderedPageBreak/>
        <w:t xml:space="preserve">focus on spatial separation and derivative concepts (e.g., proximity, propensity, distance decay) in absolute space but also in relative, relational, and mental space. An axiom of access is the notion that travel impedance measures how near or far one point is from another and what the cost of travel would be between them but how ‘near’, ‘far’, and ‘cost’ are defined requires assumptions </w:t>
      </w:r>
      <w:r>
        <w:fldChar w:fldCharType="begin"/>
      </w:r>
      <w:r w:rsidR="00B34326">
        <w:instrText xml:space="preserve"> ADDIN ZOTERO_ITEM CSL_CITATION {"citationID":"4hbi3A1Z","properties":{"formattedCitation":"(E. J. Miller, 2018)","plainCitation":"(E. J. Miller, 2018)","noteIndex":0},"citationItems":[{"id":864,"uris":["http://zotero.org/users/5090392/items/LRC4Z6TH"],"itemData":{"id":864,"type":"article-journal","container-title":"Transport Reviews","DOI":"10.1080/01441647.2018.1492778","ISSN":"0144-1647","issue":"5","note":"publisher: Routledge\n_eprint: https://doi.org/10.1080/01441647.2018.1492778","page":"551-555","source":"Taylor and Francis+NEJM","title":"Accessibility: measurement and application in transportation planning","title-short":"Accessibility","URL":"https://doi.org/10.1080/01441647.2018.1492778","volume":"38","author":[{"family":"Miller","given":"Eric J."}],"accessed":{"date-parts":[["2021",2,18]]},"issued":{"date-parts":[["2018",9,3]]}}}],"schema":"https://github.com/citation-style-language/schema/raw/master/csl-citation.json"} </w:instrText>
      </w:r>
      <w:r>
        <w:fldChar w:fldCharType="separate"/>
      </w:r>
      <w:r w:rsidR="00B34326" w:rsidRPr="00B34326">
        <w:t>(Miller, 2018)</w:t>
      </w:r>
      <w:r>
        <w:fldChar w:fldCharType="end"/>
      </w:r>
      <w:r>
        <w:t xml:space="preserve"> traditionally based in Newtonian absolute space. But what if we reconsider impedance not just based on travel costs and reconceive these terms in other spaces, such as accessibility also based on topological or perceived nearness/farness? In addition to geographic distance, what about political/economic distance conditioned upon different barriers and restrictions, e.g., opening hours, payment options, mask-wearing policies, etc. (are people allowed to participate in an activity?), or perceived distance (do people feel </w:t>
      </w:r>
      <w:r w:rsidR="003861EA">
        <w:t>safe</w:t>
      </w:r>
      <w:r>
        <w:t xml:space="preserve"> traveling</w:t>
      </w:r>
      <w:r w:rsidR="003861EA">
        <w:t xml:space="preserve"> or comfortable </w:t>
      </w:r>
      <w:r>
        <w:t>navigating online?). The ability for people to meet their needs would then be determined by not just travel behaviors, land-use system, individual characteristics but also environmental, social,</w:t>
      </w:r>
      <w:r w:rsidR="003861EA">
        <w:t xml:space="preserve"> institutional,</w:t>
      </w:r>
      <w:r>
        <w:t xml:space="preserve"> and mental influences and behaviors. </w:t>
      </w:r>
      <w:r w:rsidRPr="00E23D65">
        <w:t>Previous research discusses challenges and potential implementation considerations associated with integrating the four spaces in GIS</w:t>
      </w:r>
      <w:r>
        <w:t xml:space="preserve"> which</w:t>
      </w:r>
      <w:r w:rsidRPr="00E23D65">
        <w:t xml:space="preserve"> </w:t>
      </w:r>
      <w:r>
        <w:t>is</w:t>
      </w:r>
      <w:r w:rsidRPr="00E23D65">
        <w:t xml:space="preserve"> a useful starting point</w:t>
      </w:r>
      <w:r>
        <w:t xml:space="preserve"> </w:t>
      </w:r>
      <w:r>
        <w:fldChar w:fldCharType="begin"/>
      </w:r>
      <w:r>
        <w:instrText xml:space="preserve"> ADDIN ZOTERO_ITEM CSL_CITATION {"citationID":"8Il5QdI9","properties":{"formattedCitation":"(Shaw &amp; Sui, 2020)","plainCitation":"(Shaw &amp; Sui, 2020)","noteIndex":0},"citationItems":[{"id":335,"uris":["http://zotero.org/users/5090392/items/Q85RS2WV"],"itemData":{"id":335,"type":"article-journal","abstract":"The smart technologies led by advances in artificial intelligence, machine learning, and the emerging data science in recent years are transforming many facets of society in profound ways. One of these affected areas is the experience of human dynamics in general and human mobility in particular with the growing maturity of smart technologies. The goal of this article is to critically examine the concepts of space and place in geography in general and in geographic information science (GIScience) in particular so that intelligent geographic information systems incorporating concepts of smart space and smart place can be developed to support human dynamics research. We argue that the current discussions on smart technologies are conceptually constrained due to their confinement to absolute space and physical place. By engaging research on smart technologies with geography and GIScience, we seek to move beyond the crude, and often simplistic, conceptualizations of space and place by synthesizing the multiple dimensions of both space and place. By doing so, we can better understand human dynamics through a synergistic perspective of both space and place. The space–place (splatial) framework proposed in this article will enable us to creatively study the human dynamics in the age of smart technologies. Our approach will not only allow us to better understand human dynamics but also advance and enrich our theoretical and methodological frameworks for studying smart technologies and the profound social impacts from a geographic perspective. Challenges for the implementation of the proposed framework are discussed and directions for future research are highlighted. Key Words: GIScience, human dynamics, place, space, splatial framework.","container-title":"Annals of the American Association of Geographers","DOI":"10.1080/24694452.2019.1631145","ISSN":"2469-4452","issue":"0","page":"339-348","source":"Taylor and Francis+NEJM","title":"Understanding the New Human Dynamics in Smart Spaces and Places: Toward a Splatial Framework","title-short":"Understanding the New Human Dynamics in Smart Spaces and Places","URL":"https://doi.org/10.1080/24694452.2019.1631145","volume":"0","author":[{"family":"Shaw","given":"Shih-Lung"},{"family":"Sui","given":"Daniel"}],"accessed":{"date-parts":[["2019",10,19]]},"issued":{"date-parts":[["2020",3]]}}}],"schema":"https://github.com/citation-style-language/schema/raw/master/csl-citation.json"} </w:instrText>
      </w:r>
      <w:r>
        <w:fldChar w:fldCharType="separate"/>
      </w:r>
      <w:r w:rsidRPr="00CB1EA6">
        <w:t>(Shaw &amp; Sui, 2020)</w:t>
      </w:r>
      <w:r>
        <w:fldChar w:fldCharType="end"/>
      </w:r>
      <w:r>
        <w:t xml:space="preserve"> especially given the extensive body of work on accessibility by </w:t>
      </w:r>
      <w:proofErr w:type="spellStart"/>
      <w:r>
        <w:t>GIScientists</w:t>
      </w:r>
      <w:proofErr w:type="spellEnd"/>
      <w:r w:rsidRPr="00E23D65">
        <w:t>.</w:t>
      </w:r>
      <w:r>
        <w:t xml:space="preserve"> The authors provide examples for developing transformations and linkages between absolute, relative, relational, and mental spaces. In the </w:t>
      </w:r>
      <w:r w:rsidR="009B7062">
        <w:t>next two sections</w:t>
      </w:r>
      <w:r>
        <w:t xml:space="preserve">, a few thoughts </w:t>
      </w:r>
      <w:r w:rsidR="009B7062">
        <w:t xml:space="preserve">are provided </w:t>
      </w:r>
      <w:r>
        <w:t>to potentially improve different popular measures.</w:t>
      </w:r>
    </w:p>
    <w:p w14:paraId="0D96BF13" w14:textId="4C9D86C0" w:rsidR="00D14D06" w:rsidRDefault="00534223" w:rsidP="00D14D06">
      <w:pPr>
        <w:spacing w:line="480" w:lineRule="auto"/>
        <w:rPr>
          <w:u w:val="single"/>
        </w:rPr>
      </w:pPr>
      <w:r>
        <w:rPr>
          <w:u w:val="single"/>
        </w:rPr>
        <w:t>Location</w:t>
      </w:r>
      <w:r w:rsidR="00D14D06">
        <w:rPr>
          <w:u w:val="single"/>
        </w:rPr>
        <w:t>-based</w:t>
      </w:r>
    </w:p>
    <w:p w14:paraId="3717DF84" w14:textId="65D2524E" w:rsidR="00D14D06" w:rsidRDefault="00D14D06" w:rsidP="00D507EC">
      <w:pPr>
        <w:spacing w:line="480" w:lineRule="auto"/>
        <w:ind w:firstLine="720"/>
      </w:pPr>
      <w:r>
        <w:t xml:space="preserve">While </w:t>
      </w:r>
      <w:r w:rsidR="00534223">
        <w:t>location</w:t>
      </w:r>
      <w:r>
        <w:t xml:space="preserve">-based measures by nature reflect aggregate populations, their unique components (depending on the specific measure) can be extended. </w:t>
      </w:r>
      <w:r w:rsidR="00534223">
        <w:t>Location</w:t>
      </w:r>
      <w:r>
        <w:t>-based measures should go beyond static snapshots in time</w:t>
      </w:r>
      <w:r w:rsidR="00FC6FE3">
        <w:t xml:space="preserve"> (and some scholars have already developed time-</w:t>
      </w:r>
      <w:r w:rsidR="00FC6FE3">
        <w:lastRenderedPageBreak/>
        <w:t xml:space="preserve">sensitive </w:t>
      </w:r>
      <w:r w:rsidR="00534223">
        <w:t>location</w:t>
      </w:r>
      <w:r w:rsidR="00FC6FE3">
        <w:t>-based measures)</w:t>
      </w:r>
      <w:r>
        <w:t xml:space="preserve"> and incorporate multiple criteria beyond physical travel impedance and simplistic notions of location attractiveness. </w:t>
      </w:r>
      <w:r w:rsidRPr="0077714B">
        <w:t>For example, cumulative opportunity measures can incorporate multiple criteria beyond a travel cost distance threshold. In the context of food access, we could identify food opportunities for every geographic unit as inexpensive supermarkets and dollar stores that offer quality produce perceived by other reviewers and accept SNAP benefits reachable by public transit at every hour of a day. Equivalent opportunities in virtual space could similarly be obtained with automated scripts crawling the website of every store and retrieving all last-mile ordering options for all origin locations.</w:t>
      </w:r>
      <w:r>
        <w:t xml:space="preserve"> Gravity measures could recognize distances conceived in other spaces as mentioned previously and include additional attractiveness factors more aligned with people’s preferences.</w:t>
      </w:r>
    </w:p>
    <w:p w14:paraId="2C739DEC" w14:textId="25A421A1" w:rsidR="002B36F2" w:rsidRDefault="002B36F2" w:rsidP="002B36F2">
      <w:pPr>
        <w:spacing w:line="480" w:lineRule="auto"/>
      </w:pPr>
      <w:r>
        <w:rPr>
          <w:u w:val="single"/>
        </w:rPr>
        <w:t>Person-based</w:t>
      </w:r>
    </w:p>
    <w:p w14:paraId="4CF64DAA" w14:textId="7D65CDDC" w:rsidR="002B36F2" w:rsidRPr="002B36F2" w:rsidRDefault="002B36F2" w:rsidP="002B36F2">
      <w:pPr>
        <w:spacing w:line="480" w:lineRule="auto"/>
        <w:ind w:firstLine="720"/>
      </w:pPr>
      <w:r w:rsidRPr="002B36F2">
        <w:t xml:space="preserve">While more data- and </w:t>
      </w:r>
      <w:proofErr w:type="gramStart"/>
      <w:r w:rsidRPr="002B36F2">
        <w:t>computationally-intensive</w:t>
      </w:r>
      <w:proofErr w:type="gramEnd"/>
      <w:r w:rsidRPr="002B36F2">
        <w:t xml:space="preserve"> due to its disaggregate nature, </w:t>
      </w:r>
      <w:r w:rsidR="0040094D">
        <w:t xml:space="preserve">the development of </w:t>
      </w:r>
      <w:r w:rsidRPr="002B36F2">
        <w:t xml:space="preserve">space-time measures </w:t>
      </w:r>
      <w:r w:rsidR="0040094D">
        <w:t xml:space="preserve">in the past </w:t>
      </w:r>
      <w:r w:rsidR="00DE4EFD">
        <w:t>few</w:t>
      </w:r>
      <w:r w:rsidR="0040094D">
        <w:t xml:space="preserve"> decades </w:t>
      </w:r>
      <w:r w:rsidRPr="002B36F2">
        <w:t xml:space="preserve">suggest a momentum towards relative space approaches to access whereby researchers focus on the feasible opportunities, delimited by a set of spatiotemporal constraints, located at different anchor locations in an individual’s daily trajectory. Still, more work can be done to locate relevant opportunities meeting certain criteria within calculated potential path areas (activity spaces). An inexhaustive list of directions come to mind. (1) Integrating the relational aspects of different access dimensions as ‘social flows’ and new topologies of spatial interaction in social-spatial networks that capture movements, communications, and power relationships between people, places, and locations of opportunities </w:t>
      </w:r>
      <w:r w:rsidRPr="002B36F2">
        <w:fldChar w:fldCharType="begin"/>
      </w:r>
      <w:r w:rsidRPr="002B36F2">
        <w:instrText xml:space="preserve"> ADDIN ZOTERO_ITEM CSL_CITATION {"citationID":"9yBV6Scq","properties":{"formattedCitation":"(Andris, 2016; Kwan, 2007)","plainCitation":"(Andris, 2016; Kwan, 2007)","noteIndex":0},"citationItems":[{"id":1047,"uris":["http://zotero.org/users/5090392/items/5TNANZ66"],"itemData":{"id":1047,"type":"article-journal","abstract":"Today, online social media outlets provide new and plentiful sources of data on social networks (SNs) and location-based social networks (LBSNs), i.e., geolocated evidence of connections between individuals. While SNs have been used to show how the magnitude of social connectivity decreases with distance, there are few examples of how to include SNs as layers in a GISystem. If SNs, and thus, interpersonal relationships, could be analyzed in a geographic information system (GIS) setting, we could better model how humans socialize, share information, and form social groups within the complex geographic landscape. Our goal is to facilitate a guide for analyzing SNs (as derived from online social media, telecommunications, surveys, etc.) within geographic space by combining the mature ﬁelds of social network analysis (SNA) and GISystems. First, we describe why modeling socialization in geographic space is essential for understanding human behavior. We then outline best practices and techniques for embedding SN nodes and edges in GISystems by introducing terms like ‘social ﬂow’ and ‘anthrospace’, and categorizations for data and spatial aggregation types. Finally, we explore case study vignettes of SNA within GISystems from diverse regions located in Bolivia, China, Côte d’Ivoire, Singapore, the United Kingdom, and the United States, using concepts such as geolocated dyads, ego–alter relationships, node feature roles, modularity, and network transitivity.","container-title":"International Journal of Geographical Information Science","DOI":"10.1080/13658816.2016.1153103","ISSN":"1365-8816, 1362-3087","journalAbbreviation":"International Journal of Geographical Information Science","language":"en","page":"1-23","source":"DOI.org (Crossref)","title":"Integrating social network data into GISystems","URL":"http://www.tandfonline.com/doi/full/10.1080/13658816.2016.1153103","author":[{"family":"Andris","given":"Clio"}],"accessed":{"date-parts":[["2021",3,21]]},"issued":{"date-parts":[["2016",3,9]]}}},{"id":1163,"uris":["http://zotero.org/users/5090392/items/C22KP9K9"],"itemData":{"id":1163,"type":"article-journal","abstract":"The widespread use of mobile communications is leading to new practices in family life and social life, and these changes have significant implications for the study of urban travel. Because of the adoption of new modes of space-time coordination, changing time use and increasing mobility, changing use of existing urban nodes, the blurring of boundaries between home and work, the importance of social networks and social capital, and the shift to person-to-person connectivity, the spatial structure and processes of interaction among individuals have become much more complicated in this age of mobile communications. Static spatial frameworks based on fixed points (e.g., home or workplace) and distances among them are no longer adequate for understanding urban travel. The study of urban travel now needs new conceptualizations and new methodologies. </w:instrText>
      </w:r>
      <w:r w:rsidRPr="002B36F2">
        <w:rPr>
          <w:rFonts w:ascii="Cambria Math" w:hAnsi="Cambria Math" w:cs="Cambria Math"/>
        </w:rPr>
        <w:instrText>∗</w:instrText>
      </w:r>
      <w:r w:rsidRPr="002B36F2">
        <w:instrText xml:space="preserve">This article is based on the Fleming Lecture in Transportation Geography I delivered at the 102th Annual Meeting of the Association of American Geographers, Chicago, 7–11 March 2006. I thank Jean-Paul Rodrigue for making arrangements for the lecture, and the Department of Geography at the University of Washington for providing support to me for this lecture. I am also grateful to the audience, to Bill Black (who served as the discussant of the session), and to three anonymous reviewers for their very helpful comments. The views expressed in this article remain my responsibility.","container-title":"The Professional Geographer","DOI":"10.1111/j.1467-9272.2007.00633.x","ISSN":"0033-0124","issue":"4","note":"publisher: Routledge\n_eprint: https://doi.org/10.1111/j.1467-9272.2007.00633.x","page":"434-446","source":"Taylor and Francis+NEJM","title":"Mobile Communications, Social Networks, and Urban Travel: Hypertext as a New Metaphor for Conceptualizing Spatial Interaction","title-short":"Mobile Communications, Social Networks, and Urban Travel","URL":"https://doi.org/10.1111/j.1467-9272.2007.00633.x","volume":"59","author":[{"family":"Kwan","given":"Mei-Po"}],"accessed":{"date-parts":[["2021",9,21]]},"issued":{"date-parts":[["2007",11,1]]}}}],"schema":"https://github.com/citation-style-language/schema/raw/master/csl-citation.json"} </w:instrText>
      </w:r>
      <w:r w:rsidRPr="002B36F2">
        <w:fldChar w:fldCharType="separate"/>
      </w:r>
      <w:r w:rsidRPr="002B36F2">
        <w:t>(Andris, 2016; Kwan, 2007)</w:t>
      </w:r>
      <w:r w:rsidRPr="002B36F2">
        <w:fldChar w:fldCharType="end"/>
      </w:r>
      <w:r w:rsidRPr="002B36F2">
        <w:t xml:space="preserve">. For example, space-time measures could also consider the virtual connections between individuals and potential opportunities, which are less bounded by physical travel impedance. Individuals who share some mutual connection can </w:t>
      </w:r>
      <w:r w:rsidRPr="002B36F2">
        <w:lastRenderedPageBreak/>
        <w:t xml:space="preserve">also be topologically connected and their activity spaces linked, and when added with other data layers, we can identify additional opportunities accessible to people and the travel infrastructure that support it. (2) Incorporating mental space as additional attributes representing location attractiveness more closely aligned with the perceptions of people (e.g., refining </w:t>
      </w:r>
      <w:r w:rsidR="001047B0">
        <w:t>opportunity</w:t>
      </w:r>
      <w:r w:rsidRPr="002B36F2">
        <w:t xml:space="preserve"> set to opportunities in a price range contingent upon the individual’s financial capabilities and preferences) and their mental map of different opportunities using best practices in qualitative GIS. Similarly, utility-based measures are especially attractive in </w:t>
      </w:r>
      <w:r w:rsidR="001047B0">
        <w:t>their</w:t>
      </w:r>
      <w:r w:rsidRPr="002B36F2">
        <w:t xml:space="preserve"> inherent nature to model </w:t>
      </w:r>
      <w:proofErr w:type="gramStart"/>
      <w:r w:rsidRPr="002B36F2">
        <w:t>individuals’</w:t>
      </w:r>
      <w:proofErr w:type="gramEnd"/>
      <w:r w:rsidRPr="002B36F2">
        <w:t xml:space="preserve"> perceived maximum utility and reflects a mental space approach. Utility-based measures could also incorporate additional explanatory variables reflecting individual elements of the five dimensions of access that people consider to be important in their decision-making process and their perceived value of opportunities.</w:t>
      </w:r>
    </w:p>
    <w:p w14:paraId="4BC47ABD" w14:textId="26063AC7" w:rsidR="001C6F59" w:rsidRPr="00662649" w:rsidRDefault="001C6F59" w:rsidP="001C6F59">
      <w:pPr>
        <w:pStyle w:val="Heading2"/>
        <w:spacing w:after="240"/>
        <w:jc w:val="center"/>
        <w:rPr>
          <w:rFonts w:ascii="Times New Roman" w:hAnsi="Times New Roman" w:cs="Times New Roman"/>
          <w:b/>
          <w:bCs/>
          <w:color w:val="auto"/>
        </w:rPr>
      </w:pPr>
      <w:bookmarkStart w:id="66" w:name="_Toc114258049"/>
      <w:r w:rsidRPr="00662649">
        <w:rPr>
          <w:rFonts w:ascii="Times New Roman" w:hAnsi="Times New Roman" w:cs="Times New Roman"/>
          <w:b/>
          <w:bCs/>
          <w:color w:val="auto"/>
        </w:rPr>
        <w:t>3.</w:t>
      </w:r>
      <w:r>
        <w:rPr>
          <w:rFonts w:ascii="Times New Roman" w:hAnsi="Times New Roman" w:cs="Times New Roman"/>
          <w:b/>
          <w:bCs/>
          <w:color w:val="auto"/>
        </w:rPr>
        <w:t>4</w:t>
      </w:r>
      <w:r w:rsidRPr="00662649">
        <w:rPr>
          <w:rFonts w:ascii="Times New Roman" w:hAnsi="Times New Roman" w:cs="Times New Roman"/>
          <w:b/>
          <w:bCs/>
          <w:color w:val="auto"/>
        </w:rPr>
        <w:t xml:space="preserve">. </w:t>
      </w:r>
      <w:commentRangeStart w:id="67"/>
      <w:commentRangeStart w:id="68"/>
      <w:r w:rsidRPr="00662649">
        <w:rPr>
          <w:rFonts w:ascii="Times New Roman" w:hAnsi="Times New Roman" w:cs="Times New Roman"/>
          <w:b/>
          <w:bCs/>
          <w:color w:val="auto"/>
        </w:rPr>
        <w:t>SUMMARIZING THE DIMENSIONS OF ACCESS IN HYBRID PHYSICAL-VIRTUAL SPACE</w:t>
      </w:r>
      <w:commentRangeEnd w:id="67"/>
      <w:r>
        <w:rPr>
          <w:rStyle w:val="CommentReference"/>
          <w:rFonts w:ascii="Times New Roman" w:eastAsiaTheme="minorEastAsia" w:hAnsi="Times New Roman" w:cs="Times New Roman"/>
          <w:color w:val="auto"/>
        </w:rPr>
        <w:commentReference w:id="67"/>
      </w:r>
      <w:commentRangeEnd w:id="68"/>
      <w:r w:rsidR="00A23366">
        <w:rPr>
          <w:rStyle w:val="CommentReference"/>
          <w:rFonts w:ascii="Times New Roman" w:eastAsiaTheme="minorEastAsia" w:hAnsi="Times New Roman" w:cs="Times New Roman"/>
          <w:color w:val="auto"/>
        </w:rPr>
        <w:commentReference w:id="68"/>
      </w:r>
      <w:bookmarkEnd w:id="66"/>
    </w:p>
    <w:p w14:paraId="4BA58FBB" w14:textId="3B1906B6" w:rsidR="001C6F59" w:rsidRDefault="00EE32B7" w:rsidP="001047B0">
      <w:pPr>
        <w:spacing w:line="480" w:lineRule="auto"/>
        <w:ind w:firstLine="720"/>
      </w:pPr>
      <w:r>
        <w:t>The broader goal</w:t>
      </w:r>
      <w:r w:rsidRPr="00EE32B7">
        <w:t xml:space="preserve"> </w:t>
      </w:r>
      <w:r>
        <w:t xml:space="preserve">in the development of a conceptual framework of access </w:t>
      </w:r>
      <w:r w:rsidR="004035EE">
        <w:t xml:space="preserve">in today’s hybrid physical-virtual space </w:t>
      </w:r>
      <w:r w:rsidRPr="00EE32B7">
        <w:t xml:space="preserve">is promoting a holistic approach to understanding access that captures a diversity of today’s human experiences. How </w:t>
      </w:r>
      <w:r w:rsidR="004035EE">
        <w:t>the proposed</w:t>
      </w:r>
      <w:r w:rsidRPr="00EE32B7">
        <w:t xml:space="preserve"> concepts are applied depends on the specific question(s) related to access. Ultimately, </w:t>
      </w:r>
      <w:r w:rsidR="004035EE">
        <w:t>the</w:t>
      </w:r>
      <w:r w:rsidRPr="00EE32B7">
        <w:t xml:space="preserve"> </w:t>
      </w:r>
      <w:proofErr w:type="spellStart"/>
      <w:r w:rsidRPr="00EE32B7">
        <w:t>multispace</w:t>
      </w:r>
      <w:proofErr w:type="spellEnd"/>
      <w:r w:rsidRPr="00EE32B7">
        <w:t>, multidimensional conceptual framework of access in a hybrid physical-virtual space can be a starting point to improve understanding of access in our communities.</w:t>
      </w:r>
      <w:r>
        <w:t xml:space="preserve"> </w:t>
      </w:r>
      <w:r w:rsidR="001C6F59">
        <w:t xml:space="preserve">Extending each access dimension of access in hybrid space from four different conceptualizations of space enables consideration of the </w:t>
      </w:r>
      <w:proofErr w:type="gramStart"/>
      <w:r w:rsidR="001C6F59">
        <w:t>particular impacts</w:t>
      </w:r>
      <w:proofErr w:type="gramEnd"/>
      <w:r w:rsidR="001C6F59">
        <w:t xml:space="preserve"> of modern ICT on opportunities to human needs. We develop new definitions for the access dimensions:</w:t>
      </w:r>
    </w:p>
    <w:p w14:paraId="2987E86E" w14:textId="4B6C7F54" w:rsidR="001C6F59" w:rsidRPr="00B14F95" w:rsidRDefault="001C6F59" w:rsidP="001C6F59">
      <w:pPr>
        <w:pStyle w:val="ListParagraph"/>
        <w:numPr>
          <w:ilvl w:val="0"/>
          <w:numId w:val="12"/>
        </w:numPr>
        <w:spacing w:line="480" w:lineRule="auto"/>
      </w:pPr>
      <w:r w:rsidRPr="00B14F95">
        <w:lastRenderedPageBreak/>
        <w:t>Availability</w:t>
      </w:r>
      <w:r>
        <w:t xml:space="preserve">: </w:t>
      </w:r>
      <w:r w:rsidRPr="00B14F95">
        <w:t>presence</w:t>
      </w:r>
      <w:r w:rsidR="00503EFB">
        <w:t xml:space="preserve"> and diversity</w:t>
      </w:r>
      <w:r w:rsidRPr="00B14F95">
        <w:t xml:space="preserve"> of physical and virtual locations </w:t>
      </w:r>
      <w:r>
        <w:t>containing</w:t>
      </w:r>
      <w:r w:rsidRPr="00B14F95">
        <w:t xml:space="preserve"> desired </w:t>
      </w:r>
      <w:r>
        <w:t>opportunities</w:t>
      </w:r>
      <w:r w:rsidRPr="00B14F95">
        <w:t xml:space="preserve"> which </w:t>
      </w:r>
      <w:r>
        <w:t xml:space="preserve">are known to and </w:t>
      </w:r>
      <w:r w:rsidRPr="00B14F95">
        <w:t xml:space="preserve">meet the needs of </w:t>
      </w:r>
      <w:r>
        <w:t>people.</w:t>
      </w:r>
    </w:p>
    <w:p w14:paraId="5DEC823A" w14:textId="77777777" w:rsidR="001C6F59" w:rsidRPr="00B14F95" w:rsidRDefault="001C6F59" w:rsidP="001C6F59">
      <w:pPr>
        <w:pStyle w:val="ListParagraph"/>
        <w:numPr>
          <w:ilvl w:val="0"/>
          <w:numId w:val="12"/>
        </w:numPr>
        <w:spacing w:line="480" w:lineRule="auto"/>
      </w:pPr>
      <w:r w:rsidRPr="00B14F95">
        <w:t>Accessibility</w:t>
      </w:r>
      <w:r>
        <w:t xml:space="preserve">: </w:t>
      </w:r>
      <w:r w:rsidRPr="00B14F95">
        <w:t>relationship between the location</w:t>
      </w:r>
      <w:r>
        <w:t>s</w:t>
      </w:r>
      <w:r w:rsidRPr="00B14F95">
        <w:t xml:space="preserve"> of </w:t>
      </w:r>
      <w:r>
        <w:t>opportunities</w:t>
      </w:r>
      <w:r w:rsidRPr="00B14F95">
        <w:t xml:space="preserve"> and </w:t>
      </w:r>
      <w:r>
        <w:t>people</w:t>
      </w:r>
      <w:r w:rsidRPr="00B14F95">
        <w:t xml:space="preserve">, considering </w:t>
      </w:r>
      <w:r>
        <w:t>existing land-use and transport systems, individual characteristics, ICT resources, social relations, and perceptions.</w:t>
      </w:r>
    </w:p>
    <w:p w14:paraId="554CC2BC" w14:textId="77777777" w:rsidR="001C6F59" w:rsidRPr="00B14F95" w:rsidRDefault="001C6F59" w:rsidP="001C6F59">
      <w:pPr>
        <w:pStyle w:val="ListParagraph"/>
        <w:numPr>
          <w:ilvl w:val="0"/>
          <w:numId w:val="12"/>
        </w:numPr>
        <w:spacing w:line="480" w:lineRule="auto"/>
      </w:pPr>
      <w:r w:rsidRPr="00B14F95">
        <w:t>Accommodation</w:t>
      </w:r>
      <w:r>
        <w:t xml:space="preserve">: </w:t>
      </w:r>
      <w:r w:rsidRPr="00B14F95">
        <w:t>physical</w:t>
      </w:r>
      <w:r>
        <w:t xml:space="preserve">, </w:t>
      </w:r>
      <w:r w:rsidRPr="00B14F95">
        <w:t>virtual</w:t>
      </w:r>
      <w:r>
        <w:t>, and social</w:t>
      </w:r>
      <w:r w:rsidRPr="00B14F95">
        <w:t xml:space="preserve"> infrastructure and system(s) in place </w:t>
      </w:r>
      <w:r>
        <w:t>that are appropriate for people.</w:t>
      </w:r>
    </w:p>
    <w:p w14:paraId="7CD79410" w14:textId="77777777" w:rsidR="001C6F59" w:rsidRPr="00B14F95" w:rsidRDefault="001C6F59" w:rsidP="001C6F59">
      <w:pPr>
        <w:pStyle w:val="ListParagraph"/>
        <w:numPr>
          <w:ilvl w:val="0"/>
          <w:numId w:val="12"/>
        </w:numPr>
        <w:spacing w:line="480" w:lineRule="auto"/>
      </w:pPr>
      <w:r w:rsidRPr="00B14F95">
        <w:t>Affordability</w:t>
      </w:r>
      <w:r>
        <w:t xml:space="preserve">: </w:t>
      </w:r>
      <w:r w:rsidRPr="00B14F95">
        <w:t xml:space="preserve">ability and willingness of </w:t>
      </w:r>
      <w:r>
        <w:t>people</w:t>
      </w:r>
      <w:r w:rsidRPr="00B14F95">
        <w:t xml:space="preserve"> to overcome cost(s) of accessing </w:t>
      </w:r>
      <w:r>
        <w:t>opportunities with</w:t>
      </w:r>
      <w:r w:rsidRPr="00B14F95">
        <w:t xml:space="preserve"> virtual space provid</w:t>
      </w:r>
      <w:r>
        <w:t>ing</w:t>
      </w:r>
      <w:r w:rsidRPr="00B14F95">
        <w:t xml:space="preserve"> a</w:t>
      </w:r>
      <w:r>
        <w:t>dditional mechanisms to finance and/or reduce cost.</w:t>
      </w:r>
    </w:p>
    <w:p w14:paraId="75582DFC" w14:textId="513A478A" w:rsidR="001C6F59" w:rsidRDefault="001C6F59" w:rsidP="001C6F59">
      <w:pPr>
        <w:pStyle w:val="ListParagraph"/>
        <w:numPr>
          <w:ilvl w:val="0"/>
          <w:numId w:val="12"/>
        </w:numPr>
        <w:spacing w:line="480" w:lineRule="auto"/>
      </w:pPr>
      <w:r w:rsidRPr="00B14F95">
        <w:t>Acceptability</w:t>
      </w:r>
      <w:r>
        <w:t xml:space="preserve">: </w:t>
      </w:r>
      <w:r w:rsidRPr="00B14F95">
        <w:t xml:space="preserve">reciprocal relationship between the subjective attitudes and preferences of </w:t>
      </w:r>
      <w:r>
        <w:t>people</w:t>
      </w:r>
      <w:r w:rsidRPr="00B14F95">
        <w:t xml:space="preserve"> and </w:t>
      </w:r>
      <w:r>
        <w:t>opportunities</w:t>
      </w:r>
      <w:r w:rsidRPr="00B14F95">
        <w:t xml:space="preserve">, shaped </w:t>
      </w:r>
      <w:r>
        <w:t>partially</w:t>
      </w:r>
      <w:r w:rsidRPr="00B14F95">
        <w:t xml:space="preserve"> by social interactions in </w:t>
      </w:r>
      <w:r>
        <w:t xml:space="preserve">a hybrid </w:t>
      </w:r>
      <w:r w:rsidRPr="00B14F95">
        <w:t>physical</w:t>
      </w:r>
      <w:r>
        <w:t>-</w:t>
      </w:r>
      <w:r w:rsidRPr="00B14F95">
        <w:t>virtual space.</w:t>
      </w:r>
    </w:p>
    <w:p w14:paraId="43D76B06" w14:textId="2964A2C9" w:rsidR="00996C5E" w:rsidRDefault="00996C5E" w:rsidP="00996C5E">
      <w:pPr>
        <w:spacing w:line="480" w:lineRule="auto"/>
        <w:ind w:firstLine="720"/>
      </w:pPr>
      <w:r w:rsidRPr="00996C5E">
        <w:t xml:space="preserve">Paralleling the emerging context of society in a hybrid physical-virtual world is growing fervor among the academic community to transition from a mobility-oriented to an accessibility-oriented approach in transportation planning for improved sustainability and quality of life (Handy, 2020). Despite research dating back to the 1950s (Hansen, 1959), there remain major barriers for the adoption and implementation of access in practice because of the absence of a common conceptual understanding. As </w:t>
      </w:r>
      <w:proofErr w:type="spellStart"/>
      <w:r w:rsidRPr="00996C5E">
        <w:t>Neutens</w:t>
      </w:r>
      <w:proofErr w:type="spellEnd"/>
      <w:r w:rsidRPr="00996C5E">
        <w:t xml:space="preserve"> et al. (2010) demonstrated in the context of the social equity of urban services provision, how space, time, and behavior are conceptualized results in very different outcomes and articulations of interpersonal differences in both </w:t>
      </w:r>
      <w:r w:rsidR="00534223">
        <w:t>location</w:t>
      </w:r>
      <w:r w:rsidRPr="00996C5E">
        <w:t xml:space="preserve">-based and person-based measures. More than ever, we need a common understanding of what </w:t>
      </w:r>
      <w:r w:rsidRPr="00996C5E">
        <w:lastRenderedPageBreak/>
        <w:t xml:space="preserve">access entails and a serious reconsideration </w:t>
      </w:r>
      <w:proofErr w:type="gramStart"/>
      <w:r w:rsidRPr="00996C5E">
        <w:t>in light of</w:t>
      </w:r>
      <w:proofErr w:type="gramEnd"/>
      <w:r w:rsidRPr="00996C5E">
        <w:t xml:space="preserve"> complex social and behavioral changes resulting from increasing technologization across the world.</w:t>
      </w:r>
    </w:p>
    <w:p w14:paraId="4059F657" w14:textId="2FAD6F16" w:rsidR="0008362A" w:rsidRDefault="0008362A" w:rsidP="00996C5E">
      <w:pPr>
        <w:spacing w:line="480" w:lineRule="auto"/>
        <w:ind w:firstLine="720"/>
      </w:pPr>
      <w:r w:rsidRPr="0008362A">
        <w:t>The conceptual framework articulate</w:t>
      </w:r>
      <w:r>
        <w:t>d</w:t>
      </w:r>
      <w:r w:rsidRPr="0008362A">
        <w:t xml:space="preserve"> is a synthesis of extant scholarship on accessibility concepts contextualized in an increasingly hybrid physical-virtual world. People are central to questions of access; locations and activities are only the desired end-goals for people to meet their various needs. </w:t>
      </w:r>
      <w:r w:rsidR="00423EAF">
        <w:t>The</w:t>
      </w:r>
      <w:r w:rsidRPr="0008362A">
        <w:t xml:space="preserve"> reflection on each access dimension considered from absolute, relative, relational, and mental space urges us to think more comprehensively and holistically about the different contributing factors to access and to view them as an integrated whole. Access is </w:t>
      </w:r>
      <w:r w:rsidR="00423EAF">
        <w:t xml:space="preserve">dynamic, </w:t>
      </w:r>
      <w:r w:rsidRPr="0008362A">
        <w:t xml:space="preserve">context-specific, </w:t>
      </w:r>
      <w:r w:rsidR="000F2280">
        <w:t xml:space="preserve">driven by relationships and interactions, and perceived differently between individuals. </w:t>
      </w:r>
      <w:r w:rsidRPr="0008362A">
        <w:t>Land use and transport systems, ICT, travel behavior, temporal constraints, social relations, perceptions, and personal characteristics must not be viewed in isolation from each other or else we could seriously overlook the different situations experienced between individuals and places and inaccurately estimate the abilities and opportunities for people to meet their different needs. We envision that our conceptual framework can serve as a common lexicon for which academics and practitioners across disciplines can use to advance adoption of the accessibility paradigm in future planning efforts. Its application would be informed by the objective at hand, whether it be social equity, sustainability, etc. And we hope that this encourages more human-centric and integrated research that can also advance existing methods to understand the inequalities in access between people and regions.</w:t>
      </w:r>
    </w:p>
    <w:p w14:paraId="24AAF143" w14:textId="77777777" w:rsidR="002B36F2" w:rsidRPr="002B36F2" w:rsidRDefault="002B36F2" w:rsidP="002B36F2">
      <w:pPr>
        <w:spacing w:line="480" w:lineRule="auto"/>
      </w:pPr>
    </w:p>
    <w:p w14:paraId="048FE092" w14:textId="77777777" w:rsidR="00D507EC" w:rsidRDefault="00D507EC" w:rsidP="00D14D06">
      <w:pPr>
        <w:spacing w:line="240" w:lineRule="auto"/>
      </w:pPr>
    </w:p>
    <w:p w14:paraId="5CE08D10" w14:textId="77777777" w:rsidR="005C172A" w:rsidRDefault="005C172A">
      <w:pPr>
        <w:rPr>
          <w:rFonts w:eastAsiaTheme="majorEastAsia"/>
          <w:b/>
          <w:bCs/>
          <w:sz w:val="32"/>
          <w:szCs w:val="32"/>
        </w:rPr>
      </w:pPr>
      <w:r>
        <w:rPr>
          <w:b/>
          <w:bCs/>
        </w:rPr>
        <w:br w:type="page"/>
      </w:r>
    </w:p>
    <w:p w14:paraId="0E879244" w14:textId="7F16ECEA" w:rsidR="000E4A84" w:rsidRPr="00662649" w:rsidRDefault="00EC36AE" w:rsidP="00662649">
      <w:pPr>
        <w:pStyle w:val="Heading1"/>
        <w:spacing w:after="240"/>
        <w:jc w:val="center"/>
        <w:rPr>
          <w:rFonts w:ascii="Times New Roman" w:hAnsi="Times New Roman" w:cs="Times New Roman"/>
          <w:b/>
          <w:bCs/>
          <w:color w:val="auto"/>
        </w:rPr>
      </w:pPr>
      <w:bookmarkStart w:id="69" w:name="_Toc114258050"/>
      <w:r>
        <w:rPr>
          <w:rFonts w:ascii="Times New Roman" w:hAnsi="Times New Roman" w:cs="Times New Roman"/>
          <w:b/>
          <w:bCs/>
          <w:color w:val="auto"/>
        </w:rPr>
        <w:lastRenderedPageBreak/>
        <w:t xml:space="preserve">CHAPTER 4. </w:t>
      </w:r>
      <w:r w:rsidR="003C09CC">
        <w:rPr>
          <w:rFonts w:ascii="Times New Roman" w:hAnsi="Times New Roman" w:cs="Times New Roman"/>
          <w:b/>
          <w:bCs/>
          <w:color w:val="auto"/>
        </w:rPr>
        <w:t>METHODOLOGICAL FRAMEWORK</w:t>
      </w:r>
      <w:bookmarkEnd w:id="69"/>
    </w:p>
    <w:p w14:paraId="7D097586" w14:textId="55E3C089" w:rsidR="00751AEA" w:rsidRPr="00662649" w:rsidRDefault="000E4A84" w:rsidP="00662649">
      <w:pPr>
        <w:pStyle w:val="Heading2"/>
        <w:spacing w:after="240"/>
        <w:jc w:val="center"/>
        <w:rPr>
          <w:rFonts w:ascii="Times New Roman" w:hAnsi="Times New Roman" w:cs="Times New Roman"/>
          <w:b/>
          <w:bCs/>
          <w:color w:val="auto"/>
        </w:rPr>
      </w:pPr>
      <w:bookmarkStart w:id="70" w:name="_Toc114258051"/>
      <w:r w:rsidRPr="00662649">
        <w:rPr>
          <w:rFonts w:ascii="Times New Roman" w:hAnsi="Times New Roman" w:cs="Times New Roman"/>
          <w:b/>
          <w:bCs/>
          <w:color w:val="auto"/>
        </w:rPr>
        <w:t>4</w:t>
      </w:r>
      <w:r w:rsidR="00547854" w:rsidRPr="00662649">
        <w:rPr>
          <w:rFonts w:ascii="Times New Roman" w:hAnsi="Times New Roman" w:cs="Times New Roman"/>
          <w:b/>
          <w:bCs/>
          <w:color w:val="auto"/>
        </w:rPr>
        <w:t>.1</w:t>
      </w:r>
      <w:r w:rsidR="00DD1350" w:rsidRPr="00662649">
        <w:rPr>
          <w:rFonts w:ascii="Times New Roman" w:hAnsi="Times New Roman" w:cs="Times New Roman"/>
          <w:b/>
          <w:bCs/>
          <w:color w:val="auto"/>
        </w:rPr>
        <w:t>.</w:t>
      </w:r>
      <w:r w:rsidR="00547854" w:rsidRPr="00662649">
        <w:rPr>
          <w:rFonts w:ascii="Times New Roman" w:hAnsi="Times New Roman" w:cs="Times New Roman"/>
          <w:b/>
          <w:bCs/>
          <w:color w:val="auto"/>
        </w:rPr>
        <w:t xml:space="preserve"> </w:t>
      </w:r>
      <w:r w:rsidR="00662649">
        <w:rPr>
          <w:rFonts w:ascii="Times New Roman" w:hAnsi="Times New Roman" w:cs="Times New Roman"/>
          <w:b/>
          <w:bCs/>
          <w:color w:val="auto"/>
        </w:rPr>
        <w:t>STUDY AREA</w:t>
      </w:r>
      <w:bookmarkEnd w:id="70"/>
    </w:p>
    <w:p w14:paraId="1AFF3CA4" w14:textId="6F37A06C" w:rsidR="00E2265A" w:rsidRDefault="00547854" w:rsidP="00156BEA">
      <w:pPr>
        <w:spacing w:line="480" w:lineRule="auto"/>
      </w:pPr>
      <w:r>
        <w:tab/>
        <w:t xml:space="preserve">The study area concerns Knox County, Tennessee, United States of America. </w:t>
      </w:r>
      <w:r w:rsidR="00E2265A">
        <w:t xml:space="preserve">Located in the center of the county, Knoxville is especially appropriate for this research as it was the first city in the whole country to establish an official food policy council for ameliorating inequities in food access back on July 1, 1982 </w:t>
      </w:r>
      <w:r w:rsidR="00E2265A">
        <w:fldChar w:fldCharType="begin"/>
      </w:r>
      <w:r w:rsidR="00E2265A">
        <w:instrText xml:space="preserve"> ADDIN ZOTERO_ITEM CSL_CITATION {"citationID":"GA7DwjzQ","properties":{"formattedCitation":"(Knoxville-Knox County Food Policy Council, 2021)","plainCitation":"(Knoxville-Knox County Food Policy Council, 2021)","noteIndex":0},"citationItems":[{"id":1101,"uris":["http://zotero.org/users/5090392/items/N8UCL2HN"],"itemData":{"id":1101,"type":"post-weblog","language":"en-US","title":"History – Knoxville-Knox County Food Policy Council","URL":"http://www.knoxfood.org/history/","author":[{"literal":"Knoxville-Knox County Food Policy Council"}],"accessed":{"date-parts":[["2021",7,16]]},"issued":{"date-parts":[["2021"]]}}}],"schema":"https://github.com/citation-style-language/schema/raw/master/csl-citation.json"} </w:instrText>
      </w:r>
      <w:r w:rsidR="00E2265A">
        <w:fldChar w:fldCharType="separate"/>
      </w:r>
      <w:r w:rsidR="00967900" w:rsidRPr="00967900">
        <w:t>(Knoxville-Knox County Food Policy Council, 2021)</w:t>
      </w:r>
      <w:r w:rsidR="00E2265A">
        <w:fldChar w:fldCharType="end"/>
      </w:r>
      <w:r w:rsidR="00E2265A">
        <w:t xml:space="preserve">. </w:t>
      </w:r>
      <w:r>
        <w:t>While the city proper is characterized as urban with a relatively high density of healthy and nutritious food purveyors (e.g., grocery stores and supermarkets), many people live in significant portions of the county w</w:t>
      </w:r>
      <w:r w:rsidR="00E2265A">
        <w:t>here</w:t>
      </w:r>
      <w:r>
        <w:t xml:space="preserve"> few places provid</w:t>
      </w:r>
      <w:r w:rsidR="00E2265A">
        <w:t>e</w:t>
      </w:r>
      <w:r>
        <w:t xml:space="preserve"> such foods.</w:t>
      </w:r>
      <w:r w:rsidR="00E2265A">
        <w:t xml:space="preserve"> The Food Access Research Atlas by the United States Department of Agriculture (USDA) identified over twenty census tracts throughout the county with poor access to fresh, healthy, and affordable food </w:t>
      </w:r>
      <w:r w:rsidR="00E2265A">
        <w:fldChar w:fldCharType="begin"/>
      </w:r>
      <w:r w:rsidR="00E2265A">
        <w:instrText xml:space="preserve"> ADDIN ZOTERO_ITEM CSL_CITATION {"citationID":"MCe49sZ9","properties":{"formattedCitation":"(USDA Economic Research Service, 2019)","plainCitation":"(USDA Economic Research Service, 2019)","noteIndex":0},"citationItems":[{"id":875,"uris":["http://zotero.org/users/5090392/items/TWN8QTSP"],"itemData":{"id":875,"type":"webpage","container-title":"Food Access Research Atlas: Documentation","title":"USDA ERS - Documentation","URL":"https://www.ers.usda.gov/data-products/food-access-research-atlas/documentation/","author":[{"literal":"USDA Economic Research Service"}],"accessed":{"date-parts":[["2021",2,18]]},"issued":{"date-parts":[["2019",10,31]]}}}],"schema":"https://github.com/citation-style-language/schema/raw/master/csl-citation.json"} </w:instrText>
      </w:r>
      <w:r w:rsidR="00E2265A">
        <w:fldChar w:fldCharType="separate"/>
      </w:r>
      <w:r w:rsidR="00967900" w:rsidRPr="00967900">
        <w:t>(USDA Economic Research Service, 2019)</w:t>
      </w:r>
      <w:r w:rsidR="00E2265A">
        <w:fldChar w:fldCharType="end"/>
      </w:r>
      <w:r w:rsidR="00E2265A">
        <w:t xml:space="preserve">. </w:t>
      </w:r>
      <w:r w:rsidR="005013D8">
        <w:t xml:space="preserve">However, their mapping tool only considers a few characteristics in determining whether a census tract has low access; namely, whether there are </w:t>
      </w:r>
      <w:proofErr w:type="gramStart"/>
      <w:r w:rsidR="005013D8">
        <w:t>a sufficient number of</w:t>
      </w:r>
      <w:proofErr w:type="gramEnd"/>
      <w:r w:rsidR="005013D8">
        <w:t xml:space="preserve"> low-income residents who live more than an arbitrary </w:t>
      </w:r>
      <w:r w:rsidR="001C4668">
        <w:t xml:space="preserve">driving or walking </w:t>
      </w:r>
      <w:r w:rsidR="005013D8">
        <w:t>distance threshold away from the nearest grocery store. This approach assumes that all individuals within a census tract experience the same situations of food access and that access can only be distinguished between low and non-low</w:t>
      </w:r>
      <w:r w:rsidR="00117051">
        <w:t xml:space="preserve"> </w:t>
      </w:r>
      <w:r w:rsidR="00117051">
        <w:fldChar w:fldCharType="begin"/>
      </w:r>
      <w:r w:rsidR="00117051">
        <w:instrText xml:space="preserve"> ADDIN ZOTERO_ITEM CSL_CITATION {"citationID":"6ti8nRP1","properties":{"formattedCitation":"(Widener, 2018)","plainCitation":"(Widener, 2018)","noteIndex":0},"citationItems":[{"id":684,"uris":["http://zotero.org/users/5090392/items/G23ENZGI"],"itemData":{"id":684,"type":"article-journal","abstract":"The food desert metaphor has been widely used over the past few decades as a way to identify regions as being at risk for having little or no access to healthy food. While the simplicity of the metaphor is attractive, this article argues that its usefulness to researchers interested in understanding the relationship between the geography of healthy food opportunities and dietary behaviours is limited. More nuanced approaches to incorporating geography into food access studies, like including transportation, economic factors, and time use, in addition to considering other dimensions of accessibility, are warranted.","collection-title":"The Pace of Life and Feeding: Health Implications","container-title":"Physiology &amp; Behavior","DOI":"10.1016/j.physbeh.2018.02.032","ISSN":"0031-9384","journalAbbreviation":"Physiology &amp; Behavior","language":"en","page":"257-260","source":"ScienceDirect","title":"Spatial access to food: Retiring the food desert metaphor","title-short":"Spatial access to food","URL":"http://www.sciencedirect.com/science/article/pii/S003193841830091X","volume":"193","author":[{"family":"Widener","given":"Michael J."}],"accessed":{"date-parts":[["2020",11,27]]},"issued":{"date-parts":[["2018",9,1]]}}}],"schema":"https://github.com/citation-style-language/schema/raw/master/csl-citation.json"} </w:instrText>
      </w:r>
      <w:r w:rsidR="00117051">
        <w:fldChar w:fldCharType="separate"/>
      </w:r>
      <w:r w:rsidR="00967900" w:rsidRPr="00967900">
        <w:t>(Widener, 2018)</w:t>
      </w:r>
      <w:r w:rsidR="00117051">
        <w:fldChar w:fldCharType="end"/>
      </w:r>
      <w:r w:rsidR="00117051">
        <w:t>.</w:t>
      </w:r>
      <w:r w:rsidR="005013D8">
        <w:t xml:space="preserve"> </w:t>
      </w:r>
      <w:r w:rsidR="005013D8" w:rsidRPr="00DD3D1B">
        <w:t xml:space="preserve">As discussed previously, there exists many other factors </w:t>
      </w:r>
      <w:r w:rsidR="00736531">
        <w:t xml:space="preserve">and </w:t>
      </w:r>
      <w:r w:rsidR="00F128BE">
        <w:t xml:space="preserve">dimensions </w:t>
      </w:r>
      <w:r w:rsidR="005013D8" w:rsidRPr="00DD3D1B">
        <w:t>shaping access to food for individuals</w:t>
      </w:r>
      <w:r w:rsidR="00117051" w:rsidRPr="00DD3D1B">
        <w:t xml:space="preserve">. </w:t>
      </w:r>
      <w:r w:rsidR="00DD3D1B">
        <w:t>But d</w:t>
      </w:r>
      <w:r w:rsidR="00117051">
        <w:t>espite some shortcomings, the findings from the atlas should not be entirely overlooked.</w:t>
      </w:r>
    </w:p>
    <w:p w14:paraId="7DA03D11" w14:textId="0801BD1D" w:rsidR="00117051" w:rsidRDefault="00117051" w:rsidP="00156BEA">
      <w:pPr>
        <w:spacing w:line="480" w:lineRule="auto"/>
      </w:pPr>
      <w:r>
        <w:tab/>
      </w:r>
      <w:proofErr w:type="gramStart"/>
      <w:r w:rsidR="00E13045">
        <w:t xml:space="preserve">Similar </w:t>
      </w:r>
      <w:r>
        <w:t>to</w:t>
      </w:r>
      <w:proofErr w:type="gramEnd"/>
      <w:r>
        <w:t xml:space="preserve"> many other regions in the southern United States</w:t>
      </w:r>
      <w:r w:rsidR="00E13045">
        <w:t xml:space="preserve"> and cities in Tennessee</w:t>
      </w:r>
      <w:r>
        <w:t xml:space="preserve">, Knox County is characterized by automobile-oriented suburbs with a small high-density urban environment in the heart of downtown Knoxville. There is limited public transit in the form of the Knoxville Area Transit bus network throughout the county and trolley system coursing </w:t>
      </w:r>
      <w:r>
        <w:lastRenderedPageBreak/>
        <w:t xml:space="preserve">through downtown. Walkability is relatively inferior </w:t>
      </w:r>
      <w:r w:rsidR="00E13045">
        <w:t>compared to many larger cities in the United States. In turn, mobility is often dictated by the means of transportation available to individuals. Together with the county’s history in food policy and transportation infrastructure, Knox County presents an interesting setting for research on food access in today’s world.</w:t>
      </w:r>
    </w:p>
    <w:p w14:paraId="45C0AF8B" w14:textId="50EFA21C" w:rsidR="00793F1A" w:rsidRPr="00662649" w:rsidRDefault="000E4A84" w:rsidP="00662649">
      <w:pPr>
        <w:pStyle w:val="Heading2"/>
        <w:spacing w:after="240"/>
        <w:jc w:val="center"/>
        <w:rPr>
          <w:rFonts w:ascii="Times New Roman" w:hAnsi="Times New Roman" w:cs="Times New Roman"/>
          <w:b/>
          <w:bCs/>
          <w:color w:val="auto"/>
        </w:rPr>
      </w:pPr>
      <w:bookmarkStart w:id="71" w:name="_Toc114258052"/>
      <w:commentRangeStart w:id="72"/>
      <w:commentRangeStart w:id="73"/>
      <w:r w:rsidRPr="00662649">
        <w:rPr>
          <w:rFonts w:ascii="Times New Roman" w:hAnsi="Times New Roman" w:cs="Times New Roman"/>
          <w:b/>
          <w:bCs/>
          <w:color w:val="auto"/>
        </w:rPr>
        <w:t>4</w:t>
      </w:r>
      <w:r w:rsidR="00793F1A" w:rsidRPr="00662649">
        <w:rPr>
          <w:rFonts w:ascii="Times New Roman" w:hAnsi="Times New Roman" w:cs="Times New Roman"/>
          <w:b/>
          <w:bCs/>
          <w:color w:val="auto"/>
        </w:rPr>
        <w:t>.2</w:t>
      </w:r>
      <w:r w:rsidR="00DD1350" w:rsidRPr="00662649">
        <w:rPr>
          <w:rFonts w:ascii="Times New Roman" w:hAnsi="Times New Roman" w:cs="Times New Roman"/>
          <w:b/>
          <w:bCs/>
          <w:color w:val="auto"/>
        </w:rPr>
        <w:t>.</w:t>
      </w:r>
      <w:r w:rsidR="00793F1A" w:rsidRPr="00662649">
        <w:rPr>
          <w:rFonts w:ascii="Times New Roman" w:hAnsi="Times New Roman" w:cs="Times New Roman"/>
          <w:color w:val="auto"/>
        </w:rPr>
        <w:t xml:space="preserve"> </w:t>
      </w:r>
      <w:r w:rsidR="00793F1A" w:rsidRPr="00662649">
        <w:rPr>
          <w:rFonts w:ascii="Times New Roman" w:hAnsi="Times New Roman" w:cs="Times New Roman"/>
          <w:b/>
          <w:bCs/>
          <w:color w:val="auto"/>
        </w:rPr>
        <w:t>D</w:t>
      </w:r>
      <w:r w:rsidR="00662649">
        <w:rPr>
          <w:rFonts w:ascii="Times New Roman" w:hAnsi="Times New Roman" w:cs="Times New Roman"/>
          <w:b/>
          <w:bCs/>
          <w:color w:val="auto"/>
        </w:rPr>
        <w:t>ATA AND METHODOLOGY</w:t>
      </w:r>
      <w:commentRangeEnd w:id="72"/>
      <w:r w:rsidR="00A90BAF">
        <w:rPr>
          <w:rStyle w:val="CommentReference"/>
          <w:rFonts w:ascii="Times New Roman" w:eastAsiaTheme="minorEastAsia" w:hAnsi="Times New Roman" w:cs="Times New Roman"/>
          <w:color w:val="auto"/>
        </w:rPr>
        <w:commentReference w:id="72"/>
      </w:r>
      <w:commentRangeEnd w:id="73"/>
      <w:r w:rsidR="00842E94">
        <w:rPr>
          <w:rStyle w:val="CommentReference"/>
          <w:rFonts w:ascii="Times New Roman" w:eastAsiaTheme="minorEastAsia" w:hAnsi="Times New Roman" w:cs="Times New Roman"/>
          <w:color w:val="auto"/>
        </w:rPr>
        <w:commentReference w:id="73"/>
      </w:r>
      <w:bookmarkEnd w:id="71"/>
    </w:p>
    <w:p w14:paraId="793F5E2C" w14:textId="20883407" w:rsidR="00CE5E33" w:rsidRDefault="00CE5E33" w:rsidP="00156BEA">
      <w:pPr>
        <w:spacing w:line="480" w:lineRule="auto"/>
      </w:pPr>
      <w:r>
        <w:tab/>
      </w:r>
      <w:r w:rsidR="003F5305">
        <w:t>To carry out t</w:t>
      </w:r>
      <w:r w:rsidR="00DC47BD">
        <w:t>his research, a variety of approaches were taken to procure</w:t>
      </w:r>
      <w:r w:rsidR="00477C86">
        <w:t>, clean, and manipulate</w:t>
      </w:r>
      <w:r w:rsidR="00DC47BD">
        <w:t xml:space="preserve"> necessary data</w:t>
      </w:r>
      <w:r w:rsidR="00F128BE">
        <w:t xml:space="preserve"> used to </w:t>
      </w:r>
      <w:r w:rsidR="00AD1DE7">
        <w:t>understand the different dimensions of access and ultimately the potential opportunities accessible to individuals</w:t>
      </w:r>
      <w:r w:rsidR="000C1C35">
        <w:t xml:space="preserve">. </w:t>
      </w:r>
      <w:r>
        <w:t>The</w:t>
      </w:r>
      <w:r w:rsidR="00835EEB">
        <w:t>re are four</w:t>
      </w:r>
      <w:r w:rsidR="00814EF9">
        <w:t xml:space="preserve"> main</w:t>
      </w:r>
      <w:r w:rsidR="00835EEB">
        <w:t xml:space="preserve"> datasets associated with this dissertation research:</w:t>
      </w:r>
    </w:p>
    <w:p w14:paraId="262ECBD1" w14:textId="1A938E5B" w:rsidR="006820E3" w:rsidRDefault="006820E3" w:rsidP="00156BEA">
      <w:pPr>
        <w:pStyle w:val="ListParagraph"/>
        <w:numPr>
          <w:ilvl w:val="0"/>
          <w:numId w:val="1"/>
        </w:numPr>
        <w:spacing w:line="480" w:lineRule="auto"/>
      </w:pPr>
      <w:r>
        <w:t>Food stores within and around (+10 miles beyond the border of) Knox County.</w:t>
      </w:r>
    </w:p>
    <w:p w14:paraId="41BA9560" w14:textId="7D7C5751" w:rsidR="00076CF1" w:rsidRDefault="00076CF1" w:rsidP="00156BEA">
      <w:pPr>
        <w:pStyle w:val="ListParagraph"/>
        <w:numPr>
          <w:ilvl w:val="0"/>
          <w:numId w:val="1"/>
        </w:numPr>
        <w:spacing w:line="480" w:lineRule="auto"/>
      </w:pPr>
      <w:r>
        <w:t>Individual</w:t>
      </w:r>
      <w:r w:rsidR="004436C7">
        <w:t xml:space="preserve"> residents in Knox County</w:t>
      </w:r>
      <w:r>
        <w:t xml:space="preserve"> and their socioeconomic, demographic, and perceived characteristics</w:t>
      </w:r>
      <w:r w:rsidR="00B4415E">
        <w:t>.</w:t>
      </w:r>
    </w:p>
    <w:p w14:paraId="4EBDCEDE" w14:textId="44589DDE" w:rsidR="00076CF1" w:rsidRDefault="005E2B64" w:rsidP="00156BEA">
      <w:pPr>
        <w:pStyle w:val="ListParagraph"/>
        <w:numPr>
          <w:ilvl w:val="0"/>
          <w:numId w:val="1"/>
        </w:numPr>
        <w:spacing w:line="480" w:lineRule="auto"/>
      </w:pPr>
      <w:r>
        <w:t>T</w:t>
      </w:r>
      <w:r w:rsidR="00076CF1">
        <w:t>ravel trajectories over a two-day (Friday + Saturday) period</w:t>
      </w:r>
      <w:r>
        <w:t xml:space="preserve"> of the </w:t>
      </w:r>
      <w:proofErr w:type="gramStart"/>
      <w:r>
        <w:t>aforementioned individuals</w:t>
      </w:r>
      <w:proofErr w:type="gramEnd"/>
      <w:r w:rsidR="00B4415E">
        <w:t>.</w:t>
      </w:r>
    </w:p>
    <w:p w14:paraId="6FACC703" w14:textId="4F620F48" w:rsidR="00076CF1" w:rsidRDefault="00076CF1" w:rsidP="00156BEA">
      <w:pPr>
        <w:pStyle w:val="ListParagraph"/>
        <w:numPr>
          <w:ilvl w:val="0"/>
          <w:numId w:val="1"/>
        </w:numPr>
        <w:spacing w:line="480" w:lineRule="auto"/>
      </w:pPr>
      <w:r>
        <w:t>2016-2020 5-Year A</w:t>
      </w:r>
      <w:r w:rsidR="000A13D0">
        <w:t xml:space="preserve">merican </w:t>
      </w:r>
      <w:r>
        <w:t>C</w:t>
      </w:r>
      <w:r w:rsidR="000A13D0">
        <w:t xml:space="preserve">ommunity </w:t>
      </w:r>
      <w:r>
        <w:t>S</w:t>
      </w:r>
      <w:r w:rsidR="000A13D0">
        <w:t>urvey (ACS)</w:t>
      </w:r>
      <w:r>
        <w:t xml:space="preserve"> </w:t>
      </w:r>
      <w:r w:rsidR="000A13D0">
        <w:t>e</w:t>
      </w:r>
      <w:r>
        <w:t xml:space="preserve">stimates of variables </w:t>
      </w:r>
      <w:r w:rsidR="00B4415E">
        <w:t xml:space="preserve">at the block group level </w:t>
      </w:r>
      <w:r>
        <w:t xml:space="preserve">related to </w:t>
      </w:r>
      <w:r w:rsidR="00F17613">
        <w:t>basic demographics,</w:t>
      </w:r>
      <w:r w:rsidR="00B4415E">
        <w:t xml:space="preserve"> related to</w:t>
      </w:r>
      <w:r w:rsidR="00F17613">
        <w:t xml:space="preserve"> </w:t>
      </w:r>
      <w:r>
        <w:t>food access</w:t>
      </w:r>
      <w:r w:rsidR="00B4415E">
        <w:t>,</w:t>
      </w:r>
      <w:r>
        <w:t xml:space="preserve"> and in the Centers for Disease Control and Prevention (CDC)'s Social Vulnerability Index</w:t>
      </w:r>
      <w:r w:rsidR="006866CB">
        <w:t xml:space="preserve"> </w:t>
      </w:r>
      <w:r w:rsidR="006866CB">
        <w:fldChar w:fldCharType="begin"/>
      </w:r>
      <w:r w:rsidR="004832B6">
        <w:instrText xml:space="preserve"> ADDIN ZOTERO_ITEM CSL_CITATION {"citationID":"qKvPuLoE","properties":{"formattedCitation":"(Centers for Disease Control and Prevention, 2021)","plainCitation":"(Centers for Disease Control and Prevention, 2021)","noteIndex":0},"citationItems":[{"id":1774,"uris":["http://zotero.org/users/5090392/items/DGK6RLE8"],"itemData":{"id":1774,"type":"webpage","container-title":"Place and Health","language":"en-us","title":"SVI At A Glance","title-short":"At A Glance","URL":"https://www.atsdr.cdc.gov/placeandhealth/svi/at-a-glance_svi.html","author":[{"literal":"Centers for Disease Control and Prevention"}],"accessed":{"date-parts":[["2022",6,18]]},"issued":{"date-parts":[["2021",8,30]]}}}],"schema":"https://github.com/citation-style-language/schema/raw/master/csl-citation.json"} </w:instrText>
      </w:r>
      <w:r w:rsidR="006866CB">
        <w:fldChar w:fldCharType="separate"/>
      </w:r>
      <w:r w:rsidR="00967900" w:rsidRPr="00967900">
        <w:t>(Centers for Disease Control and Prevention, 2021)</w:t>
      </w:r>
      <w:r w:rsidR="006866CB">
        <w:fldChar w:fldCharType="end"/>
      </w:r>
      <w:r w:rsidR="00B4415E">
        <w:t>.</w:t>
      </w:r>
    </w:p>
    <w:p w14:paraId="59528F31" w14:textId="427F912C" w:rsidR="00C61FEB" w:rsidRDefault="000C1C35" w:rsidP="00156BEA">
      <w:pPr>
        <w:spacing w:line="480" w:lineRule="auto"/>
        <w:ind w:firstLine="720"/>
      </w:pPr>
      <w:r>
        <w:t xml:space="preserve">The </w:t>
      </w:r>
      <w:r w:rsidR="006820E3">
        <w:t>second and third datasets</w:t>
      </w:r>
      <w:r>
        <w:t xml:space="preserve"> (i.e., </w:t>
      </w:r>
      <w:r w:rsidR="003C2329">
        <w:t xml:space="preserve">characteristics of </w:t>
      </w:r>
      <w:r>
        <w:t>i</w:t>
      </w:r>
      <w:r w:rsidR="003F5D1F">
        <w:t xml:space="preserve">ndividual residents </w:t>
      </w:r>
      <w:r w:rsidR="003C2329">
        <w:t xml:space="preserve">and their travel patterns) </w:t>
      </w:r>
      <w:r w:rsidR="003F5D1F">
        <w:t xml:space="preserve">were created at the </w:t>
      </w:r>
      <w:r w:rsidR="00785D2C">
        <w:t xml:space="preserve">discretion of </w:t>
      </w:r>
      <w:r w:rsidR="003C2329">
        <w:t xml:space="preserve">the </w:t>
      </w:r>
      <w:r w:rsidR="00C74575">
        <w:t>author</w:t>
      </w:r>
      <w:r w:rsidR="003C2329">
        <w:t>.</w:t>
      </w:r>
      <w:r w:rsidR="00314F15">
        <w:t xml:space="preserve"> </w:t>
      </w:r>
      <w:proofErr w:type="gramStart"/>
      <w:r w:rsidR="002F75FB">
        <w:t>After reviewing the purpose of the dissertation and research objectives, it</w:t>
      </w:r>
      <w:proofErr w:type="gramEnd"/>
      <w:r w:rsidR="002F75FB">
        <w:t xml:space="preserve"> was decided that </w:t>
      </w:r>
      <w:r w:rsidR="00C51FA1">
        <w:t>‘real’ data of actual residents was not necessary</w:t>
      </w:r>
      <w:r w:rsidR="00BB0E6A">
        <w:t xml:space="preserve"> because the broader objective was to develop a </w:t>
      </w:r>
      <w:r w:rsidR="003C4BDA">
        <w:t xml:space="preserve">prototype </w:t>
      </w:r>
      <w:r w:rsidR="00BB0E6A">
        <w:t>GIS</w:t>
      </w:r>
      <w:r w:rsidR="00622D7D">
        <w:t xml:space="preserve"> </w:t>
      </w:r>
      <w:r w:rsidR="00823BDF">
        <w:t>for studying food access in a physical-virtual world</w:t>
      </w:r>
      <w:r w:rsidR="00543BC9">
        <w:t xml:space="preserve"> capable of operationalizing concepts in the proposed framework</w:t>
      </w:r>
      <w:r w:rsidR="003C4BDA">
        <w:t>.</w:t>
      </w:r>
    </w:p>
    <w:p w14:paraId="3BBF1309" w14:textId="7CF59F8C" w:rsidR="00CE1B56" w:rsidRDefault="003C4BDA" w:rsidP="00156BEA">
      <w:pPr>
        <w:spacing w:line="480" w:lineRule="auto"/>
        <w:ind w:firstLine="720"/>
      </w:pPr>
      <w:r>
        <w:lastRenderedPageBreak/>
        <w:t xml:space="preserve">Synthesizing individual profiles that mirror the situations of many disadvantaged peoples in today’s world </w:t>
      </w:r>
      <w:r w:rsidR="000F4D9A">
        <w:t>can still be useful to demonstrate the usefulness of the GIS.</w:t>
      </w:r>
      <w:r w:rsidR="003E3102">
        <w:t xml:space="preserve"> </w:t>
      </w:r>
      <w:r w:rsidR="000114AC" w:rsidRPr="000114AC">
        <w:t xml:space="preserve">Individuals, their socioeconomic, demographic, and perceived characteristics, and their trajectories were created to represent the scenarios and lives of real-world individuals. Different scenarios were envisioned for residents in Knox County, Tennessee, with an emphasis on the lives of disadvantaged peoples, e.g., low-income, minorities, single parents, renters, and those without personal vehicles. </w:t>
      </w:r>
      <w:r w:rsidR="009F71A8">
        <w:t>While</w:t>
      </w:r>
      <w:r w:rsidR="000114AC" w:rsidRPr="000114AC">
        <w:t xml:space="preserve"> these are not actual people</w:t>
      </w:r>
      <w:r w:rsidR="00BA4656">
        <w:t>, these synthesized individuals were</w:t>
      </w:r>
      <w:r w:rsidR="000114AC" w:rsidRPr="000114AC">
        <w:t xml:space="preserve"> explicitly include</w:t>
      </w:r>
      <w:r w:rsidR="00BA4656">
        <w:t>d to</w:t>
      </w:r>
      <w:r w:rsidR="00697A6B">
        <w:t xml:space="preserve"> represent</w:t>
      </w:r>
      <w:r w:rsidR="000114AC" w:rsidRPr="000114AC">
        <w:t xml:space="preserve"> the voices and situations of those who are especially marginalized and likely facing issues with accessing nutritious and healthy food(s) </w:t>
      </w:r>
      <w:proofErr w:type="gramStart"/>
      <w:r w:rsidR="000114AC" w:rsidRPr="000114AC">
        <w:t>in today's society</w:t>
      </w:r>
      <w:proofErr w:type="gramEnd"/>
      <w:r w:rsidR="000114AC" w:rsidRPr="000114AC">
        <w:t>.</w:t>
      </w:r>
      <w:r w:rsidR="00697A6B">
        <w:t xml:space="preserve"> </w:t>
      </w:r>
      <w:r w:rsidR="000E7624">
        <w:t>Historically</w:t>
      </w:r>
      <w:r w:rsidR="00CA1541">
        <w:t>, travel</w:t>
      </w:r>
      <w:r w:rsidR="009A26F5">
        <w:t xml:space="preserve"> and time use</w:t>
      </w:r>
      <w:r w:rsidR="00CA1541">
        <w:t xml:space="preserve"> diaries, interviews, and public-participatory data </w:t>
      </w:r>
      <w:r w:rsidR="001F2F6D">
        <w:t>collection</w:t>
      </w:r>
      <w:r w:rsidR="00CA1541">
        <w:t xml:space="preserve"> methods, among many others, have been used to gather such detailed information about individuals, their travel and activity patterns, and unique characteristics. </w:t>
      </w:r>
      <w:r w:rsidR="000E0473">
        <w:t>In today’s big data era</w:t>
      </w:r>
      <w:r w:rsidR="00E850A3">
        <w:t>, it is vitally important to have ‘small data’ that can ground-truth and illuminate on idiosyncrasies often lost in ‘big data’</w:t>
      </w:r>
      <w:r w:rsidR="000E0473">
        <w:t xml:space="preserve"> </w:t>
      </w:r>
      <w:r w:rsidR="00B136F1">
        <w:fldChar w:fldCharType="begin"/>
      </w:r>
      <w:r w:rsidR="00B136F1">
        <w:instrText xml:space="preserve"> ADDIN ZOTERO_ITEM CSL_CITATION {"citationID":"XxzkMzh5","properties":{"formattedCitation":"(Kitchin &amp; Lauriault, 2015)","plainCitation":"(Kitchin &amp; Lauriault, 2015)","noteIndex":0},"citationItems":[{"id":1236,"uris":["http://zotero.org/users/5090392/items/FXGXVGCN"],"itemData":{"id":1236,"type":"article-journal","abstract":"Academic knowledge building has progressed for the past few centuries using small data studies characterized by sampled data generated to answer specific questions. It is a strategy that has been remarkably successful, enabling the sciences, social sciences and humanities to advance in leaps and bounds. This approach is presently being challenged by the development of big data. Small data studies will however, we argue, continue to be popular and valuable in the future because of their utility in answering targeted queries. Importantly, however, small data will increasingly be made more big data-like through the development of new data infrastructures that pool, scale and link small data in order to create larger datasets, encourage sharing and reuse, and open them up to combination with big data and analysis using big data analytics. This paper examines the logic and value of small data studies, their relationship to emerging big data and data science, and the implications of scaling small data into data infrastructures, with a focus on spatial data examples.","container-title":"GeoJournal","DOI":"10.1007/s10708-014-9601-7","ISSN":"1572-9893","issue":"4","journalAbbreviation":"GeoJournal","language":"en","page":"463-475","source":"Springer Link","title":"Small data in the era of big data","URL":"https://doi.org/10.1007/s10708-014-9601-7","volume":"80","author":[{"family":"Kitchin","given":"Rob"},{"family":"Lauriault","given":"Tracey P."}],"accessed":{"date-parts":[["2022",1,8]]},"issued":{"date-parts":[["2015",8,1]]}}}],"schema":"https://github.com/citation-style-language/schema/raw/master/csl-citation.json"} </w:instrText>
      </w:r>
      <w:r w:rsidR="00B136F1">
        <w:fldChar w:fldCharType="separate"/>
      </w:r>
      <w:r w:rsidR="00967900" w:rsidRPr="00967900">
        <w:t>(Kitchin &amp; Lauriault, 2015)</w:t>
      </w:r>
      <w:r w:rsidR="00B136F1">
        <w:fldChar w:fldCharType="end"/>
      </w:r>
      <w:r w:rsidR="00160F60">
        <w:t>.</w:t>
      </w:r>
    </w:p>
    <w:p w14:paraId="6961035C" w14:textId="3EE8F541" w:rsidR="00FD6F7B" w:rsidRPr="00A4743F" w:rsidRDefault="000E4A84" w:rsidP="00A4743F">
      <w:pPr>
        <w:pStyle w:val="Heading3"/>
        <w:spacing w:after="240"/>
        <w:jc w:val="center"/>
        <w:rPr>
          <w:rFonts w:ascii="Times New Roman" w:hAnsi="Times New Roman" w:cs="Times New Roman"/>
          <w:b/>
          <w:bCs/>
          <w:color w:val="auto"/>
        </w:rPr>
      </w:pPr>
      <w:bookmarkStart w:id="74" w:name="_Toc114258053"/>
      <w:r w:rsidRPr="00A4743F">
        <w:rPr>
          <w:rFonts w:ascii="Times New Roman" w:hAnsi="Times New Roman" w:cs="Times New Roman"/>
          <w:b/>
          <w:bCs/>
          <w:color w:val="auto"/>
        </w:rPr>
        <w:t>4</w:t>
      </w:r>
      <w:r w:rsidR="00787610" w:rsidRPr="00A4743F">
        <w:rPr>
          <w:rFonts w:ascii="Times New Roman" w:hAnsi="Times New Roman" w:cs="Times New Roman"/>
          <w:b/>
          <w:bCs/>
          <w:color w:val="auto"/>
        </w:rPr>
        <w:t xml:space="preserve">.2.1. </w:t>
      </w:r>
      <w:r w:rsidR="00A4743F" w:rsidRPr="00A4743F">
        <w:rPr>
          <w:rFonts w:ascii="Times New Roman" w:hAnsi="Times New Roman" w:cs="Times New Roman"/>
          <w:b/>
          <w:bCs/>
          <w:color w:val="auto"/>
        </w:rPr>
        <w:t>DATASET 1</w:t>
      </w:r>
      <w:r w:rsidR="00787610" w:rsidRPr="00A4743F">
        <w:rPr>
          <w:rFonts w:ascii="Times New Roman" w:hAnsi="Times New Roman" w:cs="Times New Roman"/>
          <w:b/>
          <w:bCs/>
          <w:color w:val="auto"/>
        </w:rPr>
        <w:t>: F</w:t>
      </w:r>
      <w:r w:rsidR="00A4743F" w:rsidRPr="00A4743F">
        <w:rPr>
          <w:rFonts w:ascii="Times New Roman" w:hAnsi="Times New Roman" w:cs="Times New Roman"/>
          <w:b/>
          <w:bCs/>
          <w:color w:val="auto"/>
        </w:rPr>
        <w:t>OOD</w:t>
      </w:r>
      <w:r w:rsidR="00787610" w:rsidRPr="00A4743F">
        <w:rPr>
          <w:rFonts w:ascii="Times New Roman" w:hAnsi="Times New Roman" w:cs="Times New Roman"/>
          <w:b/>
          <w:bCs/>
          <w:color w:val="auto"/>
        </w:rPr>
        <w:t xml:space="preserve"> S</w:t>
      </w:r>
      <w:r w:rsidR="00A4743F" w:rsidRPr="00A4743F">
        <w:rPr>
          <w:rFonts w:ascii="Times New Roman" w:hAnsi="Times New Roman" w:cs="Times New Roman"/>
          <w:b/>
          <w:bCs/>
          <w:color w:val="auto"/>
        </w:rPr>
        <w:t>TORES IN AND AROUND KNOX COUNTY, TENNESSEE</w:t>
      </w:r>
      <w:bookmarkEnd w:id="74"/>
    </w:p>
    <w:p w14:paraId="145EB602" w14:textId="682DE2F1" w:rsidR="00634288" w:rsidRDefault="00787610" w:rsidP="00156BEA">
      <w:pPr>
        <w:spacing w:line="480" w:lineRule="auto"/>
      </w:pPr>
      <w:r>
        <w:tab/>
      </w:r>
      <w:r w:rsidR="000F1917">
        <w:t xml:space="preserve">What constitutes </w:t>
      </w:r>
      <w:r w:rsidR="00F72293">
        <w:t xml:space="preserve">a food </w:t>
      </w:r>
      <w:r w:rsidR="00BD26C9">
        <w:t>store</w:t>
      </w:r>
      <w:r w:rsidR="00F72293">
        <w:t xml:space="preserve"> location is heavily contested in the literature with</w:t>
      </w:r>
      <w:r w:rsidR="00814E62">
        <w:t xml:space="preserve"> studies relying on</w:t>
      </w:r>
      <w:r w:rsidR="00F72293">
        <w:t xml:space="preserve"> different </w:t>
      </w:r>
      <w:r w:rsidR="000E3DBA">
        <w:t>databases and</w:t>
      </w:r>
      <w:r w:rsidR="00814E62">
        <w:t xml:space="preserve"> </w:t>
      </w:r>
      <w:r w:rsidR="00BA0FC5">
        <w:t>classification systems</w:t>
      </w:r>
      <w:r w:rsidR="00E012DA">
        <w:t xml:space="preserve"> </w:t>
      </w:r>
      <w:r w:rsidR="00E012DA">
        <w:fldChar w:fldCharType="begin"/>
      </w:r>
      <w:r w:rsidR="00D6545A">
        <w:instrText xml:space="preserve"> ADDIN ZOTERO_ITEM CSL_CITATION {"citationID":"BrziHTWn","properties":{"formattedCitation":"(Rose et al., 2009)","plainCitation":"(Rose et al., 2009)","noteIndex":0},"citationItems":[{"id":1853,"uris":["http://zotero.org/users/5090392/items/EHXESGCM"],"itemData":{"id":1853,"type":"report","abstract":"Food access among low-income populations has long been a concern in the United States. Recent research on the geographic dimensions of access has focused on economically deprived areas with little retail food activity, referred to as 'food deserts. ' We illustrate concepts of urban food access in this descriptive case study from post-Katrina New Orleans. We augment conventional definitions of food deserts by considering a variety of retail food outlets from a complete mapping of the city and by incorporating data on in-store contents on availability and shelf space of fruits and vegetables from a stratified sample of outlets. We show that the existence of food deserts depends on the definitions employed; commonly-used constructs in the food desert literature result in prevalence rates for New Orleans of anywhere from 17 % to 87% of the city's 175 census tracts. Ambiguities inherent in the construct do not diminish the fact that long travel distances to procure food do increase at-home food costs and that contextual effects on individual health and community development are often associated with areas of impoverished food resources. Describing poor geographic access can improve assessments of household resource inadequacy; we illustrate how transport costs can be used to inform federal food assistance policy. We also show how identifying areas of need can be used at the local level to prioritize retail food projects. Given the current problems of over-nutrition, the paper concludes by suggesting a more useful geographic metaphor would be “food swamps, ” areas in which large relative amounts of energy-dense snack foods, inundate healthy food options. 2","event-place":"New Orleans, Louisiana","publisher":"School of Public Health and Tropical Medicine, Tulane University","publisher-place":"New Orleans, Louisiana","source":"CiteSeer","title":"Deserts in New Orleans? Illustrations of Urban Food Access and Implications for Policy","title-short":"1 Deserts in New Orleans?","author":[{"family":"Rose","given":"Donald"},{"family":"Bodor","given":"J. Nicholas"},{"family":"Swalm","given":"Chris M."},{"family":"Rice","given":"Janet C."},{"family":"Farley","given":"Thomas A."},{"family":"Hutchinson","given":"Paul L."}],"issued":{"date-parts":[["2009",2]]}}}],"schema":"https://github.com/citation-style-language/schema/raw/master/csl-citation.json"} </w:instrText>
      </w:r>
      <w:r w:rsidR="00E012DA">
        <w:fldChar w:fldCharType="separate"/>
      </w:r>
      <w:r w:rsidR="00967900" w:rsidRPr="00967900">
        <w:t>(Rose et al., 2009)</w:t>
      </w:r>
      <w:r w:rsidR="00E012DA">
        <w:fldChar w:fldCharType="end"/>
      </w:r>
      <w:r w:rsidR="00BA0FC5">
        <w:t>.</w:t>
      </w:r>
      <w:r w:rsidR="00D93005">
        <w:t xml:space="preserve"> The USDA </w:t>
      </w:r>
      <w:r w:rsidR="00F52121">
        <w:t>considers supermarkets, supercenters,</w:t>
      </w:r>
      <w:r w:rsidR="00767A78">
        <w:t xml:space="preserve"> and</w:t>
      </w:r>
      <w:r w:rsidR="00F52121">
        <w:t xml:space="preserve"> </w:t>
      </w:r>
      <w:r w:rsidR="005B70D2">
        <w:t xml:space="preserve">large </w:t>
      </w:r>
      <w:r w:rsidR="00F52121">
        <w:t>grocery stores</w:t>
      </w:r>
      <w:r w:rsidR="00767A78">
        <w:t xml:space="preserve"> in thei</w:t>
      </w:r>
      <w:r w:rsidR="002C27D3">
        <w:t>r</w:t>
      </w:r>
      <w:r w:rsidR="00767A78">
        <w:t xml:space="preserve"> </w:t>
      </w:r>
      <w:r w:rsidR="002C27D3">
        <w:t>F</w:t>
      </w:r>
      <w:r w:rsidR="00767A78">
        <w:t xml:space="preserve">ood </w:t>
      </w:r>
      <w:r w:rsidR="002C27D3">
        <w:t>A</w:t>
      </w:r>
      <w:r w:rsidR="00767A78">
        <w:t xml:space="preserve">ccess </w:t>
      </w:r>
      <w:r w:rsidR="002C27D3">
        <w:t>R</w:t>
      </w:r>
      <w:r w:rsidR="00767A78">
        <w:t xml:space="preserve">esearch </w:t>
      </w:r>
      <w:r w:rsidR="002C27D3">
        <w:t>A</w:t>
      </w:r>
      <w:r w:rsidR="00767A78">
        <w:t xml:space="preserve">tlas </w:t>
      </w:r>
      <w:r w:rsidR="00767A78">
        <w:fldChar w:fldCharType="begin"/>
      </w:r>
      <w:r w:rsidR="00767A78">
        <w:instrText xml:space="preserve"> ADDIN ZOTERO_ITEM CSL_CITATION {"citationID":"ExyBcKTg","properties":{"formattedCitation":"(USDA Economic Research Service, 2019)","plainCitation":"(USDA Economic Research Service, 2019)","noteIndex":0},"citationItems":[{"id":875,"uris":["http://zotero.org/users/5090392/items/TWN8QTSP"],"itemData":{"id":875,"type":"webpage","container-title":"Food Access Research Atlas: Documentation","title":"USDA ERS - Documentation","URL":"https://www.ers.usda.gov/data-products/food-access-research-atlas/documentation/","author":[{"literal":"USDA Economic Research Service"}],"accessed":{"date-parts":[["2021",2,18]]},"issued":{"date-parts":[["2019",10,31]]}}}],"schema":"https://github.com/citation-style-language/schema/raw/master/csl-citation.json"} </w:instrText>
      </w:r>
      <w:r w:rsidR="00767A78">
        <w:fldChar w:fldCharType="separate"/>
      </w:r>
      <w:r w:rsidR="00967900" w:rsidRPr="00967900">
        <w:t>(USDA Economic Research Service, 2019)</w:t>
      </w:r>
      <w:r w:rsidR="00767A78">
        <w:fldChar w:fldCharType="end"/>
      </w:r>
      <w:r w:rsidR="00A377AD">
        <w:t xml:space="preserve"> but</w:t>
      </w:r>
      <w:r w:rsidR="00BA0FC5">
        <w:t xml:space="preserve"> </w:t>
      </w:r>
      <w:r w:rsidR="00A377AD">
        <w:t>m</w:t>
      </w:r>
      <w:r w:rsidR="00406B8C">
        <w:t xml:space="preserve">any </w:t>
      </w:r>
      <w:r w:rsidR="00C0424C">
        <w:t>studies choose only to measure access to supermarkets</w:t>
      </w:r>
      <w:r w:rsidR="00A377AD">
        <w:t xml:space="preserve">. </w:t>
      </w:r>
      <w:r w:rsidR="009C08C0">
        <w:t>But any</w:t>
      </w:r>
      <w:r w:rsidR="00EC26E4">
        <w:t xml:space="preserve"> </w:t>
      </w:r>
      <w:r w:rsidR="00A377AD">
        <w:t>retail outlet selling food could be considered a food store location</w:t>
      </w:r>
      <w:r w:rsidR="00357549">
        <w:t xml:space="preserve">, including </w:t>
      </w:r>
      <w:r w:rsidR="005B70D2">
        <w:t xml:space="preserve">small grocery stores, </w:t>
      </w:r>
      <w:r w:rsidR="00357549">
        <w:t>specialty food stores</w:t>
      </w:r>
      <w:r w:rsidR="005B70D2">
        <w:t xml:space="preserve">, </w:t>
      </w:r>
      <w:r w:rsidR="0023019E">
        <w:t xml:space="preserve">ethnic food marts, </w:t>
      </w:r>
      <w:r w:rsidR="005B70D2">
        <w:t>farmers markets, convenience stores, and warehouse stores</w:t>
      </w:r>
      <w:r w:rsidR="00302D02">
        <w:t xml:space="preserve"> </w:t>
      </w:r>
      <w:r w:rsidR="00302D02">
        <w:fldChar w:fldCharType="begin"/>
      </w:r>
      <w:r w:rsidR="009B18DF">
        <w:instrText xml:space="preserve"> ADDIN ZOTERO_ITEM CSL_CITATION {"citationID":"heo1yNo7","properties":{"formattedCitation":"(Larsen &amp; Gilliland, 2009; Rigby et al., 2012; Rose et al., 2009; Sansom &amp; Hannibal, 2021)","plainCitation":"(Larsen &amp; Gilliland, 2009; Rigby et al., 2012; Rose et al., 2009; Sansom &amp; Hannibal, 2021)","noteIndex":0},"citationItems":[{"id":1856,"uris":["http://zotero.org/users/5090392/items/MJ2483ET"],"itemData":{"id":1856,"type":"article-journal","abstract":"Several studies have examined supermarket access for low-income residents, but few have explored how access to healthy food changes when a new food retailer such as a farmers’ market opens in a place previously known as a ‘food desert’. This paper uses a ‘before and after’ approach to examine the impact of the introduction of a farmers’ market on the price and availability of healthy food in an underserved urban neighbourhood. The farmers’ market had a major impact on grocery prices in the neighbourhood, which decreased by almost 12% in 3 years.","container-title":"Health &amp; Place","DOI":"10.1016/j.healthplace.2009.06.007","ISSN":"1353-8292","issue":"4","journalAbbreviation":"Health &amp; Place","language":"en","page":"1158-1162","source":"ScienceDirect","title":"A farmers’ market in a food desert: Evaluating impacts on the price and availability of healthy food","title-short":"A farmers’ market in a food desert","URL":"https://www.sciencedirect.com/science/article/pii/S1353829209000641","volume":"15","author":[{"family":"Larsen","given":"Kristian"},{"family":"Gilliland","given":"Jason"}],"accessed":{"date-parts":[["2022",7,25]]},"issued":{"date-parts":[["2009",12,1]]}}},{"id":1862,"uris":["http://zotero.org/users/5090392/items/22KNW5AS"],"itemData":{"id":1862,"type":"article-journal","abstract":"Objective\nExamine whether neighborhood characteristics of racial composition, income, and rurality were related to distribution of Supplemental Nutrition Assistance Program (SNAP)–accepting stores in Leon County, Florida.\nDesign\nCross-sectional; neighborhood and food store data collected in 2008.\nSetting and Participants\nForty-eight census tracts as proxy of neighborhoods in Leon County, Florida. All stores and SNAP-accepting stores were identified from a commercial business directory and a United States Department of Agriculture SNAP-accepting store list, respectively (n = 288).\nMain Outcome Measures\nProportion of SNAP-accepting stores across neighborhoods.\nAnalysis\nDescriptive statistics to describe distribution of SNAP-accepting stores by neighborhood characteristics. Proportions of SNAP-accepting stores were compared by neighborhood characteristics with Wilcoxon-Mann-Whitney and Kruskal-Wallis tests.\nResults\nOf 288 available stores, 45.1% accepted SNAP benefits. Of the 48 neighborhoods, 16.7% had no SNAP-accepting stores. Proportions of SNAP-accepting grocery stores were significantly different by neighborhood racial composition and income. Primarily black neighborhoods did not have any supermarkets. Results were mixed with regard to distribution of food stores and SNAP-accepting stores by neighborhood racial composition, income, and rurality.\nConclusions and Implications\nThis study suggests disparities in distribution of SNAP-accepting stores across neighborhood characteristics of racial composition, income, and rurality.","container-title":"Journal of Nutrition Education and Behavior","DOI":"10.1016/j.jneb.2011.06.007","ISSN":"1499-4046","issue":"6","journalAbbreviation":"Journal of Nutrition Education and Behavior","language":"en","page":"539-547","source":"ScienceDirect","title":"Food Deserts in Leon County, FL: Disparate Distribution of Supplemental Nutrition Assistance Program–Accepting Stores by Neighborhood Characteristics","title-short":"Food Deserts in Leon County, FL","URL":"https://www.sciencedirect.com/science/article/pii/S1499404611004647","volume":"44","author":[{"family":"Rigby","given":"Samantha"},{"family":"Leone","given":"Angela F."},{"family":"Kim","given":"Hwahwan"},{"family":"Betterley","given":"Connie"},{"family":"Johnson","given":"Mary Ann"},{"family":"Kurtz","given":"Hilda"},{"family":"Lee","given":"Jung Sun"}],"accessed":{"date-parts":[["2022",7,25]]},"issued":{"date-parts":[["2012",11,1]]}}},{"id":1853,"uris":["http://zotero.org/users/5090392/items/EHXESGCM"],"itemData":{"id":1853,"type":"report","abstract":"Food access among low-income populations has long been a concern in the United States. Recent research on the geographic dimensions of access has focused on economically deprived areas with little retail food activity, referred to as 'food deserts. ' We illustrate concepts of urban food access in this descriptive case study from post-Katrina New Orleans. We augment conventional definitions of food deserts by considering a variety of retail food outlets from a complete mapping of the city and by incorporating data on in-store contents on availability and shelf space of fruits and vegetables from a stratified sample of outlets. We show that the existence of food deserts depends on the definitions employed; commonly-used constructs in the food desert literature result in prevalence rates for New Orleans of anywhere from 17 % to 87% of the city's 175 census tracts. Ambiguities inherent in the construct do not diminish the fact that long travel distances to procure food do increase at-home food costs and that contextual effects on individual health and community development are often associated with areas of impoverished food resources. Describing poor geographic access can improve assessments of household resource inadequacy; we illustrate how transport costs can be used to inform federal food assistance policy. We also show how identifying areas of need can be used at the local level to prioritize retail food projects. Given the current problems of over-nutrition, the paper concludes by suggesting a more useful geographic metaphor would be “food swamps, ” areas in which large relative amounts of energy-dense snack foods, inundate healthy food options. 2","event-place":"New Orleans, Louisiana","publisher":"School of Public Health and Tropical Medicine, Tulane University","publisher-place":"New Orleans, Louisiana","source":"CiteSeer","title":"Deserts in New Orleans? Illustrations of Urban Food Access and Implications for Policy","title-short":"1 Deserts in New Orleans?","author":[{"family":"Rose","given":"Donald"},{"family":"Bodor","given":"J. Nicholas"},{"family":"Swalm","given":"Chris M."},{"family":"Rice","given":"Janet C."},{"family":"Farley","given":"Thomas A."},{"family":"Hutchinson","given":"Paul L."}],"issued":{"date-parts":[["2009",2]]}}},{"id":1859,"uris":["http://zotero.org/users/5090392/items/6QK8H3XB"],"itemData":{"id":1859,"type":"article-journal","abstract":"Prior research has demonstrated minority communities have fewer options to access healthy foods when compared to their majority counterparts. While much focus has been placed upon community-level resources, little research has been placed on the efforts that minority groups need to undergo to reach well-stocked stores to purchase healthy food options.","container-title":"BMC Nutrition","DOI":"10.1186/s40795-021-00434-2","ISSN":"2055-0928","issue":"1","journalAbbreviation":"BMC Nutrition","page":"29","source":"BioMed Central","title":"Disparate access to nutritional food; place, race and equity in the United States","URL":"https://doi.org/10.1186/s40795-021-00434-2","volume":"7","author":[{"family":"Sansom","given":"Garett"},{"family":"Hannibal","given":"Bryce"}],"accessed":{"date-parts":[["2022",7,25]]},"issued":{"date-parts":[["2021",6,29]]}}}],"schema":"https://github.com/citation-style-language/schema/raw/master/csl-citation.json"} </w:instrText>
      </w:r>
      <w:r w:rsidR="00302D02">
        <w:fldChar w:fldCharType="separate"/>
      </w:r>
      <w:r w:rsidR="00967900" w:rsidRPr="00967900">
        <w:t>(Larsen &amp; Gilliland, 2009; Rigby et al., 2012; Rose et al., 2009; Sansom &amp; Hannibal, 2021)</w:t>
      </w:r>
      <w:r w:rsidR="00302D02">
        <w:fldChar w:fldCharType="end"/>
      </w:r>
      <w:r w:rsidR="005B70D2">
        <w:t>.</w:t>
      </w:r>
      <w:r w:rsidR="009C08C0">
        <w:t xml:space="preserve"> </w:t>
      </w:r>
      <w:r w:rsidR="004E217E">
        <w:t>Accordingly, f</w:t>
      </w:r>
      <w:r>
        <w:t xml:space="preserve">ood opportunities in this research </w:t>
      </w:r>
      <w:r>
        <w:lastRenderedPageBreak/>
        <w:t>are identified as businesses that sell and market food products to individual consumers</w:t>
      </w:r>
      <w:r w:rsidR="00F20E22">
        <w:t xml:space="preserve"> as people may obtain food from a wide spectrum of food stores</w:t>
      </w:r>
      <w:r>
        <w:t>.</w:t>
      </w:r>
      <w:r w:rsidR="00205988">
        <w:t xml:space="preserve"> This sentiment aligns with the concept of </w:t>
      </w:r>
      <w:r w:rsidR="005F2C92">
        <w:t xml:space="preserve">perceived availability as individuals may differ in what types of opportunities (stores) they </w:t>
      </w:r>
      <w:r w:rsidR="00BC19D9">
        <w:t>truly consider to be somewhere they can participate in food shopping</w:t>
      </w:r>
      <w:r w:rsidR="009A4CF4">
        <w:t>, whether in-person or online</w:t>
      </w:r>
      <w:r w:rsidR="00BC19D9">
        <w:t>.</w:t>
      </w:r>
      <w:r w:rsidR="00F75614">
        <w:t xml:space="preserve"> As opposed to previous approaches that p</w:t>
      </w:r>
      <w:r w:rsidR="001E1ED5">
        <w:t xml:space="preserve">reemptively define </w:t>
      </w:r>
      <w:r w:rsidR="00770080">
        <w:t>opportunities</w:t>
      </w:r>
      <w:r w:rsidR="003D7893">
        <w:t xml:space="preserve"> and effectively ignore the </w:t>
      </w:r>
      <w:r w:rsidR="008416C5">
        <w:t>needs and preferences</w:t>
      </w:r>
      <w:r w:rsidR="003D7893">
        <w:t xml:space="preserve"> of people to differentially weight </w:t>
      </w:r>
      <w:r w:rsidR="00770080">
        <w:t>opportunities</w:t>
      </w:r>
      <w:r w:rsidR="001E1ED5">
        <w:t>, this dissertation adopts the viewpoint that</w:t>
      </w:r>
      <w:r w:rsidR="00163D0C">
        <w:t xml:space="preserve"> different user groups can make their own sub</w:t>
      </w:r>
      <w:r w:rsidR="004524A2">
        <w:t>-</w:t>
      </w:r>
      <w:r w:rsidR="00163D0C">
        <w:t>selection</w:t>
      </w:r>
      <w:r w:rsidR="00634288">
        <w:t xml:space="preserve"> with queries</w:t>
      </w:r>
      <w:r w:rsidR="00F039B2">
        <w:t xml:space="preserve"> on </w:t>
      </w:r>
      <w:r w:rsidR="00732002">
        <w:t>locational attributes</w:t>
      </w:r>
      <w:r w:rsidR="00634288">
        <w:t xml:space="preserve"> in the GIS platform discussed later.</w:t>
      </w:r>
    </w:p>
    <w:p w14:paraId="448E7681" w14:textId="216D7B39" w:rsidR="00787610" w:rsidRDefault="00787610" w:rsidP="00156BEA">
      <w:pPr>
        <w:spacing w:line="480" w:lineRule="auto"/>
        <w:ind w:firstLine="720"/>
      </w:pPr>
      <w:r>
        <w:t>Multiple</w:t>
      </w:r>
      <w:r w:rsidR="00A43DE4">
        <w:t xml:space="preserve"> programming</w:t>
      </w:r>
      <w:r>
        <w:t xml:space="preserve"> scripts </w:t>
      </w:r>
      <w:r w:rsidR="00A43DE4">
        <w:t xml:space="preserve">written in Python </w:t>
      </w:r>
      <w:r>
        <w:t xml:space="preserve">were developed to retrieve information about the locations and characteristics of </w:t>
      </w:r>
      <w:r w:rsidR="00634288">
        <w:t xml:space="preserve">food </w:t>
      </w:r>
      <w:r>
        <w:t>opportunities. Broadly, there are two major steps in this process: the first is to identify opportunities and the second is to then retrieve objective and subjective characteristics about these opportunities.</w:t>
      </w:r>
      <w:r w:rsidR="00B77A54">
        <w:t xml:space="preserve"> Both are obtained to</w:t>
      </w:r>
      <w:r w:rsidR="00CB2457">
        <w:t xml:space="preserve"> tailor the potential opportunity set of individuals more accurately based on their specific needs and preferences</w:t>
      </w:r>
      <w:r w:rsidR="00912879">
        <w:t>.</w:t>
      </w:r>
      <w:r>
        <w:t xml:space="preserve"> In the first step, a fishnet where the whole of Knox County was divided into equal-sized cells of 1000 meters was constructed. 1000 meters was chosen to </w:t>
      </w:r>
      <w:proofErr w:type="gramStart"/>
      <w:r>
        <w:t>most efficiently execute distance</w:t>
      </w:r>
      <w:r w:rsidR="00CE6F68">
        <w:t>-based searches</w:t>
      </w:r>
      <w:proofErr w:type="gramEnd"/>
      <w:r>
        <w:t xml:space="preserve"> with Google Maps Places API whereby most areas throughout the county are effectively searched through. Calls to the API made from the center of each cell in the fishnet were made to retrieve all food-related businesses with the keyword term ‘store’ and three different unique Google Maps place types: ‘</w:t>
      </w:r>
      <w:proofErr w:type="spellStart"/>
      <w:r>
        <w:t>convenience_store</w:t>
      </w:r>
      <w:proofErr w:type="spellEnd"/>
      <w:r>
        <w:t>’, ‘grocery’, and ‘wholesale’</w:t>
      </w:r>
      <w:r w:rsidR="00912879">
        <w:t xml:space="preserve"> that capture all </w:t>
      </w:r>
      <w:r w:rsidR="00AE32F1">
        <w:t xml:space="preserve">retail </w:t>
      </w:r>
      <w:r w:rsidR="00912879">
        <w:t xml:space="preserve">food </w:t>
      </w:r>
      <w:r w:rsidR="00AE32F1">
        <w:t>outlets</w:t>
      </w:r>
      <w:r>
        <w:t>. This was done to ensure that all food-related businesses were obtained as some people rely on gas stations, convenience stores, wholesale clubs</w:t>
      </w:r>
      <w:r w:rsidR="00634288">
        <w:t>, farmers markets, etc.</w:t>
      </w:r>
      <w:r>
        <w:t xml:space="preserve"> to acquire food</w:t>
      </w:r>
      <w:r w:rsidR="002E342E">
        <w:t>. P</w:t>
      </w:r>
      <w:r w:rsidR="00EC132A">
        <w:t xml:space="preserve">eople may have different preferences for the type of food store they shop at owing to other considerations including </w:t>
      </w:r>
      <w:r w:rsidR="002E342E">
        <w:t>the ease to which they can reach stores</w:t>
      </w:r>
      <w:r w:rsidR="00C61E82">
        <w:t xml:space="preserve">, </w:t>
      </w:r>
      <w:r w:rsidR="00052BD5">
        <w:t xml:space="preserve">the </w:t>
      </w:r>
      <w:r w:rsidR="00DE697F">
        <w:lastRenderedPageBreak/>
        <w:t xml:space="preserve">windows of time they have available for shopping, the </w:t>
      </w:r>
      <w:r w:rsidR="00E340DD">
        <w:t xml:space="preserve">physical and virtual </w:t>
      </w:r>
      <w:r w:rsidR="00DE697F">
        <w:t>infrastructure</w:t>
      </w:r>
      <w:r w:rsidR="00E340DD">
        <w:t xml:space="preserve"> that can accommodate their different abilities and needs, </w:t>
      </w:r>
      <w:r w:rsidR="00961642">
        <w:t>the cost of food relative to their financial means, the social atmosphere, and more</w:t>
      </w:r>
      <w:r>
        <w:t xml:space="preserve">. </w:t>
      </w:r>
      <w:r w:rsidRPr="00E064FF">
        <w:t xml:space="preserve">Because the data offered by the API is limited to just five reviews for each store and only a few attributes, an additional script was developed leveraging Selenium </w:t>
      </w:r>
      <w:r w:rsidR="007E2428">
        <w:fldChar w:fldCharType="begin"/>
      </w:r>
      <w:r w:rsidR="00F5420C">
        <w:instrText xml:space="preserve"> ADDIN ZOTERO_ITEM CSL_CITATION {"citationID":"qvRlT9rD","properties":{"formattedCitation":"(Huggins, 2022)","plainCitation":"(Huggins, 2022)","noteIndex":0},"citationItems":[{"id":1901,"uris":["http://zotero.org/users/5090392/items/D5VFP24G"],"itemData":{"id":1901,"type":"software","abstract":"Selenium automates browsers. That's it!","publisher":"ThoughtWorks","title":"Selenium","URL":"https://www.selenium.dev/","author":[{"family":"Huggins","given":"Jason"}],"accessed":{"date-parts":[["2022",8,18]]},"issued":{"date-parts":[["2022"]]}}}],"schema":"https://github.com/citation-style-language/schema/raw/master/csl-citation.json"} </w:instrText>
      </w:r>
      <w:r w:rsidR="007E2428">
        <w:fldChar w:fldCharType="separate"/>
      </w:r>
      <w:r w:rsidR="00967900" w:rsidRPr="00967900">
        <w:t>(Huggins, 2022)</w:t>
      </w:r>
      <w:r w:rsidR="007E2428">
        <w:fldChar w:fldCharType="end"/>
      </w:r>
      <w:r w:rsidR="007E2428">
        <w:t xml:space="preserve"> </w:t>
      </w:r>
      <w:r w:rsidRPr="00E064FF">
        <w:t>and Beautiful</w:t>
      </w:r>
      <w:r w:rsidR="00565C60">
        <w:t xml:space="preserve"> </w:t>
      </w:r>
      <w:r w:rsidRPr="00E064FF">
        <w:t>Soup</w:t>
      </w:r>
      <w:r w:rsidR="00565C60">
        <w:t xml:space="preserve"> </w:t>
      </w:r>
      <w:r w:rsidR="00565C60">
        <w:fldChar w:fldCharType="begin"/>
      </w:r>
      <w:r w:rsidR="00565C60">
        <w:instrText xml:space="preserve"> ADDIN ZOTERO_ITEM CSL_CITATION {"citationID":"2V8BeVNB","properties":{"formattedCitation":"(Richardson, 2015)","plainCitation":"(Richardson, 2015)","noteIndex":0},"citationItems":[{"id":1903,"uris":["http://zotero.org/users/5090392/items/RWCYB7II"],"itemData":{"id":1903,"type":"software","title":"Beautiful Soup Documentation — Beautiful Soup 4.4.0 documentation","URL":"https://beautiful-soup-4.readthedocs.io/en/latest/#","author":[{"family":"Richardson","given":"Leonard"}],"accessed":{"date-parts":[["2022",8,18]]},"issued":{"date-parts":[["2015"]]}}}],"schema":"https://github.com/citation-style-language/schema/raw/master/csl-citation.json"} </w:instrText>
      </w:r>
      <w:r w:rsidR="00565C60">
        <w:fldChar w:fldCharType="separate"/>
      </w:r>
      <w:r w:rsidR="00967900" w:rsidRPr="00967900">
        <w:t>(Richardson, 2015)</w:t>
      </w:r>
      <w:r w:rsidR="00565C60">
        <w:fldChar w:fldCharType="end"/>
      </w:r>
      <w:r w:rsidRPr="00E064FF">
        <w:t xml:space="preserve"> to scrape additional reviews and business attributes not obtainable from the Places API</w:t>
      </w:r>
      <w:r>
        <w:t>. Together, the attributes of interest for this project include:</w:t>
      </w:r>
    </w:p>
    <w:p w14:paraId="28651C97" w14:textId="77777777" w:rsidR="00787610" w:rsidRPr="00A11F0F" w:rsidRDefault="00787610" w:rsidP="00156BEA">
      <w:pPr>
        <w:spacing w:line="480" w:lineRule="auto"/>
        <w:rPr>
          <w:u w:val="single"/>
        </w:rPr>
      </w:pPr>
      <w:r w:rsidRPr="00A11F0F">
        <w:rPr>
          <w:u w:val="single"/>
        </w:rPr>
        <w:t>General Store Attributes</w:t>
      </w:r>
    </w:p>
    <w:p w14:paraId="4A068BA5" w14:textId="77777777" w:rsidR="00787610" w:rsidRPr="00565FA4" w:rsidRDefault="00787610" w:rsidP="00156BEA">
      <w:pPr>
        <w:pStyle w:val="ListParagraph"/>
        <w:numPr>
          <w:ilvl w:val="0"/>
          <w:numId w:val="5"/>
        </w:numPr>
        <w:spacing w:line="480" w:lineRule="auto"/>
        <w:rPr>
          <w:b/>
          <w:bCs/>
        </w:rPr>
      </w:pPr>
      <w:r w:rsidRPr="00565FA4">
        <w:rPr>
          <w:i/>
          <w:iCs/>
        </w:rPr>
        <w:t>Store Name</w:t>
      </w:r>
      <w:r>
        <w:t>: Name of place of interest (POI)</w:t>
      </w:r>
    </w:p>
    <w:p w14:paraId="78281B05" w14:textId="77777777" w:rsidR="00787610" w:rsidRPr="00565FA4" w:rsidRDefault="00787610" w:rsidP="00156BEA">
      <w:pPr>
        <w:pStyle w:val="ListParagraph"/>
        <w:numPr>
          <w:ilvl w:val="0"/>
          <w:numId w:val="5"/>
        </w:numPr>
        <w:spacing w:line="480" w:lineRule="auto"/>
        <w:rPr>
          <w:b/>
          <w:bCs/>
        </w:rPr>
      </w:pPr>
      <w:r w:rsidRPr="00565FA4">
        <w:rPr>
          <w:i/>
          <w:iCs/>
        </w:rPr>
        <w:t>Rating</w:t>
      </w:r>
      <w:r>
        <w:t>: Average user rating of POI</w:t>
      </w:r>
    </w:p>
    <w:p w14:paraId="35A1861A" w14:textId="77777777" w:rsidR="00787610" w:rsidRDefault="00787610" w:rsidP="00156BEA">
      <w:pPr>
        <w:pStyle w:val="ListParagraph"/>
        <w:numPr>
          <w:ilvl w:val="0"/>
          <w:numId w:val="5"/>
        </w:numPr>
        <w:spacing w:line="480" w:lineRule="auto"/>
      </w:pPr>
      <w:r w:rsidRPr="00565FA4">
        <w:rPr>
          <w:i/>
          <w:iCs/>
        </w:rPr>
        <w:t>Price</w:t>
      </w:r>
      <w:r>
        <w:t xml:space="preserve">: Price indication of items ranging from 1 to </w:t>
      </w:r>
      <w:proofErr w:type="gramStart"/>
      <w:r>
        <w:t>4 dollar</w:t>
      </w:r>
      <w:proofErr w:type="gramEnd"/>
      <w:r>
        <w:t xml:space="preserve"> signs, suggested by Google</w:t>
      </w:r>
    </w:p>
    <w:p w14:paraId="10A273E2" w14:textId="6EC4E0E7" w:rsidR="00787610" w:rsidRDefault="00787610" w:rsidP="00156BEA">
      <w:pPr>
        <w:pStyle w:val="ListParagraph"/>
        <w:numPr>
          <w:ilvl w:val="0"/>
          <w:numId w:val="5"/>
        </w:numPr>
        <w:spacing w:line="480" w:lineRule="auto"/>
      </w:pPr>
      <w:r w:rsidRPr="00565FA4">
        <w:rPr>
          <w:i/>
          <w:iCs/>
        </w:rPr>
        <w:t>Type</w:t>
      </w:r>
      <w:r>
        <w:t>: General POI type</w:t>
      </w:r>
    </w:p>
    <w:p w14:paraId="43444FD0" w14:textId="77777777" w:rsidR="00787610" w:rsidRDefault="00787610" w:rsidP="00156BEA">
      <w:pPr>
        <w:pStyle w:val="ListParagraph"/>
        <w:numPr>
          <w:ilvl w:val="0"/>
          <w:numId w:val="5"/>
        </w:numPr>
        <w:spacing w:line="480" w:lineRule="auto"/>
      </w:pPr>
      <w:r w:rsidRPr="00565FA4">
        <w:rPr>
          <w:i/>
          <w:iCs/>
        </w:rPr>
        <w:t>Specific Type</w:t>
      </w:r>
      <w:r>
        <w:t>: POI type by Google</w:t>
      </w:r>
    </w:p>
    <w:p w14:paraId="2EB6A692" w14:textId="77777777" w:rsidR="00787610" w:rsidRPr="00A11F0F" w:rsidRDefault="00787610" w:rsidP="00156BEA">
      <w:pPr>
        <w:spacing w:line="480" w:lineRule="auto"/>
        <w:rPr>
          <w:u w:val="single"/>
        </w:rPr>
      </w:pPr>
      <w:r w:rsidRPr="00A11F0F">
        <w:rPr>
          <w:u w:val="single"/>
        </w:rPr>
        <w:t>Perceived Store Attributes</w:t>
      </w:r>
    </w:p>
    <w:p w14:paraId="3020F7DF" w14:textId="77777777" w:rsidR="00787610" w:rsidRDefault="00787610" w:rsidP="00156BEA">
      <w:pPr>
        <w:pStyle w:val="ListParagraph"/>
        <w:numPr>
          <w:ilvl w:val="0"/>
          <w:numId w:val="5"/>
        </w:numPr>
        <w:spacing w:line="480" w:lineRule="auto"/>
      </w:pPr>
      <w:r w:rsidRPr="00565FA4">
        <w:rPr>
          <w:i/>
          <w:iCs/>
        </w:rPr>
        <w:t>Convenience</w:t>
      </w:r>
      <w:r>
        <w:t>: Average user rating for store convenience</w:t>
      </w:r>
    </w:p>
    <w:p w14:paraId="7BD1EEC4" w14:textId="77777777" w:rsidR="00787610" w:rsidRDefault="00787610" w:rsidP="00156BEA">
      <w:pPr>
        <w:pStyle w:val="ListParagraph"/>
        <w:numPr>
          <w:ilvl w:val="0"/>
          <w:numId w:val="5"/>
        </w:numPr>
        <w:spacing w:line="480" w:lineRule="auto"/>
      </w:pPr>
      <w:r w:rsidRPr="00565FA4">
        <w:rPr>
          <w:i/>
          <w:iCs/>
        </w:rPr>
        <w:t>Checkout Process</w:t>
      </w:r>
      <w:r>
        <w:t>: Average user rating for checkout process</w:t>
      </w:r>
    </w:p>
    <w:p w14:paraId="3FC1BD5B" w14:textId="77777777" w:rsidR="00787610" w:rsidRDefault="00787610" w:rsidP="00156BEA">
      <w:pPr>
        <w:pStyle w:val="ListParagraph"/>
        <w:numPr>
          <w:ilvl w:val="0"/>
          <w:numId w:val="5"/>
        </w:numPr>
        <w:spacing w:line="480" w:lineRule="auto"/>
      </w:pPr>
      <w:r w:rsidRPr="00565FA4">
        <w:rPr>
          <w:i/>
          <w:iCs/>
        </w:rPr>
        <w:t>Employees</w:t>
      </w:r>
      <w:r>
        <w:t>: Average user rating for employees</w:t>
      </w:r>
    </w:p>
    <w:p w14:paraId="068A121F" w14:textId="77777777" w:rsidR="00787610" w:rsidRDefault="00787610" w:rsidP="00156BEA">
      <w:pPr>
        <w:pStyle w:val="ListParagraph"/>
        <w:numPr>
          <w:ilvl w:val="0"/>
          <w:numId w:val="5"/>
        </w:numPr>
        <w:spacing w:line="480" w:lineRule="auto"/>
      </w:pPr>
      <w:r w:rsidRPr="00565FA4">
        <w:rPr>
          <w:i/>
          <w:iCs/>
        </w:rPr>
        <w:t>Food Quality</w:t>
      </w:r>
      <w:r>
        <w:t>: Average user rating for quality of food</w:t>
      </w:r>
    </w:p>
    <w:p w14:paraId="79E5DC5E" w14:textId="77777777" w:rsidR="00787610" w:rsidRDefault="00787610" w:rsidP="00156BEA">
      <w:pPr>
        <w:pStyle w:val="ListParagraph"/>
        <w:numPr>
          <w:ilvl w:val="0"/>
          <w:numId w:val="5"/>
        </w:numPr>
        <w:spacing w:line="480" w:lineRule="auto"/>
      </w:pPr>
      <w:r w:rsidRPr="00565FA4">
        <w:rPr>
          <w:i/>
          <w:iCs/>
        </w:rPr>
        <w:t>Food Variety</w:t>
      </w:r>
      <w:r>
        <w:t>: Average user rating for variety of food</w:t>
      </w:r>
    </w:p>
    <w:p w14:paraId="0243E954" w14:textId="77777777" w:rsidR="00787610" w:rsidRPr="00A11F0F" w:rsidRDefault="00787610" w:rsidP="00156BEA">
      <w:pPr>
        <w:spacing w:line="480" w:lineRule="auto"/>
        <w:rPr>
          <w:u w:val="single"/>
        </w:rPr>
      </w:pPr>
      <w:r w:rsidRPr="00A11F0F">
        <w:rPr>
          <w:u w:val="single"/>
        </w:rPr>
        <w:t>Service Options</w:t>
      </w:r>
    </w:p>
    <w:p w14:paraId="025AF3A4" w14:textId="77777777" w:rsidR="00787610" w:rsidRDefault="00787610" w:rsidP="00156BEA">
      <w:pPr>
        <w:pStyle w:val="ListParagraph"/>
        <w:numPr>
          <w:ilvl w:val="0"/>
          <w:numId w:val="5"/>
        </w:numPr>
        <w:spacing w:line="480" w:lineRule="auto"/>
      </w:pPr>
      <w:r w:rsidRPr="00565FA4">
        <w:rPr>
          <w:i/>
          <w:iCs/>
        </w:rPr>
        <w:t>In-Store Shopping</w:t>
      </w:r>
      <w:r>
        <w:t>: Whether POI offers in-store shopping</w:t>
      </w:r>
    </w:p>
    <w:p w14:paraId="76418FED" w14:textId="77777777" w:rsidR="00787610" w:rsidRDefault="00787610" w:rsidP="00156BEA">
      <w:pPr>
        <w:pStyle w:val="ListParagraph"/>
        <w:numPr>
          <w:ilvl w:val="0"/>
          <w:numId w:val="5"/>
        </w:numPr>
        <w:spacing w:line="480" w:lineRule="auto"/>
      </w:pPr>
      <w:r w:rsidRPr="00565FA4">
        <w:rPr>
          <w:i/>
          <w:iCs/>
        </w:rPr>
        <w:t>Online Shopping</w:t>
      </w:r>
      <w:r>
        <w:t>: Whether POI offers online shopping</w:t>
      </w:r>
    </w:p>
    <w:p w14:paraId="4C3B7486" w14:textId="77777777" w:rsidR="00787610" w:rsidRDefault="00787610" w:rsidP="00156BEA">
      <w:pPr>
        <w:pStyle w:val="ListParagraph"/>
        <w:numPr>
          <w:ilvl w:val="0"/>
          <w:numId w:val="5"/>
        </w:numPr>
        <w:spacing w:line="480" w:lineRule="auto"/>
      </w:pPr>
      <w:r w:rsidRPr="00565FA4">
        <w:rPr>
          <w:i/>
          <w:iCs/>
        </w:rPr>
        <w:lastRenderedPageBreak/>
        <w:t>Delivery</w:t>
      </w:r>
      <w:r>
        <w:t>: Whether POI offers delivery</w:t>
      </w:r>
    </w:p>
    <w:p w14:paraId="1FF20D93" w14:textId="77777777" w:rsidR="00787610" w:rsidRDefault="00787610" w:rsidP="00156BEA">
      <w:pPr>
        <w:pStyle w:val="ListParagraph"/>
        <w:numPr>
          <w:ilvl w:val="0"/>
          <w:numId w:val="5"/>
        </w:numPr>
        <w:spacing w:line="480" w:lineRule="auto"/>
      </w:pPr>
      <w:r w:rsidRPr="00565FA4">
        <w:rPr>
          <w:i/>
          <w:iCs/>
        </w:rPr>
        <w:t>Curbside Pickup</w:t>
      </w:r>
      <w:r>
        <w:t>: Whether POI offers curbside pickup</w:t>
      </w:r>
    </w:p>
    <w:p w14:paraId="23FF9287" w14:textId="77777777" w:rsidR="00787610" w:rsidRDefault="00787610" w:rsidP="00156BEA">
      <w:pPr>
        <w:pStyle w:val="ListParagraph"/>
        <w:numPr>
          <w:ilvl w:val="0"/>
          <w:numId w:val="5"/>
        </w:numPr>
        <w:spacing w:line="480" w:lineRule="auto"/>
      </w:pPr>
      <w:r w:rsidRPr="00565FA4">
        <w:rPr>
          <w:i/>
          <w:iCs/>
        </w:rPr>
        <w:t>Store Pickup</w:t>
      </w:r>
      <w:r>
        <w:t>: Whether POI offers in-store pickup</w:t>
      </w:r>
    </w:p>
    <w:p w14:paraId="1EA4FB85" w14:textId="77777777" w:rsidR="00787610" w:rsidRDefault="00787610" w:rsidP="00156BEA">
      <w:pPr>
        <w:pStyle w:val="ListParagraph"/>
        <w:numPr>
          <w:ilvl w:val="0"/>
          <w:numId w:val="5"/>
        </w:numPr>
        <w:spacing w:line="480" w:lineRule="auto"/>
      </w:pPr>
      <w:r w:rsidRPr="00565FA4">
        <w:rPr>
          <w:i/>
          <w:iCs/>
        </w:rPr>
        <w:t>Drive Thru</w:t>
      </w:r>
      <w:r>
        <w:t>: Whether POI offers drive-thru services</w:t>
      </w:r>
    </w:p>
    <w:p w14:paraId="3A51D2D1" w14:textId="77777777" w:rsidR="00787610" w:rsidRDefault="00787610" w:rsidP="00156BEA">
      <w:pPr>
        <w:pStyle w:val="ListParagraph"/>
        <w:numPr>
          <w:ilvl w:val="0"/>
          <w:numId w:val="5"/>
        </w:numPr>
        <w:spacing w:line="480" w:lineRule="auto"/>
      </w:pPr>
      <w:r w:rsidRPr="00565FA4">
        <w:rPr>
          <w:i/>
          <w:iCs/>
        </w:rPr>
        <w:t>No-Contact Delivery</w:t>
      </w:r>
      <w:r>
        <w:t>: Whether POI offers no-contact delivery</w:t>
      </w:r>
    </w:p>
    <w:p w14:paraId="701169EC" w14:textId="77777777" w:rsidR="00787610" w:rsidRDefault="00787610" w:rsidP="00156BEA">
      <w:pPr>
        <w:pStyle w:val="ListParagraph"/>
        <w:numPr>
          <w:ilvl w:val="0"/>
          <w:numId w:val="5"/>
        </w:numPr>
        <w:spacing w:line="480" w:lineRule="auto"/>
      </w:pPr>
      <w:r w:rsidRPr="00565FA4">
        <w:rPr>
          <w:i/>
          <w:iCs/>
        </w:rPr>
        <w:t>Same-Day Delivery</w:t>
      </w:r>
      <w:r>
        <w:t>: Whether POI offers same-day delivery</w:t>
      </w:r>
    </w:p>
    <w:p w14:paraId="6719864E" w14:textId="77777777" w:rsidR="00787610" w:rsidRPr="00A11F0F" w:rsidRDefault="00787610" w:rsidP="00156BEA">
      <w:pPr>
        <w:spacing w:line="480" w:lineRule="auto"/>
        <w:rPr>
          <w:u w:val="single"/>
        </w:rPr>
      </w:pPr>
      <w:r w:rsidRPr="00A11F0F">
        <w:rPr>
          <w:u w:val="single"/>
        </w:rPr>
        <w:t>Health and Safety</w:t>
      </w:r>
    </w:p>
    <w:p w14:paraId="59425D0A" w14:textId="77777777" w:rsidR="00787610" w:rsidRDefault="00787610" w:rsidP="00156BEA">
      <w:pPr>
        <w:pStyle w:val="ListParagraph"/>
        <w:numPr>
          <w:ilvl w:val="0"/>
          <w:numId w:val="5"/>
        </w:numPr>
        <w:spacing w:line="480" w:lineRule="auto"/>
      </w:pPr>
      <w:r w:rsidRPr="00565FA4">
        <w:rPr>
          <w:i/>
          <w:iCs/>
        </w:rPr>
        <w:t>Masks Required</w:t>
      </w:r>
      <w:r>
        <w:t>: Whether POI requires masks</w:t>
      </w:r>
    </w:p>
    <w:p w14:paraId="61F82864" w14:textId="77777777" w:rsidR="00787610" w:rsidRPr="00A11F0F" w:rsidRDefault="00787610" w:rsidP="00156BEA">
      <w:pPr>
        <w:spacing w:line="480" w:lineRule="auto"/>
        <w:rPr>
          <w:u w:val="single"/>
        </w:rPr>
      </w:pPr>
      <w:r w:rsidRPr="00A11F0F">
        <w:rPr>
          <w:u w:val="single"/>
        </w:rPr>
        <w:t>Service</w:t>
      </w:r>
    </w:p>
    <w:p w14:paraId="0832636A" w14:textId="77777777" w:rsidR="00787610" w:rsidRDefault="00787610" w:rsidP="00156BEA">
      <w:pPr>
        <w:pStyle w:val="ListParagraph"/>
        <w:numPr>
          <w:ilvl w:val="0"/>
          <w:numId w:val="5"/>
        </w:numPr>
        <w:spacing w:line="480" w:lineRule="auto"/>
      </w:pPr>
      <w:r w:rsidRPr="00565FA4">
        <w:rPr>
          <w:i/>
          <w:iCs/>
        </w:rPr>
        <w:t>Great Service</w:t>
      </w:r>
      <w:r>
        <w:t>: Whether POI has great service based on proprietary Google Maps algorithm</w:t>
      </w:r>
    </w:p>
    <w:p w14:paraId="101CA03E" w14:textId="77777777" w:rsidR="00787610" w:rsidRPr="00A11F0F" w:rsidRDefault="00787610" w:rsidP="00156BEA">
      <w:pPr>
        <w:spacing w:line="480" w:lineRule="auto"/>
        <w:rPr>
          <w:u w:val="single"/>
        </w:rPr>
      </w:pPr>
      <w:r w:rsidRPr="00A11F0F">
        <w:rPr>
          <w:u w:val="single"/>
        </w:rPr>
        <w:t>Accessibility</w:t>
      </w:r>
    </w:p>
    <w:p w14:paraId="353C2FFC" w14:textId="77777777" w:rsidR="00787610" w:rsidRDefault="00787610" w:rsidP="00156BEA">
      <w:pPr>
        <w:pStyle w:val="ListParagraph"/>
        <w:numPr>
          <w:ilvl w:val="0"/>
          <w:numId w:val="5"/>
        </w:numPr>
        <w:spacing w:line="480" w:lineRule="auto"/>
      </w:pPr>
      <w:r w:rsidRPr="00565FA4">
        <w:rPr>
          <w:i/>
          <w:iCs/>
        </w:rPr>
        <w:t>Wheelchair Accessible</w:t>
      </w:r>
      <w:r>
        <w:t>: Whether POI is wheelchair accessible</w:t>
      </w:r>
    </w:p>
    <w:p w14:paraId="610998A2" w14:textId="77777777" w:rsidR="00787610" w:rsidRPr="00A11F0F" w:rsidRDefault="00787610" w:rsidP="00156BEA">
      <w:pPr>
        <w:spacing w:line="480" w:lineRule="auto"/>
        <w:rPr>
          <w:u w:val="single"/>
        </w:rPr>
      </w:pPr>
      <w:r w:rsidRPr="00A11F0F">
        <w:rPr>
          <w:u w:val="single"/>
        </w:rPr>
        <w:t>Offerings</w:t>
      </w:r>
    </w:p>
    <w:p w14:paraId="483160A2" w14:textId="77777777" w:rsidR="00787610" w:rsidRDefault="00787610" w:rsidP="00156BEA">
      <w:pPr>
        <w:pStyle w:val="ListParagraph"/>
        <w:numPr>
          <w:ilvl w:val="0"/>
          <w:numId w:val="5"/>
        </w:numPr>
        <w:spacing w:line="480" w:lineRule="auto"/>
      </w:pPr>
      <w:r w:rsidRPr="00565FA4">
        <w:rPr>
          <w:i/>
          <w:iCs/>
        </w:rPr>
        <w:t>Good for Quick Visit</w:t>
      </w:r>
      <w:r>
        <w:t>: Whether POI is good for quick visits based on proprietary Google Maps algorithm</w:t>
      </w:r>
    </w:p>
    <w:p w14:paraId="29550244" w14:textId="77777777" w:rsidR="00787610" w:rsidRDefault="00787610" w:rsidP="00156BEA">
      <w:pPr>
        <w:pStyle w:val="ListParagraph"/>
        <w:numPr>
          <w:ilvl w:val="0"/>
          <w:numId w:val="5"/>
        </w:numPr>
        <w:spacing w:line="480" w:lineRule="auto"/>
      </w:pPr>
      <w:r w:rsidRPr="00565FA4">
        <w:rPr>
          <w:i/>
          <w:iCs/>
        </w:rPr>
        <w:t>Organic Food</w:t>
      </w:r>
      <w:r>
        <w:t>: Whether POI offers organic food</w:t>
      </w:r>
    </w:p>
    <w:p w14:paraId="3D44B542" w14:textId="77777777" w:rsidR="00787610" w:rsidRDefault="00787610" w:rsidP="00156BEA">
      <w:pPr>
        <w:pStyle w:val="ListParagraph"/>
        <w:numPr>
          <w:ilvl w:val="0"/>
          <w:numId w:val="5"/>
        </w:numPr>
        <w:spacing w:line="480" w:lineRule="auto"/>
      </w:pPr>
      <w:r w:rsidRPr="00565FA4">
        <w:rPr>
          <w:i/>
          <w:iCs/>
        </w:rPr>
        <w:t>Prepared Food</w:t>
      </w:r>
      <w:r>
        <w:t>: Whether POI offers prepared food</w:t>
      </w:r>
    </w:p>
    <w:p w14:paraId="0FEA748E" w14:textId="77777777" w:rsidR="00787610" w:rsidRPr="00A11F0F" w:rsidRDefault="00787610" w:rsidP="00156BEA">
      <w:pPr>
        <w:spacing w:line="480" w:lineRule="auto"/>
        <w:rPr>
          <w:u w:val="single"/>
        </w:rPr>
      </w:pPr>
      <w:r w:rsidRPr="00A11F0F">
        <w:rPr>
          <w:u w:val="single"/>
        </w:rPr>
        <w:t>Payment Options</w:t>
      </w:r>
    </w:p>
    <w:p w14:paraId="30861B51" w14:textId="77777777" w:rsidR="00787610" w:rsidRDefault="00787610" w:rsidP="00156BEA">
      <w:pPr>
        <w:pStyle w:val="ListParagraph"/>
        <w:numPr>
          <w:ilvl w:val="0"/>
          <w:numId w:val="5"/>
        </w:numPr>
        <w:spacing w:line="480" w:lineRule="auto"/>
      </w:pPr>
      <w:r w:rsidRPr="00054379">
        <w:rPr>
          <w:i/>
          <w:iCs/>
        </w:rPr>
        <w:t>Accepts Check</w:t>
      </w:r>
      <w:r>
        <w:t>: Whether POI accepts check as payment</w:t>
      </w:r>
    </w:p>
    <w:p w14:paraId="23D2C0F4" w14:textId="77777777" w:rsidR="00787610" w:rsidRDefault="00787610" w:rsidP="00156BEA">
      <w:pPr>
        <w:pStyle w:val="ListParagraph"/>
        <w:numPr>
          <w:ilvl w:val="0"/>
          <w:numId w:val="5"/>
        </w:numPr>
        <w:spacing w:line="480" w:lineRule="auto"/>
      </w:pPr>
      <w:r w:rsidRPr="00054379">
        <w:rPr>
          <w:i/>
          <w:iCs/>
        </w:rPr>
        <w:t>Accepts Debit Card</w:t>
      </w:r>
      <w:r>
        <w:t>: Whether POI accepts debit card as payment</w:t>
      </w:r>
    </w:p>
    <w:p w14:paraId="674111E7" w14:textId="2FA021C7" w:rsidR="00787610" w:rsidRDefault="00787610" w:rsidP="00156BEA">
      <w:pPr>
        <w:pStyle w:val="ListParagraph"/>
        <w:numPr>
          <w:ilvl w:val="0"/>
          <w:numId w:val="5"/>
        </w:numPr>
        <w:spacing w:line="480" w:lineRule="auto"/>
      </w:pPr>
      <w:r w:rsidRPr="00054379">
        <w:rPr>
          <w:i/>
          <w:iCs/>
        </w:rPr>
        <w:lastRenderedPageBreak/>
        <w:t>Accepts NFC Mobile Payment</w:t>
      </w:r>
      <w:r>
        <w:t xml:space="preserve">: Whether POI accepts </w:t>
      </w:r>
      <w:r w:rsidR="00A76737">
        <w:t>near-field communication (</w:t>
      </w:r>
      <w:r>
        <w:t>NFC</w:t>
      </w:r>
      <w:r w:rsidR="00A76737">
        <w:t>)</w:t>
      </w:r>
      <w:r>
        <w:t xml:space="preserve"> Mobile Payment</w:t>
      </w:r>
    </w:p>
    <w:p w14:paraId="4658ACC6" w14:textId="77777777" w:rsidR="00787610" w:rsidRDefault="00787610" w:rsidP="00156BEA">
      <w:pPr>
        <w:pStyle w:val="ListParagraph"/>
        <w:numPr>
          <w:ilvl w:val="0"/>
          <w:numId w:val="5"/>
        </w:numPr>
        <w:spacing w:line="480" w:lineRule="auto"/>
      </w:pPr>
      <w:r w:rsidRPr="00054379">
        <w:rPr>
          <w:i/>
          <w:iCs/>
        </w:rPr>
        <w:t>Accepts SNAP/EBT</w:t>
      </w:r>
      <w:r>
        <w:t>: Whether POI accepts SNAP/EBT as payment</w:t>
      </w:r>
    </w:p>
    <w:p w14:paraId="52E90A4F" w14:textId="77777777" w:rsidR="00787610" w:rsidRDefault="00787610" w:rsidP="00156BEA">
      <w:pPr>
        <w:pStyle w:val="ListParagraph"/>
        <w:numPr>
          <w:ilvl w:val="0"/>
          <w:numId w:val="5"/>
        </w:numPr>
        <w:spacing w:line="480" w:lineRule="auto"/>
      </w:pPr>
      <w:r w:rsidRPr="00054379">
        <w:rPr>
          <w:i/>
          <w:iCs/>
        </w:rPr>
        <w:t>Accepts Credit Card</w:t>
      </w:r>
      <w:r>
        <w:t>: Whether POI accepts credit card as payment</w:t>
      </w:r>
    </w:p>
    <w:p w14:paraId="513D657F" w14:textId="77777777" w:rsidR="00787610" w:rsidRPr="00A11F0F" w:rsidRDefault="00787610" w:rsidP="00156BEA">
      <w:pPr>
        <w:spacing w:line="480" w:lineRule="auto"/>
        <w:rPr>
          <w:u w:val="single"/>
        </w:rPr>
      </w:pPr>
      <w:r w:rsidRPr="00A11F0F">
        <w:rPr>
          <w:u w:val="single"/>
        </w:rPr>
        <w:t>Amenities</w:t>
      </w:r>
    </w:p>
    <w:p w14:paraId="3B6B8916" w14:textId="77777777" w:rsidR="00787610" w:rsidRDefault="00787610" w:rsidP="00156BEA">
      <w:pPr>
        <w:pStyle w:val="ListParagraph"/>
        <w:numPr>
          <w:ilvl w:val="0"/>
          <w:numId w:val="5"/>
        </w:numPr>
        <w:spacing w:line="480" w:lineRule="auto"/>
      </w:pPr>
      <w:r w:rsidRPr="00054379">
        <w:rPr>
          <w:i/>
          <w:iCs/>
        </w:rPr>
        <w:t>Restroom</w:t>
      </w:r>
      <w:r>
        <w:t>: Whether POI has restroom(s)</w:t>
      </w:r>
    </w:p>
    <w:p w14:paraId="2776E391" w14:textId="77777777" w:rsidR="00787610" w:rsidRPr="00A11F0F" w:rsidRDefault="00787610" w:rsidP="00156BEA">
      <w:pPr>
        <w:spacing w:line="480" w:lineRule="auto"/>
        <w:rPr>
          <w:u w:val="single"/>
        </w:rPr>
      </w:pPr>
      <w:r w:rsidRPr="00A11F0F">
        <w:rPr>
          <w:u w:val="single"/>
        </w:rPr>
        <w:t>Atmosphere</w:t>
      </w:r>
    </w:p>
    <w:p w14:paraId="1704EB99" w14:textId="77777777" w:rsidR="00787610" w:rsidRDefault="00787610" w:rsidP="00156BEA">
      <w:pPr>
        <w:pStyle w:val="ListParagraph"/>
        <w:numPr>
          <w:ilvl w:val="0"/>
          <w:numId w:val="5"/>
        </w:numPr>
        <w:spacing w:line="480" w:lineRule="auto"/>
      </w:pPr>
      <w:r w:rsidRPr="00054379">
        <w:rPr>
          <w:i/>
          <w:iCs/>
        </w:rPr>
        <w:t>LGBTQ+ Friendly</w:t>
      </w:r>
      <w:r>
        <w:t>: Whether the POI owner has marked their POI as LGBTQ-friendly and/or a Transgender Safe Space</w:t>
      </w:r>
    </w:p>
    <w:p w14:paraId="32CF0FB8" w14:textId="77777777" w:rsidR="00787610" w:rsidRDefault="00787610" w:rsidP="00156BEA">
      <w:pPr>
        <w:pStyle w:val="ListParagraph"/>
        <w:numPr>
          <w:ilvl w:val="0"/>
          <w:numId w:val="5"/>
        </w:numPr>
        <w:spacing w:line="480" w:lineRule="auto"/>
      </w:pPr>
      <w:r w:rsidRPr="00054379">
        <w:rPr>
          <w:i/>
          <w:iCs/>
        </w:rPr>
        <w:t>Family Friendly</w:t>
      </w:r>
      <w:r>
        <w:t>: Whether the POI owner has marked their POI as family-friendly</w:t>
      </w:r>
    </w:p>
    <w:p w14:paraId="4C9AD617" w14:textId="77777777" w:rsidR="00787610" w:rsidRPr="00A11F0F" w:rsidRDefault="00787610" w:rsidP="00156BEA">
      <w:pPr>
        <w:spacing w:line="480" w:lineRule="auto"/>
        <w:rPr>
          <w:u w:val="single"/>
        </w:rPr>
      </w:pPr>
      <w:r w:rsidRPr="00A11F0F">
        <w:rPr>
          <w:u w:val="single"/>
        </w:rPr>
        <w:t>Address Details</w:t>
      </w:r>
    </w:p>
    <w:p w14:paraId="6B141ECC" w14:textId="77777777" w:rsidR="00787610" w:rsidRDefault="00787610" w:rsidP="00156BEA">
      <w:pPr>
        <w:pStyle w:val="ListParagraph"/>
        <w:numPr>
          <w:ilvl w:val="0"/>
          <w:numId w:val="5"/>
        </w:numPr>
        <w:spacing w:line="480" w:lineRule="auto"/>
      </w:pPr>
      <w:r w:rsidRPr="00054379">
        <w:rPr>
          <w:i/>
          <w:iCs/>
        </w:rPr>
        <w:t>Longitude</w:t>
      </w:r>
      <w:r>
        <w:t>: World Geodetic System 1984 (WGS84) Longitude of place of interest</w:t>
      </w:r>
    </w:p>
    <w:p w14:paraId="7DEE6E45" w14:textId="77777777" w:rsidR="00787610" w:rsidRDefault="00787610" w:rsidP="00156BEA">
      <w:pPr>
        <w:pStyle w:val="ListParagraph"/>
        <w:numPr>
          <w:ilvl w:val="0"/>
          <w:numId w:val="5"/>
        </w:numPr>
        <w:spacing w:line="480" w:lineRule="auto"/>
      </w:pPr>
      <w:r w:rsidRPr="00054379">
        <w:rPr>
          <w:i/>
          <w:iCs/>
        </w:rPr>
        <w:t>Latitude</w:t>
      </w:r>
      <w:r>
        <w:t>: WGS84 Latitude of place of interest</w:t>
      </w:r>
    </w:p>
    <w:p w14:paraId="3F093824" w14:textId="77777777" w:rsidR="00787610" w:rsidRDefault="00787610" w:rsidP="00156BEA">
      <w:pPr>
        <w:pStyle w:val="ListParagraph"/>
        <w:numPr>
          <w:ilvl w:val="0"/>
          <w:numId w:val="5"/>
        </w:numPr>
        <w:spacing w:line="480" w:lineRule="auto"/>
      </w:pPr>
      <w:r w:rsidRPr="00054379">
        <w:rPr>
          <w:i/>
          <w:iCs/>
        </w:rPr>
        <w:t>Address</w:t>
      </w:r>
      <w:r>
        <w:t>: Address of place of interest</w:t>
      </w:r>
    </w:p>
    <w:p w14:paraId="5FBB8648" w14:textId="415B58C5" w:rsidR="00787610" w:rsidRDefault="00787610" w:rsidP="00156BEA">
      <w:pPr>
        <w:pStyle w:val="ListParagraph"/>
        <w:numPr>
          <w:ilvl w:val="0"/>
          <w:numId w:val="5"/>
        </w:numPr>
        <w:spacing w:line="480" w:lineRule="auto"/>
      </w:pPr>
      <w:proofErr w:type="gramStart"/>
      <w:r w:rsidRPr="00054379">
        <w:rPr>
          <w:i/>
          <w:iCs/>
        </w:rPr>
        <w:t>Plus</w:t>
      </w:r>
      <w:proofErr w:type="gramEnd"/>
      <w:r w:rsidRPr="00054379">
        <w:rPr>
          <w:i/>
          <w:iCs/>
        </w:rPr>
        <w:t xml:space="preserve"> Code</w:t>
      </w:r>
      <w:r>
        <w:t>: Unique identifiers for places around the world developed by Google</w:t>
      </w:r>
    </w:p>
    <w:p w14:paraId="26E812F3" w14:textId="265E4214" w:rsidR="00735FF1" w:rsidRPr="006148DF" w:rsidRDefault="0051702D" w:rsidP="00FA3111">
      <w:pPr>
        <w:spacing w:line="480" w:lineRule="auto"/>
        <w:ind w:firstLine="720"/>
      </w:pPr>
      <w:r>
        <w:t xml:space="preserve">These </w:t>
      </w:r>
      <w:r w:rsidR="00B979EE">
        <w:t>store attributes</w:t>
      </w:r>
      <w:r w:rsidR="00534220">
        <w:t xml:space="preserve"> were specifically retrieved</w:t>
      </w:r>
      <w:r w:rsidR="006E2AD1">
        <w:t xml:space="preserve"> </w:t>
      </w:r>
      <w:r w:rsidR="00FA3111">
        <w:t xml:space="preserve">so that they could be considered in </w:t>
      </w:r>
      <w:r w:rsidR="00316B82">
        <w:t>relation to</w:t>
      </w:r>
      <w:r w:rsidR="00FA3111">
        <w:t xml:space="preserve"> individual preferences and abilities</w:t>
      </w:r>
      <w:r w:rsidR="00534220">
        <w:t xml:space="preserve"> </w:t>
      </w:r>
      <w:r w:rsidR="00FA3111">
        <w:t xml:space="preserve">as discussed in Dataset 2. </w:t>
      </w:r>
      <w:r w:rsidR="006148DF">
        <w:t xml:space="preserve">The </w:t>
      </w:r>
      <w:r w:rsidR="006148DF">
        <w:rPr>
          <w:i/>
          <w:iCs/>
        </w:rPr>
        <w:t xml:space="preserve">Organic Food </w:t>
      </w:r>
      <w:r w:rsidR="006148DF">
        <w:t xml:space="preserve">and </w:t>
      </w:r>
      <w:r w:rsidR="006148DF">
        <w:rPr>
          <w:i/>
          <w:iCs/>
        </w:rPr>
        <w:t>Prepared Food</w:t>
      </w:r>
      <w:r w:rsidR="006148DF">
        <w:t xml:space="preserve"> attributes </w:t>
      </w:r>
      <w:r w:rsidR="009D58A6">
        <w:t xml:space="preserve">are binary indicators for whether stores offer or do not offer organic and prepared foods. Certain groups of people may prefer these </w:t>
      </w:r>
      <w:r w:rsidR="00034CB3">
        <w:t xml:space="preserve">foods which relates to </w:t>
      </w:r>
      <w:r w:rsidR="00674E03">
        <w:t xml:space="preserve">a </w:t>
      </w:r>
      <w:r w:rsidR="00034CB3">
        <w:t xml:space="preserve">mental </w:t>
      </w:r>
      <w:r w:rsidR="00674E03">
        <w:t xml:space="preserve">space approach to </w:t>
      </w:r>
      <w:r w:rsidR="00034CB3">
        <w:t xml:space="preserve">availability whereby certain stores </w:t>
      </w:r>
      <w:r w:rsidR="00BA127C">
        <w:t xml:space="preserve">have or do not have desirable food items. </w:t>
      </w:r>
      <w:r w:rsidR="008737D7">
        <w:t xml:space="preserve">For example, people </w:t>
      </w:r>
      <w:r w:rsidR="00A74A51">
        <w:t xml:space="preserve">who are health-conscious may prefer organic foods while those </w:t>
      </w:r>
      <w:r w:rsidR="008737D7">
        <w:t xml:space="preserve">who work </w:t>
      </w:r>
      <w:r w:rsidR="008737D7">
        <w:lastRenderedPageBreak/>
        <w:t>long hours</w:t>
      </w:r>
      <w:r w:rsidR="00C677F9">
        <w:t xml:space="preserve"> and/or on the road</w:t>
      </w:r>
      <w:r w:rsidR="008737D7">
        <w:t xml:space="preserve"> </w:t>
      </w:r>
      <w:r w:rsidR="002546E1">
        <w:t xml:space="preserve">and without access to a kitchen </w:t>
      </w:r>
      <w:r w:rsidR="008737D7">
        <w:t xml:space="preserve">may prefer to purchase prepared foods that are </w:t>
      </w:r>
      <w:r w:rsidR="002546E1">
        <w:t>relatively less</w:t>
      </w:r>
      <w:r w:rsidR="008737D7">
        <w:t xml:space="preserve"> expensive </w:t>
      </w:r>
      <w:r w:rsidR="002546E1">
        <w:t>compared to</w:t>
      </w:r>
      <w:r w:rsidR="008737D7">
        <w:t xml:space="preserve"> restaurant prices</w:t>
      </w:r>
      <w:r w:rsidR="002546E1">
        <w:t>.</w:t>
      </w:r>
    </w:p>
    <w:p w14:paraId="686961BE" w14:textId="298FB9CC" w:rsidR="0051702D" w:rsidRDefault="00776DD2" w:rsidP="00FA3111">
      <w:pPr>
        <w:spacing w:line="480" w:lineRule="auto"/>
        <w:ind w:firstLine="720"/>
      </w:pPr>
      <w:r>
        <w:t xml:space="preserve">The attributes underneath ‘Address Details’ including </w:t>
      </w:r>
      <w:r>
        <w:rPr>
          <w:i/>
          <w:iCs/>
        </w:rPr>
        <w:t>Longitude</w:t>
      </w:r>
      <w:r>
        <w:t xml:space="preserve">, </w:t>
      </w:r>
      <w:r>
        <w:rPr>
          <w:i/>
          <w:iCs/>
        </w:rPr>
        <w:t>Latitude</w:t>
      </w:r>
      <w:r>
        <w:t xml:space="preserve">, and </w:t>
      </w:r>
      <w:r>
        <w:rPr>
          <w:i/>
          <w:iCs/>
        </w:rPr>
        <w:t xml:space="preserve">Address </w:t>
      </w:r>
      <w:r>
        <w:t>provide basic location information for food stores and can be used with Dataset 3 to determine the relative accessibility, or ease to which individuals can physically travel to different opportunities based on their given locations throughout the two-day period.</w:t>
      </w:r>
      <w:r w:rsidR="005871BB">
        <w:t xml:space="preserve"> </w:t>
      </w:r>
      <w:r w:rsidR="00F97D2F">
        <w:t>But</w:t>
      </w:r>
      <w:r w:rsidR="00723ED2">
        <w:t xml:space="preserve"> the emergence of the Internet and Web necessitates understanding of accessibility to virtual-based services as some people may find it easier and/or prefer </w:t>
      </w:r>
      <w:r w:rsidR="00C47C2D">
        <w:t xml:space="preserve">to shop online. </w:t>
      </w:r>
      <w:r w:rsidR="005871BB">
        <w:t xml:space="preserve">Attributes under ‘Service Options’ </w:t>
      </w:r>
      <w:r w:rsidR="003E42AC">
        <w:t xml:space="preserve">additionally provide information about the modalities by which people can obtain food at stores, from in-person store shopping to </w:t>
      </w:r>
      <w:r w:rsidR="00E3264F">
        <w:t xml:space="preserve">curbside pickup to </w:t>
      </w:r>
      <w:r w:rsidR="003E42AC">
        <w:t>online delivery</w:t>
      </w:r>
      <w:r w:rsidR="00E3264F">
        <w:t xml:space="preserve">. These attributes are binary indicators which can be used to </w:t>
      </w:r>
      <w:r w:rsidR="00A71CE7">
        <w:t xml:space="preserve">inform </w:t>
      </w:r>
      <w:r w:rsidR="00F453F5">
        <w:t xml:space="preserve">accessibility from a relational space perspective </w:t>
      </w:r>
      <w:r w:rsidR="00436CA3">
        <w:t>as</w:t>
      </w:r>
      <w:r w:rsidR="00A71CE7">
        <w:t xml:space="preserve"> stores </w:t>
      </w:r>
      <w:r w:rsidR="000741BF">
        <w:t>vary in their physical- and virtual-based service options</w:t>
      </w:r>
      <w:r w:rsidR="00436CA3">
        <w:t xml:space="preserve">. </w:t>
      </w:r>
      <w:r w:rsidR="00490FD3">
        <w:t>A store with virtual-based service options means that people with the appropriate technological infrastructure, aptitude, and willingness to use online services expands the ease to which they can reach different stores and</w:t>
      </w:r>
      <w:r w:rsidR="00EC5D5C">
        <w:t xml:space="preserve"> ultimately their opportunity set</w:t>
      </w:r>
      <w:r w:rsidR="007159D1">
        <w:t xml:space="preserve">. Conversely, those without </w:t>
      </w:r>
      <w:r w:rsidR="002F3699">
        <w:t xml:space="preserve">the requisite technological infrastructure, aptitude, and willingness </w:t>
      </w:r>
      <w:r w:rsidR="00092CFF">
        <w:t>do not enjoy the same accessibility to online services and can only reach stores in other ways.</w:t>
      </w:r>
    </w:p>
    <w:p w14:paraId="4D310101" w14:textId="42F2FA0B" w:rsidR="006D526E" w:rsidRPr="00F435DF" w:rsidRDefault="00343DF8" w:rsidP="00FA3111">
      <w:pPr>
        <w:spacing w:line="480" w:lineRule="auto"/>
        <w:ind w:firstLine="720"/>
      </w:pPr>
      <w:r>
        <w:t>The operational hours of stores</w:t>
      </w:r>
      <w:r w:rsidR="001B75F9">
        <w:t xml:space="preserve"> for each day of the week</w:t>
      </w:r>
      <w:r>
        <w:t xml:space="preserve"> were also retrieved to determine a more accurate </w:t>
      </w:r>
      <w:r w:rsidR="007B1B49">
        <w:t>opportunity set for people</w:t>
      </w:r>
      <w:r w:rsidR="00303CC3">
        <w:t xml:space="preserve"> </w:t>
      </w:r>
      <w:r w:rsidR="001B75F9">
        <w:t xml:space="preserve">based on </w:t>
      </w:r>
      <w:r w:rsidR="00AB41B6">
        <w:t>their different locations throughout a day</w:t>
      </w:r>
      <w:r w:rsidR="00777F4A">
        <w:t xml:space="preserve">. As is discussed later, </w:t>
      </w:r>
      <w:r w:rsidR="00860FAD">
        <w:t>Dataset 3 contains information about the periods of discretionary time when people can freely participate in activities</w:t>
      </w:r>
      <w:r w:rsidR="005D111C">
        <w:t xml:space="preserve">. This can effectively provide context into the how store hours accommodate the different schedules of individuals </w:t>
      </w:r>
      <w:r w:rsidR="00B83AF3">
        <w:t>and suggests a relative space approach to accommodation</w:t>
      </w:r>
      <w:r w:rsidR="00140100">
        <w:t xml:space="preserve">. </w:t>
      </w:r>
      <w:r w:rsidR="00C32CC4">
        <w:t xml:space="preserve">The </w:t>
      </w:r>
      <w:r w:rsidR="00140100">
        <w:t>proposed GIS can determine w</w:t>
      </w:r>
      <w:r w:rsidR="00D761AE">
        <w:t xml:space="preserve">hich stores are open </w:t>
      </w:r>
      <w:r w:rsidR="00C32CC4">
        <w:t xml:space="preserve">throughout the </w:t>
      </w:r>
      <w:r w:rsidR="00C32CC4">
        <w:lastRenderedPageBreak/>
        <w:t xml:space="preserve">different schedules of individuals. Understanding how the infrastructure established by stores accommodates to the needs of people can also be augmented with the </w:t>
      </w:r>
      <w:r w:rsidR="00F435DF">
        <w:rPr>
          <w:i/>
          <w:iCs/>
        </w:rPr>
        <w:t>Masks Required</w:t>
      </w:r>
      <w:r w:rsidR="00F435DF">
        <w:t xml:space="preserve">, </w:t>
      </w:r>
      <w:r w:rsidR="00F435DF">
        <w:rPr>
          <w:i/>
          <w:iCs/>
        </w:rPr>
        <w:t>Accessibility</w:t>
      </w:r>
      <w:r w:rsidR="00F435DF">
        <w:t>, and</w:t>
      </w:r>
      <w:r w:rsidR="00F435DF">
        <w:rPr>
          <w:i/>
          <w:iCs/>
        </w:rPr>
        <w:t xml:space="preserve"> Restroom </w:t>
      </w:r>
      <w:r w:rsidR="00F435DF">
        <w:t xml:space="preserve">attributes. </w:t>
      </w:r>
      <w:r w:rsidR="00EF42BA">
        <w:t xml:space="preserve">People have different physical </w:t>
      </w:r>
      <w:r w:rsidR="00F600F8">
        <w:t>needs,</w:t>
      </w:r>
      <w:r w:rsidR="00EF42BA">
        <w:t xml:space="preserve"> and the</w:t>
      </w:r>
      <w:r w:rsidR="00F600F8">
        <w:t xml:space="preserve"> </w:t>
      </w:r>
      <w:proofErr w:type="gramStart"/>
      <w:r w:rsidR="00F600F8">
        <w:t>aforementioned store</w:t>
      </w:r>
      <w:proofErr w:type="gramEnd"/>
      <w:r w:rsidR="00F600F8">
        <w:t xml:space="preserve"> </w:t>
      </w:r>
      <w:r w:rsidR="00EF42BA">
        <w:t xml:space="preserve">attributes are especially important </w:t>
      </w:r>
      <w:r w:rsidR="00F600F8">
        <w:t xml:space="preserve">to understand </w:t>
      </w:r>
      <w:r w:rsidR="00EF42BA">
        <w:t>for those who are, respectively,</w:t>
      </w:r>
      <w:r w:rsidR="00180DD7">
        <w:t xml:space="preserve"> immunocompromised and health-conscious, wheelchair-bound, </w:t>
      </w:r>
      <w:r w:rsidR="00EF42BA">
        <w:t>or experience incontinence</w:t>
      </w:r>
      <w:r w:rsidR="001F30A4">
        <w:t>. The presence or absence of masking policies</w:t>
      </w:r>
      <w:r w:rsidR="00EF42BA">
        <w:t xml:space="preserve"> </w:t>
      </w:r>
      <w:r w:rsidR="001F30A4">
        <w:t xml:space="preserve">and physical infrastructure as wheelchair ramps and public restrooms </w:t>
      </w:r>
      <w:r w:rsidR="00F600F8">
        <w:t>can be treated as binary indicators</w:t>
      </w:r>
      <w:r w:rsidR="00A364C8">
        <w:t xml:space="preserve"> that either accommodate or do not accommodate the needs and preferences of individuals based on their unique characteristics </w:t>
      </w:r>
      <w:r w:rsidR="0072791C">
        <w:t xml:space="preserve">in Dataset 2. Similarly, the political contention of </w:t>
      </w:r>
      <w:r w:rsidR="00C51885">
        <w:t>Covid-19 policies</w:t>
      </w:r>
      <w:r w:rsidR="0072791C">
        <w:t xml:space="preserve"> </w:t>
      </w:r>
      <w:r w:rsidR="00C51885">
        <w:t xml:space="preserve">means that some people may </w:t>
      </w:r>
      <w:proofErr w:type="gramStart"/>
      <w:r w:rsidR="00C51885">
        <w:t>favor</w:t>
      </w:r>
      <w:proofErr w:type="gramEnd"/>
      <w:r w:rsidR="00C51885">
        <w:t xml:space="preserve"> or disfavor stores based on their masking policies </w:t>
      </w:r>
      <w:r w:rsidR="00CD1937">
        <w:t>which implies the need for a mental space approach to accommodation.</w:t>
      </w:r>
    </w:p>
    <w:p w14:paraId="550A275C" w14:textId="4CAEB463" w:rsidR="008153F2" w:rsidRPr="005871BB" w:rsidRDefault="008153F2" w:rsidP="00FA3111">
      <w:pPr>
        <w:spacing w:line="480" w:lineRule="auto"/>
        <w:ind w:firstLine="720"/>
      </w:pPr>
      <w:r>
        <w:t xml:space="preserve">The </w:t>
      </w:r>
      <w:r w:rsidRPr="00BC71D5">
        <w:rPr>
          <w:i/>
          <w:iCs/>
        </w:rPr>
        <w:t>Price</w:t>
      </w:r>
      <w:r>
        <w:t xml:space="preserve"> attribute provides understanding into how inexpensive or expensive a store might be for an average market basket purchase and is useful to understanding how affordable it might be for different people relative to where they are located.</w:t>
      </w:r>
      <w:r w:rsidR="003613E6">
        <w:t xml:space="preserve"> A</w:t>
      </w:r>
      <w:r w:rsidR="0053162A">
        <w:t xml:space="preserve">ttributes under </w:t>
      </w:r>
      <w:r w:rsidR="003613E6">
        <w:t>‘Payment Options’ a</w:t>
      </w:r>
      <w:r w:rsidR="0053162A">
        <w:t xml:space="preserve">dditionally </w:t>
      </w:r>
      <w:r w:rsidR="003613E6">
        <w:t xml:space="preserve">capture </w:t>
      </w:r>
      <w:r w:rsidR="0053162A">
        <w:t>the viability of</w:t>
      </w:r>
      <w:r w:rsidR="003613E6">
        <w:t xml:space="preserve"> different payment options</w:t>
      </w:r>
      <w:r w:rsidR="0053162A">
        <w:t xml:space="preserve"> at stores</w:t>
      </w:r>
      <w:r w:rsidR="00ED0773">
        <w:t xml:space="preserve"> and can also influence the degree to which people can afford food. </w:t>
      </w:r>
      <w:r w:rsidR="00212EF4">
        <w:t xml:space="preserve">These attributes are especially useful </w:t>
      </w:r>
      <w:r w:rsidR="00E81C57">
        <w:t xml:space="preserve">in identifying the food opportunities </w:t>
      </w:r>
      <w:r w:rsidR="00212EF4">
        <w:t>for t</w:t>
      </w:r>
      <w:r w:rsidR="0031686B">
        <w:t xml:space="preserve">hose reliant on </w:t>
      </w:r>
      <w:r w:rsidR="00212EF4">
        <w:t xml:space="preserve">specific payment options, such as </w:t>
      </w:r>
      <w:r w:rsidR="0031686B">
        <w:t>SNAP benefits</w:t>
      </w:r>
      <w:r w:rsidR="00212EF4">
        <w:t>,</w:t>
      </w:r>
      <w:r w:rsidR="0031686B">
        <w:t xml:space="preserve"> to procure food</w:t>
      </w:r>
      <w:r w:rsidR="00D64D01">
        <w:t xml:space="preserve">; if a store does not accept SNAP benefits, it may not necessarily be </w:t>
      </w:r>
      <w:r w:rsidR="00E81C57">
        <w:t>an affordable opportunity.</w:t>
      </w:r>
      <w:r w:rsidR="00A56F3A">
        <w:t xml:space="preserve"> T</w:t>
      </w:r>
      <w:r w:rsidR="00D61962">
        <w:t xml:space="preserve">he emergence </w:t>
      </w:r>
      <w:r w:rsidR="00FA2E3A">
        <w:t xml:space="preserve">and growing adoption </w:t>
      </w:r>
      <w:r w:rsidR="00D61962">
        <w:t>of</w:t>
      </w:r>
      <w:r w:rsidR="00C01023">
        <w:t xml:space="preserve"> virtual-based money options such as e-wallets als</w:t>
      </w:r>
      <w:r w:rsidR="00B36029">
        <w:t>o makes</w:t>
      </w:r>
      <w:r w:rsidR="00104774">
        <w:t xml:space="preserve"> it</w:t>
      </w:r>
      <w:r w:rsidR="00B36029">
        <w:t xml:space="preserve"> important </w:t>
      </w:r>
      <w:r w:rsidR="00104774">
        <w:t xml:space="preserve">to </w:t>
      </w:r>
      <w:r w:rsidR="00B36029">
        <w:t>includ</w:t>
      </w:r>
      <w:r w:rsidR="00104774">
        <w:t>e</w:t>
      </w:r>
      <w:r w:rsidR="00B36029">
        <w:t xml:space="preserve"> </w:t>
      </w:r>
      <w:r w:rsidR="00C01023">
        <w:t xml:space="preserve">NFC mobile payments </w:t>
      </w:r>
      <w:r w:rsidR="00B36029">
        <w:t xml:space="preserve">as an attribute to delimit the opportunity set for those who prefer to </w:t>
      </w:r>
      <w:r w:rsidR="00DD5B71">
        <w:t>pay with this option.</w:t>
      </w:r>
      <w:r w:rsidR="00FF7DA4">
        <w:t xml:space="preserve"> These examples </w:t>
      </w:r>
      <w:r w:rsidR="009A5AAC">
        <w:t xml:space="preserve">convey a relational space approach to affordability in which </w:t>
      </w:r>
      <w:r w:rsidR="001A3C3C">
        <w:t xml:space="preserve">institutions such as the USDA provide </w:t>
      </w:r>
      <w:r w:rsidR="001A3C3C">
        <w:lastRenderedPageBreak/>
        <w:t>financial assistance</w:t>
      </w:r>
      <w:r w:rsidR="001B1F0D">
        <w:t xml:space="preserve"> to people to acquire food and </w:t>
      </w:r>
      <w:r w:rsidR="00F9554A">
        <w:t xml:space="preserve">where the emergence </w:t>
      </w:r>
      <w:r w:rsidR="003B4D9E">
        <w:t>of financial transactions in virtual space with mobile payment</w:t>
      </w:r>
      <w:r w:rsidR="00EE6BA5">
        <w:t xml:space="preserve">s can enhance the ability of people to </w:t>
      </w:r>
      <w:r w:rsidR="00E24315">
        <w:t xml:space="preserve">pay for </w:t>
      </w:r>
      <w:r w:rsidR="00EE6BA5">
        <w:t>food.</w:t>
      </w:r>
    </w:p>
    <w:p w14:paraId="4A7BD43C" w14:textId="5B44233B" w:rsidR="001C6CDE" w:rsidRDefault="00B10F8A" w:rsidP="001C6CDE">
      <w:pPr>
        <w:spacing w:line="480" w:lineRule="auto"/>
        <w:ind w:firstLine="720"/>
      </w:pPr>
      <w:r>
        <w:t>The</w:t>
      </w:r>
      <w:r w:rsidR="00883504">
        <w:t xml:space="preserve"> </w:t>
      </w:r>
      <w:r w:rsidR="00883504">
        <w:rPr>
          <w:i/>
          <w:iCs/>
        </w:rPr>
        <w:t xml:space="preserve">Atmosphere </w:t>
      </w:r>
      <w:r w:rsidR="00883504">
        <w:t xml:space="preserve">attributes </w:t>
      </w:r>
      <w:r w:rsidR="00443017">
        <w:t>reflect</w:t>
      </w:r>
      <w:r>
        <w:t xml:space="preserve"> </w:t>
      </w:r>
      <w:r w:rsidR="00443017">
        <w:t>upon the social atmosphere of stores</w:t>
      </w:r>
      <w:r w:rsidR="00FF61FC">
        <w:t xml:space="preserve"> and </w:t>
      </w:r>
      <w:r w:rsidR="00B00185">
        <w:t xml:space="preserve">imply </w:t>
      </w:r>
      <w:r w:rsidR="00C0065E">
        <w:t xml:space="preserve">a relational and mental </w:t>
      </w:r>
      <w:r w:rsidR="00B00185">
        <w:t>space approach to acceptability</w:t>
      </w:r>
      <w:r w:rsidR="00FF61FC">
        <w:t>, with</w:t>
      </w:r>
      <w:r w:rsidR="00883504">
        <w:t xml:space="preserve"> binary indicators of ‘LGBTQ+ Friendly’ and ‘Family Friendly’</w:t>
      </w:r>
      <w:r>
        <w:t xml:space="preserve">. These two attributes </w:t>
      </w:r>
      <w:r w:rsidR="00073351">
        <w:t>developed by Google Maps</w:t>
      </w:r>
      <w:r w:rsidR="003E5251">
        <w:t xml:space="preserve"> allows businesses to</w:t>
      </w:r>
      <w:r w:rsidR="00073351">
        <w:t xml:space="preserve"> indicate whether a store identifies as being LGBTQ+ and/or family friendly</w:t>
      </w:r>
      <w:r w:rsidR="00F654EE">
        <w:t xml:space="preserve">; in this respect, stores signal to people navigating Google Maps that they are accepting and tolerant of </w:t>
      </w:r>
      <w:r w:rsidR="006B07C7">
        <w:t xml:space="preserve">gender differences and families. Conversely, people who </w:t>
      </w:r>
      <w:r w:rsidR="00CA7A50">
        <w:t xml:space="preserve">belong to these identity groups may be more accepting </w:t>
      </w:r>
      <w:r w:rsidR="00713F2A">
        <w:t xml:space="preserve">of </w:t>
      </w:r>
      <w:r w:rsidR="00646803">
        <w:t xml:space="preserve">and more inclined to </w:t>
      </w:r>
      <w:r w:rsidR="00713F2A">
        <w:t xml:space="preserve">do their food shopping at these stores. </w:t>
      </w:r>
      <w:r w:rsidR="001C6CDE">
        <w:t xml:space="preserve">In addition to the store type attributes, </w:t>
      </w:r>
      <w:r w:rsidR="001C6CDE" w:rsidRPr="00BC71D5">
        <w:rPr>
          <w:i/>
          <w:iCs/>
        </w:rPr>
        <w:t>Type</w:t>
      </w:r>
      <w:r w:rsidR="001C6CDE">
        <w:t xml:space="preserve"> and </w:t>
      </w:r>
      <w:r w:rsidR="001C6CDE" w:rsidRPr="00BC71D5">
        <w:rPr>
          <w:i/>
          <w:iCs/>
        </w:rPr>
        <w:t>Specific Type</w:t>
      </w:r>
      <w:r w:rsidR="001C6CDE">
        <w:t xml:space="preserve">, discussed earlier, the </w:t>
      </w:r>
      <w:r w:rsidR="001C6CDE">
        <w:rPr>
          <w:i/>
          <w:iCs/>
        </w:rPr>
        <w:t xml:space="preserve">Store Name </w:t>
      </w:r>
      <w:r w:rsidR="001C6CDE">
        <w:t xml:space="preserve">attribute provides basic descriptive information about the store name. This attribute can be used in queries to derive a more accurate opportunity set based on the preferences for specific retail store brands such as Publix or Dollar General; in one respect, this is related to a mental space approach to acceptability whereby people harbor biases towards certain stores and may prefer or refuse to shop at specific brands. The </w:t>
      </w:r>
      <w:r w:rsidR="001C6CDE" w:rsidRPr="00BC71D5">
        <w:rPr>
          <w:i/>
          <w:iCs/>
        </w:rPr>
        <w:t>Rating</w:t>
      </w:r>
      <w:r w:rsidR="001C6CDE">
        <w:t xml:space="preserve"> attribute similarly captures how people generally perceive stores on a scale of one to five stars. However, this is considered a general store attribute as it does not provide a nuanced understanding of how reviewers perceive different store characteristics; rather, it is an aggregate rating. </w:t>
      </w:r>
    </w:p>
    <w:p w14:paraId="381B63C1" w14:textId="0B89E501" w:rsidR="00787610" w:rsidRDefault="00787610" w:rsidP="0051702D">
      <w:pPr>
        <w:spacing w:line="480" w:lineRule="auto"/>
        <w:ind w:firstLine="720"/>
      </w:pPr>
      <w:r>
        <w:t xml:space="preserve">Aspect-based sentiment analysis of reviews was </w:t>
      </w:r>
      <w:r w:rsidR="00713F2A">
        <w:t xml:space="preserve">additionally </w:t>
      </w:r>
      <w:r>
        <w:t>carried out to understand how people perceived specific characteristics related to food stores</w:t>
      </w:r>
      <w:r w:rsidR="00E16862">
        <w:t xml:space="preserve"> that may not necessarily be captured in the attributes provided by Google Maps</w:t>
      </w:r>
      <w:r>
        <w:t>.</w:t>
      </w:r>
      <w:r w:rsidR="00C46390">
        <w:t xml:space="preserve"> In doing so, this also helps to reveal and understand </w:t>
      </w:r>
      <w:r w:rsidR="00D4109A">
        <w:t>the different dimensions of access that are important to</w:t>
      </w:r>
      <w:r w:rsidR="00EE6BA5">
        <w:t xml:space="preserve"> and perceived by</w:t>
      </w:r>
      <w:r w:rsidR="00D4109A">
        <w:t xml:space="preserve"> people.</w:t>
      </w:r>
      <w:r>
        <w:t xml:space="preserve"> If </w:t>
      </w:r>
      <w:r>
        <w:lastRenderedPageBreak/>
        <w:t xml:space="preserve">GIS are to be useful to people, they must reflect how people think </w:t>
      </w:r>
      <w:r>
        <w:fldChar w:fldCharType="begin"/>
      </w:r>
      <w:r>
        <w:instrText xml:space="preserve"> ADDIN ZOTERO_ITEM CSL_CITATION {"citationID":"fRxioLUo","properties":{"formattedCitation":"(Egenhofer &amp; Mark, 1995)","plainCitation":"(Egenhofer &amp; Mark, 1995)","noteIndex":0},"citationItems":[{"id":842,"uris":["http://zotero.org/users/5090392/items/XBK2PYMT"],"itemData":{"id":842,"type":"paper-conference","abstract":"This paper defines the notion and concepts of Naive Geography, the field of study that is concerned with formal models of the common-sense geographic world. Naive Geography is the body of knowledge that people have about the surrounding geographic world. Naive Geography is envisioned to comprise a set of theories that provide the basis for designing future Geographic Information Systems that follow human intuition and are, therefore, easily accessible to a large range of users.","collection-title":"Lecture Notes in Computer Science","container-title":"Spatial Information Theory A Theoretical Basis for GIS","DOI":"10.1007/3-540-60392-1_1","event-place":"Berlin, Heidelberg","ISBN":"978-3-540-45519-6","language":"en","page":"1-15","publisher":"Springer","publisher-place":"Berlin, Heidelberg","source":"Springer Link","title":"Naive Geography","author":[{"family":"Egenhofer","given":"Max J."},{"family":"Mark","given":"David M."}],"editor":[{"family":"Frank","given":"Andrew U."},{"family":"Kuhn","given":"Werner"}],"issued":{"date-parts":[["1995"]]}}}],"schema":"https://github.com/citation-style-language/schema/raw/master/csl-citation.json"} </w:instrText>
      </w:r>
      <w:r>
        <w:fldChar w:fldCharType="separate"/>
      </w:r>
      <w:r w:rsidR="00967900" w:rsidRPr="00967900">
        <w:t>(Egenhofer &amp; Mark, 1995)</w:t>
      </w:r>
      <w:r>
        <w:fldChar w:fldCharType="end"/>
      </w:r>
      <w:r>
        <w:t>. These steps can be broken down into:</w:t>
      </w:r>
    </w:p>
    <w:p w14:paraId="0DCEB6A9" w14:textId="0D7A95B8" w:rsidR="00787610" w:rsidRDefault="00787610" w:rsidP="00156BEA">
      <w:pPr>
        <w:pStyle w:val="ListParagraph"/>
        <w:numPr>
          <w:ilvl w:val="0"/>
          <w:numId w:val="6"/>
        </w:numPr>
        <w:spacing w:line="480" w:lineRule="auto"/>
      </w:pPr>
      <w:r>
        <w:t>Text preprocessing (</w:t>
      </w:r>
      <w:proofErr w:type="spellStart"/>
      <w:r>
        <w:t>stopword</w:t>
      </w:r>
      <w:proofErr w:type="spellEnd"/>
      <w:r>
        <w:t xml:space="preserve"> removal,</w:t>
      </w:r>
      <w:r w:rsidR="00253EB4">
        <w:t xml:space="preserve"> sentence separation,</w:t>
      </w:r>
      <w:r>
        <w:t xml:space="preserve"> lower-casing, word tokenization, lemmatization</w:t>
      </w:r>
      <w:r w:rsidR="001A50FD">
        <w:t>)</w:t>
      </w:r>
    </w:p>
    <w:p w14:paraId="4E42392D" w14:textId="4FEAD104" w:rsidR="00787610" w:rsidRDefault="00787610" w:rsidP="00156BEA">
      <w:pPr>
        <w:pStyle w:val="ListParagraph"/>
        <w:numPr>
          <w:ilvl w:val="0"/>
          <w:numId w:val="6"/>
        </w:numPr>
        <w:spacing w:line="480" w:lineRule="auto"/>
      </w:pPr>
      <w:r>
        <w:t>Topic modelling with Latent Dirichlet Allocation (LDA)</w:t>
      </w:r>
      <w:r w:rsidR="006820E3">
        <w:t xml:space="preserve"> </w:t>
      </w:r>
      <w:r w:rsidR="00050256">
        <w:fldChar w:fldCharType="begin"/>
      </w:r>
      <w:r w:rsidR="00050256">
        <w:instrText xml:space="preserve"> ADDIN ZOTERO_ITEM CSL_CITATION {"citationID":"XSSGSBgO","properties":{"formattedCitation":"(Blei et al., 2003)","plainCitation":"(Blei et al., 2003)","noteIndex":0},"citationItems":[{"id":963,"uris":["http://zotero.org/users/5090392/items/HRT56IS9"],"itemData":{"id":963,"type":"article-journal","abstract":"We describe latent Dirichlet allocation (LDA), a generative probabilistic model for collections of discrete data such as text corpora. LDA is a three-level hierarchical Bayesian model, in which each item of a collection is modeled as a ﬁnite mixture over an underlying set of topics. Each topic is, in turn, modeled as an inﬁnite mixture over an underlying set of topic probabilities. In the context of text modeling, the topic probabilities provide an explicit representation of a document. We present efﬁcient approximate inference techniques based on variational methods and an EM algorithm for empirical Bayes parameter estimation. We report results in document modeling, text classiﬁcation, and collaborative ﬁltering, comparing to a mixture of unigrams model and the probabilistic LSI model.","container-title":"Journal of Machine Learning Research","language":"en","page":"993-1022","source":"Zotero","title":"Latent Dirichlet Allocation","URL":"https://jmlr.org/papers/volume3/blei03a/blei03a.pdf","volume":"3","author":[{"family":"Blei","given":"David M."},{"family":"Ng","given":"Andrew Y."},{"family":"Jordan","given":"Michael I."}],"issued":{"date-parts":[["2003"]]}}}],"schema":"https://github.com/citation-style-language/schema/raw/master/csl-citation.json"} </w:instrText>
      </w:r>
      <w:r w:rsidR="00050256">
        <w:fldChar w:fldCharType="separate"/>
      </w:r>
      <w:r w:rsidR="00967900" w:rsidRPr="00967900">
        <w:t>(Blei et al., 2003)</w:t>
      </w:r>
      <w:r w:rsidR="00050256">
        <w:fldChar w:fldCharType="end"/>
      </w:r>
      <w:r>
        <w:t>; topics were identified based on lowest perplexity score, highest coherence value, and researcher's interpretations of the mixtures of words and their relative proportions in discovered topics</w:t>
      </w:r>
    </w:p>
    <w:p w14:paraId="5D984DA3" w14:textId="426F089D" w:rsidR="00643B83" w:rsidRDefault="00787610" w:rsidP="00156BEA">
      <w:pPr>
        <w:pStyle w:val="ListParagraph"/>
        <w:numPr>
          <w:ilvl w:val="0"/>
          <w:numId w:val="6"/>
        </w:numPr>
        <w:spacing w:line="480" w:lineRule="auto"/>
      </w:pPr>
      <w:r>
        <w:t xml:space="preserve">Sentiment analysis of each topic; the polarity of each topic identified in each review was obtained using </w:t>
      </w:r>
      <w:proofErr w:type="spellStart"/>
      <w:r>
        <w:t>TextBlob</w:t>
      </w:r>
      <w:proofErr w:type="spellEnd"/>
      <w:r>
        <w:t xml:space="preserve"> </w:t>
      </w:r>
      <w:r w:rsidR="000A0D15">
        <w:fldChar w:fldCharType="begin"/>
      </w:r>
      <w:r w:rsidR="000A0D15">
        <w:instrText xml:space="preserve"> ADDIN ZOTERO_ITEM CSL_CITATION {"citationID":"AeBtUFHo","properties":{"formattedCitation":"(Loria et al., 2020)","plainCitation":"(Loria et al., 2020)","noteIndex":0},"citationItems":[{"id":1912,"uris":["http://zotero.org/users/5090392/items/ILAHF6CY"],"itemData":{"id":1912,"type":"software","title":"TextBlob: Simplified Text Processing — TextBlob 0.16.0 documentation","URL":"https://textblob.readthedocs.io/en/dev/index.html","author":[{"family":"Loria","given":"Steven"},{"family":"Keen","given":"Pete"},{"family":"Honnibal","given":"Matthew"},{"family":"Yankovsky","given":"Roman"}],"accessed":{"date-parts":[["2022",8,18]]},"issued":{"date-parts":[["2020"]]}}}],"schema":"https://github.com/citation-style-language/schema/raw/master/csl-citation.json"} </w:instrText>
      </w:r>
      <w:r w:rsidR="000A0D15">
        <w:fldChar w:fldCharType="separate"/>
      </w:r>
      <w:r w:rsidR="000A0D15" w:rsidRPr="000A0D15">
        <w:t>(Loria et al., 2020)</w:t>
      </w:r>
      <w:r w:rsidR="000A0D15">
        <w:fldChar w:fldCharType="end"/>
      </w:r>
      <w:r w:rsidR="00A128B2">
        <w:t xml:space="preserve"> </w:t>
      </w:r>
      <w:r>
        <w:t>and re-scaled between 1 to 5 in accordance with Google's rating system.</w:t>
      </w:r>
    </w:p>
    <w:p w14:paraId="17091150" w14:textId="77777777" w:rsidR="00643B83" w:rsidRDefault="00643B83" w:rsidP="00643B83">
      <w:pPr>
        <w:spacing w:line="480" w:lineRule="auto"/>
        <w:ind w:firstLine="720"/>
      </w:pPr>
      <w:r>
        <w:t xml:space="preserve">LDA is a generative probabilistic model with the assumption that all documents </w:t>
      </w:r>
      <w:r w:rsidRPr="00643B83">
        <w:rPr>
          <w:i/>
          <w:iCs/>
        </w:rPr>
        <w:t>D</w:t>
      </w:r>
      <w:r>
        <w:t xml:space="preserve"> are generated from a probabilistic distribution of topics </w:t>
      </w:r>
      <w:r w:rsidRPr="00643B83">
        <w:rPr>
          <w:i/>
          <w:iCs/>
        </w:rPr>
        <w:t>K</w:t>
      </w:r>
      <w:r>
        <w:t xml:space="preserve">. Each topic is considered as a probabilistic distribution of words </w:t>
      </w:r>
      <w:r w:rsidRPr="00643B83">
        <w:rPr>
          <w:i/>
          <w:iCs/>
        </w:rPr>
        <w:t>N</w:t>
      </w:r>
      <w:r>
        <w:t xml:space="preserve"> (or </w:t>
      </w:r>
      <w:r w:rsidRPr="00643B83">
        <w:rPr>
          <w:i/>
          <w:iCs/>
        </w:rPr>
        <w:t>V</w:t>
      </w:r>
      <w:r>
        <w:t>). In Figure 4 are five sets of words and their respective probabilities in each topic. These words are most representative of the topic in that they have the highest probability of belonging to that topic compared to the corpus of words across all reviews. And a document can broadly be understood as derived from a set of topics comprised of varying compositions of the entire vocabulary or corpus.</w:t>
      </w:r>
    </w:p>
    <w:p w14:paraId="453FFA38" w14:textId="5F055DB5" w:rsidR="00787610" w:rsidRDefault="00643B83" w:rsidP="00643B83">
      <w:pPr>
        <w:spacing w:line="480" w:lineRule="auto"/>
      </w:pPr>
      <w:r>
        <w:tab/>
        <w:t>Overall, an LDA model resulting in 6 topics was considered optimal based on its relatively highest coherence value, indicated by the peak in Figure 2, relatively low perplexity score of -7.3445 compared to a perplexity value of -8.4379 for 10 topics (Figure 3), and ease of interpretation of the mixture of words and their relative weights in each topic (Figure 4).</w:t>
      </w:r>
    </w:p>
    <w:p w14:paraId="36E73B56" w14:textId="77777777" w:rsidR="00787610" w:rsidRDefault="00787610" w:rsidP="00156BEA">
      <w:pPr>
        <w:keepNext/>
        <w:spacing w:line="480" w:lineRule="auto"/>
        <w:jc w:val="center"/>
      </w:pPr>
      <w:r>
        <w:rPr>
          <w:noProof/>
        </w:rPr>
        <w:lastRenderedPageBreak/>
        <w:drawing>
          <wp:inline distT="0" distB="0" distL="0" distR="0" wp14:anchorId="7B608C85" wp14:editId="5AB814C7">
            <wp:extent cx="3531566" cy="35713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1018" cy="3611232"/>
                    </a:xfrm>
                    <a:prstGeom prst="rect">
                      <a:avLst/>
                    </a:prstGeom>
                  </pic:spPr>
                </pic:pic>
              </a:graphicData>
            </a:graphic>
          </wp:inline>
        </w:drawing>
      </w:r>
    </w:p>
    <w:p w14:paraId="11678914" w14:textId="1D18BB6D" w:rsidR="00787610" w:rsidRPr="00743FEF" w:rsidRDefault="00787610" w:rsidP="00643B83">
      <w:pPr>
        <w:pStyle w:val="Caption"/>
        <w:spacing w:line="480" w:lineRule="auto"/>
        <w:jc w:val="center"/>
        <w:rPr>
          <w:i w:val="0"/>
          <w:iCs w:val="0"/>
        </w:rPr>
      </w:pPr>
      <w:bookmarkStart w:id="75" w:name="_Toc114258100"/>
      <w:r w:rsidRPr="00643B83">
        <w:rPr>
          <w:color w:val="auto"/>
        </w:rPr>
        <w:t xml:space="preserve">Figure </w:t>
      </w:r>
      <w:r w:rsidR="00B9244D" w:rsidRPr="00643B83">
        <w:rPr>
          <w:color w:val="auto"/>
        </w:rPr>
        <w:fldChar w:fldCharType="begin"/>
      </w:r>
      <w:r w:rsidR="00B9244D" w:rsidRPr="00643B83">
        <w:rPr>
          <w:color w:val="auto"/>
        </w:rPr>
        <w:instrText xml:space="preserve"> SEQ Figure \* ARABIC </w:instrText>
      </w:r>
      <w:r w:rsidR="00B9244D" w:rsidRPr="00643B83">
        <w:rPr>
          <w:color w:val="auto"/>
        </w:rPr>
        <w:fldChar w:fldCharType="separate"/>
      </w:r>
      <w:r w:rsidR="00C42D79">
        <w:rPr>
          <w:noProof/>
          <w:color w:val="auto"/>
        </w:rPr>
        <w:t>2</w:t>
      </w:r>
      <w:r w:rsidR="00B9244D" w:rsidRPr="00643B83">
        <w:rPr>
          <w:noProof/>
          <w:color w:val="auto"/>
        </w:rPr>
        <w:fldChar w:fldCharType="end"/>
      </w:r>
      <w:r w:rsidRPr="00643B83">
        <w:rPr>
          <w:color w:val="auto"/>
        </w:rPr>
        <w:t>. Coherence plot of topics</w:t>
      </w:r>
      <w:bookmarkEnd w:id="75"/>
    </w:p>
    <w:p w14:paraId="18CE1EC2" w14:textId="77777777" w:rsidR="00787610" w:rsidRDefault="00787610" w:rsidP="00156BEA">
      <w:pPr>
        <w:keepNext/>
        <w:spacing w:line="480" w:lineRule="auto"/>
        <w:jc w:val="center"/>
      </w:pPr>
      <w:r>
        <w:rPr>
          <w:noProof/>
        </w:rPr>
        <w:drawing>
          <wp:inline distT="0" distB="0" distL="0" distR="0" wp14:anchorId="751090FD" wp14:editId="47B9D36F">
            <wp:extent cx="3648974" cy="3538639"/>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75972" cy="3564821"/>
                    </a:xfrm>
                    <a:prstGeom prst="rect">
                      <a:avLst/>
                    </a:prstGeom>
                  </pic:spPr>
                </pic:pic>
              </a:graphicData>
            </a:graphic>
          </wp:inline>
        </w:drawing>
      </w:r>
    </w:p>
    <w:p w14:paraId="368A5561" w14:textId="7EC7D2E0" w:rsidR="00787610" w:rsidRPr="00643B83" w:rsidRDefault="00787610" w:rsidP="00643B83">
      <w:pPr>
        <w:pStyle w:val="Caption"/>
        <w:spacing w:line="480" w:lineRule="auto"/>
        <w:jc w:val="center"/>
        <w:rPr>
          <w:color w:val="auto"/>
        </w:rPr>
      </w:pPr>
      <w:bookmarkStart w:id="76" w:name="_Toc114258101"/>
      <w:r w:rsidRPr="00643B83">
        <w:rPr>
          <w:color w:val="auto"/>
        </w:rPr>
        <w:t xml:space="preserve">Figure </w:t>
      </w:r>
      <w:r w:rsidR="00B9244D" w:rsidRPr="00643B83">
        <w:rPr>
          <w:color w:val="auto"/>
        </w:rPr>
        <w:fldChar w:fldCharType="begin"/>
      </w:r>
      <w:r w:rsidR="00B9244D" w:rsidRPr="00643B83">
        <w:rPr>
          <w:color w:val="auto"/>
        </w:rPr>
        <w:instrText xml:space="preserve"> SEQ Figure \* ARABIC </w:instrText>
      </w:r>
      <w:r w:rsidR="00B9244D" w:rsidRPr="00643B83">
        <w:rPr>
          <w:color w:val="auto"/>
        </w:rPr>
        <w:fldChar w:fldCharType="separate"/>
      </w:r>
      <w:r w:rsidR="00C42D79">
        <w:rPr>
          <w:noProof/>
          <w:color w:val="auto"/>
        </w:rPr>
        <w:t>3</w:t>
      </w:r>
      <w:r w:rsidR="00B9244D" w:rsidRPr="00643B83">
        <w:rPr>
          <w:noProof/>
          <w:color w:val="auto"/>
        </w:rPr>
        <w:fldChar w:fldCharType="end"/>
      </w:r>
      <w:r w:rsidRPr="00643B83">
        <w:rPr>
          <w:color w:val="auto"/>
        </w:rPr>
        <w:t>. Perplexity plot of topics</w:t>
      </w:r>
      <w:bookmarkEnd w:id="76"/>
    </w:p>
    <w:p w14:paraId="35103BE2" w14:textId="77777777" w:rsidR="00787610" w:rsidRDefault="00787610" w:rsidP="00156BEA">
      <w:pPr>
        <w:keepNext/>
        <w:spacing w:line="480" w:lineRule="auto"/>
        <w:jc w:val="center"/>
      </w:pPr>
      <w:r>
        <w:rPr>
          <w:noProof/>
        </w:rPr>
        <w:lastRenderedPageBreak/>
        <w:drawing>
          <wp:inline distT="0" distB="0" distL="0" distR="0" wp14:anchorId="1F8EDD01" wp14:editId="58F2B739">
            <wp:extent cx="5977664" cy="2059824"/>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5977664" cy="2059824"/>
                    </a:xfrm>
                    <a:prstGeom prst="rect">
                      <a:avLst/>
                    </a:prstGeom>
                  </pic:spPr>
                </pic:pic>
              </a:graphicData>
            </a:graphic>
          </wp:inline>
        </w:drawing>
      </w:r>
    </w:p>
    <w:p w14:paraId="4AD612DC" w14:textId="265BE460" w:rsidR="00643B83" w:rsidRPr="00CC664C" w:rsidRDefault="00787610" w:rsidP="00156BEA">
      <w:pPr>
        <w:pStyle w:val="Caption"/>
        <w:spacing w:line="480" w:lineRule="auto"/>
        <w:jc w:val="center"/>
        <w:rPr>
          <w:color w:val="auto"/>
        </w:rPr>
      </w:pPr>
      <w:bookmarkStart w:id="77" w:name="_Toc114258102"/>
      <w:r w:rsidRPr="00CC664C">
        <w:rPr>
          <w:color w:val="auto"/>
        </w:rPr>
        <w:t xml:space="preserve">Figure </w:t>
      </w:r>
      <w:r w:rsidR="00B9244D" w:rsidRPr="00CC664C">
        <w:rPr>
          <w:color w:val="auto"/>
        </w:rPr>
        <w:fldChar w:fldCharType="begin"/>
      </w:r>
      <w:r w:rsidR="00B9244D" w:rsidRPr="00CC664C">
        <w:rPr>
          <w:color w:val="auto"/>
        </w:rPr>
        <w:instrText xml:space="preserve"> SEQ Figure \* ARABIC </w:instrText>
      </w:r>
      <w:r w:rsidR="00B9244D" w:rsidRPr="00CC664C">
        <w:rPr>
          <w:color w:val="auto"/>
        </w:rPr>
        <w:fldChar w:fldCharType="separate"/>
      </w:r>
      <w:r w:rsidR="00C42D79">
        <w:rPr>
          <w:noProof/>
          <w:color w:val="auto"/>
        </w:rPr>
        <w:t>4</w:t>
      </w:r>
      <w:r w:rsidR="00B9244D" w:rsidRPr="00CC664C">
        <w:rPr>
          <w:noProof/>
          <w:color w:val="auto"/>
        </w:rPr>
        <w:fldChar w:fldCharType="end"/>
      </w:r>
      <w:r w:rsidRPr="00CC664C">
        <w:rPr>
          <w:color w:val="auto"/>
        </w:rPr>
        <w:t>. Topic-word mixtures and proportions when n=6</w:t>
      </w:r>
      <w:bookmarkEnd w:id="77"/>
    </w:p>
    <w:p w14:paraId="3C31B630" w14:textId="4AD0E7FF" w:rsidR="00787610" w:rsidRPr="00643B83" w:rsidRDefault="00643B83" w:rsidP="00643B83">
      <w:pPr>
        <w:rPr>
          <w:i/>
          <w:iCs/>
          <w:sz w:val="18"/>
          <w:szCs w:val="18"/>
        </w:rPr>
      </w:pPr>
      <w:r>
        <w:br w:type="page"/>
      </w:r>
    </w:p>
    <w:p w14:paraId="119E5FE3" w14:textId="558F4E11" w:rsidR="00787610" w:rsidRDefault="00951A1C" w:rsidP="00300E95">
      <w:pPr>
        <w:spacing w:line="480" w:lineRule="auto"/>
        <w:ind w:firstLine="720"/>
      </w:pPr>
      <w:r>
        <w:lastRenderedPageBreak/>
        <w:t xml:space="preserve">A general workflow to identify and interpret topics based on the probabilities of the top six words and then reviewing the relevant individual sentences in reviews labelled with the topic was applied to all topics. Each sentence in a review is associated to a topic with the greatest probability among the five possible choices. </w:t>
      </w:r>
      <w:r w:rsidR="00787610">
        <w:t>One topic</w:t>
      </w:r>
      <w:r w:rsidR="00A82ECC">
        <w:t xml:space="preserve"> (Topic #4 in Figure 4)</w:t>
      </w:r>
      <w:r w:rsidR="00787610">
        <w:t xml:space="preserve">, price, was omitted in the final table because there is already a price attribute. </w:t>
      </w:r>
      <w:commentRangeStart w:id="78"/>
      <w:commentRangeStart w:id="79"/>
      <w:r w:rsidR="00787610">
        <w:t xml:space="preserve">These five topics as described in the bullet points underneath </w:t>
      </w:r>
      <w:r w:rsidR="00BC71D5">
        <w:t>‘</w:t>
      </w:r>
      <w:r w:rsidR="00787610" w:rsidRPr="00BC71D5">
        <w:t>Perceived Food Attributes</w:t>
      </w:r>
      <w:r w:rsidR="00BC71D5">
        <w:t>’</w:t>
      </w:r>
      <w:r w:rsidR="00787610" w:rsidRPr="00BC71D5">
        <w:t xml:space="preserve"> </w:t>
      </w:r>
      <w:commentRangeEnd w:id="78"/>
      <w:r w:rsidR="00CA5920" w:rsidRPr="00BC71D5">
        <w:rPr>
          <w:rStyle w:val="CommentReference"/>
        </w:rPr>
        <w:commentReference w:id="78"/>
      </w:r>
      <w:commentRangeEnd w:id="79"/>
      <w:r w:rsidR="0026621C" w:rsidRPr="00BC71D5">
        <w:rPr>
          <w:rStyle w:val="CommentReference"/>
        </w:rPr>
        <w:commentReference w:id="79"/>
      </w:r>
      <w:r w:rsidR="00787610">
        <w:t xml:space="preserve">relate to different aspects of food stores </w:t>
      </w:r>
      <w:r w:rsidR="00BD799D">
        <w:t xml:space="preserve">perceived by </w:t>
      </w:r>
      <w:r w:rsidR="00787610">
        <w:t xml:space="preserve">people </w:t>
      </w:r>
      <w:r w:rsidR="00BD799D">
        <w:t xml:space="preserve">that they </w:t>
      </w:r>
      <w:r w:rsidR="00787610">
        <w:t>discussed in reviews</w:t>
      </w:r>
      <w:r w:rsidR="00C02816">
        <w:t xml:space="preserve"> (in alphabetical order):</w:t>
      </w:r>
      <w:r w:rsidR="00A21DC6">
        <w:t xml:space="preserve"> </w:t>
      </w:r>
    </w:p>
    <w:p w14:paraId="3AB2BC98" w14:textId="66655C07" w:rsidR="00C02816" w:rsidRDefault="00C02816" w:rsidP="00C02816">
      <w:pPr>
        <w:pStyle w:val="ListParagraph"/>
        <w:numPr>
          <w:ilvl w:val="0"/>
          <w:numId w:val="5"/>
        </w:numPr>
        <w:spacing w:line="480" w:lineRule="auto"/>
      </w:pPr>
      <w:r>
        <w:t>Checkout Process &amp; Customer Service</w:t>
      </w:r>
    </w:p>
    <w:p w14:paraId="03D13267" w14:textId="1CA55646" w:rsidR="00787610" w:rsidRDefault="00787610" w:rsidP="00156BEA">
      <w:pPr>
        <w:pStyle w:val="ListParagraph"/>
        <w:numPr>
          <w:ilvl w:val="0"/>
          <w:numId w:val="5"/>
        </w:numPr>
        <w:spacing w:line="480" w:lineRule="auto"/>
      </w:pPr>
      <w:r>
        <w:t>Convenience</w:t>
      </w:r>
      <w:r w:rsidR="00C02816">
        <w:t xml:space="preserve"> (Topic #3)</w:t>
      </w:r>
    </w:p>
    <w:p w14:paraId="6113998F" w14:textId="37A68CDD" w:rsidR="00787610" w:rsidRDefault="00787610" w:rsidP="00156BEA">
      <w:pPr>
        <w:pStyle w:val="ListParagraph"/>
        <w:numPr>
          <w:ilvl w:val="0"/>
          <w:numId w:val="5"/>
        </w:numPr>
        <w:spacing w:line="480" w:lineRule="auto"/>
      </w:pPr>
      <w:r>
        <w:t>Employees</w:t>
      </w:r>
      <w:r w:rsidR="00CB6D9C">
        <w:t xml:space="preserve"> (Topic #5)</w:t>
      </w:r>
    </w:p>
    <w:p w14:paraId="47F6F331" w14:textId="141E4B32" w:rsidR="00787610" w:rsidRDefault="00787610" w:rsidP="00156BEA">
      <w:pPr>
        <w:pStyle w:val="ListParagraph"/>
        <w:numPr>
          <w:ilvl w:val="0"/>
          <w:numId w:val="5"/>
        </w:numPr>
        <w:spacing w:line="480" w:lineRule="auto"/>
      </w:pPr>
      <w:r>
        <w:t>Food Quality</w:t>
      </w:r>
      <w:r w:rsidR="00C02816">
        <w:t xml:space="preserve"> (Topic #2)</w:t>
      </w:r>
    </w:p>
    <w:p w14:paraId="67DC7C62" w14:textId="7BD364EC" w:rsidR="00787610" w:rsidRDefault="00787610" w:rsidP="00156BEA">
      <w:pPr>
        <w:pStyle w:val="ListParagraph"/>
        <w:numPr>
          <w:ilvl w:val="0"/>
          <w:numId w:val="5"/>
        </w:numPr>
        <w:spacing w:line="480" w:lineRule="auto"/>
      </w:pPr>
      <w:r>
        <w:t>Food</w:t>
      </w:r>
      <w:r w:rsidR="00E6368C">
        <w:t xml:space="preserve"> </w:t>
      </w:r>
      <w:r>
        <w:t>Variety</w:t>
      </w:r>
      <w:r w:rsidR="00137E91">
        <w:t xml:space="preserve"> (Topic #1)</w:t>
      </w:r>
    </w:p>
    <w:p w14:paraId="15465FC2" w14:textId="27E94CAA" w:rsidR="00A82C0A" w:rsidRDefault="003310E5" w:rsidP="00C42C64">
      <w:pPr>
        <w:spacing w:line="480" w:lineRule="auto"/>
        <w:ind w:firstLine="720"/>
      </w:pPr>
      <w:r>
        <w:t xml:space="preserve">Four of the six most probable words in </w:t>
      </w:r>
      <w:r w:rsidR="00D26129">
        <w:t>Topic #</w:t>
      </w:r>
      <w:r>
        <w:t>1 in Figure 4 are “selection” (10.9%), “stuff” (4.2%), “variety” (3.9%), “a lot” (1.5%)</w:t>
      </w:r>
      <w:r w:rsidR="00C35F29">
        <w:t xml:space="preserve">. Examining the associated review sentences for this topic </w:t>
      </w:r>
      <w:r w:rsidR="00F502DC">
        <w:t>indicates that many people are commenting about the variety of food</w:t>
      </w:r>
      <w:r w:rsidR="00E5341D">
        <w:t xml:space="preserve"> in stores, so Food Variety </w:t>
      </w:r>
      <w:r w:rsidR="00AB08C1">
        <w:t>is</w:t>
      </w:r>
      <w:r w:rsidR="00E5341D">
        <w:t xml:space="preserve"> labelled for this topic.</w:t>
      </w:r>
      <w:r w:rsidR="003A327C">
        <w:t xml:space="preserve"> For example, reviewers of Tio </w:t>
      </w:r>
      <w:proofErr w:type="spellStart"/>
      <w:r w:rsidR="003A327C">
        <w:t>Conejo</w:t>
      </w:r>
      <w:proofErr w:type="spellEnd"/>
      <w:r w:rsidR="003A327C">
        <w:t>, a Mexican grocery store</w:t>
      </w:r>
      <w:r w:rsidR="00D246B5">
        <w:t xml:space="preserve"> </w:t>
      </w:r>
      <w:r w:rsidR="002A7160">
        <w:t>near Fountain City remark</w:t>
      </w:r>
      <w:r w:rsidR="00AB08C1">
        <w:t>ed</w:t>
      </w:r>
      <w:r w:rsidR="002A7160">
        <w:t xml:space="preserve"> on how “they have some really </w:t>
      </w:r>
      <w:proofErr w:type="spellStart"/>
      <w:r w:rsidR="002A7160">
        <w:t>really</w:t>
      </w:r>
      <w:proofErr w:type="spellEnd"/>
      <w:r w:rsidR="002A7160">
        <w:t xml:space="preserve"> nice items in there</w:t>
      </w:r>
      <w:r w:rsidR="00B152AE">
        <w:t xml:space="preserve"> and incredible variety”</w:t>
      </w:r>
      <w:r w:rsidR="00B14305">
        <w:t xml:space="preserve">, they have “really good food </w:t>
      </w:r>
      <w:proofErr w:type="gramStart"/>
      <w:r w:rsidR="00B14305">
        <w:t>and also</w:t>
      </w:r>
      <w:proofErr w:type="gramEnd"/>
      <w:r w:rsidR="00B14305">
        <w:t xml:space="preserve"> fresh avocados, mangos, etc.”</w:t>
      </w:r>
      <w:r w:rsidR="00B152AE">
        <w:t xml:space="preserve"> and </w:t>
      </w:r>
      <w:r w:rsidR="00192F13">
        <w:t xml:space="preserve">that they “love… the selections.” </w:t>
      </w:r>
      <w:r w:rsidR="00911CF9">
        <w:t xml:space="preserve">Another </w:t>
      </w:r>
      <w:r w:rsidR="00354285">
        <w:t>comment w</w:t>
      </w:r>
      <w:r w:rsidR="00911CF9">
        <w:t>as</w:t>
      </w:r>
      <w:r w:rsidR="00354285">
        <w:t xml:space="preserve"> however less favorable, with someone commenting that there was “not as much variety as I had expected</w:t>
      </w:r>
      <w:r w:rsidR="00911CF9">
        <w:t>.</w:t>
      </w:r>
      <w:r w:rsidR="00354285">
        <w:t xml:space="preserve">” </w:t>
      </w:r>
      <w:r w:rsidR="00911CF9">
        <w:t>The semantic</w:t>
      </w:r>
      <w:r w:rsidR="00AE2A82">
        <w:t xml:space="preserve"> of food variety </w:t>
      </w:r>
      <w:r w:rsidR="00911CF9">
        <w:t xml:space="preserve">across these reviews is similar </w:t>
      </w:r>
      <w:r w:rsidR="007A6785">
        <w:t xml:space="preserve">but the sentiments for these semantics can also widely vary between people, </w:t>
      </w:r>
      <w:r w:rsidR="00A70D4C">
        <w:t xml:space="preserve">affirming the concept of </w:t>
      </w:r>
      <w:r w:rsidR="001F3EC4">
        <w:t>mental availability as people may have different preferences fo</w:t>
      </w:r>
      <w:r w:rsidR="00A82C0A">
        <w:t>r the diversity of available foods that meet their needs.</w:t>
      </w:r>
    </w:p>
    <w:p w14:paraId="4805A0DA" w14:textId="1EE83F2E" w:rsidR="00D26129" w:rsidRDefault="00A82C0A" w:rsidP="00C42C64">
      <w:pPr>
        <w:spacing w:line="480" w:lineRule="auto"/>
        <w:ind w:firstLine="720"/>
      </w:pPr>
      <w:r>
        <w:lastRenderedPageBreak/>
        <w:t>Topic #2 in Figure 4 relates to a different component of food availability: food quality</w:t>
      </w:r>
      <w:r w:rsidR="00235AC5">
        <w:t>. “Grocery” (4.5%), “meat” (4.4%) and “quality” (2.6%)</w:t>
      </w:r>
      <w:r w:rsidR="007A6785">
        <w:t xml:space="preserve"> </w:t>
      </w:r>
      <w:r w:rsidR="00235AC5">
        <w:t>are three of the six most probable words</w:t>
      </w:r>
      <w:r w:rsidR="006D0874">
        <w:t xml:space="preserve"> in this topic. </w:t>
      </w:r>
      <w:r w:rsidR="001F6FA7">
        <w:t>For example, r</w:t>
      </w:r>
      <w:r w:rsidR="00DA281C">
        <w:t>elevant r</w:t>
      </w:r>
      <w:r w:rsidR="00A8626D">
        <w:t>eviews</w:t>
      </w:r>
      <w:r w:rsidR="00DA281C">
        <w:t xml:space="preserve"> for the Food City in </w:t>
      </w:r>
      <w:r w:rsidR="002F291C">
        <w:t xml:space="preserve">Clinton, Tennessee </w:t>
      </w:r>
      <w:r w:rsidR="006E69A0">
        <w:t xml:space="preserve">were mixed on the quality of food. On one hand, some people commented </w:t>
      </w:r>
      <w:r w:rsidR="00C75FE1">
        <w:t xml:space="preserve">positively </w:t>
      </w:r>
      <w:r w:rsidR="006E69A0">
        <w:t>on the “fresh product and meat</w:t>
      </w:r>
      <w:r w:rsidR="003C0D4C">
        <w:t>”, “great fresh vegetables and fruits. The meat department has good meat”, and “great selection of deli and bakery items</w:t>
      </w:r>
      <w:r w:rsidR="00C75FE1">
        <w:t>.</w:t>
      </w:r>
      <w:r w:rsidR="003C0D4C">
        <w:t>”</w:t>
      </w:r>
      <w:r w:rsidR="00C75FE1">
        <w:t xml:space="preserve"> On the other hand, some people </w:t>
      </w:r>
      <w:r w:rsidR="007F67B8">
        <w:t>did not share the same sentiment, commenting on “yuck[y] meat”</w:t>
      </w:r>
      <w:r w:rsidR="00591424">
        <w:t xml:space="preserve"> and</w:t>
      </w:r>
      <w:r w:rsidR="007F67B8">
        <w:t xml:space="preserve"> “so sick and tired of the dairy products being expired</w:t>
      </w:r>
      <w:r w:rsidR="00591424">
        <w:t>.”</w:t>
      </w:r>
      <w:r w:rsidR="00164A9E">
        <w:t xml:space="preserve"> These and other reviews related to the topic of food quality </w:t>
      </w:r>
      <w:r w:rsidR="00C57C08">
        <w:t>also reflect the concept of mental availability</w:t>
      </w:r>
      <w:r w:rsidR="002C6CC0">
        <w:t xml:space="preserve"> whereby people may hold different sentiments about food quality within and between food stores.</w:t>
      </w:r>
    </w:p>
    <w:p w14:paraId="623428AE" w14:textId="65A0B7B4" w:rsidR="00C42C64" w:rsidRDefault="00197357" w:rsidP="00C42C64">
      <w:pPr>
        <w:spacing w:line="480" w:lineRule="auto"/>
        <w:ind w:firstLine="720"/>
      </w:pPr>
      <w:r>
        <w:t xml:space="preserve">Convenience was identified for </w:t>
      </w:r>
      <w:r w:rsidR="00C42C64" w:rsidRPr="00C42C64">
        <w:t xml:space="preserve">Topic </w:t>
      </w:r>
      <w:r w:rsidR="00300E95">
        <w:t>#</w:t>
      </w:r>
      <w:r w:rsidR="00C42C64" w:rsidRPr="00C42C64">
        <w:t>3</w:t>
      </w:r>
      <w:r w:rsidR="00300E95">
        <w:t xml:space="preserve"> in Figure 4</w:t>
      </w:r>
      <w:r w:rsidR="00957BA1">
        <w:t xml:space="preserve"> </w:t>
      </w:r>
      <w:r>
        <w:t>and</w:t>
      </w:r>
      <w:r w:rsidR="00C42C64" w:rsidRPr="00C42C64">
        <w:t xml:space="preserve"> </w:t>
      </w:r>
      <w:r w:rsidR="00897B93">
        <w:t>includes</w:t>
      </w:r>
      <w:r w:rsidR="00926B21">
        <w:t xml:space="preserve"> ‘food’</w:t>
      </w:r>
      <w:r w:rsidR="00D22F33">
        <w:t xml:space="preserve"> (7.1%)</w:t>
      </w:r>
      <w:r w:rsidR="00926B21">
        <w:t>, ‘convenient’</w:t>
      </w:r>
      <w:r w:rsidR="00D22F33">
        <w:t xml:space="preserve"> (4.6%)</w:t>
      </w:r>
      <w:r w:rsidR="00926B21">
        <w:t xml:space="preserve">, </w:t>
      </w:r>
      <w:r w:rsidR="00D22F33">
        <w:t xml:space="preserve">and </w:t>
      </w:r>
      <w:r w:rsidR="00926B21">
        <w:t>‘find’</w:t>
      </w:r>
      <w:r w:rsidR="00D22F33">
        <w:t xml:space="preserve"> (2.6%) as three of the </w:t>
      </w:r>
      <w:r w:rsidR="00187920">
        <w:t>six</w:t>
      </w:r>
      <w:r w:rsidR="00D22F33">
        <w:t xml:space="preserve"> most probable words in the topic.</w:t>
      </w:r>
      <w:r w:rsidR="00793AD2">
        <w:t xml:space="preserve"> Th</w:t>
      </w:r>
      <w:r w:rsidR="00D16E7E">
        <w:t xml:space="preserve">is is because reviewers </w:t>
      </w:r>
      <w:r w:rsidR="00805E5E">
        <w:t xml:space="preserve">frequently discuss about </w:t>
      </w:r>
      <w:r w:rsidR="00D16E7E">
        <w:t>th</w:t>
      </w:r>
      <w:r w:rsidR="00793AD2">
        <w:t>e convenience factor</w:t>
      </w:r>
      <w:r w:rsidR="00805E5E">
        <w:t>, such as one reviewe</w:t>
      </w:r>
      <w:r w:rsidR="00345239">
        <w:t>r of a review labelled with this topic</w:t>
      </w:r>
      <w:r w:rsidR="00805E5E">
        <w:t xml:space="preserve"> commenting about one Walmart location as “</w:t>
      </w:r>
      <w:r w:rsidR="002208D6">
        <w:t>convenient</w:t>
      </w:r>
      <w:r w:rsidR="00805E5E">
        <w:t xml:space="preserve"> AF</w:t>
      </w:r>
      <w:r w:rsidR="00324D8D">
        <w:t xml:space="preserve">” </w:t>
      </w:r>
      <w:r w:rsidR="005A317D">
        <w:t>while</w:t>
      </w:r>
      <w:r w:rsidR="00324D8D">
        <w:t xml:space="preserve"> another reviewer </w:t>
      </w:r>
      <w:r w:rsidR="005768D1">
        <w:t xml:space="preserve">praises Fresh Market </w:t>
      </w:r>
      <w:r w:rsidR="002208D6">
        <w:t xml:space="preserve">as they “can always count on </w:t>
      </w:r>
      <w:r w:rsidR="004A58CF">
        <w:t>[F]</w:t>
      </w:r>
      <w:proofErr w:type="spellStart"/>
      <w:r w:rsidR="002208D6">
        <w:t>resh</w:t>
      </w:r>
      <w:proofErr w:type="spellEnd"/>
      <w:r w:rsidR="002208D6">
        <w:t xml:space="preserve"> </w:t>
      </w:r>
      <w:r w:rsidR="004A58CF">
        <w:t>[M]</w:t>
      </w:r>
      <w:proofErr w:type="spellStart"/>
      <w:r w:rsidR="002208D6">
        <w:t>arket</w:t>
      </w:r>
      <w:proofErr w:type="spellEnd"/>
      <w:r w:rsidR="002208D6">
        <w:t xml:space="preserve"> for quick dinners… Haven’t found better in </w:t>
      </w:r>
      <w:r w:rsidR="004A58CF">
        <w:t>[</w:t>
      </w:r>
      <w:r w:rsidR="002208D6">
        <w:t>F</w:t>
      </w:r>
      <w:r w:rsidR="004A58CF">
        <w:t>]</w:t>
      </w:r>
      <w:proofErr w:type="spellStart"/>
      <w:r w:rsidR="002208D6">
        <w:t>arragut</w:t>
      </w:r>
      <w:proofErr w:type="spellEnd"/>
      <w:r w:rsidR="002208D6">
        <w:t>.”</w:t>
      </w:r>
      <w:r w:rsidR="00345239">
        <w:t xml:space="preserve"> The semantics </w:t>
      </w:r>
      <w:r w:rsidR="00502F3E">
        <w:t>of these reviews</w:t>
      </w:r>
      <w:r w:rsidR="00F6310D">
        <w:t xml:space="preserve"> </w:t>
      </w:r>
      <w:r w:rsidR="00483302">
        <w:t>reflects upon mental accessibility</w:t>
      </w:r>
      <w:r w:rsidR="00300E95">
        <w:t xml:space="preserve"> as people </w:t>
      </w:r>
      <w:r w:rsidR="00502F3E">
        <w:t xml:space="preserve">openly discuss their </w:t>
      </w:r>
      <w:r w:rsidR="00300E95">
        <w:t>perce</w:t>
      </w:r>
      <w:r w:rsidR="00502F3E">
        <w:t>ptions of</w:t>
      </w:r>
      <w:r w:rsidR="00300E95">
        <w:t xml:space="preserve"> the ease to which they can obtain food</w:t>
      </w:r>
      <w:r w:rsidR="00FA1E5A">
        <w:t xml:space="preserve"> </w:t>
      </w:r>
      <w:r w:rsidR="00071A67">
        <w:t xml:space="preserve">and </w:t>
      </w:r>
      <w:r w:rsidR="00E92467">
        <w:t xml:space="preserve">the time required for food shopping </w:t>
      </w:r>
      <w:r w:rsidR="00FA1E5A">
        <w:t>which can vary between stores and individuals.</w:t>
      </w:r>
    </w:p>
    <w:p w14:paraId="7786FBB9" w14:textId="26785179" w:rsidR="002D2794" w:rsidRPr="00576410" w:rsidRDefault="002D2794" w:rsidP="002D2794">
      <w:pPr>
        <w:spacing w:line="480" w:lineRule="auto"/>
        <w:ind w:firstLine="720"/>
      </w:pPr>
      <w:r>
        <w:t xml:space="preserve">Reviewers also discussed aspects of store employees beyond customer service (discussed later) and Employees was identified for Topic #5 in Figure 4, with ‘people’ (9.4%) and ‘employees’ (8.2%) as the top two most probable words. This is evidenced in reviews in which people comment about the general attitude of employees, for example with an array of </w:t>
      </w:r>
      <w:r>
        <w:lastRenderedPageBreak/>
        <w:t>sentiments about how the Kroger on Asheville Highway. One reviewer commented “I love this Kroger. Nice employees”, another thought that “management is very rude”, and someone else “wish[</w:t>
      </w:r>
      <w:proofErr w:type="spellStart"/>
      <w:r>
        <w:t>ing</w:t>
      </w:r>
      <w:proofErr w:type="spellEnd"/>
      <w:r>
        <w:t>] the employees had better attitudes.” This is distinguished from comments about customer service as some employees may not necessarily be customer-facing and many commented on the attitudes and friendliness of employees that do not necessarily stem from customer assistance activities. The reviews on how individuals perceive employees and other people in the stores they visit reflects a relational and mental space approach to acceptability.</w:t>
      </w:r>
      <w:r w:rsidR="00152D13">
        <w:t xml:space="preserve"> </w:t>
      </w:r>
      <w:r>
        <w:t xml:space="preserve"> Food access for many is not simply about the procurement of food but also their experience and social connection to others as they care about qualities of the social atmosphere and environment.</w:t>
      </w:r>
    </w:p>
    <w:p w14:paraId="71E96628" w14:textId="46F190A6" w:rsidR="00D57AFB" w:rsidRDefault="00D57AFB" w:rsidP="00EA637B">
      <w:pPr>
        <w:spacing w:line="480" w:lineRule="auto"/>
        <w:ind w:firstLine="720"/>
      </w:pPr>
      <w:r>
        <w:t xml:space="preserve">Checkout Process &amp; Customer Service was </w:t>
      </w:r>
      <w:r w:rsidR="00215869">
        <w:t xml:space="preserve">assigned to </w:t>
      </w:r>
      <w:r w:rsidR="00957BA1">
        <w:t>Topic #6 in Figure 4</w:t>
      </w:r>
      <w:r w:rsidR="00512E2D">
        <w:t xml:space="preserve"> as</w:t>
      </w:r>
      <w:r w:rsidR="00441C43">
        <w:t xml:space="preserve"> three of the six most probable words include ‘service’ (8.8%), ‘customer’ (4.5%), and ‘check’ (1.8%). Examining the </w:t>
      </w:r>
      <w:r w:rsidR="00795127">
        <w:t xml:space="preserve">associated </w:t>
      </w:r>
      <w:r w:rsidR="00441C43">
        <w:t xml:space="preserve">reviews </w:t>
      </w:r>
      <w:r w:rsidR="00795127">
        <w:t xml:space="preserve">finds that customer service </w:t>
      </w:r>
      <w:r w:rsidR="00340C1B">
        <w:t xml:space="preserve">is </w:t>
      </w:r>
      <w:r w:rsidR="00795127">
        <w:t xml:space="preserve">a topic of concern </w:t>
      </w:r>
      <w:r w:rsidR="002A18C1">
        <w:t>by many reviewers</w:t>
      </w:r>
      <w:r w:rsidR="0085017F">
        <w:t>.</w:t>
      </w:r>
      <w:r w:rsidR="002A18C1">
        <w:t xml:space="preserve"> </w:t>
      </w:r>
      <w:r w:rsidR="0085017F">
        <w:t xml:space="preserve">Google Maps also provides a similar store attribute, </w:t>
      </w:r>
      <w:r w:rsidR="0085017F">
        <w:rPr>
          <w:i/>
          <w:iCs/>
        </w:rPr>
        <w:t xml:space="preserve">Great Service </w:t>
      </w:r>
      <w:r w:rsidR="0085017F">
        <w:t>as mentioned earlier, but it is essentially a binary indicator (either a store is or is not labelled with the attribute) without explanation of how it was determined for stores.</w:t>
      </w:r>
      <w:r w:rsidR="007128E2">
        <w:t xml:space="preserve"> The aspect-based sentiment analysis approach </w:t>
      </w:r>
      <w:r w:rsidR="001D3E7F">
        <w:t xml:space="preserve">used in this research design </w:t>
      </w:r>
      <w:r w:rsidR="007128E2">
        <w:t xml:space="preserve">to </w:t>
      </w:r>
      <w:r w:rsidR="001D3E7F">
        <w:t>identify topics</w:t>
      </w:r>
      <w:r w:rsidR="0085017F">
        <w:t xml:space="preserve"> </w:t>
      </w:r>
      <w:r w:rsidR="001D3E7F">
        <w:t xml:space="preserve">can arguably provide </w:t>
      </w:r>
      <w:r w:rsidR="00D11407">
        <w:t xml:space="preserve">a better justification for the </w:t>
      </w:r>
      <w:r w:rsidR="00CB6D9C">
        <w:t>assessment</w:t>
      </w:r>
      <w:r w:rsidR="00D11407">
        <w:t xml:space="preserve"> of customer service in different stores. </w:t>
      </w:r>
      <w:r w:rsidR="0085017F">
        <w:t>S</w:t>
      </w:r>
      <w:r w:rsidR="002A18C1">
        <w:t>ome commen</w:t>
      </w:r>
      <w:r w:rsidR="0085017F">
        <w:t>t</w:t>
      </w:r>
      <w:r w:rsidR="002A18C1">
        <w:t xml:space="preserve"> positively about how the “customer service [was] awesome this morning” or negatively about</w:t>
      </w:r>
      <w:r w:rsidR="00340C1B">
        <w:t xml:space="preserve"> how</w:t>
      </w:r>
      <w:r w:rsidR="002A18C1">
        <w:t xml:space="preserve"> “no</w:t>
      </w:r>
      <w:r w:rsidR="00340C1B">
        <w:t xml:space="preserve">body ever </w:t>
      </w:r>
      <w:proofErr w:type="gramStart"/>
      <w:r w:rsidR="00340C1B">
        <w:t>answer</w:t>
      </w:r>
      <w:proofErr w:type="gramEnd"/>
      <w:r w:rsidR="00340C1B">
        <w:t xml:space="preserve">[s] the phone!” </w:t>
      </w:r>
      <w:r w:rsidR="00D724FD">
        <w:t>The second comment also indicates the importance of examining access in virtual space</w:t>
      </w:r>
      <w:r w:rsidR="008108C4">
        <w:t xml:space="preserve"> with the reviewer </w:t>
      </w:r>
      <w:r w:rsidR="002247F6">
        <w:t xml:space="preserve">wanting to reach out to the store </w:t>
      </w:r>
      <w:r w:rsidR="00201161">
        <w:t>with a phone call</w:t>
      </w:r>
      <w:r w:rsidR="008108C4">
        <w:t>.</w:t>
      </w:r>
      <w:r w:rsidR="00DA6016">
        <w:t xml:space="preserve"> While this is anecdotal and just representative of one opinion, th</w:t>
      </w:r>
      <w:r w:rsidR="002C2680">
        <w:t>e reviewer appears to be disgruntled with the virtual infrastructure</w:t>
      </w:r>
      <w:r w:rsidR="0058570B">
        <w:t xml:space="preserve"> (voice services)</w:t>
      </w:r>
      <w:r w:rsidR="002C2680">
        <w:t xml:space="preserve"> established by the store.</w:t>
      </w:r>
      <w:r w:rsidR="008108C4">
        <w:t xml:space="preserve"> </w:t>
      </w:r>
      <w:r w:rsidR="00022AC3">
        <w:t>Other</w:t>
      </w:r>
      <w:r w:rsidR="00340C1B">
        <w:t xml:space="preserve"> reviews also discuss the </w:t>
      </w:r>
      <w:r w:rsidR="00340C1B">
        <w:lastRenderedPageBreak/>
        <w:t xml:space="preserve">checkout process </w:t>
      </w:r>
      <w:r w:rsidR="00DD3676">
        <w:t xml:space="preserve">at stores, </w:t>
      </w:r>
      <w:r w:rsidR="00EA35EE">
        <w:t xml:space="preserve">for example </w:t>
      </w:r>
      <w:r w:rsidR="00DD3676">
        <w:t xml:space="preserve">with people lamenting about </w:t>
      </w:r>
      <w:r w:rsidR="00AE20BC">
        <w:t xml:space="preserve">“long lines, only 2 registers were open. Not a fan of </w:t>
      </w:r>
      <w:proofErr w:type="spellStart"/>
      <w:r w:rsidR="00AE20BC">
        <w:t>self checkout</w:t>
      </w:r>
      <w:proofErr w:type="spellEnd"/>
      <w:r w:rsidR="00AE20BC">
        <w:t>” and “</w:t>
      </w:r>
      <w:r w:rsidR="00630A23">
        <w:t xml:space="preserve">Bad </w:t>
      </w:r>
      <w:proofErr w:type="gramStart"/>
      <w:r w:rsidR="00630A23">
        <w:t>service[</w:t>
      </w:r>
      <w:proofErr w:type="gramEnd"/>
      <w:r w:rsidR="00630A23">
        <w:t>, and] long wait”</w:t>
      </w:r>
      <w:r w:rsidR="00EA35EE">
        <w:t xml:space="preserve"> at the Walmart in Lenoir City.</w:t>
      </w:r>
      <w:r w:rsidR="00A80BEF">
        <w:t xml:space="preserve"> How people perceive and value customer service </w:t>
      </w:r>
      <w:r w:rsidR="006B6499">
        <w:t xml:space="preserve">as well as the virtual communications established by stores </w:t>
      </w:r>
      <w:r w:rsidR="00EF2B88">
        <w:t xml:space="preserve">evokes the concept of relational accommodation whereby the </w:t>
      </w:r>
      <w:r w:rsidR="00B26FD3">
        <w:t>social</w:t>
      </w:r>
      <w:r w:rsidR="007F20B3">
        <w:t>,</w:t>
      </w:r>
      <w:r w:rsidR="00B26FD3">
        <w:t xml:space="preserve"> physical</w:t>
      </w:r>
      <w:r w:rsidR="007F20B3">
        <w:t>, and virtual</w:t>
      </w:r>
      <w:r w:rsidR="00B26FD3">
        <w:t xml:space="preserve"> infrastructure can either impede or enhance the ability of individuals to access food. </w:t>
      </w:r>
      <w:r w:rsidR="00067134">
        <w:t xml:space="preserve">In this instance, the organization of customer-facing employees and presence/absence of </w:t>
      </w:r>
      <w:r w:rsidR="00E3096E">
        <w:t xml:space="preserve">sufficient check-out lanes is a major point of critique for many reviewers and suggests that people </w:t>
      </w:r>
      <w:r w:rsidR="00E55BD8">
        <w:t>value and perceive these store characteristics as important to their food access.</w:t>
      </w:r>
      <w:r w:rsidR="00C8126E">
        <w:t xml:space="preserve"> People who have never patronized these stores could easily be </w:t>
      </w:r>
      <w:r w:rsidR="008F2163">
        <w:t xml:space="preserve">swayed to shop at other stores where customer service and their checkout process may be </w:t>
      </w:r>
      <w:r w:rsidR="00AB0A65">
        <w:t xml:space="preserve">subjectively superior, </w:t>
      </w:r>
      <w:r w:rsidR="0061373C">
        <w:t>which is tied to a mental space approach to both accommodation and acceptability.</w:t>
      </w:r>
    </w:p>
    <w:p w14:paraId="3A99A833" w14:textId="792B233A" w:rsidR="00893D07" w:rsidRDefault="00893D07" w:rsidP="004B0F60">
      <w:pPr>
        <w:spacing w:line="480" w:lineRule="auto"/>
        <w:ind w:firstLine="720"/>
      </w:pPr>
      <w:r>
        <w:t>Sentiment analysis of individual sentences</w:t>
      </w:r>
      <w:r w:rsidR="004B06FF">
        <w:t xml:space="preserve"> using </w:t>
      </w:r>
      <w:proofErr w:type="spellStart"/>
      <w:r w:rsidR="004B06FF">
        <w:t>TextBlob</w:t>
      </w:r>
      <w:proofErr w:type="spellEnd"/>
      <w:r>
        <w:t xml:space="preserve"> in each review was </w:t>
      </w:r>
      <w:r w:rsidR="007C4B28">
        <w:t xml:space="preserve">subsequently </w:t>
      </w:r>
      <w:r>
        <w:t xml:space="preserve">carried out </w:t>
      </w:r>
      <w:r w:rsidR="009A0575">
        <w:t xml:space="preserve">after topic modeling with LDA </w:t>
      </w:r>
      <w:r>
        <w:t xml:space="preserve">to identify </w:t>
      </w:r>
      <w:r w:rsidR="004C3373">
        <w:t xml:space="preserve">the polarity score, or </w:t>
      </w:r>
      <w:r>
        <w:t>how positively or negatively reviewers felt about a particular compo</w:t>
      </w:r>
      <w:r w:rsidR="00B33EE7">
        <w:t>nent of the food store experience (i.e., one of the topics).</w:t>
      </w:r>
      <w:r w:rsidR="007C4B28">
        <w:t xml:space="preserve"> Then, </w:t>
      </w:r>
      <w:r w:rsidR="004C3373">
        <w:t xml:space="preserve">all polarity scores for each </w:t>
      </w:r>
      <w:r w:rsidR="00D1439F">
        <w:t xml:space="preserve">review sentence </w:t>
      </w:r>
      <w:r w:rsidR="004B06FF">
        <w:t>were</w:t>
      </w:r>
      <w:r w:rsidR="00D1439F">
        <w:t xml:space="preserve"> normalized to a scale of 1 to 5 </w:t>
      </w:r>
      <w:r w:rsidR="004F7B9D">
        <w:t xml:space="preserve">rating </w:t>
      </w:r>
      <w:r w:rsidR="00D1439F">
        <w:t>with the following formula</w:t>
      </w:r>
      <w:r w:rsidR="00EE0FC6">
        <w:t>, with ‘</w:t>
      </w:r>
      <w:proofErr w:type="spellStart"/>
      <w:r w:rsidR="00EE0FC6">
        <w:t>spv</w:t>
      </w:r>
      <w:proofErr w:type="spellEnd"/>
      <w:r w:rsidR="00EE0FC6">
        <w:t>’ denoting the polarity value of a given sentence</w:t>
      </w:r>
      <w:r w:rsidR="00D1439F">
        <w:t>:</w:t>
      </w:r>
    </w:p>
    <w:p w14:paraId="5008DB1E" w14:textId="1AF4C13E" w:rsidR="00D1439F" w:rsidRDefault="00D1439F" w:rsidP="00D74E41">
      <w:pPr>
        <w:spacing w:line="480" w:lineRule="auto"/>
        <w:jc w:val="center"/>
      </w:pPr>
      <w:r>
        <w:t>Rating = (</w:t>
      </w:r>
      <w:r w:rsidR="007E3815">
        <w:t xml:space="preserve">5 – 1) * </w:t>
      </w:r>
      <w:proofErr w:type="gramStart"/>
      <w:r w:rsidR="007E3815">
        <w:t>( (</w:t>
      </w:r>
      <w:proofErr w:type="spellStart"/>
      <w:proofErr w:type="gramEnd"/>
      <w:r w:rsidR="00EE0FC6" w:rsidRPr="00D74E41">
        <w:t>spv</w:t>
      </w:r>
      <w:proofErr w:type="spellEnd"/>
      <w:r w:rsidR="007E3815">
        <w:rPr>
          <w:i/>
          <w:iCs/>
        </w:rPr>
        <w:t xml:space="preserve"> – </w:t>
      </w:r>
      <w:r w:rsidR="007E3815" w:rsidRPr="00D74E41">
        <w:rPr>
          <w:i/>
          <w:iCs/>
        </w:rPr>
        <w:t>min</w:t>
      </w:r>
      <w:r w:rsidR="00D74E41" w:rsidRPr="00D74E41">
        <w:rPr>
          <w:i/>
          <w:iCs/>
        </w:rPr>
        <w:t>imum</w:t>
      </w:r>
      <w:r w:rsidR="007E3815">
        <w:t>(</w:t>
      </w:r>
      <w:proofErr w:type="spellStart"/>
      <w:r w:rsidR="00D74E41">
        <w:t>spv</w:t>
      </w:r>
      <w:proofErr w:type="spellEnd"/>
      <w:r w:rsidR="007E3815">
        <w:t>))</w:t>
      </w:r>
      <w:r w:rsidR="00EE0FC6">
        <w:t xml:space="preserve"> / (</w:t>
      </w:r>
      <w:r w:rsidR="00EE0FC6" w:rsidRPr="00D74E41">
        <w:rPr>
          <w:i/>
          <w:iCs/>
        </w:rPr>
        <w:t>m</w:t>
      </w:r>
      <w:r w:rsidR="00D74E41" w:rsidRPr="00D74E41">
        <w:rPr>
          <w:i/>
          <w:iCs/>
        </w:rPr>
        <w:t>aximum</w:t>
      </w:r>
      <w:r w:rsidR="00EE0FC6">
        <w:t>(</w:t>
      </w:r>
      <w:proofErr w:type="spellStart"/>
      <w:r w:rsidR="00EE0FC6" w:rsidRPr="00D74E41">
        <w:t>spv</w:t>
      </w:r>
      <w:proofErr w:type="spellEnd"/>
      <w:r w:rsidR="00EE0FC6">
        <w:t xml:space="preserve">) – </w:t>
      </w:r>
      <w:r w:rsidR="00D74E41">
        <w:rPr>
          <w:i/>
          <w:iCs/>
        </w:rPr>
        <w:t>minimum</w:t>
      </w:r>
      <w:r w:rsidR="00EE0FC6">
        <w:t>(</w:t>
      </w:r>
      <w:proofErr w:type="spellStart"/>
      <w:r w:rsidR="00EE0FC6">
        <w:t>spv</w:t>
      </w:r>
      <w:proofErr w:type="spellEnd"/>
      <w:r w:rsidR="00EE0FC6">
        <w:t>)</w:t>
      </w:r>
      <w:r w:rsidR="007E3815">
        <w:t>) + 1</w:t>
      </w:r>
    </w:p>
    <w:p w14:paraId="3AA61DD9" w14:textId="697A7FCF" w:rsidR="002C6CC0" w:rsidRDefault="002D484B" w:rsidP="002C6CC0">
      <w:pPr>
        <w:spacing w:line="480" w:lineRule="auto"/>
      </w:pPr>
      <w:r>
        <w:t>These</w:t>
      </w:r>
      <w:r w:rsidR="002C6CC0">
        <w:t xml:space="preserve"> normalized sentiment score</w:t>
      </w:r>
      <w:r>
        <w:t>s</w:t>
      </w:r>
      <w:r w:rsidR="002C6CC0">
        <w:t xml:space="preserve"> </w:t>
      </w:r>
      <w:r>
        <w:t xml:space="preserve">for different aspects of food stores voiced in online reviews can be used to </w:t>
      </w:r>
      <w:r w:rsidR="00173142">
        <w:t xml:space="preserve">represent one </w:t>
      </w:r>
      <w:r w:rsidR="00674994">
        <w:t xml:space="preserve">subjective </w:t>
      </w:r>
      <w:r w:rsidR="00173142">
        <w:t xml:space="preserve">perspective </w:t>
      </w:r>
      <w:r w:rsidR="0094035D">
        <w:t>(online reviewers)</w:t>
      </w:r>
      <w:r w:rsidR="00674994">
        <w:t>.</w:t>
      </w:r>
      <w:r w:rsidR="00E471DA">
        <w:t xml:space="preserve"> The </w:t>
      </w:r>
      <w:r w:rsidR="00844346">
        <w:t xml:space="preserve">derived sentiment-semantic pairs </w:t>
      </w:r>
      <w:r w:rsidR="00E471DA">
        <w:t>demonstrate a relational</w:t>
      </w:r>
      <w:r w:rsidR="00844346">
        <w:t xml:space="preserve"> and mental </w:t>
      </w:r>
      <w:r w:rsidR="00E471DA">
        <w:t>approach to acceptability</w:t>
      </w:r>
      <w:r w:rsidR="00844346">
        <w:t xml:space="preserve"> as p</w:t>
      </w:r>
      <w:r w:rsidR="00092405">
        <w:t>eople may be influenced in their decision to visit stores based on the opinions of others.</w:t>
      </w:r>
      <w:r w:rsidR="001D3AD2">
        <w:t xml:space="preserve"> How people perceive the opinions of others for specific store characteristics that are important to them can be </w:t>
      </w:r>
      <w:r w:rsidR="001D3AD2">
        <w:lastRenderedPageBreak/>
        <w:t xml:space="preserve">operationalized as queries </w:t>
      </w:r>
      <w:r w:rsidR="008121F5">
        <w:t>in a GIS</w:t>
      </w:r>
      <w:r w:rsidR="00457478">
        <w:t xml:space="preserve">. With numerical ratings, assessing food access </w:t>
      </w:r>
      <w:r w:rsidR="00A8686A">
        <w:t>can be augmented by delimiting the potential opportunity set to stores above a threshold level for one or more top</w:t>
      </w:r>
      <w:r w:rsidR="00B957CB">
        <w:t xml:space="preserve">ics </w:t>
      </w:r>
      <w:r w:rsidR="00B8748B">
        <w:t>as perceived by individuals</w:t>
      </w:r>
      <w:r w:rsidR="00B957CB">
        <w:t>, and this is discussed later.</w:t>
      </w:r>
    </w:p>
    <w:p w14:paraId="7DF8E134" w14:textId="24DEDA5E" w:rsidR="0094721F" w:rsidRPr="003779F1" w:rsidRDefault="0094721F" w:rsidP="002C6CC0">
      <w:pPr>
        <w:spacing w:line="480" w:lineRule="auto"/>
      </w:pPr>
      <w:r>
        <w:rPr>
          <w:color w:val="000000"/>
          <w:sz w:val="20"/>
          <w:szCs w:val="20"/>
          <w:shd w:val="clear" w:color="auto" w:fill="FFFFFF"/>
        </w:rPr>
        <w:tab/>
      </w:r>
      <w:commentRangeStart w:id="80"/>
      <w:commentRangeStart w:id="81"/>
      <w:r w:rsidR="003779F1" w:rsidRPr="003779F1">
        <w:rPr>
          <w:color w:val="000000"/>
          <w:shd w:val="clear" w:color="auto" w:fill="FFFFFF"/>
        </w:rPr>
        <w:t xml:space="preserve">It </w:t>
      </w:r>
      <w:r w:rsidR="003779F1">
        <w:rPr>
          <w:color w:val="000000"/>
          <w:shd w:val="clear" w:color="auto" w:fill="FFFFFF"/>
        </w:rPr>
        <w:t xml:space="preserve">must be noted that online reviews do not </w:t>
      </w:r>
      <w:r w:rsidR="00386CCD">
        <w:rPr>
          <w:color w:val="000000"/>
          <w:shd w:val="clear" w:color="auto" w:fill="FFFFFF"/>
        </w:rPr>
        <w:t>reflect the perspectives and opinions of everyone, especially those who are low-income and not connected to the Internet.</w:t>
      </w:r>
      <w:r w:rsidR="002E2E3D">
        <w:rPr>
          <w:color w:val="000000"/>
          <w:shd w:val="clear" w:color="auto" w:fill="FFFFFF"/>
        </w:rPr>
        <w:t xml:space="preserve"> </w:t>
      </w:r>
      <w:r w:rsidR="009B38EA">
        <w:rPr>
          <w:color w:val="000000"/>
          <w:shd w:val="clear" w:color="auto" w:fill="FFFFFF"/>
        </w:rPr>
        <w:t xml:space="preserve">This means that the comments by reviewers may overlook the unique perceptions of certain groups of people who may be marginalized; what is important to one group may be very different than another group. </w:t>
      </w:r>
      <w:r w:rsidR="002E2E3D">
        <w:rPr>
          <w:color w:val="000000"/>
          <w:shd w:val="clear" w:color="auto" w:fill="FFFFFF"/>
        </w:rPr>
        <w:t xml:space="preserve">In fact, many people also do not care to leave reviews regardless of their positive or negative experience. </w:t>
      </w:r>
      <w:r w:rsidR="003C1BAA">
        <w:rPr>
          <w:color w:val="000000"/>
          <w:shd w:val="clear" w:color="auto" w:fill="FFFFFF"/>
        </w:rPr>
        <w:t>This is an important limitation to be recognized in the design of this research</w:t>
      </w:r>
      <w:r w:rsidR="00146C6E">
        <w:rPr>
          <w:color w:val="000000"/>
          <w:shd w:val="clear" w:color="auto" w:fill="FFFFFF"/>
        </w:rPr>
        <w:t xml:space="preserve">, and caution must be taken when analyzing and interpreting the reviews. Any derivative </w:t>
      </w:r>
      <w:r w:rsidR="008D667C">
        <w:rPr>
          <w:color w:val="000000"/>
          <w:shd w:val="clear" w:color="auto" w:fill="FFFFFF"/>
        </w:rPr>
        <w:t xml:space="preserve">data and analytical function that requires the use of this data must </w:t>
      </w:r>
      <w:r w:rsidR="00461305">
        <w:rPr>
          <w:color w:val="000000"/>
          <w:shd w:val="clear" w:color="auto" w:fill="FFFFFF"/>
        </w:rPr>
        <w:t>subsequently</w:t>
      </w:r>
      <w:r w:rsidR="008D667C">
        <w:rPr>
          <w:color w:val="000000"/>
          <w:shd w:val="clear" w:color="auto" w:fill="FFFFFF"/>
        </w:rPr>
        <w:t xml:space="preserve"> be interrogated car</w:t>
      </w:r>
      <w:r w:rsidR="00461305">
        <w:rPr>
          <w:color w:val="000000"/>
          <w:shd w:val="clear" w:color="auto" w:fill="FFFFFF"/>
        </w:rPr>
        <w:t>eful</w:t>
      </w:r>
      <w:r w:rsidR="00220769">
        <w:rPr>
          <w:color w:val="000000"/>
          <w:shd w:val="clear" w:color="auto" w:fill="FFFFFF"/>
        </w:rPr>
        <w:t>ly</w:t>
      </w:r>
      <w:r w:rsidR="00461305">
        <w:rPr>
          <w:color w:val="000000"/>
          <w:shd w:val="clear" w:color="auto" w:fill="FFFFFF"/>
        </w:rPr>
        <w:t>.</w:t>
      </w:r>
      <w:r w:rsidR="00321B78">
        <w:rPr>
          <w:color w:val="000000"/>
          <w:shd w:val="clear" w:color="auto" w:fill="FFFFFF"/>
        </w:rPr>
        <w:t xml:space="preserve"> </w:t>
      </w:r>
      <w:r w:rsidR="009842EE">
        <w:rPr>
          <w:color w:val="000000"/>
          <w:shd w:val="clear" w:color="auto" w:fill="FFFFFF"/>
        </w:rPr>
        <w:t>In this case,</w:t>
      </w:r>
      <w:r w:rsidR="00321B78">
        <w:rPr>
          <w:color w:val="000000"/>
          <w:shd w:val="clear" w:color="auto" w:fill="FFFFFF"/>
        </w:rPr>
        <w:t xml:space="preserve"> the findings from the semantic and sentiment analysis of reviews should not be treated as the </w:t>
      </w:r>
      <w:r w:rsidR="00167454">
        <w:rPr>
          <w:color w:val="000000"/>
          <w:shd w:val="clear" w:color="auto" w:fill="FFFFFF"/>
        </w:rPr>
        <w:t>perception</w:t>
      </w:r>
      <w:r w:rsidR="00D82A46">
        <w:rPr>
          <w:color w:val="000000"/>
          <w:shd w:val="clear" w:color="auto" w:fill="FFFFFF"/>
        </w:rPr>
        <w:t>s</w:t>
      </w:r>
      <w:r w:rsidR="00167454">
        <w:rPr>
          <w:color w:val="000000"/>
          <w:shd w:val="clear" w:color="auto" w:fill="FFFFFF"/>
        </w:rPr>
        <w:t xml:space="preserve"> of the entire population but rather </w:t>
      </w:r>
      <w:r w:rsidR="00F22DE5">
        <w:rPr>
          <w:color w:val="000000"/>
          <w:shd w:val="clear" w:color="auto" w:fill="FFFFFF"/>
        </w:rPr>
        <w:t>of</w:t>
      </w:r>
      <w:r w:rsidR="00167454">
        <w:rPr>
          <w:color w:val="000000"/>
          <w:shd w:val="clear" w:color="auto" w:fill="FFFFFF"/>
        </w:rPr>
        <w:t xml:space="preserve"> the online reviewer population; this necessarily excludes the perspectives of those who</w:t>
      </w:r>
      <w:r w:rsidR="004540B3">
        <w:rPr>
          <w:color w:val="000000"/>
          <w:shd w:val="clear" w:color="auto" w:fill="FFFFFF"/>
        </w:rPr>
        <w:t xml:space="preserve"> do not post online reviews</w:t>
      </w:r>
      <w:r w:rsidR="00F22DE5">
        <w:rPr>
          <w:color w:val="000000"/>
          <w:shd w:val="clear" w:color="auto" w:fill="FFFFFF"/>
        </w:rPr>
        <w:t xml:space="preserve"> for food stores</w:t>
      </w:r>
      <w:r w:rsidR="004540B3">
        <w:rPr>
          <w:color w:val="000000"/>
          <w:shd w:val="clear" w:color="auto" w:fill="FFFFFF"/>
        </w:rPr>
        <w:t>.</w:t>
      </w:r>
      <w:r w:rsidR="00220769">
        <w:rPr>
          <w:color w:val="000000"/>
          <w:shd w:val="clear" w:color="auto" w:fill="FFFFFF"/>
        </w:rPr>
        <w:t xml:space="preserve"> </w:t>
      </w:r>
      <w:commentRangeEnd w:id="80"/>
      <w:r w:rsidR="00642E35">
        <w:rPr>
          <w:rStyle w:val="CommentReference"/>
        </w:rPr>
        <w:commentReference w:id="80"/>
      </w:r>
      <w:commentRangeEnd w:id="81"/>
      <w:r w:rsidR="008A3FF8">
        <w:rPr>
          <w:rStyle w:val="CommentReference"/>
        </w:rPr>
        <w:commentReference w:id="81"/>
      </w:r>
      <w:r w:rsidR="009A0575">
        <w:rPr>
          <w:color w:val="000000"/>
          <w:shd w:val="clear" w:color="auto" w:fill="FFFFFF"/>
        </w:rPr>
        <w:t xml:space="preserve">Moreover, LDA works by essentially finding </w:t>
      </w:r>
      <w:r w:rsidR="002131F6">
        <w:rPr>
          <w:color w:val="000000"/>
          <w:shd w:val="clear" w:color="auto" w:fill="FFFFFF"/>
        </w:rPr>
        <w:t>the most probable words that co-exist in topics that are as dissimilar from each other as possible</w:t>
      </w:r>
      <w:r w:rsidR="009F0A7E">
        <w:rPr>
          <w:color w:val="000000"/>
          <w:shd w:val="clear" w:color="auto" w:fill="FFFFFF"/>
        </w:rPr>
        <w:t>. With an average sentiment score for each topic discussed by reviewers for stores,</w:t>
      </w:r>
      <w:r w:rsidR="00142912">
        <w:rPr>
          <w:color w:val="000000"/>
          <w:shd w:val="clear" w:color="auto" w:fill="FFFFFF"/>
        </w:rPr>
        <w:t xml:space="preserve"> </w:t>
      </w:r>
      <w:r w:rsidR="00026445">
        <w:rPr>
          <w:color w:val="000000"/>
          <w:shd w:val="clear" w:color="auto" w:fill="FFFFFF"/>
        </w:rPr>
        <w:t xml:space="preserve">even amongst the reviewer population, opinions that are not the </w:t>
      </w:r>
      <w:r w:rsidR="00FF7C4C">
        <w:rPr>
          <w:color w:val="000000"/>
          <w:shd w:val="clear" w:color="auto" w:fill="FFFFFF"/>
        </w:rPr>
        <w:t>most</w:t>
      </w:r>
      <w:r w:rsidR="00026445">
        <w:rPr>
          <w:color w:val="000000"/>
          <w:shd w:val="clear" w:color="auto" w:fill="FFFFFF"/>
        </w:rPr>
        <w:t xml:space="preserve"> popular </w:t>
      </w:r>
      <w:r w:rsidR="00AA0146">
        <w:rPr>
          <w:color w:val="000000"/>
          <w:shd w:val="clear" w:color="auto" w:fill="FFFFFF"/>
        </w:rPr>
        <w:t xml:space="preserve">(e.g., potential outliers) </w:t>
      </w:r>
      <w:r w:rsidR="00026445">
        <w:rPr>
          <w:color w:val="000000"/>
          <w:shd w:val="clear" w:color="auto" w:fill="FFFFFF"/>
        </w:rPr>
        <w:t xml:space="preserve">may be </w:t>
      </w:r>
      <w:r w:rsidR="00AA0146">
        <w:rPr>
          <w:color w:val="000000"/>
          <w:shd w:val="clear" w:color="auto" w:fill="FFFFFF"/>
        </w:rPr>
        <w:t>overlooked due to the nature of averages.</w:t>
      </w:r>
      <w:r w:rsidR="002131F6">
        <w:rPr>
          <w:color w:val="000000"/>
          <w:shd w:val="clear" w:color="auto" w:fill="FFFFFF"/>
        </w:rPr>
        <w:t xml:space="preserve"> </w:t>
      </w:r>
      <w:r w:rsidR="003742C8">
        <w:rPr>
          <w:color w:val="000000"/>
          <w:shd w:val="clear" w:color="auto" w:fill="FFFFFF"/>
        </w:rPr>
        <w:t xml:space="preserve">This does not however mean that the reviews </w:t>
      </w:r>
      <w:r w:rsidR="00474EF4">
        <w:rPr>
          <w:color w:val="000000"/>
          <w:shd w:val="clear" w:color="auto" w:fill="FFFFFF"/>
        </w:rPr>
        <w:t xml:space="preserve">cannot be used to inform how people may perceive food stores; </w:t>
      </w:r>
      <w:r w:rsidR="00F225EA">
        <w:rPr>
          <w:color w:val="000000"/>
          <w:shd w:val="clear" w:color="auto" w:fill="FFFFFF"/>
        </w:rPr>
        <w:t xml:space="preserve">reviews are still useful in capturing the </w:t>
      </w:r>
      <w:r w:rsidR="00AA0146">
        <w:rPr>
          <w:color w:val="000000"/>
          <w:shd w:val="clear" w:color="auto" w:fill="FFFFFF"/>
        </w:rPr>
        <w:t xml:space="preserve">general </w:t>
      </w:r>
      <w:r w:rsidR="00F225EA">
        <w:rPr>
          <w:color w:val="000000"/>
          <w:shd w:val="clear" w:color="auto" w:fill="FFFFFF"/>
        </w:rPr>
        <w:t>perspectives of</w:t>
      </w:r>
      <w:r w:rsidR="00532A89">
        <w:rPr>
          <w:color w:val="000000"/>
          <w:shd w:val="clear" w:color="auto" w:fill="FFFFFF"/>
        </w:rPr>
        <w:t xml:space="preserve"> a specific population which could plausibly </w:t>
      </w:r>
      <w:r w:rsidR="00CF6A44">
        <w:rPr>
          <w:color w:val="000000"/>
          <w:shd w:val="clear" w:color="auto" w:fill="FFFFFF"/>
        </w:rPr>
        <w:t>reflect the perceptions of those who do not post reviews. Confirming or refuting this notion would require</w:t>
      </w:r>
      <w:r w:rsidR="00A34148">
        <w:rPr>
          <w:color w:val="000000"/>
          <w:shd w:val="clear" w:color="auto" w:fill="FFFFFF"/>
        </w:rPr>
        <w:t xml:space="preserve"> identifying the demographic profile of </w:t>
      </w:r>
      <w:r w:rsidR="00A34148">
        <w:rPr>
          <w:color w:val="000000"/>
          <w:shd w:val="clear" w:color="auto" w:fill="FFFFFF"/>
        </w:rPr>
        <w:lastRenderedPageBreak/>
        <w:t>those who are not represented</w:t>
      </w:r>
      <w:r w:rsidR="005F6E9E">
        <w:rPr>
          <w:color w:val="000000"/>
          <w:shd w:val="clear" w:color="auto" w:fill="FFFFFF"/>
        </w:rPr>
        <w:t xml:space="preserve">, </w:t>
      </w:r>
      <w:r w:rsidR="00A34148">
        <w:rPr>
          <w:color w:val="000000"/>
          <w:shd w:val="clear" w:color="auto" w:fill="FFFFFF"/>
        </w:rPr>
        <w:t xml:space="preserve">collecting their opinions </w:t>
      </w:r>
      <w:r w:rsidR="005F6E9E">
        <w:rPr>
          <w:color w:val="000000"/>
          <w:shd w:val="clear" w:color="auto" w:fill="FFFFFF"/>
        </w:rPr>
        <w:t xml:space="preserve">about these stores, and comparing these sentiments with the </w:t>
      </w:r>
      <w:r w:rsidR="0039044C">
        <w:rPr>
          <w:color w:val="000000"/>
          <w:shd w:val="clear" w:color="auto" w:fill="FFFFFF"/>
        </w:rPr>
        <w:t>results from the aspect-based sentiment analysis approach.</w:t>
      </w:r>
    </w:p>
    <w:p w14:paraId="109CB6C9" w14:textId="085CAA1E" w:rsidR="00787610" w:rsidRDefault="00787610" w:rsidP="0013170F">
      <w:pPr>
        <w:spacing w:line="480" w:lineRule="auto"/>
        <w:ind w:firstLine="720"/>
      </w:pPr>
      <w:r>
        <w:t xml:space="preserve">Food </w:t>
      </w:r>
      <w:r w:rsidR="00DE19A1">
        <w:t>stores</w:t>
      </w:r>
      <w:r>
        <w:t xml:space="preserve"> were also reclassified into six broad categories. Google Maps provides a unique type for each POI but for simplicity's sake, </w:t>
      </w:r>
      <w:commentRangeStart w:id="82"/>
      <w:commentRangeStart w:id="83"/>
      <w:r>
        <w:t>each food-related POI was reclassified according to a manual classification scheme</w:t>
      </w:r>
      <w:commentRangeEnd w:id="82"/>
      <w:r w:rsidR="005956C9">
        <w:rPr>
          <w:rStyle w:val="CommentReference"/>
        </w:rPr>
        <w:commentReference w:id="82"/>
      </w:r>
      <w:commentRangeEnd w:id="83"/>
      <w:r w:rsidR="003E6A8D">
        <w:rPr>
          <w:rStyle w:val="CommentReference"/>
        </w:rPr>
        <w:commentReference w:id="83"/>
      </w:r>
      <w:r>
        <w:t xml:space="preserve"> based on the nomenclature adopted by Google, and </w:t>
      </w:r>
      <w:commentRangeStart w:id="84"/>
      <w:commentRangeStart w:id="85"/>
      <w:r>
        <w:t>manual ground-truthing of stores based on the researcher’s knowledge of the retail food landscape in Knox County.</w:t>
      </w:r>
      <w:commentRangeEnd w:id="84"/>
      <w:r w:rsidR="00305963">
        <w:rPr>
          <w:rStyle w:val="CommentReference"/>
        </w:rPr>
        <w:commentReference w:id="84"/>
      </w:r>
      <w:commentRangeEnd w:id="85"/>
      <w:r w:rsidR="0047250B">
        <w:rPr>
          <w:rStyle w:val="CommentReference"/>
        </w:rPr>
        <w:commentReference w:id="85"/>
      </w:r>
      <w:r>
        <w:t xml:space="preserve"> </w:t>
      </w:r>
      <w:r w:rsidR="008D10E4">
        <w:t xml:space="preserve">This is because many </w:t>
      </w:r>
      <w:r w:rsidR="00A03B15">
        <w:t>unique types are infrequent in the dataset and are only</w:t>
      </w:r>
      <w:r w:rsidR="001A6A09">
        <w:t xml:space="preserve"> classified for one or two stores; moreover, some of them are not entirely accurate as some st</w:t>
      </w:r>
      <w:r w:rsidR="00FE48F1">
        <w:t xml:space="preserve">ores </w:t>
      </w:r>
      <w:r w:rsidR="00335F91">
        <w:t>can also be classified as a different type</w:t>
      </w:r>
      <w:r w:rsidR="001A6A09">
        <w:t>.</w:t>
      </w:r>
      <w:r w:rsidR="00335F91">
        <w:t xml:space="preserve"> For e</w:t>
      </w:r>
      <w:r w:rsidR="00337E11">
        <w:t xml:space="preserve">xample, a few stores such as La Lupita Mexican Store and Restaurant and Maryville Corner Market operate as both a restaurant and </w:t>
      </w:r>
      <w:r w:rsidR="00C61C2B">
        <w:t xml:space="preserve">retail food </w:t>
      </w:r>
      <w:r w:rsidR="00337E11">
        <w:t>store but are classified as, respectively, Mexican restaurant and Lunch restaurant</w:t>
      </w:r>
      <w:r w:rsidR="00C61C2B">
        <w:t>.</w:t>
      </w:r>
      <w:r w:rsidR="001A6A09">
        <w:t xml:space="preserve"> </w:t>
      </w:r>
      <w:r w:rsidR="00002D27">
        <w:t xml:space="preserve">Searches of reviews and pictures on Google Maps, Yelp, and TripAdvisor were carried out to identify whether </w:t>
      </w:r>
      <w:r w:rsidR="008A2049">
        <w:t>stores offered some form of groceries (e.g., fresh vegetables, meat, dairy, etc.)</w:t>
      </w:r>
      <w:r w:rsidR="00076D10">
        <w:t>.</w:t>
      </w:r>
      <w:r w:rsidR="008A2049">
        <w:t xml:space="preserve"> </w:t>
      </w:r>
      <w:r>
        <w:t xml:space="preserve">In total, there are seven classes of food stores; the left-hand side are the classes in </w:t>
      </w:r>
      <w:r w:rsidR="00B847DB">
        <w:t>the</w:t>
      </w:r>
      <w:r>
        <w:t xml:space="preserve"> GIS while the right-hand side contains the POI types of all stores scraped from Google Maps:</w:t>
      </w:r>
    </w:p>
    <w:p w14:paraId="671D082C" w14:textId="15744615" w:rsidR="00787610" w:rsidRDefault="00787610" w:rsidP="00156BEA">
      <w:pPr>
        <w:pStyle w:val="ListParagraph"/>
        <w:numPr>
          <w:ilvl w:val="0"/>
          <w:numId w:val="5"/>
        </w:numPr>
        <w:spacing w:line="480" w:lineRule="auto"/>
      </w:pPr>
      <w:r w:rsidRPr="00171641">
        <w:rPr>
          <w:i/>
          <w:iCs/>
        </w:rPr>
        <w:t>Ethnic grocery store</w:t>
      </w:r>
      <w:r>
        <w:t xml:space="preserve"> = Asian grocery store, Cafe, Gourmet grocery store, Mexican grocery store, Mexican restaurant</w:t>
      </w:r>
      <w:r w:rsidR="001E6A31">
        <w:t>;</w:t>
      </w:r>
      <w:r>
        <w:t xml:space="preserve"> (e.g., Chinese supermarkets)</w:t>
      </w:r>
    </w:p>
    <w:p w14:paraId="5FCF60F1" w14:textId="2ABCAD4A" w:rsidR="00787610" w:rsidRDefault="00787610" w:rsidP="00156BEA">
      <w:pPr>
        <w:pStyle w:val="ListParagraph"/>
        <w:numPr>
          <w:ilvl w:val="0"/>
          <w:numId w:val="5"/>
        </w:numPr>
        <w:spacing w:line="480" w:lineRule="auto"/>
      </w:pPr>
      <w:r w:rsidRPr="00171641">
        <w:rPr>
          <w:i/>
          <w:iCs/>
        </w:rPr>
        <w:t>Specialty food store</w:t>
      </w:r>
      <w:r>
        <w:t xml:space="preserve"> = Butcher Shop, Furniture store, Lunch restaurant, Produce market</w:t>
      </w:r>
      <w:r w:rsidR="001E6A31">
        <w:t xml:space="preserve">; </w:t>
      </w:r>
      <w:r>
        <w:t>(e.g., farmer's markets, butcher shops)</w:t>
      </w:r>
    </w:p>
    <w:p w14:paraId="31C6D90A" w14:textId="2ECE6153" w:rsidR="00787610" w:rsidRDefault="00787610" w:rsidP="00156BEA">
      <w:pPr>
        <w:pStyle w:val="ListParagraph"/>
        <w:numPr>
          <w:ilvl w:val="0"/>
          <w:numId w:val="5"/>
        </w:numPr>
        <w:spacing w:line="480" w:lineRule="auto"/>
      </w:pPr>
      <w:r w:rsidRPr="00171641">
        <w:rPr>
          <w:i/>
          <w:iCs/>
        </w:rPr>
        <w:t>Discount store</w:t>
      </w:r>
      <w:r>
        <w:t xml:space="preserve"> = Dollar store, Discount supermarket</w:t>
      </w:r>
      <w:r w:rsidR="001E6A31">
        <w:t>;</w:t>
      </w:r>
      <w:r>
        <w:t xml:space="preserve"> (e.g., dollar stores such as Dollar Tree</w:t>
      </w:r>
      <w:r w:rsidR="00CF5D29">
        <w:t>, Save-A-Lot</w:t>
      </w:r>
      <w:r w:rsidR="004B5C0C">
        <w:t>, United Grocery Outlet</w:t>
      </w:r>
      <w:r>
        <w:t>)</w:t>
      </w:r>
    </w:p>
    <w:p w14:paraId="34812628" w14:textId="79F0A097" w:rsidR="00787610" w:rsidRDefault="00787610" w:rsidP="00156BEA">
      <w:pPr>
        <w:pStyle w:val="ListParagraph"/>
        <w:numPr>
          <w:ilvl w:val="0"/>
          <w:numId w:val="5"/>
        </w:numPr>
        <w:spacing w:line="480" w:lineRule="auto"/>
      </w:pPr>
      <w:r w:rsidRPr="00171641">
        <w:rPr>
          <w:i/>
          <w:iCs/>
        </w:rPr>
        <w:t>Convenience store</w:t>
      </w:r>
      <w:r>
        <w:t xml:space="preserve"> = Gas station, Market, Store</w:t>
      </w:r>
      <w:r w:rsidR="001E6A31">
        <w:t>;</w:t>
      </w:r>
      <w:r>
        <w:t xml:space="preserve"> (e.g., gas stations, convenience stores, bodegas such as </w:t>
      </w:r>
      <w:proofErr w:type="spellStart"/>
      <w:r>
        <w:t>Weigels</w:t>
      </w:r>
      <w:proofErr w:type="spellEnd"/>
      <w:r>
        <w:t>)</w:t>
      </w:r>
    </w:p>
    <w:p w14:paraId="59A197FC" w14:textId="54CC4788" w:rsidR="00787610" w:rsidRDefault="00787610" w:rsidP="00156BEA">
      <w:pPr>
        <w:pStyle w:val="ListParagraph"/>
        <w:numPr>
          <w:ilvl w:val="0"/>
          <w:numId w:val="5"/>
        </w:numPr>
        <w:spacing w:line="480" w:lineRule="auto"/>
      </w:pPr>
      <w:r w:rsidRPr="00171641">
        <w:rPr>
          <w:i/>
          <w:iCs/>
        </w:rPr>
        <w:lastRenderedPageBreak/>
        <w:t>Grocery store</w:t>
      </w:r>
      <w:r>
        <w:t xml:space="preserve"> = Health food store, Supermarket</w:t>
      </w:r>
      <w:r w:rsidR="001E6A31">
        <w:t>;</w:t>
      </w:r>
      <w:r>
        <w:t xml:space="preserve"> (e.g., supermarkets, grocery stores such as Kroger</w:t>
      </w:r>
      <w:r w:rsidR="006C0DEA">
        <w:t>, Publix, Food City, etc.</w:t>
      </w:r>
      <w:r>
        <w:t>)</w:t>
      </w:r>
    </w:p>
    <w:p w14:paraId="27507504" w14:textId="60E8AA77" w:rsidR="00787610" w:rsidRDefault="00787610" w:rsidP="00156BEA">
      <w:pPr>
        <w:pStyle w:val="ListParagraph"/>
        <w:numPr>
          <w:ilvl w:val="0"/>
          <w:numId w:val="5"/>
        </w:numPr>
        <w:spacing w:line="480" w:lineRule="auto"/>
      </w:pPr>
      <w:r w:rsidRPr="00171641">
        <w:rPr>
          <w:i/>
          <w:iCs/>
        </w:rPr>
        <w:t>Warehouse store</w:t>
      </w:r>
      <w:r>
        <w:t xml:space="preserve"> = Warehouse club</w:t>
      </w:r>
      <w:r w:rsidR="001E6A31">
        <w:t>;</w:t>
      </w:r>
      <w:r>
        <w:t xml:space="preserve"> (e.g., bulk retailers such as Costco</w:t>
      </w:r>
      <w:r w:rsidR="006C0DEA">
        <w:t xml:space="preserve"> and Sam’s Club</w:t>
      </w:r>
      <w:r>
        <w:t>)</w:t>
      </w:r>
    </w:p>
    <w:p w14:paraId="1151A59A" w14:textId="03AEBAB3" w:rsidR="00787610" w:rsidRDefault="00787610" w:rsidP="00156BEA">
      <w:pPr>
        <w:pStyle w:val="ListParagraph"/>
        <w:numPr>
          <w:ilvl w:val="0"/>
          <w:numId w:val="5"/>
        </w:numPr>
        <w:spacing w:line="480" w:lineRule="auto"/>
      </w:pPr>
      <w:r w:rsidRPr="00171641">
        <w:rPr>
          <w:i/>
          <w:iCs/>
        </w:rPr>
        <w:t>Department store</w:t>
      </w:r>
      <w:r>
        <w:t xml:space="preserve"> = Department store</w:t>
      </w:r>
      <w:r w:rsidR="001E6A31">
        <w:t>;</w:t>
      </w:r>
      <w:r>
        <w:t xml:space="preserve"> (e.g., Walmart, Target)</w:t>
      </w:r>
    </w:p>
    <w:p w14:paraId="613D1188" w14:textId="271ADCB5" w:rsidR="00CD3622" w:rsidRDefault="00F36F44" w:rsidP="00CD3622">
      <w:pPr>
        <w:spacing w:line="480" w:lineRule="auto"/>
      </w:pPr>
      <w:r>
        <w:t xml:space="preserve">Food stores </w:t>
      </w:r>
      <w:r w:rsidR="00D44AA1">
        <w:t>catering to a particular ethnic community such as Asian and Mexican grocery stores were grouped together</w:t>
      </w:r>
      <w:r w:rsidR="009C030B">
        <w:t xml:space="preserve"> along with other POI types relating to other ethnic food </w:t>
      </w:r>
      <w:r w:rsidR="0048560D">
        <w:t xml:space="preserve">POIs. Café, gourmet grocery store, and Mexican restaurant </w:t>
      </w:r>
      <w:r w:rsidR="000E7B55">
        <w:t xml:space="preserve">belong to this group too as </w:t>
      </w:r>
      <w:r w:rsidR="005B77B1">
        <w:t xml:space="preserve">the few POIs with these store type attributes are </w:t>
      </w:r>
      <w:r w:rsidR="00302A70">
        <w:t xml:space="preserve">ethnic food places that at the minimum sell some </w:t>
      </w:r>
      <w:r w:rsidR="00967D6A">
        <w:t>form of groceries</w:t>
      </w:r>
      <w:r w:rsidR="00302A70">
        <w:t>; respectively, they are Holy Land Market</w:t>
      </w:r>
      <w:r w:rsidR="00967D6A">
        <w:t>, International Delicacies</w:t>
      </w:r>
      <w:r w:rsidR="00AC40F5">
        <w:t>, and La Lupita Mexican Store.</w:t>
      </w:r>
      <w:r w:rsidR="00321877">
        <w:t xml:space="preserve"> Specialty food stores encompass POIs that </w:t>
      </w:r>
      <w:r w:rsidR="00390183">
        <w:t xml:space="preserve">only market a particular variety of groceries, such as butcher shops and farmers’ markets; and </w:t>
      </w:r>
      <w:r w:rsidR="006F113A">
        <w:t xml:space="preserve">World Market, which offers </w:t>
      </w:r>
      <w:r w:rsidR="00D00284">
        <w:t>specialty groceries,</w:t>
      </w:r>
      <w:r w:rsidR="006F113A">
        <w:t xml:space="preserve"> is the </w:t>
      </w:r>
      <w:r w:rsidR="00390183">
        <w:t xml:space="preserve">store with a POI type of furniture store </w:t>
      </w:r>
      <w:r w:rsidR="006F113A">
        <w:t xml:space="preserve">that </w:t>
      </w:r>
      <w:r w:rsidR="00390183">
        <w:t>is included</w:t>
      </w:r>
      <w:r w:rsidR="006F113A">
        <w:t xml:space="preserve"> in this grouping.</w:t>
      </w:r>
      <w:r w:rsidR="00407704">
        <w:t xml:space="preserve"> Maryville Corner Market is also included despite </w:t>
      </w:r>
      <w:r w:rsidR="00CA2B6D">
        <w:t xml:space="preserve">being classified by Google as a lunch restaurant because it </w:t>
      </w:r>
      <w:r w:rsidR="00AF69FB">
        <w:t>also</w:t>
      </w:r>
      <w:r w:rsidR="00CA2B6D">
        <w:t xml:space="preserve"> offers fresh fruits and vegetables.</w:t>
      </w:r>
      <w:r w:rsidR="00AE6216">
        <w:t xml:space="preserve"> Discount stores include all </w:t>
      </w:r>
      <w:r w:rsidR="00F62B5F">
        <w:t>dollar stores and discount supermarke</w:t>
      </w:r>
      <w:r w:rsidR="00B74EAA">
        <w:t>ts located in more rural</w:t>
      </w:r>
      <w:r w:rsidR="009A1E29">
        <w:t xml:space="preserve">, </w:t>
      </w:r>
      <w:r w:rsidR="00B74EAA">
        <w:t>sparsely-populated</w:t>
      </w:r>
      <w:r w:rsidR="005C24AE">
        <w:t xml:space="preserve">, </w:t>
      </w:r>
      <w:r w:rsidR="009A1E29">
        <w:t xml:space="preserve">and </w:t>
      </w:r>
      <w:r w:rsidR="00C017D1">
        <w:t>of</w:t>
      </w:r>
      <w:r w:rsidR="005231DB">
        <w:t>ten in</w:t>
      </w:r>
      <w:r w:rsidR="005C24AE">
        <w:t xml:space="preserve"> low </w:t>
      </w:r>
      <w:r w:rsidR="005231DB">
        <w:t>income</w:t>
      </w:r>
      <w:r w:rsidR="009A1E29">
        <w:t xml:space="preserve"> </w:t>
      </w:r>
      <w:r w:rsidR="00B74EAA">
        <w:t>areas</w:t>
      </w:r>
      <w:r w:rsidR="005231DB">
        <w:t xml:space="preserve"> with greater minority populations</w:t>
      </w:r>
      <w:r w:rsidR="0016719E">
        <w:t xml:space="preserve"> </w:t>
      </w:r>
      <w:r w:rsidR="0016719E">
        <w:fldChar w:fldCharType="begin"/>
      </w:r>
      <w:r w:rsidR="0016719E">
        <w:instrText xml:space="preserve"> ADDIN ZOTERO_ITEM CSL_CITATION {"citationID":"P89qmQUV","properties":{"formattedCitation":"(Shannon, 2021)","plainCitation":"(Shannon, 2021)","noteIndex":0},"citationItems":[{"id":1866,"uris":["http://zotero.org/users/5090392/items/AK3FD3RM"],"itemData":{"id":1866,"type":"article-journal","container-title":"Annals of the American Association of Geographers","DOI":"10.1080/24694452.2020.1775544","ISSN":"2469-4452, 2469-4460","issue":"4","journalAbbreviation":"Annals of the American Association of Geographers","language":"en","page":"1200-1218","source":"DOI.org (Crossref)","title":"Dollar Stores, Retailer Redlining, and the Metropolitan Geographies of Precarious Consumption","URL":"https://www.tandfonline.com/doi/full/10.1080/24694452.2020.1775544","volume":"111","author":[{"family":"Shannon","given":"Jerry"}],"accessed":{"date-parts":[["2022",7,29]]},"issued":{"date-parts":[["2021",6,7]]}}}],"schema":"https://github.com/citation-style-language/schema/raw/master/csl-citation.json"} </w:instrText>
      </w:r>
      <w:r w:rsidR="0016719E">
        <w:fldChar w:fldCharType="separate"/>
      </w:r>
      <w:r w:rsidR="0016719E" w:rsidRPr="0016719E">
        <w:t>(Shannon, 2021)</w:t>
      </w:r>
      <w:r w:rsidR="0016719E">
        <w:fldChar w:fldCharType="end"/>
      </w:r>
      <w:r w:rsidR="00CF5D29">
        <w:t>. Convenie</w:t>
      </w:r>
      <w:r w:rsidR="00E208B5">
        <w:t xml:space="preserve">nce stores </w:t>
      </w:r>
      <w:r w:rsidR="0004091E">
        <w:t xml:space="preserve">are stores with, generally, longer hours of operation </w:t>
      </w:r>
      <w:r w:rsidR="00C4395D">
        <w:t xml:space="preserve">that </w:t>
      </w:r>
      <w:r w:rsidR="0004091E">
        <w:t xml:space="preserve">supply a wide range of convenience foods including groceries, </w:t>
      </w:r>
      <w:r w:rsidR="00495BFA">
        <w:t xml:space="preserve">frozen foods, fast food, etc. </w:t>
      </w:r>
      <w:r w:rsidR="006B3FE6">
        <w:fldChar w:fldCharType="begin"/>
      </w:r>
      <w:r w:rsidR="006B3FE6">
        <w:instrText xml:space="preserve"> ADDIN ZOTERO_ITEM CSL_CITATION {"citationID":"B2aafQZS","properties":{"formattedCitation":"(Jones, 1988)","plainCitation":"(Jones, 1988)","noteIndex":0},"citationItems":[{"id":1915,"uris":["http://zotero.org/users/5090392/items/VYA5KLZD"],"itemData":{"id":1915,"type":"article-journal","container-title":"Geography","ISSN":"0016-7487","issue":"2","note":"publisher: Geographical Association","page":"146-148","source":"JSTOR","title":"The geographical development of convenience stores in Britain","URL":"https://www.jstor.org/stable/40571388","volume":"73","author":[{"family":"Jones","given":"Peter"}],"accessed":{"date-parts":[["2022",8,18]]},"issued":{"date-parts":[["1988"]]}}}],"schema":"https://github.com/citation-style-language/schema/raw/master/csl-citation.json"} </w:instrText>
      </w:r>
      <w:r w:rsidR="006B3FE6">
        <w:fldChar w:fldCharType="separate"/>
      </w:r>
      <w:r w:rsidR="006B3FE6" w:rsidRPr="006B3FE6">
        <w:t>(Jones, 1988)</w:t>
      </w:r>
      <w:r w:rsidR="006B3FE6">
        <w:fldChar w:fldCharType="end"/>
      </w:r>
      <w:r w:rsidR="00495BFA">
        <w:t xml:space="preserve"> and are the broader group for what Google classifies as gas stations and convenience stores</w:t>
      </w:r>
      <w:r w:rsidR="00EE115F">
        <w:t xml:space="preserve">. Grocery stores </w:t>
      </w:r>
      <w:r w:rsidR="00F82F00">
        <w:t xml:space="preserve">are traditional grocery retailers that offer a wide range of groceries and </w:t>
      </w:r>
      <w:r w:rsidR="00487830">
        <w:t>kitchen-related items</w:t>
      </w:r>
      <w:r w:rsidR="00CC7156">
        <w:t xml:space="preserve">; Earth Fare is included in this grouping and is the only POI with the Health food store type. Warehouse stores are stores that require membership </w:t>
      </w:r>
      <w:r w:rsidR="00E967B3">
        <w:t xml:space="preserve">to purchase groceries and other household items while department stores are larger retailers which offer </w:t>
      </w:r>
      <w:r w:rsidR="003E6A8D">
        <w:t>groceries and more.</w:t>
      </w:r>
    </w:p>
    <w:p w14:paraId="2D9CE18E" w14:textId="7A9FE6D6" w:rsidR="007B4A33" w:rsidRPr="00A4743F" w:rsidRDefault="000E4A84" w:rsidP="00B8748B">
      <w:pPr>
        <w:pStyle w:val="Heading3"/>
        <w:spacing w:after="240" w:line="240" w:lineRule="auto"/>
        <w:jc w:val="center"/>
        <w:rPr>
          <w:rFonts w:ascii="Times New Roman" w:hAnsi="Times New Roman" w:cs="Times New Roman"/>
          <w:b/>
          <w:bCs/>
          <w:color w:val="auto"/>
        </w:rPr>
      </w:pPr>
      <w:bookmarkStart w:id="86" w:name="_Toc114258054"/>
      <w:commentRangeStart w:id="87"/>
      <w:commentRangeStart w:id="88"/>
      <w:r w:rsidRPr="00A4743F">
        <w:rPr>
          <w:rFonts w:ascii="Times New Roman" w:hAnsi="Times New Roman" w:cs="Times New Roman"/>
          <w:b/>
          <w:bCs/>
          <w:color w:val="auto"/>
        </w:rPr>
        <w:lastRenderedPageBreak/>
        <w:t>4</w:t>
      </w:r>
      <w:r w:rsidR="007B4A33" w:rsidRPr="00A4743F">
        <w:rPr>
          <w:rFonts w:ascii="Times New Roman" w:hAnsi="Times New Roman" w:cs="Times New Roman"/>
          <w:b/>
          <w:bCs/>
          <w:color w:val="auto"/>
        </w:rPr>
        <w:t>.2.</w:t>
      </w:r>
      <w:r w:rsidR="00787610" w:rsidRPr="00A4743F">
        <w:rPr>
          <w:rFonts w:ascii="Times New Roman" w:hAnsi="Times New Roman" w:cs="Times New Roman"/>
          <w:b/>
          <w:bCs/>
          <w:color w:val="auto"/>
        </w:rPr>
        <w:t>2</w:t>
      </w:r>
      <w:r w:rsidR="007B4A33" w:rsidRPr="00A4743F">
        <w:rPr>
          <w:rFonts w:ascii="Times New Roman" w:hAnsi="Times New Roman" w:cs="Times New Roman"/>
          <w:b/>
          <w:bCs/>
          <w:color w:val="auto"/>
        </w:rPr>
        <w:t>. D</w:t>
      </w:r>
      <w:r w:rsidR="00A4743F" w:rsidRPr="00A4743F">
        <w:rPr>
          <w:rFonts w:ascii="Times New Roman" w:hAnsi="Times New Roman" w:cs="Times New Roman"/>
          <w:b/>
          <w:bCs/>
          <w:color w:val="auto"/>
        </w:rPr>
        <w:t>ATASET</w:t>
      </w:r>
      <w:r w:rsidR="007B4A33" w:rsidRPr="00A4743F">
        <w:rPr>
          <w:rFonts w:ascii="Times New Roman" w:hAnsi="Times New Roman" w:cs="Times New Roman"/>
          <w:b/>
          <w:bCs/>
          <w:color w:val="auto"/>
        </w:rPr>
        <w:t xml:space="preserve"> </w:t>
      </w:r>
      <w:r w:rsidR="00787610" w:rsidRPr="00A4743F">
        <w:rPr>
          <w:rFonts w:ascii="Times New Roman" w:hAnsi="Times New Roman" w:cs="Times New Roman"/>
          <w:b/>
          <w:bCs/>
          <w:color w:val="auto"/>
        </w:rPr>
        <w:t>2</w:t>
      </w:r>
      <w:r w:rsidR="007B4A33" w:rsidRPr="00A4743F">
        <w:rPr>
          <w:rFonts w:ascii="Times New Roman" w:hAnsi="Times New Roman" w:cs="Times New Roman"/>
          <w:b/>
          <w:bCs/>
          <w:color w:val="auto"/>
        </w:rPr>
        <w:t xml:space="preserve">: </w:t>
      </w:r>
      <w:r w:rsidR="00A4743F" w:rsidRPr="00A4743F">
        <w:rPr>
          <w:rFonts w:ascii="Times New Roman" w:hAnsi="Times New Roman" w:cs="Times New Roman"/>
          <w:b/>
          <w:bCs/>
          <w:color w:val="auto"/>
        </w:rPr>
        <w:t>SOCIOECONOMIC, DEMOGRAPHIC, AND PERCEIVED CHARACTERISTICS OF INDIVIDUALS</w:t>
      </w:r>
      <w:bookmarkEnd w:id="86"/>
    </w:p>
    <w:p w14:paraId="1E077080" w14:textId="74C5F738" w:rsidR="00D91E89" w:rsidRDefault="00D91E89" w:rsidP="00156BEA">
      <w:pPr>
        <w:spacing w:line="480" w:lineRule="auto"/>
        <w:ind w:firstLine="720"/>
      </w:pPr>
      <w:r>
        <w:t xml:space="preserve">Further understanding the food opportunities accessible to individuals </w:t>
      </w:r>
      <w:r w:rsidR="002C3D6C">
        <w:t xml:space="preserve">beyond </w:t>
      </w:r>
      <w:r w:rsidR="00823557">
        <w:t>conventional</w:t>
      </w:r>
      <w:r w:rsidR="002C3D6C">
        <w:t xml:space="preserve"> spatial accessibility </w:t>
      </w:r>
      <w:r w:rsidR="00260CAA">
        <w:t>measure</w:t>
      </w:r>
      <w:r w:rsidR="002C3D6C">
        <w:t>s</w:t>
      </w:r>
      <w:r w:rsidR="008316F1">
        <w:t>,</w:t>
      </w:r>
      <w:r w:rsidR="00260CAA">
        <w:t xml:space="preserve"> entrenched in </w:t>
      </w:r>
      <w:r w:rsidR="008316F1">
        <w:t xml:space="preserve">an </w:t>
      </w:r>
      <w:r w:rsidR="00260CAA">
        <w:t>absolute space approach</w:t>
      </w:r>
      <w:r w:rsidR="008316F1">
        <w:t xml:space="preserve"> to the availability and accessibility dimensions,</w:t>
      </w:r>
      <w:r w:rsidR="00260CAA">
        <w:t xml:space="preserve"> </w:t>
      </w:r>
      <w:r w:rsidR="002C3D6C">
        <w:t xml:space="preserve">requires </w:t>
      </w:r>
      <w:r w:rsidR="0089012B">
        <w:t>more than just</w:t>
      </w:r>
      <w:r w:rsidR="007D4326">
        <w:t xml:space="preserve"> the locations of people and places at specific points in time. </w:t>
      </w:r>
      <w:commentRangeStart w:id="89"/>
      <w:commentRangeStart w:id="90"/>
      <w:r w:rsidR="006344BE">
        <w:t>People have different characteristics and the needs of one person can vastly differ from another person</w:t>
      </w:r>
      <w:commentRangeEnd w:id="89"/>
      <w:r w:rsidR="0098566C">
        <w:rPr>
          <w:rStyle w:val="CommentReference"/>
        </w:rPr>
        <w:commentReference w:id="89"/>
      </w:r>
      <w:commentRangeEnd w:id="90"/>
      <w:r w:rsidR="0098566C">
        <w:rPr>
          <w:rStyle w:val="CommentReference"/>
        </w:rPr>
        <w:commentReference w:id="90"/>
      </w:r>
      <w:r w:rsidR="00AE6015">
        <w:t xml:space="preserve">. From this viewpoint, it is important to also </w:t>
      </w:r>
      <w:r w:rsidR="00823557">
        <w:t xml:space="preserve">integrate various characteristics of people </w:t>
      </w:r>
      <w:r w:rsidR="00CE7EAD">
        <w:t xml:space="preserve">that </w:t>
      </w:r>
      <w:r w:rsidR="00BF2286">
        <w:t>reveal</w:t>
      </w:r>
      <w:r w:rsidR="00CE7EAD">
        <w:t xml:space="preserve"> their attitudes and perceptions</w:t>
      </w:r>
      <w:r w:rsidR="008316F1">
        <w:t xml:space="preserve"> of </w:t>
      </w:r>
      <w:r w:rsidR="009E7CE8">
        <w:t>store</w:t>
      </w:r>
      <w:r w:rsidR="008316F1">
        <w:t xml:space="preserve"> infrastructure, social environment, and </w:t>
      </w:r>
      <w:r w:rsidR="009E7CE8">
        <w:t>shopping modalities</w:t>
      </w:r>
      <w:r w:rsidR="00B90A5A">
        <w:t xml:space="preserve"> (e.g., </w:t>
      </w:r>
      <w:r w:rsidR="001D36C6">
        <w:t xml:space="preserve">preferences for stores with COVID19 precautions, LGBTQ+ friendly environment, and/or </w:t>
      </w:r>
      <w:r w:rsidR="00E269DB">
        <w:t>store pickup</w:t>
      </w:r>
      <w:r w:rsidR="001D36C6">
        <w:t>)</w:t>
      </w:r>
      <w:r w:rsidR="00CE7EAD">
        <w:t xml:space="preserve">, </w:t>
      </w:r>
      <w:r w:rsidR="00B90A5A">
        <w:t>skills and capabilities</w:t>
      </w:r>
      <w:r w:rsidR="00E269DB">
        <w:t xml:space="preserve"> (e.g., ability to use online services</w:t>
      </w:r>
      <w:r w:rsidR="00442215">
        <w:t>;</w:t>
      </w:r>
      <w:r w:rsidR="00E269DB">
        <w:t xml:space="preserve"> access to personal vehicle</w:t>
      </w:r>
      <w:r w:rsidR="00442215">
        <w:t>;</w:t>
      </w:r>
      <w:r w:rsidR="00A32D5F">
        <w:t xml:space="preserve"> possible travel modes</w:t>
      </w:r>
      <w:r w:rsidR="00E269DB">
        <w:t>)</w:t>
      </w:r>
      <w:r w:rsidR="00B90A5A">
        <w:t>,</w:t>
      </w:r>
      <w:r w:rsidR="00A32D5F">
        <w:t xml:space="preserve"> and personal situations (e.g., </w:t>
      </w:r>
      <w:r w:rsidR="00442215">
        <w:t xml:space="preserve">income, </w:t>
      </w:r>
      <w:r w:rsidR="00AB00C0">
        <w:t>housing type, job)</w:t>
      </w:r>
      <w:r w:rsidR="00162592">
        <w:t>.</w:t>
      </w:r>
      <w:r w:rsidR="00AB00C0">
        <w:t xml:space="preserve"> </w:t>
      </w:r>
      <w:r w:rsidR="00AB2A55">
        <w:t xml:space="preserve">In addition to </w:t>
      </w:r>
      <w:r w:rsidR="00DF3FDC">
        <w:t>basic demographic information (e.g., age and sex), t</w:t>
      </w:r>
      <w:r w:rsidR="0018030D">
        <w:t>hese characteristics reflect upon different dimensions of access important to people</w:t>
      </w:r>
      <w:r w:rsidR="001E0301">
        <w:t xml:space="preserve"> and can be used in conjunction with Dataset 1 to </w:t>
      </w:r>
      <w:r w:rsidR="0027751E">
        <w:t>define opportunity sets more accurately</w:t>
      </w:r>
      <w:r w:rsidR="001E0301">
        <w:t xml:space="preserve"> for individuals</w:t>
      </w:r>
      <w:r w:rsidR="0018030D">
        <w:t xml:space="preserve">. </w:t>
      </w:r>
      <w:r w:rsidR="00AB00C0">
        <w:t xml:space="preserve">This is critical </w:t>
      </w:r>
      <w:r w:rsidR="006B4F76">
        <w:t xml:space="preserve">to understanding additional opportunities as well as identifying </w:t>
      </w:r>
      <w:r w:rsidR="00854107">
        <w:t>opportunities in virtual space which are often overlooked in conventional approaches.</w:t>
      </w:r>
      <w:r w:rsidR="007943E3">
        <w:t xml:space="preserve"> These characteristics are as follows</w:t>
      </w:r>
      <w:r w:rsidR="0013185F">
        <w:t xml:space="preserve"> (Figure 5)</w:t>
      </w:r>
      <w:r w:rsidR="007943E3">
        <w:t>:</w:t>
      </w:r>
    </w:p>
    <w:p w14:paraId="5429497E" w14:textId="77777777" w:rsidR="00195E3B" w:rsidRPr="007943E3"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Person ID</w:t>
      </w:r>
      <w:r>
        <w:rPr>
          <w:rFonts w:eastAsia="Times New Roman"/>
          <w:b/>
          <w:bCs/>
        </w:rPr>
        <w:t xml:space="preserve"> (</w:t>
      </w:r>
      <w:proofErr w:type="spellStart"/>
      <w:r w:rsidRPr="00D61F68">
        <w:rPr>
          <w:rFonts w:eastAsia="Times New Roman"/>
          <w:b/>
          <w:bCs/>
          <w:i/>
          <w:iCs/>
        </w:rPr>
        <w:t>person_id</w:t>
      </w:r>
      <w:proofErr w:type="spellEnd"/>
      <w:r>
        <w:rPr>
          <w:rFonts w:eastAsia="Times New Roman"/>
          <w:b/>
          <w:bCs/>
        </w:rPr>
        <w:t>)</w:t>
      </w:r>
      <w:r w:rsidRPr="007943E3">
        <w:rPr>
          <w:rFonts w:eastAsia="Times New Roman"/>
          <w:b/>
          <w:bCs/>
        </w:rPr>
        <w:t>:</w:t>
      </w:r>
      <w:r w:rsidRPr="007943E3">
        <w:rPr>
          <w:rFonts w:eastAsia="Times New Roman"/>
        </w:rPr>
        <w:t xml:space="preserve"> Unique ID for the individual</w:t>
      </w:r>
    </w:p>
    <w:p w14:paraId="4EF53D51" w14:textId="77777777" w:rsidR="00195E3B" w:rsidRPr="007943E3"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Age</w:t>
      </w:r>
      <w:r>
        <w:rPr>
          <w:rFonts w:eastAsia="Times New Roman"/>
          <w:b/>
          <w:bCs/>
        </w:rPr>
        <w:t xml:space="preserve"> (</w:t>
      </w:r>
      <w:r>
        <w:rPr>
          <w:rFonts w:eastAsia="Times New Roman"/>
          <w:b/>
          <w:bCs/>
          <w:i/>
          <w:iCs/>
        </w:rPr>
        <w:t>age</w:t>
      </w:r>
      <w:r>
        <w:rPr>
          <w:rFonts w:eastAsia="Times New Roman"/>
          <w:b/>
          <w:bCs/>
        </w:rPr>
        <w:t>)</w:t>
      </w:r>
      <w:r w:rsidRPr="007943E3">
        <w:rPr>
          <w:rFonts w:eastAsia="Times New Roman"/>
          <w:b/>
          <w:bCs/>
        </w:rPr>
        <w:t>:</w:t>
      </w:r>
      <w:r w:rsidRPr="007943E3">
        <w:rPr>
          <w:rFonts w:eastAsia="Times New Roman"/>
        </w:rPr>
        <w:t xml:space="preserve"> Age of the individual</w:t>
      </w:r>
    </w:p>
    <w:p w14:paraId="313E1E66" w14:textId="77777777" w:rsidR="00195E3B" w:rsidRPr="007943E3"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Sex</w:t>
      </w:r>
      <w:r>
        <w:rPr>
          <w:rFonts w:eastAsia="Times New Roman"/>
          <w:b/>
          <w:bCs/>
        </w:rPr>
        <w:t xml:space="preserve"> (</w:t>
      </w:r>
      <w:r>
        <w:rPr>
          <w:rFonts w:eastAsia="Times New Roman"/>
          <w:b/>
          <w:bCs/>
          <w:i/>
          <w:iCs/>
        </w:rPr>
        <w:t>sex</w:t>
      </w:r>
      <w:r>
        <w:rPr>
          <w:rFonts w:eastAsia="Times New Roman"/>
          <w:b/>
          <w:bCs/>
        </w:rPr>
        <w:t>)</w:t>
      </w:r>
      <w:r w:rsidRPr="007943E3">
        <w:rPr>
          <w:rFonts w:eastAsia="Times New Roman"/>
          <w:b/>
          <w:bCs/>
        </w:rPr>
        <w:t>:</w:t>
      </w:r>
      <w:r w:rsidRPr="007943E3">
        <w:rPr>
          <w:rFonts w:eastAsia="Times New Roman"/>
        </w:rPr>
        <w:t xml:space="preserve"> Sex of the individual</w:t>
      </w:r>
    </w:p>
    <w:p w14:paraId="3720FDF4" w14:textId="77777777" w:rsidR="00195E3B" w:rsidRPr="007943E3"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Race/Ethnicity</w:t>
      </w:r>
      <w:r>
        <w:rPr>
          <w:rFonts w:eastAsia="Times New Roman"/>
          <w:b/>
          <w:bCs/>
        </w:rPr>
        <w:t xml:space="preserve"> (</w:t>
      </w:r>
      <w:proofErr w:type="spellStart"/>
      <w:r>
        <w:rPr>
          <w:rFonts w:eastAsia="Times New Roman"/>
          <w:b/>
          <w:bCs/>
          <w:i/>
          <w:iCs/>
        </w:rPr>
        <w:t>raceethnic</w:t>
      </w:r>
      <w:proofErr w:type="spellEnd"/>
      <w:r>
        <w:rPr>
          <w:rFonts w:eastAsia="Times New Roman"/>
          <w:b/>
          <w:bCs/>
        </w:rPr>
        <w:t>)</w:t>
      </w:r>
      <w:r w:rsidRPr="007943E3">
        <w:rPr>
          <w:rFonts w:eastAsia="Times New Roman"/>
          <w:b/>
          <w:bCs/>
        </w:rPr>
        <w:t>:</w:t>
      </w:r>
      <w:r w:rsidRPr="007943E3">
        <w:rPr>
          <w:rFonts w:eastAsia="Times New Roman"/>
        </w:rPr>
        <w:t xml:space="preserve"> Race/ethnicity of the individual</w:t>
      </w:r>
    </w:p>
    <w:p w14:paraId="07BB5DC0" w14:textId="77777777" w:rsidR="00195E3B" w:rsidRPr="007943E3"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Annual Income</w:t>
      </w:r>
      <w:r>
        <w:rPr>
          <w:rFonts w:eastAsia="Times New Roman"/>
          <w:b/>
          <w:bCs/>
        </w:rPr>
        <w:t xml:space="preserve"> (</w:t>
      </w:r>
      <w:proofErr w:type="spellStart"/>
      <w:r>
        <w:rPr>
          <w:rFonts w:eastAsia="Times New Roman"/>
          <w:b/>
          <w:bCs/>
          <w:i/>
          <w:iCs/>
        </w:rPr>
        <w:t>incomeyear</w:t>
      </w:r>
      <w:proofErr w:type="spellEnd"/>
      <w:r>
        <w:rPr>
          <w:rFonts w:eastAsia="Times New Roman"/>
          <w:b/>
          <w:bCs/>
        </w:rPr>
        <w:t>)</w:t>
      </w:r>
      <w:r w:rsidRPr="007943E3">
        <w:rPr>
          <w:rFonts w:eastAsia="Times New Roman"/>
          <w:b/>
          <w:bCs/>
        </w:rPr>
        <w:t>:</w:t>
      </w:r>
      <w:r w:rsidRPr="007943E3">
        <w:rPr>
          <w:rFonts w:eastAsia="Times New Roman"/>
        </w:rPr>
        <w:t xml:space="preserve"> Annual income of the individual</w:t>
      </w:r>
    </w:p>
    <w:p w14:paraId="3A83FDE8" w14:textId="5138EB20" w:rsidR="0013185F" w:rsidRPr="00195E3B" w:rsidRDefault="00195E3B" w:rsidP="00195E3B">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Language</w:t>
      </w:r>
      <w:r>
        <w:rPr>
          <w:rFonts w:eastAsia="Times New Roman"/>
          <w:b/>
          <w:bCs/>
        </w:rPr>
        <w:t xml:space="preserve"> (</w:t>
      </w:r>
      <w:r>
        <w:rPr>
          <w:rFonts w:eastAsia="Times New Roman"/>
          <w:b/>
          <w:bCs/>
          <w:i/>
          <w:iCs/>
        </w:rPr>
        <w:t>language</w:t>
      </w:r>
      <w:r>
        <w:rPr>
          <w:rFonts w:eastAsia="Times New Roman"/>
          <w:b/>
          <w:bCs/>
        </w:rPr>
        <w:t>)</w:t>
      </w:r>
      <w:r w:rsidRPr="007943E3">
        <w:rPr>
          <w:rFonts w:eastAsia="Times New Roman"/>
          <w:b/>
          <w:bCs/>
        </w:rPr>
        <w:t>:</w:t>
      </w:r>
      <w:r w:rsidRPr="007943E3">
        <w:rPr>
          <w:rFonts w:eastAsia="Times New Roman"/>
        </w:rPr>
        <w:t xml:space="preserve"> Spoken languages by the individual</w:t>
      </w:r>
    </w:p>
    <w:p w14:paraId="000C46F4" w14:textId="69AA04B8" w:rsidR="002747EC" w:rsidRPr="00E23565" w:rsidRDefault="003B7A20" w:rsidP="00156BEA">
      <w:pPr>
        <w:keepNext/>
        <w:spacing w:line="480" w:lineRule="auto"/>
        <w:jc w:val="center"/>
      </w:pPr>
      <w:r w:rsidRPr="00E23565">
        <w:rPr>
          <w:noProof/>
        </w:rPr>
        <w:lastRenderedPageBreak/>
        <w:drawing>
          <wp:inline distT="0" distB="0" distL="0" distR="0" wp14:anchorId="3185B4D8" wp14:editId="63DA916D">
            <wp:extent cx="5943600" cy="534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34035"/>
                    </a:xfrm>
                    <a:prstGeom prst="rect">
                      <a:avLst/>
                    </a:prstGeom>
                    <a:noFill/>
                    <a:ln>
                      <a:noFill/>
                    </a:ln>
                  </pic:spPr>
                </pic:pic>
              </a:graphicData>
            </a:graphic>
          </wp:inline>
        </w:drawing>
      </w:r>
      <w:r w:rsidRPr="00E23565">
        <w:t xml:space="preserve"> </w:t>
      </w:r>
    </w:p>
    <w:p w14:paraId="3EA71E87" w14:textId="4099ADF3" w:rsidR="002747EC" w:rsidRPr="00691F38" w:rsidRDefault="002747EC" w:rsidP="00156BEA">
      <w:pPr>
        <w:pStyle w:val="Caption"/>
        <w:spacing w:line="480" w:lineRule="auto"/>
        <w:jc w:val="center"/>
        <w:rPr>
          <w:color w:val="auto"/>
        </w:rPr>
      </w:pPr>
      <w:bookmarkStart w:id="91" w:name="_Toc114258103"/>
      <w:r w:rsidRPr="00691F38">
        <w:rPr>
          <w:color w:val="auto"/>
        </w:rPr>
        <w:t xml:space="preserve">Figure </w:t>
      </w:r>
      <w:r w:rsidR="00B9244D" w:rsidRPr="00691F38">
        <w:rPr>
          <w:color w:val="auto"/>
        </w:rPr>
        <w:fldChar w:fldCharType="begin"/>
      </w:r>
      <w:r w:rsidR="00B9244D" w:rsidRPr="00691F38">
        <w:rPr>
          <w:color w:val="auto"/>
        </w:rPr>
        <w:instrText xml:space="preserve"> SEQ Figure \* ARABIC </w:instrText>
      </w:r>
      <w:r w:rsidR="00B9244D" w:rsidRPr="00691F38">
        <w:rPr>
          <w:color w:val="auto"/>
        </w:rPr>
        <w:fldChar w:fldCharType="separate"/>
      </w:r>
      <w:r w:rsidR="00C42D79">
        <w:rPr>
          <w:noProof/>
          <w:color w:val="auto"/>
        </w:rPr>
        <w:t>5</w:t>
      </w:r>
      <w:r w:rsidR="00B9244D" w:rsidRPr="00691F38">
        <w:rPr>
          <w:noProof/>
          <w:color w:val="auto"/>
        </w:rPr>
        <w:fldChar w:fldCharType="end"/>
      </w:r>
      <w:r w:rsidRPr="00691F38">
        <w:rPr>
          <w:color w:val="auto"/>
        </w:rPr>
        <w:t>. Snapshot of data on socioeconomic, demographic, and perceived characteristics of plausible individuals in Knox County, Tennessee</w:t>
      </w:r>
      <w:bookmarkEnd w:id="91"/>
    </w:p>
    <w:p w14:paraId="3265762D" w14:textId="77777777" w:rsidR="00195E3B" w:rsidRDefault="00195E3B">
      <w:pPr>
        <w:rPr>
          <w:rFonts w:eastAsia="Times New Roman"/>
          <w:b/>
          <w:bCs/>
        </w:rPr>
      </w:pPr>
      <w:r>
        <w:rPr>
          <w:rFonts w:eastAsia="Times New Roman"/>
          <w:b/>
          <w:bCs/>
        </w:rPr>
        <w:br w:type="page"/>
      </w:r>
    </w:p>
    <w:p w14:paraId="18AD3197" w14:textId="0FA119BF"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lastRenderedPageBreak/>
        <w:t>Dietary Preferences</w:t>
      </w:r>
      <w:r w:rsidR="00D61F68">
        <w:rPr>
          <w:rFonts w:eastAsia="Times New Roman"/>
          <w:b/>
          <w:bCs/>
        </w:rPr>
        <w:t xml:space="preserve"> (</w:t>
      </w:r>
      <w:proofErr w:type="spellStart"/>
      <w:r w:rsidR="00D61F68">
        <w:rPr>
          <w:rFonts w:eastAsia="Times New Roman"/>
          <w:b/>
          <w:bCs/>
          <w:i/>
          <w:iCs/>
        </w:rPr>
        <w:t>dietarypref</w:t>
      </w:r>
      <w:proofErr w:type="spellEnd"/>
      <w:r w:rsidR="00D61F68">
        <w:rPr>
          <w:rFonts w:eastAsia="Times New Roman"/>
          <w:b/>
          <w:bCs/>
        </w:rPr>
        <w:t>)</w:t>
      </w:r>
      <w:r w:rsidRPr="007943E3">
        <w:rPr>
          <w:rFonts w:eastAsia="Times New Roman"/>
          <w:b/>
          <w:bCs/>
        </w:rPr>
        <w:t>:</w:t>
      </w:r>
      <w:r w:rsidRPr="007943E3">
        <w:rPr>
          <w:rFonts w:eastAsia="Times New Roman"/>
        </w:rPr>
        <w:t xml:space="preserve"> Dietary preferences of the individual</w:t>
      </w:r>
    </w:p>
    <w:p w14:paraId="47543C01" w14:textId="4105DC5F"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Digital Literacy</w:t>
      </w:r>
      <w:r w:rsidR="00D61F68">
        <w:rPr>
          <w:rFonts w:eastAsia="Times New Roman"/>
          <w:b/>
          <w:bCs/>
        </w:rPr>
        <w:t xml:space="preserve"> (</w:t>
      </w:r>
      <w:proofErr w:type="spellStart"/>
      <w:r w:rsidR="00D61F68">
        <w:rPr>
          <w:rFonts w:eastAsia="Times New Roman"/>
          <w:b/>
          <w:bCs/>
          <w:i/>
          <w:iCs/>
        </w:rPr>
        <w:t>digitallit</w:t>
      </w:r>
      <w:proofErr w:type="spellEnd"/>
      <w:r w:rsidR="00D61F68">
        <w:rPr>
          <w:rFonts w:eastAsia="Times New Roman"/>
          <w:b/>
          <w:bCs/>
        </w:rPr>
        <w:t>)</w:t>
      </w:r>
      <w:r w:rsidRPr="007943E3">
        <w:rPr>
          <w:rFonts w:eastAsia="Times New Roman"/>
          <w:b/>
          <w:bCs/>
        </w:rPr>
        <w:t>:</w:t>
      </w:r>
      <w:r w:rsidRPr="007943E3">
        <w:rPr>
          <w:rFonts w:eastAsia="Times New Roman"/>
        </w:rPr>
        <w:t xml:space="preserve"> Whether the individual</w:t>
      </w:r>
      <w:r w:rsidR="00D50F27">
        <w:rPr>
          <w:rFonts w:eastAsia="Times New Roman"/>
        </w:rPr>
        <w:t xml:space="preserve"> has access </w:t>
      </w:r>
      <w:r w:rsidR="006D0F6C">
        <w:rPr>
          <w:rFonts w:eastAsia="Times New Roman"/>
        </w:rPr>
        <w:t>to computers and internet and</w:t>
      </w:r>
      <w:r w:rsidRPr="007943E3">
        <w:rPr>
          <w:rFonts w:eastAsia="Times New Roman"/>
        </w:rPr>
        <w:t xml:space="preserve"> is digitally literate or not (yes/no)</w:t>
      </w:r>
    </w:p>
    <w:p w14:paraId="058EDD84" w14:textId="79F9CEF8"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Job</w:t>
      </w:r>
      <w:r w:rsidR="00D61F68">
        <w:rPr>
          <w:rFonts w:eastAsia="Times New Roman"/>
          <w:b/>
          <w:bCs/>
        </w:rPr>
        <w:t xml:space="preserve"> (</w:t>
      </w:r>
      <w:r w:rsidR="00D61F68">
        <w:rPr>
          <w:rFonts w:eastAsia="Times New Roman"/>
          <w:b/>
          <w:bCs/>
          <w:i/>
          <w:iCs/>
        </w:rPr>
        <w:t>job</w:t>
      </w:r>
      <w:r w:rsidR="00D61F68">
        <w:rPr>
          <w:rFonts w:eastAsia="Times New Roman"/>
          <w:b/>
          <w:bCs/>
        </w:rPr>
        <w:t>)</w:t>
      </w:r>
      <w:r w:rsidRPr="007943E3">
        <w:rPr>
          <w:rFonts w:eastAsia="Times New Roman"/>
          <w:b/>
          <w:bCs/>
        </w:rPr>
        <w:t>:</w:t>
      </w:r>
      <w:r w:rsidRPr="007943E3">
        <w:rPr>
          <w:rFonts w:eastAsia="Times New Roman"/>
        </w:rPr>
        <w:t xml:space="preserve"> Job of the individual</w:t>
      </w:r>
    </w:p>
    <w:p w14:paraId="54D4BAB0" w14:textId="24743AE1"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Housing</w:t>
      </w:r>
      <w:r w:rsidR="00D61F68">
        <w:rPr>
          <w:rFonts w:eastAsia="Times New Roman"/>
          <w:b/>
          <w:bCs/>
        </w:rPr>
        <w:t xml:space="preserve"> (</w:t>
      </w:r>
      <w:r w:rsidR="00D61F68">
        <w:rPr>
          <w:rFonts w:eastAsia="Times New Roman"/>
          <w:b/>
          <w:bCs/>
          <w:i/>
          <w:iCs/>
        </w:rPr>
        <w:t>housing</w:t>
      </w:r>
      <w:r w:rsidR="00D61F68">
        <w:rPr>
          <w:rFonts w:eastAsia="Times New Roman"/>
          <w:b/>
          <w:bCs/>
        </w:rPr>
        <w:t>)</w:t>
      </w:r>
      <w:r w:rsidRPr="007943E3">
        <w:rPr>
          <w:rFonts w:eastAsia="Times New Roman"/>
          <w:b/>
          <w:bCs/>
        </w:rPr>
        <w:t>:</w:t>
      </w:r>
      <w:r w:rsidRPr="007943E3">
        <w:rPr>
          <w:rFonts w:eastAsia="Times New Roman"/>
        </w:rPr>
        <w:t xml:space="preserve"> Housing situation of the individual</w:t>
      </w:r>
    </w:p>
    <w:p w14:paraId="000AD273" w14:textId="106CD672"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Household Size</w:t>
      </w:r>
      <w:r w:rsidR="00D61F68">
        <w:rPr>
          <w:rFonts w:eastAsia="Times New Roman"/>
          <w:b/>
          <w:bCs/>
        </w:rPr>
        <w:t xml:space="preserve"> (</w:t>
      </w:r>
      <w:proofErr w:type="spellStart"/>
      <w:r w:rsidR="00D61F68">
        <w:rPr>
          <w:rFonts w:eastAsia="Times New Roman"/>
          <w:b/>
          <w:bCs/>
          <w:i/>
          <w:iCs/>
        </w:rPr>
        <w:t>housesize</w:t>
      </w:r>
      <w:proofErr w:type="spellEnd"/>
      <w:r w:rsidR="00D61F68">
        <w:rPr>
          <w:rFonts w:eastAsia="Times New Roman"/>
          <w:b/>
          <w:bCs/>
        </w:rPr>
        <w:t>)</w:t>
      </w:r>
      <w:r w:rsidRPr="007943E3">
        <w:rPr>
          <w:rFonts w:eastAsia="Times New Roman"/>
          <w:b/>
          <w:bCs/>
        </w:rPr>
        <w:t>:</w:t>
      </w:r>
      <w:r w:rsidRPr="007943E3">
        <w:rPr>
          <w:rFonts w:eastAsia="Times New Roman"/>
        </w:rPr>
        <w:t xml:space="preserve"> Size of the household an individual lives in</w:t>
      </w:r>
    </w:p>
    <w:p w14:paraId="3A383775" w14:textId="19655D7F"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Kids at home</w:t>
      </w:r>
      <w:r w:rsidR="00D61F68">
        <w:rPr>
          <w:rFonts w:eastAsia="Times New Roman"/>
          <w:b/>
          <w:bCs/>
        </w:rPr>
        <w:t xml:space="preserve"> (</w:t>
      </w:r>
      <w:proofErr w:type="spellStart"/>
      <w:r w:rsidR="00D61F68">
        <w:rPr>
          <w:rFonts w:eastAsia="Times New Roman"/>
          <w:b/>
          <w:bCs/>
          <w:i/>
          <w:iCs/>
        </w:rPr>
        <w:t>kidsathome</w:t>
      </w:r>
      <w:proofErr w:type="spellEnd"/>
      <w:r w:rsidR="00D61F68">
        <w:rPr>
          <w:rFonts w:eastAsia="Times New Roman"/>
          <w:b/>
          <w:bCs/>
        </w:rPr>
        <w:t>)</w:t>
      </w:r>
      <w:r w:rsidRPr="007943E3">
        <w:rPr>
          <w:rFonts w:eastAsia="Times New Roman"/>
          <w:b/>
          <w:bCs/>
        </w:rPr>
        <w:t>:</w:t>
      </w:r>
      <w:r w:rsidRPr="007943E3">
        <w:rPr>
          <w:rFonts w:eastAsia="Times New Roman"/>
        </w:rPr>
        <w:t xml:space="preserve"> Number of kids in the household an individual lives in</w:t>
      </w:r>
    </w:p>
    <w:p w14:paraId="19B44765" w14:textId="4D728C38"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Marital Status</w:t>
      </w:r>
      <w:r w:rsidR="00D61F68">
        <w:rPr>
          <w:rFonts w:eastAsia="Times New Roman"/>
          <w:b/>
          <w:bCs/>
        </w:rPr>
        <w:t xml:space="preserve"> (</w:t>
      </w:r>
      <w:r w:rsidR="00D61F68">
        <w:rPr>
          <w:rFonts w:eastAsia="Times New Roman"/>
          <w:b/>
          <w:bCs/>
          <w:i/>
          <w:iCs/>
        </w:rPr>
        <w:t>marital</w:t>
      </w:r>
      <w:r w:rsidR="00D61F68">
        <w:rPr>
          <w:rFonts w:eastAsia="Times New Roman"/>
          <w:b/>
          <w:bCs/>
        </w:rPr>
        <w:t>)</w:t>
      </w:r>
      <w:r w:rsidRPr="007943E3">
        <w:rPr>
          <w:rFonts w:eastAsia="Times New Roman"/>
          <w:b/>
          <w:bCs/>
        </w:rPr>
        <w:t>:</w:t>
      </w:r>
      <w:r w:rsidRPr="007943E3">
        <w:rPr>
          <w:rFonts w:eastAsia="Times New Roman"/>
        </w:rPr>
        <w:t xml:space="preserve"> Marital status of the individual</w:t>
      </w:r>
    </w:p>
    <w:p w14:paraId="34239E2C" w14:textId="11C43383"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Travel Modes</w:t>
      </w:r>
      <w:r w:rsidR="00D61F68">
        <w:rPr>
          <w:rFonts w:eastAsia="Times New Roman"/>
          <w:b/>
          <w:bCs/>
        </w:rPr>
        <w:t xml:space="preserve"> (</w:t>
      </w:r>
      <w:proofErr w:type="spellStart"/>
      <w:r w:rsidR="00D61F68">
        <w:rPr>
          <w:rFonts w:eastAsia="Times New Roman"/>
          <w:b/>
          <w:bCs/>
          <w:i/>
          <w:iCs/>
        </w:rPr>
        <w:t>travelmode</w:t>
      </w:r>
      <w:proofErr w:type="spellEnd"/>
      <w:r w:rsidR="00D61F68">
        <w:rPr>
          <w:rFonts w:eastAsia="Times New Roman"/>
          <w:b/>
          <w:bCs/>
        </w:rPr>
        <w:t>)</w:t>
      </w:r>
      <w:r w:rsidRPr="007943E3">
        <w:rPr>
          <w:rFonts w:eastAsia="Times New Roman"/>
          <w:b/>
          <w:bCs/>
        </w:rPr>
        <w:t>:</w:t>
      </w:r>
      <w:r w:rsidRPr="007943E3">
        <w:rPr>
          <w:rFonts w:eastAsia="Times New Roman"/>
        </w:rPr>
        <w:t xml:space="preserve"> Feasible travel modes for the individual</w:t>
      </w:r>
    </w:p>
    <w:p w14:paraId="5577C577" w14:textId="6944B0A9"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Physical Disability</w:t>
      </w:r>
      <w:r w:rsidR="00D61F68">
        <w:rPr>
          <w:rFonts w:eastAsia="Times New Roman"/>
          <w:b/>
          <w:bCs/>
        </w:rPr>
        <w:t xml:space="preserve"> (</w:t>
      </w:r>
      <w:r w:rsidR="00D61F68">
        <w:rPr>
          <w:rFonts w:eastAsia="Times New Roman"/>
          <w:b/>
          <w:bCs/>
          <w:i/>
          <w:iCs/>
        </w:rPr>
        <w:t>physical</w:t>
      </w:r>
      <w:r w:rsidR="00D61F68">
        <w:rPr>
          <w:rFonts w:eastAsia="Times New Roman"/>
          <w:b/>
          <w:bCs/>
        </w:rPr>
        <w:t>)</w:t>
      </w:r>
      <w:r w:rsidRPr="007943E3">
        <w:rPr>
          <w:rFonts w:eastAsia="Times New Roman"/>
          <w:b/>
          <w:bCs/>
        </w:rPr>
        <w:t>:</w:t>
      </w:r>
      <w:r w:rsidRPr="007943E3">
        <w:rPr>
          <w:rFonts w:eastAsia="Times New Roman"/>
        </w:rPr>
        <w:t xml:space="preserve"> Any physical disabilities of the individual</w:t>
      </w:r>
    </w:p>
    <w:p w14:paraId="6EDF4B02" w14:textId="1DDC6D82"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SNAP Benefits</w:t>
      </w:r>
      <w:r w:rsidR="00D61F68">
        <w:rPr>
          <w:rFonts w:eastAsia="Times New Roman"/>
          <w:b/>
          <w:bCs/>
        </w:rPr>
        <w:t xml:space="preserve"> (</w:t>
      </w:r>
      <w:proofErr w:type="spellStart"/>
      <w:r w:rsidR="00D61F68">
        <w:rPr>
          <w:rFonts w:eastAsia="Times New Roman"/>
          <w:b/>
          <w:bCs/>
          <w:i/>
          <w:iCs/>
        </w:rPr>
        <w:t>snapbenefit</w:t>
      </w:r>
      <w:proofErr w:type="spellEnd"/>
      <w:r w:rsidR="00D61F68">
        <w:rPr>
          <w:rFonts w:eastAsia="Times New Roman"/>
          <w:b/>
          <w:bCs/>
        </w:rPr>
        <w:t>)</w:t>
      </w:r>
      <w:r w:rsidRPr="007943E3">
        <w:rPr>
          <w:rFonts w:eastAsia="Times New Roman"/>
          <w:b/>
          <w:bCs/>
        </w:rPr>
        <w:t>:</w:t>
      </w:r>
      <w:r w:rsidRPr="007943E3">
        <w:rPr>
          <w:rFonts w:eastAsia="Times New Roman"/>
        </w:rPr>
        <w:t xml:space="preserve"> Whether the individual has Supplemental Nutrition Assistance Program (SNAP) (formerly known as food stamps) benefits</w:t>
      </w:r>
    </w:p>
    <w:p w14:paraId="074D7155" w14:textId="45244B55" w:rsidR="007943E3" w:rsidRP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Cost Preference</w:t>
      </w:r>
      <w:r w:rsidR="00D61F68">
        <w:rPr>
          <w:rFonts w:eastAsia="Times New Roman"/>
          <w:b/>
          <w:bCs/>
        </w:rPr>
        <w:t xml:space="preserve"> (</w:t>
      </w:r>
      <w:proofErr w:type="spellStart"/>
      <w:r w:rsidR="00D61F68">
        <w:rPr>
          <w:rFonts w:eastAsia="Times New Roman"/>
          <w:b/>
          <w:bCs/>
          <w:i/>
          <w:iCs/>
        </w:rPr>
        <w:t>cost_pref</w:t>
      </w:r>
      <w:proofErr w:type="spellEnd"/>
      <w:r w:rsidR="00D61F68">
        <w:rPr>
          <w:rFonts w:eastAsia="Times New Roman"/>
          <w:b/>
          <w:bCs/>
        </w:rPr>
        <w:t>)</w:t>
      </w:r>
      <w:r w:rsidRPr="007943E3">
        <w:rPr>
          <w:rFonts w:eastAsia="Times New Roman"/>
          <w:b/>
          <w:bCs/>
        </w:rPr>
        <w:t>:</w:t>
      </w:r>
      <w:r w:rsidRPr="007943E3">
        <w:rPr>
          <w:rFonts w:eastAsia="Times New Roman"/>
        </w:rPr>
        <w:t xml:space="preserve"> Cost preference of the individual in accordance with the 1 to 4 $ rating system by Google</w:t>
      </w:r>
    </w:p>
    <w:p w14:paraId="4101890B" w14:textId="2BB7B8DD" w:rsidR="007943E3" w:rsidRDefault="007943E3" w:rsidP="00156BEA">
      <w:pPr>
        <w:numPr>
          <w:ilvl w:val="0"/>
          <w:numId w:val="2"/>
        </w:numPr>
        <w:shd w:val="clear" w:color="auto" w:fill="FFFFFF"/>
        <w:spacing w:before="100" w:beforeAutospacing="1" w:after="100" w:afterAutospacing="1" w:line="480" w:lineRule="auto"/>
        <w:rPr>
          <w:rFonts w:eastAsia="Times New Roman"/>
        </w:rPr>
      </w:pPr>
      <w:r w:rsidRPr="007943E3">
        <w:rPr>
          <w:rFonts w:eastAsia="Times New Roman"/>
          <w:b/>
          <w:bCs/>
        </w:rPr>
        <w:t>Other Preferences</w:t>
      </w:r>
      <w:r w:rsidR="00D61F68">
        <w:rPr>
          <w:rFonts w:eastAsia="Times New Roman"/>
          <w:b/>
          <w:bCs/>
        </w:rPr>
        <w:t xml:space="preserve"> (</w:t>
      </w:r>
      <w:proofErr w:type="spellStart"/>
      <w:r w:rsidR="00D61F68">
        <w:rPr>
          <w:rFonts w:eastAsia="Times New Roman"/>
          <w:b/>
          <w:bCs/>
          <w:i/>
          <w:iCs/>
        </w:rPr>
        <w:t>other_pref</w:t>
      </w:r>
      <w:proofErr w:type="spellEnd"/>
      <w:r w:rsidR="00D61F68">
        <w:rPr>
          <w:rFonts w:eastAsia="Times New Roman"/>
          <w:b/>
          <w:bCs/>
        </w:rPr>
        <w:t>)</w:t>
      </w:r>
      <w:r w:rsidRPr="007943E3">
        <w:rPr>
          <w:rFonts w:eastAsia="Times New Roman"/>
          <w:b/>
          <w:bCs/>
        </w:rPr>
        <w:t>:</w:t>
      </w:r>
      <w:r w:rsidRPr="007943E3">
        <w:rPr>
          <w:rFonts w:eastAsia="Times New Roman"/>
        </w:rPr>
        <w:t xml:space="preserve"> Any other preferences by the individual</w:t>
      </w:r>
    </w:p>
    <w:p w14:paraId="423BB0E1" w14:textId="151D0E49" w:rsidR="001345BD" w:rsidRPr="007943E3" w:rsidRDefault="001345BD" w:rsidP="00156BEA">
      <w:pPr>
        <w:numPr>
          <w:ilvl w:val="0"/>
          <w:numId w:val="2"/>
        </w:numPr>
        <w:shd w:val="clear" w:color="auto" w:fill="FFFFFF"/>
        <w:spacing w:before="100" w:beforeAutospacing="1" w:after="100" w:afterAutospacing="1" w:line="480" w:lineRule="auto"/>
        <w:rPr>
          <w:rFonts w:eastAsia="Times New Roman"/>
        </w:rPr>
      </w:pPr>
      <w:r>
        <w:rPr>
          <w:rFonts w:eastAsia="Times New Roman"/>
          <w:b/>
          <w:bCs/>
        </w:rPr>
        <w:t>Description (</w:t>
      </w:r>
      <w:r>
        <w:rPr>
          <w:rFonts w:eastAsia="Times New Roman"/>
          <w:b/>
          <w:bCs/>
          <w:i/>
          <w:iCs/>
        </w:rPr>
        <w:t>descript</w:t>
      </w:r>
      <w:r w:rsidR="00DD02F7">
        <w:rPr>
          <w:rFonts w:eastAsia="Times New Roman"/>
          <w:b/>
          <w:bCs/>
        </w:rPr>
        <w:t>):</w:t>
      </w:r>
      <w:r w:rsidR="003B7A20">
        <w:rPr>
          <w:rFonts w:eastAsia="Times New Roman"/>
          <w:b/>
          <w:bCs/>
        </w:rPr>
        <w:t xml:space="preserve"> </w:t>
      </w:r>
      <w:r w:rsidR="003B7A20">
        <w:rPr>
          <w:rFonts w:eastAsia="Times New Roman"/>
        </w:rPr>
        <w:t>Description of the person and their current life circumstance(s)</w:t>
      </w:r>
    </w:p>
    <w:p w14:paraId="45F3AF7E" w14:textId="5FEDB008" w:rsidR="005F4E8C" w:rsidRDefault="0067114B" w:rsidP="008C6AA3">
      <w:pPr>
        <w:spacing w:line="480" w:lineRule="auto"/>
        <w:ind w:firstLine="720"/>
      </w:pPr>
      <w:r>
        <w:t>A unique ID (</w:t>
      </w:r>
      <w:proofErr w:type="spellStart"/>
      <w:r>
        <w:rPr>
          <w:i/>
          <w:iCs/>
        </w:rPr>
        <w:t>person_id</w:t>
      </w:r>
      <w:proofErr w:type="spellEnd"/>
      <w:r w:rsidRPr="0067114B">
        <w:t>)</w:t>
      </w:r>
      <w:r>
        <w:t xml:space="preserve"> is specified for each </w:t>
      </w:r>
      <w:r w:rsidR="006248A3">
        <w:t>individual</w:t>
      </w:r>
      <w:r w:rsidR="0002167D">
        <w:t xml:space="preserve"> and all data types are either text or</w:t>
      </w:r>
      <w:r w:rsidR="006D4E42">
        <w:t xml:space="preserve"> double</w:t>
      </w:r>
      <w:r w:rsidR="006248A3">
        <w:t xml:space="preserve">. </w:t>
      </w:r>
      <w:r w:rsidR="00E52035">
        <w:t xml:space="preserve">Excluding the </w:t>
      </w:r>
      <w:r w:rsidR="00E52035">
        <w:rPr>
          <w:i/>
          <w:iCs/>
        </w:rPr>
        <w:t xml:space="preserve">descript </w:t>
      </w:r>
      <w:r w:rsidR="00E52035">
        <w:t>column, commas are used to separate</w:t>
      </w:r>
      <w:r w:rsidR="00EA5C01">
        <w:t xml:space="preserve">, if applicable, </w:t>
      </w:r>
      <w:r w:rsidR="001345BD">
        <w:t>multiple</w:t>
      </w:r>
      <w:r w:rsidR="00E52035">
        <w:t xml:space="preserve"> values of an attribute by an individual.</w:t>
      </w:r>
      <w:r w:rsidR="005F4E8C">
        <w:t xml:space="preserve"> Attributes were included to </w:t>
      </w:r>
      <w:r w:rsidR="002B67B7">
        <w:t>capture a basic demographic profile of individuals and to additionally contextualize their abilities, needs, and preferences. These attributes ca</w:t>
      </w:r>
      <w:r w:rsidR="009E2A4A">
        <w:t xml:space="preserve">n be used to </w:t>
      </w:r>
      <w:r w:rsidR="00633D35">
        <w:t>calculate potential opportunity sets more accurately</w:t>
      </w:r>
      <w:r w:rsidR="009E2A4A">
        <w:t xml:space="preserve"> </w:t>
      </w:r>
      <w:r w:rsidR="0035653B">
        <w:t>with the abundance of store attributes data presented in Dataset 1.</w:t>
      </w:r>
      <w:r w:rsidR="000F499B">
        <w:t xml:space="preserve"> Queries of store attributes based on individual characteristics can effectively be carried ou</w:t>
      </w:r>
      <w:r w:rsidR="00CF0E6E">
        <w:t>t, as discussed later in Section 4.3.</w:t>
      </w:r>
    </w:p>
    <w:p w14:paraId="10F4AEB6" w14:textId="09985D2F" w:rsidR="005F4E8C" w:rsidRDefault="00AC2055" w:rsidP="008C6AA3">
      <w:pPr>
        <w:spacing w:line="480" w:lineRule="auto"/>
        <w:ind w:firstLine="720"/>
      </w:pPr>
      <w:r>
        <w:lastRenderedPageBreak/>
        <w:t xml:space="preserve">The </w:t>
      </w:r>
      <w:proofErr w:type="spellStart"/>
      <w:r>
        <w:rPr>
          <w:i/>
          <w:iCs/>
        </w:rPr>
        <w:t>dietarypref</w:t>
      </w:r>
      <w:proofErr w:type="spellEnd"/>
      <w:r>
        <w:t xml:space="preserve"> attribute captures </w:t>
      </w:r>
      <w:proofErr w:type="gramStart"/>
      <w:r>
        <w:t>any and all</w:t>
      </w:r>
      <w:proofErr w:type="gramEnd"/>
      <w:r>
        <w:t xml:space="preserve"> dietary preferences of individuals, for example, whether they prefer </w:t>
      </w:r>
      <w:r w:rsidR="00EF4B45">
        <w:t xml:space="preserve">Mexican ingredients, organic foods, prepared foods, and etc. In other words, this can be treated as </w:t>
      </w:r>
      <w:r w:rsidR="00130342">
        <w:t xml:space="preserve">an indicator to measure </w:t>
      </w:r>
      <w:r w:rsidR="005F743B">
        <w:t xml:space="preserve">the </w:t>
      </w:r>
      <w:r w:rsidR="00130342">
        <w:t xml:space="preserve">availability </w:t>
      </w:r>
      <w:r w:rsidR="005F743B">
        <w:t xml:space="preserve">of diverse foods </w:t>
      </w:r>
      <w:r w:rsidR="00D21116">
        <w:t xml:space="preserve">from </w:t>
      </w:r>
      <w:r w:rsidR="00130342">
        <w:t>a mental space approach</w:t>
      </w:r>
      <w:r w:rsidR="005F743B">
        <w:t xml:space="preserve">. For example, the </w:t>
      </w:r>
      <w:r w:rsidR="00EF79E6">
        <w:t>POI</w:t>
      </w:r>
      <w:r w:rsidR="005F743B">
        <w:t xml:space="preserve"> type </w:t>
      </w:r>
      <w:r w:rsidR="00F60C50">
        <w:t xml:space="preserve">attribute </w:t>
      </w:r>
      <w:r w:rsidR="00EF79E6">
        <w:t xml:space="preserve">provided by Google Maps lists ethnic-specific grocery stores </w:t>
      </w:r>
      <w:r w:rsidR="00BA0332">
        <w:t xml:space="preserve">such as Mexican and Chinese grocery stores and </w:t>
      </w:r>
      <w:r w:rsidR="00B7235C">
        <w:t xml:space="preserve">‘Organic Food’ and ‘Prepared Food’ store attributes </w:t>
      </w:r>
      <w:r w:rsidR="00AC2EA7">
        <w:t xml:space="preserve">can all be used </w:t>
      </w:r>
      <w:r w:rsidR="00B3014C">
        <w:t>in</w:t>
      </w:r>
      <w:r w:rsidR="00AC2EA7">
        <w:t xml:space="preserve"> queries to match the food preferences of individuals with the </w:t>
      </w:r>
      <w:r w:rsidR="00B3014C">
        <w:t>stores offering the desired foods.</w:t>
      </w:r>
    </w:p>
    <w:p w14:paraId="353B7771" w14:textId="34F87A80" w:rsidR="000150FF" w:rsidRDefault="000150FF" w:rsidP="008C6AA3">
      <w:pPr>
        <w:spacing w:line="480" w:lineRule="auto"/>
        <w:ind w:firstLine="720"/>
      </w:pPr>
      <w:r>
        <w:t xml:space="preserve">Understanding the feasible travel modes for individuals </w:t>
      </w:r>
      <w:r w:rsidR="00B64829">
        <w:t>(</w:t>
      </w:r>
      <w:proofErr w:type="spellStart"/>
      <w:r w:rsidR="00B64829">
        <w:rPr>
          <w:i/>
          <w:iCs/>
        </w:rPr>
        <w:t>travelmode</w:t>
      </w:r>
      <w:proofErr w:type="spellEnd"/>
      <w:r w:rsidR="00B64829">
        <w:t xml:space="preserve">) </w:t>
      </w:r>
      <w:r>
        <w:t>and their</w:t>
      </w:r>
      <w:r w:rsidR="00B64829">
        <w:t xml:space="preserve"> skills with and</w:t>
      </w:r>
      <w:r>
        <w:t xml:space="preserve"> </w:t>
      </w:r>
      <w:r w:rsidR="00B64829">
        <w:t>access to computers and the Internet (</w:t>
      </w:r>
      <w:proofErr w:type="spellStart"/>
      <w:r w:rsidR="00B64829">
        <w:rPr>
          <w:i/>
          <w:iCs/>
        </w:rPr>
        <w:t>digitallit</w:t>
      </w:r>
      <w:proofErr w:type="spellEnd"/>
      <w:r w:rsidR="00B64829">
        <w:t>) additionally provides insight to accessibility from a relative and relational space approach</w:t>
      </w:r>
      <w:r w:rsidR="00EC66A5">
        <w:t xml:space="preserve">. Travel modes can be used to determine the ease to which individuals are able to reach the different food opportunities given their discretionary time budgets at different locations </w:t>
      </w:r>
      <w:r w:rsidR="00DE718D">
        <w:t xml:space="preserve">in </w:t>
      </w:r>
      <w:r w:rsidR="00EC66A5">
        <w:t>Dataset 3</w:t>
      </w:r>
      <w:r w:rsidR="00DE718D">
        <w:t>. People have different means of transportation and those who are low-income and/or physically disabled</w:t>
      </w:r>
      <w:r w:rsidR="00BE55CA">
        <w:t xml:space="preserve"> often lack a personal vehicle to freely travel around, so understanding road networks based on their actual means can help determine more realistic travel </w:t>
      </w:r>
      <w:r w:rsidR="00461512">
        <w:t xml:space="preserve">and activity participation times at physical stores. Accessibility can also be made </w:t>
      </w:r>
      <w:r w:rsidR="00F02279">
        <w:t xml:space="preserve">easier for those who have access to computers and the Internet </w:t>
      </w:r>
      <w:proofErr w:type="gramStart"/>
      <w:r w:rsidR="00F02279">
        <w:t>and also</w:t>
      </w:r>
      <w:proofErr w:type="gramEnd"/>
      <w:r w:rsidR="00F02279">
        <w:t xml:space="preserve"> have the requisite skills and willingness to </w:t>
      </w:r>
      <w:r w:rsidR="00C01E7E">
        <w:t xml:space="preserve">use online food shopping services. The binary indicator for </w:t>
      </w:r>
      <w:r w:rsidR="003E4432">
        <w:t>(</w:t>
      </w:r>
      <w:proofErr w:type="spellStart"/>
      <w:r w:rsidR="00C01E7E">
        <w:rPr>
          <w:i/>
          <w:iCs/>
        </w:rPr>
        <w:t>digitallit</w:t>
      </w:r>
      <w:proofErr w:type="spellEnd"/>
      <w:r w:rsidR="003E4432">
        <w:t>)</w:t>
      </w:r>
      <w:r w:rsidR="00C01E7E">
        <w:rPr>
          <w:i/>
          <w:iCs/>
        </w:rPr>
        <w:t xml:space="preserve"> </w:t>
      </w:r>
      <w:r w:rsidR="00C01E7E">
        <w:t xml:space="preserve">can be used to capture </w:t>
      </w:r>
      <w:r w:rsidR="0048131E">
        <w:t xml:space="preserve">whether individuals are able to </w:t>
      </w:r>
      <w:r w:rsidR="003B3CB1">
        <w:t>reach and shop at stores</w:t>
      </w:r>
      <w:r w:rsidR="0048131E">
        <w:t xml:space="preserve"> online.</w:t>
      </w:r>
    </w:p>
    <w:p w14:paraId="0A76464B" w14:textId="3D8EBBB1" w:rsidR="003B3CB1" w:rsidRPr="003E4432" w:rsidRDefault="003E4432" w:rsidP="008C6AA3">
      <w:pPr>
        <w:spacing w:line="480" w:lineRule="auto"/>
        <w:ind w:firstLine="720"/>
      </w:pPr>
      <w:r>
        <w:t>An attribute for whether an individual has physical disabilities is captured in (</w:t>
      </w:r>
      <w:r>
        <w:rPr>
          <w:i/>
          <w:iCs/>
        </w:rPr>
        <w:t>physical</w:t>
      </w:r>
      <w:r>
        <w:t>),</w:t>
      </w:r>
      <w:r w:rsidR="00941441">
        <w:t xml:space="preserve"> and this understanding can be used to understand how the infrastructure of stores accommodates to the abilities of disabled peoples</w:t>
      </w:r>
      <w:r w:rsidR="001D4A42">
        <w:t>, capturing an absolute and mental space approach to accommodation</w:t>
      </w:r>
      <w:r w:rsidR="00941441">
        <w:t>.</w:t>
      </w:r>
      <w:r w:rsidR="007A064A">
        <w:t xml:space="preserve"> </w:t>
      </w:r>
      <w:r w:rsidR="00304F50">
        <w:t>With store attributes for wheelchair ramps</w:t>
      </w:r>
      <w:r w:rsidR="00D557F4">
        <w:t xml:space="preserve">, restrooms, and masking policies, </w:t>
      </w:r>
      <w:r w:rsidR="00475A29">
        <w:lastRenderedPageBreak/>
        <w:t>opportunity sets for disabled individuals can be delimited to stores with the requisite infrastructure</w:t>
      </w:r>
      <w:r w:rsidR="00146579">
        <w:t>.</w:t>
      </w:r>
    </w:p>
    <w:p w14:paraId="5A4ED3D4" w14:textId="1F2B434F" w:rsidR="006E01EE" w:rsidRDefault="005E63F7" w:rsidP="008C6AA3">
      <w:pPr>
        <w:spacing w:line="480" w:lineRule="auto"/>
        <w:ind w:firstLine="720"/>
      </w:pPr>
      <w:r>
        <w:t>Including the annual income of individuals as well as their preferences for stor</w:t>
      </w:r>
      <w:r w:rsidR="00AF5BB8">
        <w:t xml:space="preserve">e prices, captured by the cost preference characteristic, can help to understand how people </w:t>
      </w:r>
      <w:r w:rsidR="007E4A98">
        <w:t>with different economic means</w:t>
      </w:r>
      <w:r w:rsidR="0027751E">
        <w:t xml:space="preserve"> may afford</w:t>
      </w:r>
      <w:r w:rsidR="00E50536">
        <w:t xml:space="preserve"> food at different stores</w:t>
      </w:r>
      <w:r w:rsidR="008E7C35">
        <w:t xml:space="preserve"> based on their </w:t>
      </w:r>
      <w:r w:rsidR="00254A3C">
        <w:t xml:space="preserve">pricing level. With the </w:t>
      </w:r>
      <w:r w:rsidR="00921551">
        <w:rPr>
          <w:i/>
          <w:iCs/>
        </w:rPr>
        <w:t xml:space="preserve">Price </w:t>
      </w:r>
      <w:r w:rsidR="00921551">
        <w:t xml:space="preserve">attribute for stores in Dataset 1, queries in a GIS can be carried out to </w:t>
      </w:r>
      <w:r w:rsidR="00F770E1">
        <w:t>delimit the opportunity set of</w:t>
      </w:r>
      <w:r w:rsidR="003B5A0C">
        <w:t xml:space="preserve"> stores </w:t>
      </w:r>
      <w:r w:rsidR="00F770E1">
        <w:t xml:space="preserve">to those </w:t>
      </w:r>
      <w:r w:rsidR="003B5A0C">
        <w:t>in alignment with the cost preference of individuals</w:t>
      </w:r>
      <w:r w:rsidR="00F770E1">
        <w:t xml:space="preserve">; for example, if an individual earns a relatively low annual income and </w:t>
      </w:r>
      <w:r w:rsidR="00D5037D">
        <w:t xml:space="preserve">thus prefers stores that are inexpensive ($) or moderately priced ($$), </w:t>
      </w:r>
      <w:r w:rsidR="00744926">
        <w:t xml:space="preserve">the potential opportunity set can easily be reduced to </w:t>
      </w:r>
      <w:r w:rsidR="006F1DBD">
        <w:t xml:space="preserve">just the </w:t>
      </w:r>
      <w:r w:rsidR="00744926">
        <w:t>stores that sell food at that price level.</w:t>
      </w:r>
      <w:r w:rsidR="006F1DBD">
        <w:t xml:space="preserve"> The </w:t>
      </w:r>
      <w:proofErr w:type="spellStart"/>
      <w:r w:rsidR="006F1DBD">
        <w:rPr>
          <w:i/>
          <w:iCs/>
        </w:rPr>
        <w:t>snapbenefit</w:t>
      </w:r>
      <w:proofErr w:type="spellEnd"/>
      <w:r w:rsidR="006F1DBD">
        <w:t xml:space="preserve"> column </w:t>
      </w:r>
      <w:r w:rsidR="00DB0664">
        <w:t>effectively captures a relational space approach to affordability as it is a binary</w:t>
      </w:r>
      <w:r w:rsidR="002877E2">
        <w:t xml:space="preserve"> variable indicating whether the individual has or does not have SNAP benefits. The variable </w:t>
      </w:r>
      <w:r w:rsidR="00B46421">
        <w:t xml:space="preserve">can similarly be used to delimit opportunity sets for those reliant on SNAP benefits </w:t>
      </w:r>
      <w:r w:rsidR="00941436">
        <w:t>to just the stores accepting of the payment option</w:t>
      </w:r>
      <w:r w:rsidR="002877E2">
        <w:t>.</w:t>
      </w:r>
    </w:p>
    <w:p w14:paraId="59C1F0AF" w14:textId="2D74268D" w:rsidR="001B6082" w:rsidRPr="006F1DBD" w:rsidRDefault="001B6082" w:rsidP="008C6AA3">
      <w:pPr>
        <w:spacing w:line="480" w:lineRule="auto"/>
        <w:ind w:firstLine="720"/>
      </w:pPr>
      <w:r>
        <w:t xml:space="preserve">Altogether, the characteristics of individuals can be considered </w:t>
      </w:r>
      <w:proofErr w:type="gramStart"/>
      <w:r>
        <w:t>in light of</w:t>
      </w:r>
      <w:proofErr w:type="gramEnd"/>
      <w:r>
        <w:t xml:space="preserve"> the attributes of stores to </w:t>
      </w:r>
      <w:r w:rsidR="00237EB8">
        <w:t xml:space="preserve">identify opportunities that are acceptable and can potentially be accessed. People of different ages, gender, </w:t>
      </w:r>
      <w:r w:rsidR="00141618">
        <w:t xml:space="preserve">race/ethnicity, household status, </w:t>
      </w:r>
      <w:proofErr w:type="gramStart"/>
      <w:r w:rsidR="00141618">
        <w:t>and etc.</w:t>
      </w:r>
      <w:proofErr w:type="gramEnd"/>
      <w:r w:rsidR="00141618">
        <w:t xml:space="preserve"> may possess different cultural beliefs and values that consequently </w:t>
      </w:r>
      <w:r w:rsidR="000A6AAD">
        <w:t xml:space="preserve">result in </w:t>
      </w:r>
      <w:r w:rsidR="0079572B">
        <w:t xml:space="preserve">disparate opportunity sets </w:t>
      </w:r>
      <w:r w:rsidR="00EB13CD">
        <w:t>of</w:t>
      </w:r>
      <w:r w:rsidR="0079572B">
        <w:t xml:space="preserve"> food stores. </w:t>
      </w:r>
      <w:r w:rsidR="00EB13CD">
        <w:t xml:space="preserve">As </w:t>
      </w:r>
      <w:r w:rsidR="00D2226D">
        <w:t>demo</w:t>
      </w:r>
      <w:r w:rsidR="00EB13CD">
        <w:t>n</w:t>
      </w:r>
      <w:r w:rsidR="00D2226D">
        <w:t>strated</w:t>
      </w:r>
      <w:r w:rsidR="00EB13CD">
        <w:t xml:space="preserve"> later in the explanation of the proposed GIS</w:t>
      </w:r>
      <w:r w:rsidR="00D2226D">
        <w:t xml:space="preserve">, table queries and filters can be used to identify opportunities for different groups of people based on </w:t>
      </w:r>
      <w:r w:rsidR="00A61F06">
        <w:t xml:space="preserve">one or more characteristic. For example, this means that access can be contrasted and compared for people of different economic means and/or of different </w:t>
      </w:r>
      <w:r w:rsidR="002B198B">
        <w:t>racial and ethnic backgrounds.</w:t>
      </w:r>
    </w:p>
    <w:p w14:paraId="02E72950" w14:textId="51B8A889" w:rsidR="007B4A33" w:rsidRDefault="002B198B" w:rsidP="006D3786">
      <w:pPr>
        <w:spacing w:line="480" w:lineRule="auto"/>
        <w:ind w:firstLine="720"/>
      </w:pPr>
      <w:r>
        <w:t>In this dissertation, t</w:t>
      </w:r>
      <w:r w:rsidR="006D3786">
        <w:t xml:space="preserve">he demographics of this dataset are as follows, and care must be taken in </w:t>
      </w:r>
      <w:r w:rsidR="002975B8">
        <w:t xml:space="preserve">interpreting the dataset with respect to food access in Knox County. </w:t>
      </w:r>
      <w:r w:rsidR="009E1D0F">
        <w:t xml:space="preserve">There </w:t>
      </w:r>
      <w:r w:rsidR="00151AD5">
        <w:t>is</w:t>
      </w:r>
      <w:r w:rsidR="009E1D0F">
        <w:t xml:space="preserve"> a total of </w:t>
      </w:r>
      <w:r w:rsidR="00D661C6">
        <w:lastRenderedPageBreak/>
        <w:t>fifty-two</w:t>
      </w:r>
      <w:r w:rsidR="009E1D0F">
        <w:t xml:space="preserve"> people in the dataset</w:t>
      </w:r>
      <w:r w:rsidR="00B86A3B">
        <w:t xml:space="preserve">, </w:t>
      </w:r>
      <w:r w:rsidR="00E51E8B">
        <w:t xml:space="preserve">with </w:t>
      </w:r>
      <w:r w:rsidR="00D661C6">
        <w:t>twenty-two</w:t>
      </w:r>
      <w:r w:rsidR="007E61F0">
        <w:t xml:space="preserve"> </w:t>
      </w:r>
      <w:r w:rsidR="008C6AA3">
        <w:t xml:space="preserve">(42%) </w:t>
      </w:r>
      <w:r w:rsidR="007E61F0">
        <w:t xml:space="preserve">of them being White, </w:t>
      </w:r>
      <w:r w:rsidR="00D661C6">
        <w:t>ten</w:t>
      </w:r>
      <w:r w:rsidR="007E61F0">
        <w:t xml:space="preserve"> </w:t>
      </w:r>
      <w:r w:rsidR="00151AD5">
        <w:t xml:space="preserve">(19%) </w:t>
      </w:r>
      <w:r w:rsidR="007E61F0">
        <w:t xml:space="preserve">being Asian, </w:t>
      </w:r>
      <w:r w:rsidR="00D661C6">
        <w:t>ten</w:t>
      </w:r>
      <w:r w:rsidR="007E61F0">
        <w:t xml:space="preserve"> </w:t>
      </w:r>
      <w:r w:rsidR="00151AD5">
        <w:t xml:space="preserve">(19%) </w:t>
      </w:r>
      <w:r w:rsidR="007E61F0">
        <w:t xml:space="preserve">being Hispanic, </w:t>
      </w:r>
      <w:r w:rsidR="00D661C6">
        <w:t>nine</w:t>
      </w:r>
      <w:r w:rsidR="004471E5">
        <w:t xml:space="preserve"> </w:t>
      </w:r>
      <w:r w:rsidR="00151AD5">
        <w:t xml:space="preserve">(17%) </w:t>
      </w:r>
      <w:r w:rsidR="004471E5">
        <w:t xml:space="preserve">being </w:t>
      </w:r>
      <w:r w:rsidR="00DD423C">
        <w:t>Black</w:t>
      </w:r>
      <w:r w:rsidR="004471E5">
        <w:t xml:space="preserve">, and </w:t>
      </w:r>
      <w:r w:rsidR="00D661C6">
        <w:t>one</w:t>
      </w:r>
      <w:r w:rsidR="004471E5">
        <w:t xml:space="preserve"> </w:t>
      </w:r>
      <w:r w:rsidR="00151AD5">
        <w:t xml:space="preserve">(2%) </w:t>
      </w:r>
      <w:r w:rsidR="004471E5">
        <w:t xml:space="preserve">being Middle Eastern. </w:t>
      </w:r>
      <w:r w:rsidR="00DD423C">
        <w:t xml:space="preserve">While Middle Eastern is not a </w:t>
      </w:r>
      <w:r w:rsidR="007F6FE2">
        <w:t xml:space="preserve">recognized racial category by the U.S. Census, </w:t>
      </w:r>
      <w:r w:rsidR="00012F1D">
        <w:t xml:space="preserve">the cultural dissimilarities between </w:t>
      </w:r>
      <w:r w:rsidR="00E12F9A">
        <w:t xml:space="preserve">non-Hispanic Caucasians with ancestry from Europe are markedly different than </w:t>
      </w:r>
      <w:r w:rsidR="00324A75">
        <w:t>people with ancestry in the Arabian Peninsula and northern Africa</w:t>
      </w:r>
      <w:r w:rsidR="00531A17">
        <w:t>. O</w:t>
      </w:r>
      <w:r w:rsidR="00324A75">
        <w:t xml:space="preserve">ne individual was included </w:t>
      </w:r>
      <w:r w:rsidR="00531A17">
        <w:t xml:space="preserve">to represent </w:t>
      </w:r>
      <w:r w:rsidR="00971DFC">
        <w:t xml:space="preserve">peoples from the Middle East. </w:t>
      </w:r>
      <w:r w:rsidR="004471E5">
        <w:t xml:space="preserve">The median age is </w:t>
      </w:r>
      <w:r w:rsidR="00D661C6">
        <w:t>36</w:t>
      </w:r>
      <w:r w:rsidR="004471E5">
        <w:t xml:space="preserve"> while the median </w:t>
      </w:r>
      <w:r w:rsidR="00604E07">
        <w:t xml:space="preserve">annual </w:t>
      </w:r>
      <w:r w:rsidR="004471E5">
        <w:t>income is $21,500.</w:t>
      </w:r>
      <w:r w:rsidR="00D661C6">
        <w:t xml:space="preserve"> Thirty-one</w:t>
      </w:r>
      <w:r w:rsidR="00151AD5">
        <w:t xml:space="preserve"> (60%)</w:t>
      </w:r>
      <w:r w:rsidR="00714B70">
        <w:t xml:space="preserve"> people only speak English while the rest</w:t>
      </w:r>
      <w:r w:rsidR="00151AD5">
        <w:t xml:space="preserve"> (40%)</w:t>
      </w:r>
      <w:r w:rsidR="00714B70">
        <w:t xml:space="preserve"> speak English and/or another language</w:t>
      </w:r>
      <w:r w:rsidR="002E63AC">
        <w:t>. Twenty-three (44%) individuals are not digitally literate</w:t>
      </w:r>
      <w:r w:rsidR="003F6F98">
        <w:t>.</w:t>
      </w:r>
      <w:r w:rsidR="009C7D03">
        <w:t xml:space="preserve"> </w:t>
      </w:r>
      <w:r w:rsidR="003F6F98">
        <w:t>T</w:t>
      </w:r>
      <w:r w:rsidR="009C7D03">
        <w:t>hirty-four</w:t>
      </w:r>
      <w:r w:rsidR="008C6AA3">
        <w:t xml:space="preserve"> (65%)</w:t>
      </w:r>
      <w:r w:rsidR="009C7D03">
        <w:t xml:space="preserve"> only drive</w:t>
      </w:r>
      <w:r w:rsidR="003F6F98">
        <w:t xml:space="preserve"> while the other eighteen </w:t>
      </w:r>
      <w:r w:rsidR="008C6AA3">
        <w:t xml:space="preserve">(35%) </w:t>
      </w:r>
      <w:r w:rsidR="003F6F98">
        <w:t xml:space="preserve">can walk, bike, </w:t>
      </w:r>
      <w:r w:rsidR="00324990">
        <w:t>and/</w:t>
      </w:r>
      <w:r w:rsidR="003F6F98">
        <w:t>or take transit.</w:t>
      </w:r>
      <w:r w:rsidR="00324990">
        <w:t xml:space="preserve"> A total of fifteen (</w:t>
      </w:r>
      <w:r w:rsidR="00F87C1D">
        <w:t>29</w:t>
      </w:r>
      <w:r w:rsidR="00324990">
        <w:t>%) people also have access to SNAP benefits</w:t>
      </w:r>
      <w:r w:rsidR="00F87C1D">
        <w:t>.</w:t>
      </w:r>
      <w:r w:rsidR="00B512D5">
        <w:t xml:space="preserve"> </w:t>
      </w:r>
      <w:r w:rsidR="00BB4290">
        <w:t xml:space="preserve">It is understood that the </w:t>
      </w:r>
      <w:r w:rsidR="00E352A6">
        <w:t xml:space="preserve">relative proportions of characteristics in the </w:t>
      </w:r>
      <w:r w:rsidR="00BB4290">
        <w:t xml:space="preserve">synthetic dataset </w:t>
      </w:r>
      <w:r w:rsidR="00F87C1D">
        <w:t>are not directly proportional to actual demographics in Knox County</w:t>
      </w:r>
      <w:r w:rsidR="000C5B5A">
        <w:t xml:space="preserve">. </w:t>
      </w:r>
      <w:r w:rsidR="00850D15">
        <w:t>Latest estimates by the U.S. Census Bureau i</w:t>
      </w:r>
      <w:r w:rsidR="004C0C0C">
        <w:t>ndicates that 86% of all residents are White, 9% are Black, 2.5% are Asian, and 5% are Hispanic</w:t>
      </w:r>
      <w:r w:rsidR="00C07F1A">
        <w:t xml:space="preserve"> </w:t>
      </w:r>
      <w:r w:rsidR="0062678C">
        <w:fldChar w:fldCharType="begin"/>
      </w:r>
      <w:r w:rsidR="0062678C">
        <w:instrText xml:space="preserve"> ADDIN ZOTERO_ITEM CSL_CITATION {"citationID":"xifXlB6g","properties":{"formattedCitation":"(U.S. Census Bureau, 2022)","plainCitation":"(U.S. Census Bureau, 2022)","noteIndex":0},"citationItems":[{"id":1918,"uris":["http://zotero.org/users/5090392/items/3B85E9UZ"],"itemData":{"id":1918,"type":"webpage","abstract":"Frequently requested statistics for: Knox County, Tennessee","language":"en","title":"U.S. Census Bureau QuickFacts: Knox County, Tennessee","title-short":"U.S. Census Bureau QuickFacts","URL":"https://www.census.gov/quickfacts/knoxcountytennessee","author":[{"literal":"U.S. Census Bureau"}],"accessed":{"date-parts":[["2022",8,19]]},"issued":{"date-parts":[["2022"]]}}}],"schema":"https://github.com/citation-style-language/schema/raw/master/csl-citation.json"} </w:instrText>
      </w:r>
      <w:r w:rsidR="0062678C">
        <w:fldChar w:fldCharType="separate"/>
      </w:r>
      <w:r w:rsidR="0062678C" w:rsidRPr="0062678C">
        <w:t>(U.S. Census Bureau, 2022)</w:t>
      </w:r>
      <w:r w:rsidR="0062678C">
        <w:fldChar w:fldCharType="end"/>
      </w:r>
      <w:r w:rsidR="00DD423C">
        <w:t xml:space="preserve">. In other words, the minority population is over-represented </w:t>
      </w:r>
      <w:r w:rsidR="00971DFC">
        <w:t>while the majority population is under-represented</w:t>
      </w:r>
      <w:r w:rsidR="005A3C9B">
        <w:t xml:space="preserve"> by 44% </w:t>
      </w:r>
      <w:r w:rsidR="00A41CB5">
        <w:t>amongst the</w:t>
      </w:r>
      <w:r w:rsidR="003947E7">
        <w:t xml:space="preserve"> synthe</w:t>
      </w:r>
      <w:r w:rsidR="00A41CB5">
        <w:t xml:space="preserve">sized population </w:t>
      </w:r>
      <w:r w:rsidR="003947E7">
        <w:t xml:space="preserve">compared to the </w:t>
      </w:r>
      <w:r w:rsidR="00A41CB5">
        <w:t>actual population.</w:t>
      </w:r>
      <w:r w:rsidR="000E13DD">
        <w:t xml:space="preserve"> Similarly, the Census-provide</w:t>
      </w:r>
      <w:r w:rsidR="00255FFC">
        <w:t>d per-capita income is $34,338, which is more than $12,000 greater than the median income of the synthesized population</w:t>
      </w:r>
      <w:r w:rsidR="002F050E">
        <w:t xml:space="preserve">. </w:t>
      </w:r>
      <w:r w:rsidR="00127E68">
        <w:t xml:space="preserve">Moreover, only 10% of residents in Knox County have access to SNAP benefits </w:t>
      </w:r>
      <w:r w:rsidR="00191A2E">
        <w:t xml:space="preserve">compared to 30% in the synthetic population. </w:t>
      </w:r>
      <w:r w:rsidR="00785EE5">
        <w:t xml:space="preserve">Possession of a computer amongst households is also far greater </w:t>
      </w:r>
      <w:proofErr w:type="gramStart"/>
      <w:r w:rsidR="00785EE5">
        <w:t>in reality at</w:t>
      </w:r>
      <w:proofErr w:type="gramEnd"/>
      <w:r w:rsidR="00785EE5">
        <w:t xml:space="preserve"> 92% and households with broadband Internet subscriptions are also no</w:t>
      </w:r>
      <w:r w:rsidR="004A3EC6">
        <w:t>t too far behind at 84.6%.</w:t>
      </w:r>
      <w:r w:rsidR="006D3786">
        <w:t xml:space="preserve"> </w:t>
      </w:r>
      <w:r w:rsidR="002F050E">
        <w:t xml:space="preserve">These individuals were deliberately </w:t>
      </w:r>
      <w:r w:rsidR="00191A2E">
        <w:t xml:space="preserve">synthesized and </w:t>
      </w:r>
      <w:r w:rsidR="002F050E">
        <w:t>created to represent the plights and situations of those in disadvantaged situations</w:t>
      </w:r>
      <w:r w:rsidR="007164C1">
        <w:t xml:space="preserve">. The tendency in the United States is that those who are of lower socioeconomic class </w:t>
      </w:r>
      <w:r w:rsidR="006B75F0">
        <w:t>face greater difficulties and experience</w:t>
      </w:r>
      <w:r w:rsidR="00752BAC">
        <w:t xml:space="preserve"> poorer access</w:t>
      </w:r>
      <w:r w:rsidR="00556ACA">
        <w:t xml:space="preserve">. So, </w:t>
      </w:r>
      <w:r w:rsidR="00752BAC">
        <w:t xml:space="preserve">the </w:t>
      </w:r>
      <w:r w:rsidR="00752BAC">
        <w:lastRenderedPageBreak/>
        <w:t>synthesized population overrepresents different marginalized groups</w:t>
      </w:r>
      <w:r w:rsidR="00E872A7">
        <w:t xml:space="preserve"> </w:t>
      </w:r>
      <w:proofErr w:type="gramStart"/>
      <w:r w:rsidR="00E872A7">
        <w:t>in order to</w:t>
      </w:r>
      <w:proofErr w:type="gramEnd"/>
      <w:r w:rsidR="00E872A7">
        <w:t xml:space="preserve"> better understand the different accessibilities amongst these groups of people compared to what is still a sizable group of people who belong to higher socioeconomic classes.</w:t>
      </w:r>
    </w:p>
    <w:p w14:paraId="233D34FC" w14:textId="50A1E9B7" w:rsidR="007B4A33" w:rsidRPr="00A4743F" w:rsidRDefault="000E4A84" w:rsidP="00A4743F">
      <w:pPr>
        <w:pStyle w:val="Heading3"/>
        <w:spacing w:after="240"/>
        <w:jc w:val="center"/>
        <w:rPr>
          <w:rFonts w:ascii="Times New Roman" w:hAnsi="Times New Roman" w:cs="Times New Roman"/>
          <w:b/>
          <w:bCs/>
          <w:color w:val="auto"/>
        </w:rPr>
      </w:pPr>
      <w:bookmarkStart w:id="92" w:name="_Toc114258055"/>
      <w:r w:rsidRPr="00A4743F">
        <w:rPr>
          <w:rFonts w:ascii="Times New Roman" w:hAnsi="Times New Roman" w:cs="Times New Roman"/>
          <w:b/>
          <w:bCs/>
          <w:color w:val="auto"/>
        </w:rPr>
        <w:t>4.</w:t>
      </w:r>
      <w:r w:rsidR="007B4A33" w:rsidRPr="00A4743F">
        <w:rPr>
          <w:rFonts w:ascii="Times New Roman" w:hAnsi="Times New Roman" w:cs="Times New Roman"/>
          <w:b/>
          <w:bCs/>
          <w:color w:val="auto"/>
        </w:rPr>
        <w:t>2.</w:t>
      </w:r>
      <w:r w:rsidR="00787610" w:rsidRPr="00A4743F">
        <w:rPr>
          <w:rFonts w:ascii="Times New Roman" w:hAnsi="Times New Roman" w:cs="Times New Roman"/>
          <w:b/>
          <w:bCs/>
          <w:color w:val="auto"/>
        </w:rPr>
        <w:t>3</w:t>
      </w:r>
      <w:r w:rsidR="007B4A33" w:rsidRPr="00A4743F">
        <w:rPr>
          <w:rFonts w:ascii="Times New Roman" w:hAnsi="Times New Roman" w:cs="Times New Roman"/>
          <w:b/>
          <w:bCs/>
          <w:color w:val="auto"/>
        </w:rPr>
        <w:t xml:space="preserve">. </w:t>
      </w:r>
      <w:r w:rsidR="00A4743F" w:rsidRPr="00A4743F">
        <w:rPr>
          <w:rFonts w:ascii="Times New Roman" w:hAnsi="Times New Roman" w:cs="Times New Roman"/>
          <w:b/>
          <w:bCs/>
          <w:color w:val="auto"/>
        </w:rPr>
        <w:t>DATASET 3: INDIVIDUAL TRAJECTORIES AND ACTIVITIES</w:t>
      </w:r>
      <w:bookmarkEnd w:id="92"/>
    </w:p>
    <w:p w14:paraId="18432334" w14:textId="57F492A6" w:rsidR="007943E3" w:rsidRDefault="000B1A64" w:rsidP="00156BEA">
      <w:pPr>
        <w:spacing w:line="480" w:lineRule="auto"/>
        <w:ind w:firstLine="720"/>
      </w:pPr>
      <w:r>
        <w:t>In addition to the table</w:t>
      </w:r>
      <w:r w:rsidR="00195234">
        <w:t xml:space="preserve"> </w:t>
      </w:r>
      <w:r w:rsidR="0098566C">
        <w:t xml:space="preserve">in Figure 5 </w:t>
      </w:r>
      <w:r w:rsidR="00195234">
        <w:t>is another table of individual trajectories for each person</w:t>
      </w:r>
      <w:r w:rsidR="00D3038B">
        <w:t xml:space="preserve"> where each row corresponds to an individual’s </w:t>
      </w:r>
      <w:r w:rsidR="00814CC9">
        <w:t xml:space="preserve">activity </w:t>
      </w:r>
      <w:r w:rsidR="00D3038B">
        <w:t>location at a specific time</w:t>
      </w:r>
      <w:r w:rsidR="0098566C">
        <w:t xml:space="preserve"> (Figure 6)</w:t>
      </w:r>
      <w:r w:rsidR="007F07A4">
        <w:t>:</w:t>
      </w:r>
    </w:p>
    <w:p w14:paraId="282B3B49" w14:textId="77777777" w:rsidR="000649E9" w:rsidRDefault="000649E9" w:rsidP="000649E9">
      <w:pPr>
        <w:pStyle w:val="ListParagraph"/>
        <w:numPr>
          <w:ilvl w:val="0"/>
          <w:numId w:val="3"/>
        </w:numPr>
        <w:spacing w:line="480" w:lineRule="auto"/>
      </w:pPr>
      <w:r>
        <w:rPr>
          <w:b/>
          <w:bCs/>
        </w:rPr>
        <w:t>Index (</w:t>
      </w:r>
      <w:r>
        <w:rPr>
          <w:b/>
          <w:bCs/>
          <w:i/>
          <w:iCs/>
        </w:rPr>
        <w:t>index</w:t>
      </w:r>
      <w:r>
        <w:rPr>
          <w:b/>
          <w:bCs/>
        </w:rPr>
        <w:t>):</w:t>
      </w:r>
      <w:r>
        <w:t xml:space="preserve"> Unique ID for the trajectories table</w:t>
      </w:r>
    </w:p>
    <w:p w14:paraId="1D8E1505" w14:textId="77777777" w:rsidR="000649E9" w:rsidRDefault="000649E9" w:rsidP="000649E9">
      <w:pPr>
        <w:pStyle w:val="ListParagraph"/>
        <w:numPr>
          <w:ilvl w:val="0"/>
          <w:numId w:val="3"/>
        </w:numPr>
        <w:spacing w:line="480" w:lineRule="auto"/>
      </w:pPr>
      <w:r>
        <w:rPr>
          <w:b/>
          <w:bCs/>
        </w:rPr>
        <w:t>Person ID (</w:t>
      </w:r>
      <w:proofErr w:type="spellStart"/>
      <w:r>
        <w:rPr>
          <w:b/>
          <w:bCs/>
          <w:i/>
          <w:iCs/>
        </w:rPr>
        <w:t>person_id</w:t>
      </w:r>
      <w:proofErr w:type="spellEnd"/>
      <w:r>
        <w:rPr>
          <w:b/>
          <w:bCs/>
        </w:rPr>
        <w:t xml:space="preserve">): </w:t>
      </w:r>
      <w:r>
        <w:t>The Person ID associated with the trajectory stop</w:t>
      </w:r>
    </w:p>
    <w:p w14:paraId="6EC92ED0" w14:textId="77777777" w:rsidR="000649E9" w:rsidRDefault="000649E9" w:rsidP="000649E9">
      <w:pPr>
        <w:pStyle w:val="ListParagraph"/>
        <w:numPr>
          <w:ilvl w:val="0"/>
          <w:numId w:val="3"/>
        </w:numPr>
        <w:spacing w:line="480" w:lineRule="auto"/>
      </w:pPr>
      <w:r>
        <w:rPr>
          <w:b/>
          <w:bCs/>
        </w:rPr>
        <w:t>Latitude &amp; Longitude (</w:t>
      </w:r>
      <w:proofErr w:type="spellStart"/>
      <w:r>
        <w:rPr>
          <w:b/>
          <w:bCs/>
          <w:i/>
          <w:iCs/>
        </w:rPr>
        <w:t>latlon</w:t>
      </w:r>
      <w:proofErr w:type="spellEnd"/>
      <w:r>
        <w:rPr>
          <w:b/>
          <w:bCs/>
        </w:rPr>
        <w:t xml:space="preserve">): </w:t>
      </w:r>
      <w:r>
        <w:t>The latitude and longitude in WGS84 of the location</w:t>
      </w:r>
    </w:p>
    <w:p w14:paraId="3715E523" w14:textId="77777777" w:rsidR="000649E9" w:rsidRDefault="000649E9" w:rsidP="000649E9">
      <w:pPr>
        <w:pStyle w:val="ListParagraph"/>
        <w:numPr>
          <w:ilvl w:val="0"/>
          <w:numId w:val="3"/>
        </w:numPr>
        <w:spacing w:line="480" w:lineRule="auto"/>
      </w:pPr>
      <w:r>
        <w:rPr>
          <w:b/>
          <w:bCs/>
        </w:rPr>
        <w:t>Start Time (</w:t>
      </w:r>
      <w:r>
        <w:rPr>
          <w:b/>
          <w:bCs/>
          <w:i/>
          <w:iCs/>
        </w:rPr>
        <w:t>time</w:t>
      </w:r>
      <w:r>
        <w:rPr>
          <w:b/>
          <w:bCs/>
        </w:rPr>
        <w:t xml:space="preserve">): </w:t>
      </w:r>
      <w:r>
        <w:t>Starting day and time of the activity in m/dd/</w:t>
      </w:r>
      <w:proofErr w:type="spellStart"/>
      <w:r>
        <w:t>yyyy</w:t>
      </w:r>
      <w:proofErr w:type="spellEnd"/>
      <w:r>
        <w:t xml:space="preserve"> h:</w:t>
      </w:r>
      <w:proofErr w:type="gramStart"/>
      <w:r>
        <w:t>mm:ss</w:t>
      </w:r>
      <w:proofErr w:type="gramEnd"/>
      <w:r>
        <w:t xml:space="preserve"> format</w:t>
      </w:r>
    </w:p>
    <w:p w14:paraId="5E04480E" w14:textId="77777777" w:rsidR="000649E9" w:rsidRDefault="000649E9" w:rsidP="000649E9">
      <w:pPr>
        <w:pStyle w:val="ListParagraph"/>
        <w:numPr>
          <w:ilvl w:val="0"/>
          <w:numId w:val="3"/>
        </w:numPr>
        <w:spacing w:line="480" w:lineRule="auto"/>
      </w:pPr>
      <w:r>
        <w:rPr>
          <w:b/>
          <w:bCs/>
        </w:rPr>
        <w:t>End Time (</w:t>
      </w:r>
      <w:proofErr w:type="spellStart"/>
      <w:r>
        <w:rPr>
          <w:b/>
          <w:bCs/>
          <w:i/>
          <w:iCs/>
        </w:rPr>
        <w:t>time_shift</w:t>
      </w:r>
      <w:proofErr w:type="spellEnd"/>
      <w:r>
        <w:rPr>
          <w:b/>
          <w:bCs/>
        </w:rPr>
        <w:t xml:space="preserve">): </w:t>
      </w:r>
      <w:r>
        <w:t>Ending day and time of the activity in m/dd/</w:t>
      </w:r>
      <w:proofErr w:type="spellStart"/>
      <w:r>
        <w:t>yyyy</w:t>
      </w:r>
      <w:proofErr w:type="spellEnd"/>
      <w:r>
        <w:t xml:space="preserve"> h:</w:t>
      </w:r>
      <w:proofErr w:type="gramStart"/>
      <w:r>
        <w:t>mm:ss</w:t>
      </w:r>
      <w:proofErr w:type="gramEnd"/>
      <w:r>
        <w:t xml:space="preserve"> format</w:t>
      </w:r>
    </w:p>
    <w:p w14:paraId="654D20D8" w14:textId="77777777" w:rsidR="000649E9" w:rsidRDefault="000649E9" w:rsidP="000649E9">
      <w:pPr>
        <w:pStyle w:val="ListParagraph"/>
        <w:numPr>
          <w:ilvl w:val="0"/>
          <w:numId w:val="3"/>
        </w:numPr>
        <w:spacing w:line="480" w:lineRule="auto"/>
      </w:pPr>
      <w:r>
        <w:rPr>
          <w:b/>
          <w:bCs/>
        </w:rPr>
        <w:t>Sequence (</w:t>
      </w:r>
      <w:r>
        <w:rPr>
          <w:b/>
          <w:bCs/>
          <w:i/>
          <w:iCs/>
        </w:rPr>
        <w:t>sequence</w:t>
      </w:r>
      <w:r>
        <w:rPr>
          <w:b/>
          <w:bCs/>
        </w:rPr>
        <w:t xml:space="preserve">): </w:t>
      </w:r>
      <w:r>
        <w:t xml:space="preserve">Ordinal numbers for </w:t>
      </w:r>
      <w:proofErr w:type="gramStart"/>
      <w:r>
        <w:t>each individual</w:t>
      </w:r>
      <w:proofErr w:type="gramEnd"/>
      <w:r>
        <w:t xml:space="preserve"> reflecting the sequential order of all their activities</w:t>
      </w:r>
    </w:p>
    <w:p w14:paraId="5AF1DD8D" w14:textId="77777777" w:rsidR="000649E9" w:rsidRDefault="000649E9" w:rsidP="000649E9">
      <w:pPr>
        <w:pStyle w:val="ListParagraph"/>
        <w:numPr>
          <w:ilvl w:val="0"/>
          <w:numId w:val="3"/>
        </w:numPr>
        <w:spacing w:line="480" w:lineRule="auto"/>
      </w:pPr>
      <w:r>
        <w:rPr>
          <w:b/>
          <w:bCs/>
        </w:rPr>
        <w:t>POI Type (</w:t>
      </w:r>
      <w:proofErr w:type="spellStart"/>
      <w:r>
        <w:rPr>
          <w:b/>
          <w:bCs/>
          <w:i/>
          <w:iCs/>
        </w:rPr>
        <w:t>poi_type</w:t>
      </w:r>
      <w:proofErr w:type="spellEnd"/>
      <w:r>
        <w:rPr>
          <w:b/>
          <w:bCs/>
        </w:rPr>
        <w:t xml:space="preserve">): </w:t>
      </w:r>
      <w:r>
        <w:t>The POI type of the current location</w:t>
      </w:r>
    </w:p>
    <w:p w14:paraId="0BCD5752" w14:textId="77777777" w:rsidR="000649E9" w:rsidRDefault="000649E9" w:rsidP="000649E9">
      <w:pPr>
        <w:pStyle w:val="ListParagraph"/>
        <w:numPr>
          <w:ilvl w:val="0"/>
          <w:numId w:val="3"/>
        </w:numPr>
        <w:spacing w:line="480" w:lineRule="auto"/>
      </w:pPr>
      <w:r>
        <w:rPr>
          <w:b/>
          <w:bCs/>
        </w:rPr>
        <w:t>Activity Type (</w:t>
      </w:r>
      <w:proofErr w:type="spellStart"/>
      <w:r>
        <w:rPr>
          <w:b/>
          <w:bCs/>
          <w:i/>
          <w:iCs/>
        </w:rPr>
        <w:t>activity_type</w:t>
      </w:r>
      <w:proofErr w:type="spellEnd"/>
      <w:r>
        <w:rPr>
          <w:b/>
          <w:bCs/>
        </w:rPr>
        <w:t xml:space="preserve">): </w:t>
      </w:r>
      <w:r>
        <w:t>The type of activity at the current location and time</w:t>
      </w:r>
    </w:p>
    <w:p w14:paraId="5F9BAA3F" w14:textId="77777777" w:rsidR="000649E9" w:rsidRDefault="000649E9" w:rsidP="000649E9">
      <w:pPr>
        <w:pStyle w:val="ListParagraph"/>
        <w:numPr>
          <w:ilvl w:val="0"/>
          <w:numId w:val="3"/>
        </w:numPr>
        <w:spacing w:line="480" w:lineRule="auto"/>
      </w:pPr>
      <w:r>
        <w:rPr>
          <w:b/>
          <w:bCs/>
        </w:rPr>
        <w:t>Travel Type (</w:t>
      </w:r>
      <w:proofErr w:type="spellStart"/>
      <w:r>
        <w:rPr>
          <w:b/>
          <w:bCs/>
          <w:i/>
          <w:iCs/>
        </w:rPr>
        <w:t>travel_type</w:t>
      </w:r>
      <w:proofErr w:type="spellEnd"/>
      <w:r>
        <w:rPr>
          <w:b/>
          <w:bCs/>
        </w:rPr>
        <w:t xml:space="preserve">): </w:t>
      </w:r>
      <w:r>
        <w:t>The travel mode used to arrive at the current location; ‘stay’ denotes that the individual was already at the location</w:t>
      </w:r>
    </w:p>
    <w:p w14:paraId="71DF1B56" w14:textId="77777777" w:rsidR="000649E9" w:rsidRDefault="000649E9" w:rsidP="000649E9">
      <w:pPr>
        <w:pStyle w:val="ListParagraph"/>
        <w:numPr>
          <w:ilvl w:val="0"/>
          <w:numId w:val="3"/>
        </w:numPr>
        <w:spacing w:line="480" w:lineRule="auto"/>
      </w:pPr>
      <w:r>
        <w:rPr>
          <w:b/>
          <w:bCs/>
        </w:rPr>
        <w:t>Fixed Activity (</w:t>
      </w:r>
      <w:proofErr w:type="spellStart"/>
      <w:r>
        <w:rPr>
          <w:b/>
          <w:bCs/>
          <w:i/>
          <w:iCs/>
        </w:rPr>
        <w:t>fixed_activity</w:t>
      </w:r>
      <w:proofErr w:type="spellEnd"/>
      <w:r>
        <w:rPr>
          <w:b/>
          <w:bCs/>
        </w:rPr>
        <w:t xml:space="preserve">): </w:t>
      </w:r>
      <w:r>
        <w:t>Whether the activity at the current location and time is fixed or not fixed (i.e., discretionary)</w:t>
      </w:r>
    </w:p>
    <w:p w14:paraId="108B1D4B" w14:textId="431DC31F" w:rsidR="00AA7BD8" w:rsidRDefault="000649E9" w:rsidP="000649E9">
      <w:pPr>
        <w:pStyle w:val="ListParagraph"/>
        <w:numPr>
          <w:ilvl w:val="0"/>
          <w:numId w:val="3"/>
        </w:numPr>
        <w:spacing w:line="480" w:lineRule="auto"/>
      </w:pPr>
      <w:r>
        <w:rPr>
          <w:b/>
          <w:bCs/>
        </w:rPr>
        <w:t>Available Time (</w:t>
      </w:r>
      <w:proofErr w:type="spellStart"/>
      <w:r>
        <w:rPr>
          <w:b/>
          <w:bCs/>
          <w:i/>
          <w:iCs/>
        </w:rPr>
        <w:t>time_available</w:t>
      </w:r>
      <w:proofErr w:type="spellEnd"/>
      <w:r>
        <w:rPr>
          <w:b/>
          <w:bCs/>
        </w:rPr>
        <w:t xml:space="preserve">): </w:t>
      </w:r>
      <w:r>
        <w:t>The duration in minutes of the entire trajectory stop/activity</w:t>
      </w:r>
    </w:p>
    <w:p w14:paraId="33CC0024" w14:textId="6DCDF05D" w:rsidR="00D2107D" w:rsidRDefault="00D2107D" w:rsidP="00156BEA">
      <w:pPr>
        <w:keepNext/>
        <w:spacing w:line="480" w:lineRule="auto"/>
        <w:jc w:val="center"/>
      </w:pPr>
      <w:r w:rsidRPr="00D2107D">
        <w:rPr>
          <w:noProof/>
        </w:rPr>
        <w:lastRenderedPageBreak/>
        <w:drawing>
          <wp:inline distT="0" distB="0" distL="0" distR="0" wp14:anchorId="5C7A5F63" wp14:editId="106ACE6D">
            <wp:extent cx="4674358" cy="53335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7979" cy="537192"/>
                    </a:xfrm>
                    <a:prstGeom prst="rect">
                      <a:avLst/>
                    </a:prstGeom>
                    <a:noFill/>
                    <a:ln>
                      <a:noFill/>
                    </a:ln>
                  </pic:spPr>
                </pic:pic>
              </a:graphicData>
            </a:graphic>
          </wp:inline>
        </w:drawing>
      </w:r>
    </w:p>
    <w:p w14:paraId="375905BE" w14:textId="792B1B28" w:rsidR="000649E9" w:rsidRPr="009B25A1" w:rsidRDefault="00D2107D" w:rsidP="00156BEA">
      <w:pPr>
        <w:pStyle w:val="Caption"/>
        <w:spacing w:line="480" w:lineRule="auto"/>
        <w:jc w:val="center"/>
        <w:rPr>
          <w:color w:val="auto"/>
        </w:rPr>
      </w:pPr>
      <w:bookmarkStart w:id="93" w:name="_Toc114258104"/>
      <w:r w:rsidRPr="009B25A1">
        <w:rPr>
          <w:color w:val="auto"/>
        </w:rPr>
        <w:t xml:space="preserve">Figure </w:t>
      </w:r>
      <w:r w:rsidR="00B9244D" w:rsidRPr="009B25A1">
        <w:rPr>
          <w:color w:val="auto"/>
        </w:rPr>
        <w:fldChar w:fldCharType="begin"/>
      </w:r>
      <w:r w:rsidR="00B9244D" w:rsidRPr="009B25A1">
        <w:rPr>
          <w:color w:val="auto"/>
        </w:rPr>
        <w:instrText xml:space="preserve"> SEQ Figure \* ARABIC </w:instrText>
      </w:r>
      <w:r w:rsidR="00B9244D" w:rsidRPr="009B25A1">
        <w:rPr>
          <w:color w:val="auto"/>
        </w:rPr>
        <w:fldChar w:fldCharType="separate"/>
      </w:r>
      <w:r w:rsidR="00C42D79">
        <w:rPr>
          <w:noProof/>
          <w:color w:val="auto"/>
        </w:rPr>
        <w:t>6</w:t>
      </w:r>
      <w:r w:rsidR="00B9244D" w:rsidRPr="009B25A1">
        <w:rPr>
          <w:noProof/>
          <w:color w:val="auto"/>
        </w:rPr>
        <w:fldChar w:fldCharType="end"/>
      </w:r>
      <w:r w:rsidRPr="009B25A1">
        <w:rPr>
          <w:color w:val="auto"/>
        </w:rPr>
        <w:t>. Snapshot of data on individual trajectories of people</w:t>
      </w:r>
      <w:bookmarkEnd w:id="93"/>
    </w:p>
    <w:p w14:paraId="5F80F711" w14:textId="6F7C3D62" w:rsidR="00D2107D" w:rsidRPr="000649E9" w:rsidRDefault="000649E9" w:rsidP="000649E9">
      <w:pPr>
        <w:rPr>
          <w:i/>
          <w:iCs/>
          <w:color w:val="44546A" w:themeColor="text2"/>
          <w:sz w:val="18"/>
          <w:szCs w:val="18"/>
        </w:rPr>
      </w:pPr>
      <w:r>
        <w:br w:type="page"/>
      </w:r>
    </w:p>
    <w:p w14:paraId="0346FB95" w14:textId="66FF7764" w:rsidR="00814CC9" w:rsidRDefault="009F6060" w:rsidP="000649E9">
      <w:pPr>
        <w:spacing w:line="480" w:lineRule="auto"/>
        <w:ind w:firstLine="720"/>
      </w:pPr>
      <w:r>
        <w:lastRenderedPageBreak/>
        <w:t>The table</w:t>
      </w:r>
      <w:r w:rsidR="00341408">
        <w:t xml:space="preserve"> </w:t>
      </w:r>
      <w:r w:rsidR="00093575">
        <w:t xml:space="preserve">shown </w:t>
      </w:r>
      <w:r w:rsidR="0090236C">
        <w:t xml:space="preserve">in Figure 6 </w:t>
      </w:r>
      <w:r w:rsidR="00341408">
        <w:t>can be related and linked to the table of socioeconomic, demographic, and perceived characteristics of individuals</w:t>
      </w:r>
      <w:r>
        <w:t xml:space="preserve"> </w:t>
      </w:r>
      <w:r w:rsidR="00494E1A">
        <w:t xml:space="preserve">in Figure 5 </w:t>
      </w:r>
      <w:r w:rsidR="000D0ACD">
        <w:t xml:space="preserve">with </w:t>
      </w:r>
      <w:proofErr w:type="spellStart"/>
      <w:r w:rsidR="000D0ACD">
        <w:rPr>
          <w:i/>
          <w:iCs/>
        </w:rPr>
        <w:t>person_id</w:t>
      </w:r>
      <w:proofErr w:type="spellEnd"/>
      <w:r w:rsidR="000D0ACD">
        <w:rPr>
          <w:i/>
          <w:iCs/>
        </w:rPr>
        <w:t xml:space="preserve"> </w:t>
      </w:r>
      <w:r w:rsidR="000D0ACD">
        <w:t>as the common key. This table</w:t>
      </w:r>
      <w:r w:rsidR="00494E1A">
        <w:t xml:space="preserve"> in Figure 6</w:t>
      </w:r>
      <w:r w:rsidR="000D0ACD">
        <w:t xml:space="preserve"> </w:t>
      </w:r>
      <w:r>
        <w:t xml:space="preserve">is </w:t>
      </w:r>
      <w:proofErr w:type="gramStart"/>
      <w:r w:rsidR="00E067DF">
        <w:t>similar to</w:t>
      </w:r>
      <w:proofErr w:type="gramEnd"/>
      <w:r w:rsidR="00E067DF">
        <w:t xml:space="preserve"> activity</w:t>
      </w:r>
      <w:r w:rsidR="006D190F">
        <w:t>-based and travel-based</w:t>
      </w:r>
      <w:r w:rsidR="00E067DF">
        <w:t xml:space="preserve"> diaries that record the </w:t>
      </w:r>
      <w:r w:rsidR="00A624C3">
        <w:t>different</w:t>
      </w:r>
      <w:r w:rsidR="00494E1A">
        <w:t xml:space="preserve"> </w:t>
      </w:r>
      <w:r w:rsidR="00E067DF">
        <w:t>activit</w:t>
      </w:r>
      <w:r w:rsidR="00A624C3">
        <w:t xml:space="preserve">ies </w:t>
      </w:r>
      <w:r w:rsidR="00E067DF">
        <w:t>and travel</w:t>
      </w:r>
      <w:r w:rsidR="006C66F0">
        <w:t xml:space="preserve">s </w:t>
      </w:r>
      <w:r w:rsidR="00A624C3">
        <w:t>of individuals over a period of time. In this study, a two-day period covering a Friday</w:t>
      </w:r>
      <w:r w:rsidR="00BF2CDC">
        <w:t xml:space="preserve"> and Saturday</w:t>
      </w:r>
      <w:r w:rsidR="00A624C3">
        <w:t xml:space="preserve"> (</w:t>
      </w:r>
      <w:r w:rsidR="00BF2CDC">
        <w:t xml:space="preserve">between </w:t>
      </w:r>
      <w:r w:rsidR="00A624C3">
        <w:t xml:space="preserve">March 11, </w:t>
      </w:r>
      <w:r w:rsidR="00197A89">
        <w:t>2022,</w:t>
      </w:r>
      <w:r w:rsidR="00A624C3">
        <w:t xml:space="preserve"> 12:00 AM</w:t>
      </w:r>
      <w:r w:rsidR="00BF2CDC">
        <w:t xml:space="preserve"> and </w:t>
      </w:r>
      <w:r w:rsidR="00A624C3">
        <w:t>March 12, 2022</w:t>
      </w:r>
      <w:r w:rsidR="00197A89">
        <w:t>,</w:t>
      </w:r>
      <w:r w:rsidR="00A624C3">
        <w:t xml:space="preserve"> 11:59 PM)</w:t>
      </w:r>
      <w:r w:rsidR="00287EBF">
        <w:t xml:space="preserve"> was adopted to capture some major differences between weekday and weekend </w:t>
      </w:r>
      <w:r w:rsidR="006C66F0">
        <w:t>behaviors. While this is not completely comprehensive of temporal differences</w:t>
      </w:r>
      <w:r w:rsidR="00504415">
        <w:t xml:space="preserve"> (e.g., seasonality, holidays, etc.), </w:t>
      </w:r>
      <w:r w:rsidR="00021ADD">
        <w:t xml:space="preserve">this is a reasonable </w:t>
      </w:r>
      <w:r w:rsidR="00CF4383">
        <w:t>example</w:t>
      </w:r>
      <w:r w:rsidR="00021ADD">
        <w:t xml:space="preserve"> that cover</w:t>
      </w:r>
      <w:r w:rsidR="00CF4383">
        <w:t>s</w:t>
      </w:r>
      <w:r w:rsidR="00021ADD">
        <w:t xml:space="preserve"> </w:t>
      </w:r>
      <w:r w:rsidR="006E5091">
        <w:t>some</w:t>
      </w:r>
      <w:r w:rsidR="00021ADD">
        <w:t xml:space="preserve"> </w:t>
      </w:r>
      <w:r w:rsidR="00215695">
        <w:t xml:space="preserve">variations in temporal activity and travel patterns. Moreover, the broader purpose of the dissertation </w:t>
      </w:r>
      <w:r w:rsidR="00253531">
        <w:t xml:space="preserve">concerns the development of a space-time GIS capable of handling multiple streams of data </w:t>
      </w:r>
      <w:r w:rsidR="00694124">
        <w:t>reflecting upon different aspects of human dynamics relevant to access and to identify additional opportunities, not necessarily on the particulars of</w:t>
      </w:r>
      <w:r w:rsidR="00595095">
        <w:t xml:space="preserve"> </w:t>
      </w:r>
      <w:r w:rsidR="00456AAF">
        <w:t>temporal variation</w:t>
      </w:r>
      <w:r w:rsidR="00BB50B3">
        <w:t xml:space="preserve"> in activity and travel patterns</w:t>
      </w:r>
      <w:r w:rsidR="00595095">
        <w:t>.</w:t>
      </w:r>
      <w:r w:rsidR="007519B2">
        <w:t xml:space="preserve"> This dataset is important to understanding the </w:t>
      </w:r>
      <w:r w:rsidR="004A4613">
        <w:t xml:space="preserve">ease to which people can reach different food opportunities based on their locations, routes, and </w:t>
      </w:r>
      <w:r w:rsidR="00644C95">
        <w:t xml:space="preserve">available time for </w:t>
      </w:r>
      <w:r w:rsidR="00570692">
        <w:t xml:space="preserve">purchasing food and </w:t>
      </w:r>
      <w:r w:rsidR="00644C95">
        <w:t>traveling to physical stores or visiting online stores.</w:t>
      </w:r>
      <w:r w:rsidR="005A6994">
        <w:t xml:space="preserve"> In other words, knowing the activity and travel behaviors </w:t>
      </w:r>
      <w:r w:rsidR="00DC62C6">
        <w:t xml:space="preserve">alongside store locations and their respective shopping modalities can </w:t>
      </w:r>
      <w:r w:rsidR="003E31B9">
        <w:t>enhance understanding of accessibility from a relative and relational space perspective.</w:t>
      </w:r>
    </w:p>
    <w:p w14:paraId="08EB8930" w14:textId="4F38B01F" w:rsidR="00DA1397" w:rsidRDefault="00DA1397" w:rsidP="00156BEA">
      <w:pPr>
        <w:spacing w:line="480" w:lineRule="auto"/>
      </w:pPr>
      <w:r>
        <w:tab/>
      </w:r>
      <w:r w:rsidR="00D820E2">
        <w:t>Dataset 3</w:t>
      </w:r>
      <w:r>
        <w:t xml:space="preserve">, however, only </w:t>
      </w:r>
      <w:r w:rsidR="00F6598C">
        <w:t xml:space="preserve">(1) </w:t>
      </w:r>
      <w:r w:rsidR="00447698">
        <w:t xml:space="preserve">includes the stops people make along their travels throughout the two-day </w:t>
      </w:r>
      <w:proofErr w:type="gramStart"/>
      <w:r w:rsidR="00447698">
        <w:t>time period</w:t>
      </w:r>
      <w:proofErr w:type="gramEnd"/>
      <w:r w:rsidR="002E6DCB">
        <w:t xml:space="preserve"> and is</w:t>
      </w:r>
      <w:r w:rsidR="00D50195">
        <w:t xml:space="preserve"> w</w:t>
      </w:r>
      <w:r w:rsidR="00B12745">
        <w:t>ithout connecting edges that reflect routes</w:t>
      </w:r>
      <w:r w:rsidR="000B44F5">
        <w:t xml:space="preserve">, </w:t>
      </w:r>
      <w:r w:rsidR="00F6598C">
        <w:t>(2) does not explicitly reveal the periods of flexible/discretionary time</w:t>
      </w:r>
      <w:r w:rsidR="000B44F5">
        <w:t xml:space="preserve">, </w:t>
      </w:r>
      <w:r w:rsidR="00814A62">
        <w:t xml:space="preserve">(3) </w:t>
      </w:r>
      <w:r w:rsidR="000B44F5">
        <w:t xml:space="preserve">and just shows the actual travel </w:t>
      </w:r>
      <w:r w:rsidR="00814A62">
        <w:t>stops but not the potential areas that could be feasibly reached given their space-time constraints.</w:t>
      </w:r>
    </w:p>
    <w:p w14:paraId="2D80A168" w14:textId="0D2EA849" w:rsidR="000D2A68" w:rsidRPr="00E24420" w:rsidRDefault="00A1616C" w:rsidP="00156BEA">
      <w:pPr>
        <w:spacing w:line="480" w:lineRule="auto"/>
      </w:pPr>
      <w:r>
        <w:lastRenderedPageBreak/>
        <w:tab/>
        <w:t>To overcome issue one</w:t>
      </w:r>
      <w:r w:rsidR="00727331">
        <w:t xml:space="preserve">, </w:t>
      </w:r>
      <w:r>
        <w:t xml:space="preserve">plausible routes </w:t>
      </w:r>
      <w:r w:rsidR="00727331">
        <w:t>were assigned for</w:t>
      </w:r>
      <w:r>
        <w:t xml:space="preserve"> individuals</w:t>
      </w:r>
      <w:r w:rsidR="00727331">
        <w:t xml:space="preserve"> based</w:t>
      </w:r>
      <w:r w:rsidR="00C02A01">
        <w:t xml:space="preserve"> on shortest path</w:t>
      </w:r>
      <w:r w:rsidR="009A6959">
        <w:t xml:space="preserve">s </w:t>
      </w:r>
      <w:r w:rsidR="001C133E">
        <w:t xml:space="preserve">in a multimodal transportation network </w:t>
      </w:r>
      <w:r w:rsidR="009A6959">
        <w:t>from each location to the subsequent location in a person’s trajectory</w:t>
      </w:r>
      <w:r w:rsidR="00DA272C">
        <w:t>.</w:t>
      </w:r>
      <w:r w:rsidR="00604710">
        <w:t xml:space="preserve"> </w:t>
      </w:r>
      <w:r w:rsidR="009C3AFB">
        <w:t>Th</w:t>
      </w:r>
      <w:r w:rsidR="00FD12F8">
        <w:t>e construction of a network graph</w:t>
      </w:r>
      <w:r w:rsidR="009C3AFB">
        <w:t xml:space="preserve"> was carried out with the assistance of the</w:t>
      </w:r>
      <w:r w:rsidR="006B0987">
        <w:t xml:space="preserve"> Python library ‘</w:t>
      </w:r>
      <w:proofErr w:type="spellStart"/>
      <w:r w:rsidR="006B0987">
        <w:t>urbanaccess</w:t>
      </w:r>
      <w:proofErr w:type="spellEnd"/>
      <w:r w:rsidR="006B0987">
        <w:t xml:space="preserve">’ </w:t>
      </w:r>
      <w:r w:rsidR="001F1A78">
        <w:fldChar w:fldCharType="begin"/>
      </w:r>
      <w:r w:rsidR="001F1A78">
        <w:instrText xml:space="preserve"> ADDIN ZOTERO_ITEM CSL_CITATION {"citationID":"h1JlvH4m","properties":{"formattedCitation":"(Blanchard &amp; Waddell, 2017)","plainCitation":"(Blanchard &amp; Waddell, 2017)","noteIndex":0},"citationItems":[{"id":1909,"uris":["http://zotero.org/users/5090392/items/MZR9EMIK"],"itemData":{"id":1909,"type":"article-journal","abstract":"Measures of accessibility have long been an important metric in regional transportation planning and modeling. However, new methods are needed to provide computationally efficient, multiscale, free, transparent, and customizable tools that harness open and disparate sources of transportation network data at fine spatial resolution over large geographic extents. This research presents a new open source tool, UrbanAccess, which uses a generalized and scalable methodology to measure transit accessibility with a multimodal network comprising both pedestrian and operational schedule transit networks at a fine spatial scale over large metropolitan extents. A typical use for this tool is illustrated in a case study that characterizes regional transit accessibility in the San Francisco Bay Area in California.","container-title":"Transportation Research Record","DOI":"10.3141/2653-05","ISSN":"0361-1981","issue":"1","journalAbbreviation":"Transportation Research Record","language":"en","note":"publisher: SAGE Publications Inc","page":"35-44","source":"SAGE Journals","title":"UrbanAccess: Generalized Methodology for Measuring Regional Accessibility with an Integrated Pedestrian and Transit Network","title-short":"UrbanAccess","URL":"https://doi.org/10.3141/2653-05","volume":"2653","author":[{"family":"Blanchard","given":"Samuel D."},{"family":"Waddell","given":"Paul"}],"accessed":{"date-parts":[["2022",8,18]]},"issued":{"date-parts":[["2017",1,1]]}}}],"schema":"https://github.com/citation-style-language/schema/raw/master/csl-citation.json"} </w:instrText>
      </w:r>
      <w:r w:rsidR="001F1A78">
        <w:fldChar w:fldCharType="separate"/>
      </w:r>
      <w:r w:rsidR="00967900" w:rsidRPr="00967900">
        <w:t>(Blanchard &amp; Waddell, 2017)</w:t>
      </w:r>
      <w:r w:rsidR="001F1A78">
        <w:fldChar w:fldCharType="end"/>
      </w:r>
      <w:r w:rsidR="001F1A78">
        <w:t xml:space="preserve"> </w:t>
      </w:r>
      <w:r w:rsidR="00E32A12">
        <w:t>to compute</w:t>
      </w:r>
      <w:r w:rsidR="00AD68E2">
        <w:t xml:space="preserve"> and integrate together</w:t>
      </w:r>
      <w:r w:rsidR="00E32A12">
        <w:t xml:space="preserve"> General Transit Feed Specification (GTFS) </w:t>
      </w:r>
      <w:r w:rsidR="00646D42">
        <w:t>data and OpenStreetMap (OSM) road networks</w:t>
      </w:r>
      <w:r w:rsidR="00F0542F">
        <w:t xml:space="preserve"> as a graph</w:t>
      </w:r>
      <w:r w:rsidR="00646D42">
        <w:t>.</w:t>
      </w:r>
      <w:r w:rsidR="003064BC">
        <w:t xml:space="preserve"> </w:t>
      </w:r>
      <w:r w:rsidR="00FD12F8">
        <w:t xml:space="preserve">The former is the standard format for public transit data, which is publicly available for Knox County, while the latter contains information on whether roads can be walked, biked, and/or driven on, their directionality, and maximum speed. </w:t>
      </w:r>
      <w:r w:rsidR="00A90FE1">
        <w:t xml:space="preserve">The nearest transit </w:t>
      </w:r>
      <w:proofErr w:type="gramStart"/>
      <w:r w:rsidR="00A90FE1">
        <w:t>stop</w:t>
      </w:r>
      <w:proofErr w:type="gramEnd"/>
      <w:r w:rsidR="00A90FE1">
        <w:t xml:space="preserve"> or </w:t>
      </w:r>
      <w:r w:rsidR="00DE1342">
        <w:t>OSM node (</w:t>
      </w:r>
      <w:r w:rsidR="00D8229D">
        <w:t xml:space="preserve">e.g., a point feature defining </w:t>
      </w:r>
      <w:r w:rsidR="00231E60">
        <w:t>part of a road</w:t>
      </w:r>
      <w:r w:rsidR="00D8229D">
        <w:t xml:space="preserve">) </w:t>
      </w:r>
      <w:r w:rsidR="00770041">
        <w:t>was</w:t>
      </w:r>
      <w:r w:rsidR="00D8229D">
        <w:t xml:space="preserve"> identified for </w:t>
      </w:r>
      <w:r w:rsidR="006E2809">
        <w:t>a</w:t>
      </w:r>
      <w:r w:rsidR="0029555D">
        <w:t>ll locations in the trajectories dataset</w:t>
      </w:r>
      <w:r w:rsidR="006E2809">
        <w:t xml:space="preserve">. </w:t>
      </w:r>
      <w:r w:rsidR="00F0542F">
        <w:t xml:space="preserve">Edges are the road segments weighted by the time required to traverse them. </w:t>
      </w:r>
      <w:r w:rsidR="006E2809">
        <w:t>Because every subsequent row</w:t>
      </w:r>
      <w:r w:rsidR="00251E0F">
        <w:t xml:space="preserve"> except for the last contains information about a person’s </w:t>
      </w:r>
      <w:r w:rsidR="0061474C">
        <w:t xml:space="preserve">different visited locations, it is easy to </w:t>
      </w:r>
      <w:r w:rsidR="004638D1">
        <w:t>identify every pair of their current and next location.</w:t>
      </w:r>
      <w:r w:rsidR="00627808">
        <w:t xml:space="preserve"> </w:t>
      </w:r>
      <w:r w:rsidR="008676E1">
        <w:t>To generate plausible routes</w:t>
      </w:r>
      <w:r w:rsidR="008428D8">
        <w:t xml:space="preserve"> between locations</w:t>
      </w:r>
      <w:r w:rsidR="008676E1">
        <w:t xml:space="preserve">, </w:t>
      </w:r>
      <w:r w:rsidR="008428D8">
        <w:t>shortest paths were computed with the Python library Pandas Network Analysis (‘</w:t>
      </w:r>
      <w:proofErr w:type="spellStart"/>
      <w:r w:rsidR="008428D8">
        <w:t>pandana</w:t>
      </w:r>
      <w:proofErr w:type="spellEnd"/>
      <w:r w:rsidR="008428D8">
        <w:t>’)</w:t>
      </w:r>
      <w:r w:rsidR="007A64B5">
        <w:t xml:space="preserve"> </w:t>
      </w:r>
      <w:r w:rsidR="007A64B5">
        <w:fldChar w:fldCharType="begin"/>
      </w:r>
      <w:r w:rsidR="0062678C">
        <w:instrText xml:space="preserve"> ADDIN ZOTERO_ITEM CSL_CITATION {"citationID":"6jQy5AF1","properties":{"formattedCitation":"(Foti et al., 2012)","plainCitation":"(Foti et al., 2012)","noteIndex":0},"citationItems":[{"id":1789,"uris":["http://zotero.org/users/5090392/items/RJTXL38H"],"itemData":{"id":1789,"type":"paper-conference","abstract":"Travel models, including activity-based travel models developed in recent years, still generally use traﬃc analysis zones and ignore local streets in their network representation. In short, they ignore walking scale access and movements. This is a well-known and very problematic limitation in current travel models, and by extension, in integrated land use and transportation models, even if the land use models are at a parcel level.","event-place":"Tampa, Florida, USA","event-title":"4th Transportation Research Board Conference on Innovations in Travel Modeling (ITM)","language":"en","page":"14","publisher":"Transportation Research Board","publisher-place":"Tampa, Florida, USA","source":"Zotero","title":"A Generalized Computational Framework for Accessibility: From the Pedestrian to the Metropolitan Scale","author":[{"family":"Foti","given":"Fletcher"},{"family":"Waddell","given":"Paul"},{"family":"Luxen","given":"Dennis"}],"issued":{"date-parts":[["2012",2,22]]}}}],"schema":"https://github.com/citation-style-language/schema/raw/master/csl-citation.json"} </w:instrText>
      </w:r>
      <w:r w:rsidR="007A64B5">
        <w:fldChar w:fldCharType="separate"/>
      </w:r>
      <w:r w:rsidR="0062678C" w:rsidRPr="0062678C">
        <w:t>(Foti et al., 2012)</w:t>
      </w:r>
      <w:r w:rsidR="007A64B5">
        <w:fldChar w:fldCharType="end"/>
      </w:r>
      <w:r w:rsidR="008428D8">
        <w:t xml:space="preserve">. </w:t>
      </w:r>
      <w:proofErr w:type="spellStart"/>
      <w:r w:rsidR="008428D8">
        <w:t>Pandana</w:t>
      </w:r>
      <w:proofErr w:type="spellEnd"/>
      <w:r w:rsidR="008428D8">
        <w:t xml:space="preserve"> uses </w:t>
      </w:r>
      <w:r w:rsidR="00E60C66">
        <w:t xml:space="preserve">the </w:t>
      </w:r>
      <w:r w:rsidR="008428D8">
        <w:t xml:space="preserve">contraction hierarchies </w:t>
      </w:r>
      <w:r w:rsidR="001C133E">
        <w:t>(CH) algorithm</w:t>
      </w:r>
      <w:r w:rsidR="0026020C">
        <w:t xml:space="preserve"> </w:t>
      </w:r>
      <w:r w:rsidR="0026020C">
        <w:fldChar w:fldCharType="begin"/>
      </w:r>
      <w:r w:rsidR="0026020C">
        <w:instrText xml:space="preserve"> ADDIN ZOTERO_ITEM CSL_CITATION {"citationID":"xeeU3cdi","properties":{"formattedCitation":"(Geisberger et al., 2012)","plainCitation":"(Geisberger et al., 2012)","noteIndex":0},"citationItems":[{"id":1790,"uris":["http://zotero.org/users/5090392/items/VWM7TZIY"],"itemData":{"id":1790,"type":"article-journal","abstract":"Contraction hierarchies are a simple approach for fast routing in road networks. Our algorithm calculates exact shortest paths and handles road networks of whole continents. During a preprocessing step, we exploit the inherent hierarchical structure of road networks by adding shortcut edges. A subsequent modified bidirectional Dijkstra algorithm can then find a shortest path in a fraction of a millisecond, visiting only a few hundred nodes. This small search space makes it suitable to implement it on a mobile device. We present a mobile implementation that also handles changes in the road network, like traffic jams, and that allows instantaneous routing without noticeable delay for the user. Also, an algorithm to calculate large distance tables is currently the fastest if based on contraction hierarchies.","container-title":"Transportation Science","DOI":"10.1287/trsc.1110.0401","ISSN":"0041-1655","issue":"3","note":"publisher: INFORMS","page":"388-404","source":"pubsonline.informs.org (Atypon)","title":"Exact Routing in Large Road Networks Using Contraction Hierarchies","URL":"https://pubsonline.informs.org/doi/10.1287/trsc.1110.0401","volume":"46","author":[{"family":"Geisberger","given":"Robert"},{"family":"Sanders","given":"Peter"},{"family":"Schultes","given":"Dominik"},{"family":"Vetter","given":"Christian"}],"accessed":{"date-parts":[["2022",6,23]]},"issued":{"date-parts":[["2012",8]]}}}],"schema":"https://github.com/citation-style-language/schema/raw/master/csl-citation.json"} </w:instrText>
      </w:r>
      <w:r w:rsidR="0026020C">
        <w:fldChar w:fldCharType="separate"/>
      </w:r>
      <w:r w:rsidR="00967900" w:rsidRPr="00967900">
        <w:t>(Geisberger et al., 2012)</w:t>
      </w:r>
      <w:r w:rsidR="0026020C">
        <w:fldChar w:fldCharType="end"/>
      </w:r>
      <w:r w:rsidR="00E60C66">
        <w:t xml:space="preserve"> </w:t>
      </w:r>
      <w:r w:rsidR="001C133E">
        <w:t xml:space="preserve">comprised of two phases </w:t>
      </w:r>
      <w:r w:rsidR="00E60C66">
        <w:t>to speed</w:t>
      </w:r>
      <w:r w:rsidR="002A7E1C">
        <w:t xml:space="preserve"> up the process of finding the shortest path</w:t>
      </w:r>
      <w:r w:rsidR="001C133E">
        <w:t>. CH is based on the idea that r</w:t>
      </w:r>
      <w:r w:rsidR="00F0542F">
        <w:t>oad networks are hierarchical whereby some intersections are more important (‘higher up’) in the hierarchy than other in</w:t>
      </w:r>
      <w:r w:rsidR="00D31E7D">
        <w:t>ter</w:t>
      </w:r>
      <w:r w:rsidR="00F0542F">
        <w:t xml:space="preserve">sections (e.g., </w:t>
      </w:r>
      <w:r w:rsidR="00D31E7D">
        <w:t>highway junction vs.</w:t>
      </w:r>
      <w:r w:rsidR="00D65CE5">
        <w:t xml:space="preserve"> dead-end</w:t>
      </w:r>
      <w:r w:rsidR="00D31E7D">
        <w:t xml:space="preserve"> junction</w:t>
      </w:r>
      <w:r w:rsidR="00162592">
        <w:t>).</w:t>
      </w:r>
      <w:r w:rsidR="001C133E">
        <w:t xml:space="preserve"> </w:t>
      </w:r>
      <w:r w:rsidR="00FD12F8">
        <w:t>In the preprocessing phase, h</w:t>
      </w:r>
      <w:r w:rsidR="001C133E">
        <w:t>euristics to compute and save the distance between important junction</w:t>
      </w:r>
      <w:r w:rsidR="00FD12F8">
        <w:t xml:space="preserve">s, and therefore render other junctions ‘unimportant,’ are used to </w:t>
      </w:r>
      <w:r w:rsidR="001C133E">
        <w:t>reduce the overhead and time required to compute the full path distance between junctions.</w:t>
      </w:r>
      <w:r w:rsidR="00FD12F8">
        <w:t xml:space="preserve"> This</w:t>
      </w:r>
      <w:r w:rsidR="00DD1B6D">
        <w:t xml:space="preserve"> effectively keeps the search space small and</w:t>
      </w:r>
      <w:r w:rsidR="00FD12F8">
        <w:t xml:space="preserve"> is one advantage over Dijkstra’s algorithm for computing shortest paths.</w:t>
      </w:r>
      <w:r w:rsidR="00DD1B6D">
        <w:t xml:space="preserve"> In the query phase, a bidirectional search is carried out from both the starting and target nodes to identify the vertices leading to more important nodes that are </w:t>
      </w:r>
      <w:r w:rsidR="00DD1B6D">
        <w:lastRenderedPageBreak/>
        <w:t xml:space="preserve">between them. </w:t>
      </w:r>
      <w:r w:rsidR="00E464FE">
        <w:t xml:space="preserve">Ultimately, the query returns the travel time or distance and </w:t>
      </w:r>
      <w:r w:rsidR="009D39BE">
        <w:t xml:space="preserve">the </w:t>
      </w:r>
      <w:r w:rsidR="00E464FE">
        <w:t>shortest route between two nodes</w:t>
      </w:r>
      <w:r w:rsidR="00697517">
        <w:t>.</w:t>
      </w:r>
      <w:r w:rsidR="00E24420">
        <w:t xml:space="preserve"> The output of this is </w:t>
      </w:r>
      <w:r w:rsidR="00393B5B">
        <w:t>a</w:t>
      </w:r>
      <w:r w:rsidR="00E24420">
        <w:t xml:space="preserve"> .csv file</w:t>
      </w:r>
      <w:r w:rsidR="00393B5B">
        <w:t xml:space="preserve"> </w:t>
      </w:r>
      <w:r w:rsidR="00C06E45">
        <w:t>‘</w:t>
      </w:r>
      <w:r w:rsidR="00C06E45" w:rsidRPr="00C06E45">
        <w:t>Scenarios_Synthetic_Data_Trajectories.csv</w:t>
      </w:r>
      <w:r w:rsidR="00C06E45">
        <w:t>.’</w:t>
      </w:r>
    </w:p>
    <w:p w14:paraId="763B4913" w14:textId="0F0CB531" w:rsidR="00547A50" w:rsidRDefault="004F3D9D" w:rsidP="00156BEA">
      <w:pPr>
        <w:spacing w:line="480" w:lineRule="auto"/>
      </w:pPr>
      <w:r>
        <w:tab/>
      </w:r>
      <w:r w:rsidR="00F37484">
        <w:t xml:space="preserve">Solving issue two is simple given that there is information about a person’s </w:t>
      </w:r>
      <w:r w:rsidR="001E48AD">
        <w:t xml:space="preserve">fixed activities. The </w:t>
      </w:r>
      <w:proofErr w:type="spellStart"/>
      <w:r w:rsidR="001E48AD">
        <w:rPr>
          <w:i/>
          <w:iCs/>
        </w:rPr>
        <w:t>fixed_activity</w:t>
      </w:r>
      <w:proofErr w:type="spellEnd"/>
      <w:r w:rsidR="001E48AD">
        <w:t xml:space="preserve"> field</w:t>
      </w:r>
      <w:r w:rsidR="006B4770">
        <w:t xml:space="preserve"> records whether the given activity is fixed</w:t>
      </w:r>
      <w:r w:rsidR="00180C26">
        <w:t xml:space="preserve"> (y) or not (n). </w:t>
      </w:r>
      <w:r w:rsidR="00C35FDC" w:rsidRPr="00C35FDC">
        <w:t>Discretionary time periods were identified and calculated based on a person's daily activities -- work, sleep, school, and other similar activities are mandatory</w:t>
      </w:r>
      <w:r w:rsidR="00C35FDC">
        <w:t>/fixed</w:t>
      </w:r>
      <w:r w:rsidR="00C35FDC" w:rsidRPr="00C35FDC">
        <w:t xml:space="preserve"> while working out, shopping, etc., are discretionary</w:t>
      </w:r>
      <w:r w:rsidR="00C35FDC">
        <w:t>/flexible</w:t>
      </w:r>
      <w:r w:rsidR="00C35FDC" w:rsidRPr="00C35FDC">
        <w:t xml:space="preserve"> activities.</w:t>
      </w:r>
      <w:r w:rsidR="00C35FDC">
        <w:t xml:space="preserve"> </w:t>
      </w:r>
      <w:r w:rsidR="00951F4C">
        <w:t xml:space="preserve">To determine the total </w:t>
      </w:r>
      <w:r w:rsidR="00E72016">
        <w:t>period(s) of flexible time for each individual, the following algorithm was implemented</w:t>
      </w:r>
      <w:r w:rsidR="00547A50">
        <w:t xml:space="preserve"> on the original individual </w:t>
      </w:r>
      <w:proofErr w:type="gramStart"/>
      <w:r w:rsidR="00547A50">
        <w:t>trajectories</w:t>
      </w:r>
      <w:proofErr w:type="gramEnd"/>
      <w:r w:rsidR="00547A50">
        <w:t xml:space="preserve"> dataset</w:t>
      </w:r>
      <w:r w:rsidR="00E72016">
        <w:t>:</w:t>
      </w:r>
    </w:p>
    <w:p w14:paraId="685C7FFF" w14:textId="77777777" w:rsidR="00301F0A" w:rsidRDefault="006E5332" w:rsidP="00C0146B">
      <w:pPr>
        <w:pStyle w:val="ListParagraph"/>
        <w:keepNext/>
        <w:numPr>
          <w:ilvl w:val="0"/>
          <w:numId w:val="4"/>
        </w:numPr>
        <w:spacing w:line="480" w:lineRule="auto"/>
      </w:pPr>
      <w:r>
        <w:t>Record the</w:t>
      </w:r>
      <w:r w:rsidR="000148FF">
        <w:t xml:space="preserve"> activity </w:t>
      </w:r>
      <w:r w:rsidR="009E392D">
        <w:t xml:space="preserve">and travel </w:t>
      </w:r>
      <w:r w:rsidR="000148FF">
        <w:t xml:space="preserve">type of the next row in the trajectory dataset in each row as </w:t>
      </w:r>
      <w:r w:rsidR="009E392D">
        <w:t>two</w:t>
      </w:r>
      <w:r w:rsidR="000148FF">
        <w:t xml:space="preserve"> new field</w:t>
      </w:r>
      <w:r w:rsidR="009E392D">
        <w:t>s</w:t>
      </w:r>
      <w:r w:rsidR="000148FF">
        <w:t xml:space="preserve">. </w:t>
      </w:r>
      <w:r w:rsidR="00F256EB">
        <w:t>Specifically, s</w:t>
      </w:r>
      <w:r w:rsidR="009C3E3C">
        <w:t xml:space="preserve">plit </w:t>
      </w:r>
      <w:r w:rsidR="00F5695A">
        <w:t xml:space="preserve">data into groups for </w:t>
      </w:r>
      <w:proofErr w:type="gramStart"/>
      <w:r w:rsidR="00F5695A">
        <w:t>each individual</w:t>
      </w:r>
      <w:proofErr w:type="gramEnd"/>
      <w:r w:rsidR="006E1B9C">
        <w:t xml:space="preserve">, </w:t>
      </w:r>
      <w:r w:rsidR="001B1770">
        <w:t xml:space="preserve">shift </w:t>
      </w:r>
      <w:r w:rsidR="000647C4">
        <w:t xml:space="preserve">the index </w:t>
      </w:r>
      <w:r w:rsidR="006E1B9C">
        <w:t>up one period</w:t>
      </w:r>
      <w:r w:rsidR="00E460B8">
        <w:t xml:space="preserve">, and record the new </w:t>
      </w:r>
      <w:proofErr w:type="spellStart"/>
      <w:r w:rsidR="00E460B8">
        <w:rPr>
          <w:i/>
          <w:iCs/>
        </w:rPr>
        <w:t>fixed</w:t>
      </w:r>
      <w:r w:rsidR="00E460B8">
        <w:rPr>
          <w:i/>
          <w:iCs/>
        </w:rPr>
        <w:softHyphen/>
        <w:t>_activity</w:t>
      </w:r>
      <w:proofErr w:type="spellEnd"/>
      <w:r w:rsidR="00E460B8">
        <w:t xml:space="preserve"> </w:t>
      </w:r>
      <w:r w:rsidR="009E392D">
        <w:t xml:space="preserve">and </w:t>
      </w:r>
      <w:proofErr w:type="spellStart"/>
      <w:r w:rsidR="009E392D">
        <w:rPr>
          <w:i/>
          <w:iCs/>
        </w:rPr>
        <w:t>travel_type</w:t>
      </w:r>
      <w:proofErr w:type="spellEnd"/>
      <w:r w:rsidR="009E392D">
        <w:rPr>
          <w:i/>
          <w:iCs/>
        </w:rPr>
        <w:t xml:space="preserve"> </w:t>
      </w:r>
      <w:r w:rsidR="00E460B8">
        <w:t>value</w:t>
      </w:r>
      <w:r w:rsidR="001041AA">
        <w:t>s</w:t>
      </w:r>
      <w:r w:rsidR="00E460B8">
        <w:t xml:space="preserve"> as </w:t>
      </w:r>
      <w:r>
        <w:t>the value</w:t>
      </w:r>
      <w:r w:rsidR="001041AA">
        <w:t>s</w:t>
      </w:r>
      <w:r>
        <w:t xml:space="preserve"> for </w:t>
      </w:r>
      <w:r w:rsidR="001041AA">
        <w:t>two</w:t>
      </w:r>
      <w:r>
        <w:t xml:space="preserve"> new field</w:t>
      </w:r>
      <w:r w:rsidR="001041AA">
        <w:t>s</w:t>
      </w:r>
      <w:r>
        <w:t xml:space="preserve"> </w:t>
      </w:r>
      <w:proofErr w:type="spellStart"/>
      <w:r>
        <w:rPr>
          <w:i/>
          <w:iCs/>
        </w:rPr>
        <w:t>fa_shift</w:t>
      </w:r>
      <w:proofErr w:type="spellEnd"/>
      <w:r w:rsidR="001041AA">
        <w:rPr>
          <w:i/>
          <w:iCs/>
        </w:rPr>
        <w:t xml:space="preserve"> </w:t>
      </w:r>
      <w:r w:rsidR="001041AA">
        <w:t xml:space="preserve">and </w:t>
      </w:r>
      <w:proofErr w:type="spellStart"/>
      <w:r w:rsidR="001041AA">
        <w:rPr>
          <w:i/>
          <w:iCs/>
        </w:rPr>
        <w:t>tt_shift</w:t>
      </w:r>
      <w:proofErr w:type="spellEnd"/>
      <w:r w:rsidR="00950263">
        <w:t>. The Python code is shown in Figure 7</w:t>
      </w:r>
      <w:r>
        <w:t>.</w:t>
      </w:r>
    </w:p>
    <w:p w14:paraId="4EA33DC3" w14:textId="77777777" w:rsidR="00301F0A" w:rsidRDefault="00301F0A" w:rsidP="00301F0A">
      <w:pPr>
        <w:pStyle w:val="ListParagraph"/>
        <w:numPr>
          <w:ilvl w:val="0"/>
          <w:numId w:val="4"/>
        </w:numPr>
        <w:spacing w:line="480" w:lineRule="auto"/>
      </w:pPr>
      <w:r>
        <w:t xml:space="preserve">Retain only rows for discretionary activities. Specifically, filter all activities/rows where the current or next locations in a person’s trajectory are not fixed (i.e., </w:t>
      </w:r>
      <w:proofErr w:type="spellStart"/>
      <w:r w:rsidRPr="00BA1DE1">
        <w:rPr>
          <w:i/>
          <w:iCs/>
        </w:rPr>
        <w:t>fixed_activity</w:t>
      </w:r>
      <w:proofErr w:type="spellEnd"/>
      <w:r>
        <w:t xml:space="preserve"> == ‘n’ or </w:t>
      </w:r>
      <w:proofErr w:type="spellStart"/>
      <w:r w:rsidRPr="00BA1DE1">
        <w:rPr>
          <w:i/>
          <w:iCs/>
        </w:rPr>
        <w:t>fa_shift</w:t>
      </w:r>
      <w:proofErr w:type="spellEnd"/>
      <w:r>
        <w:t xml:space="preserve"> == ‘n’.)</w:t>
      </w:r>
    </w:p>
    <w:p w14:paraId="678536CE" w14:textId="77777777" w:rsidR="00301F0A" w:rsidRDefault="00301F0A" w:rsidP="00301F0A">
      <w:pPr>
        <w:pStyle w:val="ListParagraph"/>
        <w:numPr>
          <w:ilvl w:val="0"/>
          <w:numId w:val="4"/>
        </w:numPr>
        <w:spacing w:line="480" w:lineRule="auto"/>
      </w:pPr>
      <w:r>
        <w:t xml:space="preserve">Calculate the total amount of discretionary time in each discretionary </w:t>
      </w:r>
      <w:proofErr w:type="gramStart"/>
      <w:r>
        <w:t>time period</w:t>
      </w:r>
      <w:proofErr w:type="gramEnd"/>
      <w:r>
        <w:t xml:space="preserve"> for each individual. Specifically:</w:t>
      </w:r>
    </w:p>
    <w:p w14:paraId="38E1B5C4" w14:textId="77777777" w:rsidR="00301F0A" w:rsidRDefault="00301F0A" w:rsidP="00301F0A">
      <w:pPr>
        <w:pStyle w:val="ListParagraph"/>
        <w:numPr>
          <w:ilvl w:val="1"/>
          <w:numId w:val="4"/>
        </w:numPr>
        <w:spacing w:line="480" w:lineRule="auto"/>
      </w:pPr>
      <w:r>
        <w:t>For each row/activity:</w:t>
      </w:r>
    </w:p>
    <w:p w14:paraId="11A1851E" w14:textId="7B533629" w:rsidR="00301F0A" w:rsidRDefault="00301F0A" w:rsidP="00301F0A">
      <w:pPr>
        <w:pStyle w:val="ListParagraph"/>
        <w:numPr>
          <w:ilvl w:val="2"/>
          <w:numId w:val="4"/>
        </w:numPr>
        <w:spacing w:line="480" w:lineRule="auto"/>
      </w:pPr>
      <w:r>
        <w:t xml:space="preserve">If the current activity is fixed AND the next activity is not fixed: set the available discretionary time to 0, and record the </w:t>
      </w:r>
      <w:proofErr w:type="spellStart"/>
      <w:r>
        <w:rPr>
          <w:i/>
          <w:iCs/>
        </w:rPr>
        <w:t>person_id</w:t>
      </w:r>
      <w:proofErr w:type="spellEnd"/>
      <w:r>
        <w:t xml:space="preserve">, </w:t>
      </w:r>
      <w:proofErr w:type="spellStart"/>
      <w:r>
        <w:rPr>
          <w:i/>
          <w:iCs/>
        </w:rPr>
        <w:t>travel_type</w:t>
      </w:r>
      <w:proofErr w:type="spellEnd"/>
      <w:r>
        <w:t xml:space="preserve">, starting time of the person’s discretionary period as the value of </w:t>
      </w:r>
      <w:proofErr w:type="spellStart"/>
      <w:r>
        <w:rPr>
          <w:i/>
          <w:iCs/>
        </w:rPr>
        <w:t>time_shift</w:t>
      </w:r>
      <w:proofErr w:type="spellEnd"/>
      <w:r>
        <w:t xml:space="preserve">, and starting location as the value of </w:t>
      </w:r>
      <w:proofErr w:type="spellStart"/>
      <w:r>
        <w:rPr>
          <w:i/>
          <w:iCs/>
        </w:rPr>
        <w:t>latlon_shift</w:t>
      </w:r>
      <w:proofErr w:type="spellEnd"/>
      <w:r>
        <w:t>.</w:t>
      </w:r>
    </w:p>
    <w:p w14:paraId="2E167058" w14:textId="3FA7562B" w:rsidR="00C0146B" w:rsidRPr="00301F0A" w:rsidRDefault="007E60AE" w:rsidP="00301F0A">
      <w:pPr>
        <w:pStyle w:val="ListParagraph"/>
        <w:keepNext/>
        <w:spacing w:line="480" w:lineRule="auto"/>
        <w:jc w:val="center"/>
      </w:pPr>
      <w:commentRangeStart w:id="94"/>
      <w:commentRangeStart w:id="95"/>
      <w:r w:rsidRPr="00301F0A">
        <w:rPr>
          <w:noProof/>
        </w:rPr>
        <w:lastRenderedPageBreak/>
        <w:drawing>
          <wp:inline distT="0" distB="0" distL="0" distR="0" wp14:anchorId="6DF5D953" wp14:editId="478C6970">
            <wp:extent cx="4549192" cy="1002183"/>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58849" cy="1004310"/>
                    </a:xfrm>
                    <a:prstGeom prst="rect">
                      <a:avLst/>
                    </a:prstGeom>
                  </pic:spPr>
                </pic:pic>
              </a:graphicData>
            </a:graphic>
          </wp:inline>
        </w:drawing>
      </w:r>
      <w:commentRangeEnd w:id="94"/>
      <w:commentRangeEnd w:id="95"/>
    </w:p>
    <w:p w14:paraId="2DE0A55B" w14:textId="15477B88" w:rsidR="00C0146B" w:rsidRPr="00301F0A" w:rsidRDefault="00C0146B" w:rsidP="00301F0A">
      <w:pPr>
        <w:pStyle w:val="Caption"/>
        <w:jc w:val="center"/>
        <w:rPr>
          <w:color w:val="auto"/>
        </w:rPr>
      </w:pPr>
      <w:bookmarkStart w:id="96" w:name="_Toc114258105"/>
      <w:r w:rsidRPr="00301F0A">
        <w:rPr>
          <w:color w:val="auto"/>
        </w:rPr>
        <w:t xml:space="preserve">Figure </w:t>
      </w:r>
      <w:r w:rsidR="00B9244D" w:rsidRPr="00301F0A">
        <w:rPr>
          <w:color w:val="auto"/>
        </w:rPr>
        <w:fldChar w:fldCharType="begin"/>
      </w:r>
      <w:r w:rsidR="00B9244D" w:rsidRPr="00301F0A">
        <w:rPr>
          <w:color w:val="auto"/>
        </w:rPr>
        <w:instrText xml:space="preserve"> SEQ Figure \* ARABIC </w:instrText>
      </w:r>
      <w:r w:rsidR="00B9244D" w:rsidRPr="00301F0A">
        <w:rPr>
          <w:color w:val="auto"/>
        </w:rPr>
        <w:fldChar w:fldCharType="separate"/>
      </w:r>
      <w:r w:rsidR="00C42D79">
        <w:rPr>
          <w:noProof/>
          <w:color w:val="auto"/>
        </w:rPr>
        <w:t>7</w:t>
      </w:r>
      <w:r w:rsidR="00B9244D" w:rsidRPr="00301F0A">
        <w:rPr>
          <w:noProof/>
          <w:color w:val="auto"/>
        </w:rPr>
        <w:fldChar w:fldCharType="end"/>
      </w:r>
      <w:r w:rsidRPr="00301F0A">
        <w:rPr>
          <w:color w:val="auto"/>
        </w:rPr>
        <w:t>. Screenshot of code for recording activity and travel type of the following row in the trajectory</w:t>
      </w:r>
      <w:r w:rsidRPr="00301F0A">
        <w:rPr>
          <w:noProof/>
          <w:color w:val="auto"/>
        </w:rPr>
        <w:t xml:space="preserve"> dataset</w:t>
      </w:r>
      <w:bookmarkEnd w:id="96"/>
    </w:p>
    <w:p w14:paraId="513B9ADD" w14:textId="77777777" w:rsidR="00301F0A" w:rsidRDefault="00035637" w:rsidP="00301F0A">
      <w:pPr>
        <w:spacing w:line="480" w:lineRule="auto"/>
      </w:pPr>
      <w:r>
        <w:rPr>
          <w:rStyle w:val="CommentReference"/>
        </w:rPr>
        <w:commentReference w:id="94"/>
      </w:r>
      <w:r w:rsidR="000E30AE">
        <w:rPr>
          <w:rStyle w:val="CommentReference"/>
        </w:rPr>
        <w:commentReference w:id="95"/>
      </w:r>
    </w:p>
    <w:p w14:paraId="7CD61680" w14:textId="77777777" w:rsidR="00301F0A" w:rsidRDefault="00301F0A">
      <w:r>
        <w:br w:type="page"/>
      </w:r>
    </w:p>
    <w:p w14:paraId="05CDA4AB" w14:textId="0C1768F6" w:rsidR="00390EE7" w:rsidRDefault="00390EE7" w:rsidP="00156BEA">
      <w:pPr>
        <w:pStyle w:val="ListParagraph"/>
        <w:numPr>
          <w:ilvl w:val="2"/>
          <w:numId w:val="4"/>
        </w:numPr>
        <w:spacing w:line="480" w:lineRule="auto"/>
      </w:pPr>
      <w:r>
        <w:lastRenderedPageBreak/>
        <w:t xml:space="preserve">Else, if the current activity is not fixed AND the next activity is not fixed: </w:t>
      </w:r>
      <w:r w:rsidR="00F547B2">
        <w:t xml:space="preserve">add the value of </w:t>
      </w:r>
      <w:proofErr w:type="spellStart"/>
      <w:r w:rsidR="00F547B2">
        <w:rPr>
          <w:i/>
          <w:iCs/>
        </w:rPr>
        <w:t>time</w:t>
      </w:r>
      <w:r w:rsidR="00F547B2">
        <w:rPr>
          <w:i/>
          <w:iCs/>
        </w:rPr>
        <w:softHyphen/>
        <w:t>_available</w:t>
      </w:r>
      <w:proofErr w:type="spellEnd"/>
      <w:r w:rsidR="00F547B2">
        <w:t xml:space="preserve"> to the total available discretionary time counter.</w:t>
      </w:r>
    </w:p>
    <w:p w14:paraId="7922643B" w14:textId="167E5EAC" w:rsidR="00F547B2" w:rsidRDefault="00F547B2" w:rsidP="00156BEA">
      <w:pPr>
        <w:pStyle w:val="ListParagraph"/>
        <w:numPr>
          <w:ilvl w:val="2"/>
          <w:numId w:val="4"/>
        </w:numPr>
        <w:spacing w:line="480" w:lineRule="auto"/>
      </w:pPr>
      <w:r>
        <w:t>Else, if the current activity is not fixed AND the next activity is fixed:</w:t>
      </w:r>
      <w:r w:rsidR="007629C0">
        <w:t xml:space="preserve"> add the value of </w:t>
      </w:r>
      <w:proofErr w:type="spellStart"/>
      <w:r w:rsidR="007629C0">
        <w:rPr>
          <w:i/>
          <w:iCs/>
        </w:rPr>
        <w:t>time_available</w:t>
      </w:r>
      <w:proofErr w:type="spellEnd"/>
      <w:r w:rsidR="007629C0">
        <w:rPr>
          <w:i/>
          <w:iCs/>
        </w:rPr>
        <w:t xml:space="preserve"> </w:t>
      </w:r>
      <w:r w:rsidR="007629C0" w:rsidRPr="003974BC">
        <w:t xml:space="preserve">to the total available discretionary time </w:t>
      </w:r>
      <w:r w:rsidR="003974BC" w:rsidRPr="003974BC">
        <w:t>counter</w:t>
      </w:r>
      <w:r w:rsidR="003974BC">
        <w:t xml:space="preserve"> and</w:t>
      </w:r>
      <w:r w:rsidR="007629C0">
        <w:t xml:space="preserve"> record the ending time and location of the person’s discretionary period as the value of </w:t>
      </w:r>
      <w:proofErr w:type="spellStart"/>
      <w:r w:rsidR="002F1E84">
        <w:rPr>
          <w:i/>
          <w:iCs/>
        </w:rPr>
        <w:t>free_time_end</w:t>
      </w:r>
      <w:proofErr w:type="spellEnd"/>
      <w:r w:rsidR="002F1E84">
        <w:rPr>
          <w:i/>
          <w:iCs/>
        </w:rPr>
        <w:t xml:space="preserve"> </w:t>
      </w:r>
      <w:r w:rsidR="002F1E84">
        <w:t xml:space="preserve">and </w:t>
      </w:r>
      <w:proofErr w:type="spellStart"/>
      <w:r w:rsidR="002F1E84">
        <w:rPr>
          <w:i/>
          <w:iCs/>
        </w:rPr>
        <w:t>latlon_end</w:t>
      </w:r>
      <w:proofErr w:type="spellEnd"/>
      <w:r w:rsidR="002F1E84">
        <w:t>.</w:t>
      </w:r>
    </w:p>
    <w:p w14:paraId="1ECB1D9C" w14:textId="78FAC124" w:rsidR="000C1AEE" w:rsidRDefault="00D8438F" w:rsidP="00156BEA">
      <w:pPr>
        <w:spacing w:line="480" w:lineRule="auto"/>
      </w:pPr>
      <w:r>
        <w:t xml:space="preserve">The result is a spreadsheet where each row represents </w:t>
      </w:r>
      <w:r w:rsidR="00E81082">
        <w:t xml:space="preserve">an individual’s discretionary </w:t>
      </w:r>
      <w:proofErr w:type="gramStart"/>
      <w:r w:rsidR="00E81082">
        <w:t>time period</w:t>
      </w:r>
      <w:proofErr w:type="gramEnd"/>
      <w:r w:rsidR="00E81082">
        <w:t xml:space="preserve"> complete with details about their location </w:t>
      </w:r>
      <w:r w:rsidR="00880D48">
        <w:t xml:space="preserve">and timestamp </w:t>
      </w:r>
      <w:r w:rsidR="00E81082">
        <w:t>at the start and end of that period</w:t>
      </w:r>
      <w:r w:rsidR="00880D48">
        <w:t xml:space="preserve"> as well as their mode of transportation. This enables for the calculation of space-time prisms as discussed </w:t>
      </w:r>
      <w:r w:rsidR="00703F21">
        <w:t>in the next paragraph.</w:t>
      </w:r>
    </w:p>
    <w:p w14:paraId="2F77CAB0" w14:textId="1D4835A1" w:rsidR="00EA2263" w:rsidRDefault="007533F8" w:rsidP="00156BEA">
      <w:pPr>
        <w:spacing w:line="480" w:lineRule="auto"/>
        <w:ind w:firstLine="720"/>
      </w:pPr>
      <w:r>
        <w:t xml:space="preserve">Determining the </w:t>
      </w:r>
      <w:r w:rsidR="00BC2736">
        <w:t>possibl</w:t>
      </w:r>
      <w:r w:rsidR="0042548A">
        <w:t xml:space="preserve">e areas people can visit </w:t>
      </w:r>
      <w:r w:rsidR="008F3055">
        <w:t>over time</w:t>
      </w:r>
      <w:r w:rsidR="0010115E">
        <w:t xml:space="preserve"> is useful for understanding the opportunities available to people</w:t>
      </w:r>
      <w:r w:rsidR="001D25FA">
        <w:t xml:space="preserve">; if the location of </w:t>
      </w:r>
      <w:r w:rsidR="00F274AD">
        <w:t>a potential opportunity exists within the space-time prism, it can be reached</w:t>
      </w:r>
      <w:r w:rsidR="00895D16">
        <w:t xml:space="preserve">. </w:t>
      </w:r>
      <w:r w:rsidR="000F4178">
        <w:t>A space-time prism in the context of food access should be sensitive to not just travel time but also activity participation time</w:t>
      </w:r>
      <w:r w:rsidR="0047245D">
        <w:t xml:space="preserve">, and this directly relates to a relative space approach to accessibility with the recognition of </w:t>
      </w:r>
      <w:r w:rsidR="001508F7">
        <w:t>idiosyncratic differences in time budgets to reach activities</w:t>
      </w:r>
      <w:r w:rsidR="000F4178">
        <w:t xml:space="preserve">. But while it is conceptually simple to determine prisms based on an individual’s discretionary time at different points in their daily trajectory, it can be quite computationally intensive to delineate space-time prisms based on the road network (‘network time prism’) especially when the discretionary time increases. An attempt to construct network time prisms for each person’s discretionary </w:t>
      </w:r>
      <w:proofErr w:type="gramStart"/>
      <w:r w:rsidR="000F4178">
        <w:t>time period</w:t>
      </w:r>
      <w:proofErr w:type="gramEnd"/>
      <w:r w:rsidR="000F4178">
        <w:t xml:space="preserve"> was nonetheless computed to illustrate the areas where </w:t>
      </w:r>
      <w:r w:rsidR="00EA2263">
        <w:t>individuals could visit</w:t>
      </w:r>
      <w:r w:rsidR="001B6463">
        <w:t>. This was done with</w:t>
      </w:r>
      <w:r w:rsidR="00A44039">
        <w:t xml:space="preserve"> the </w:t>
      </w:r>
      <w:proofErr w:type="spellStart"/>
      <w:r w:rsidR="00A44039">
        <w:t>osmnx</w:t>
      </w:r>
      <w:proofErr w:type="spellEnd"/>
      <w:r w:rsidR="00A44039">
        <w:t xml:space="preserve"> package to co</w:t>
      </w:r>
      <w:r w:rsidR="001B6463">
        <w:t xml:space="preserve">mpute travel times across the road network </w:t>
      </w:r>
      <w:r w:rsidR="00FA6567">
        <w:t>based on each person’s starting location</w:t>
      </w:r>
      <w:r w:rsidR="00AB7035">
        <w:t xml:space="preserve"> and ending location and </w:t>
      </w:r>
      <w:r w:rsidR="00AB7035">
        <w:lastRenderedPageBreak/>
        <w:t>preferred modes of transportation.</w:t>
      </w:r>
      <w:r w:rsidR="00F04442">
        <w:t xml:space="preserve"> The ‘</w:t>
      </w:r>
      <w:proofErr w:type="spellStart"/>
      <w:r w:rsidR="00F04442">
        <w:t>osmnx</w:t>
      </w:r>
      <w:proofErr w:type="spellEnd"/>
      <w:r w:rsidR="00F04442">
        <w:t xml:space="preserve">’ library developed by Geoff Boeing </w:t>
      </w:r>
      <w:r w:rsidR="00F04442">
        <w:fldChar w:fldCharType="begin"/>
      </w:r>
      <w:r w:rsidR="00F04442">
        <w:instrText xml:space="preserve"> ADDIN ZOTERO_ITEM CSL_CITATION {"citationID":"IyC76bc1","properties":{"formattedCitation":"(2017)","plainCitation":"(2017)","noteIndex":0},"citationItems":[{"id":1776,"uris":["http://zotero.org/users/5090392/items/TBYAZPS7"],"itemData":{"id":1776,"type":"article-journal","abstract":"Urban scholars have studied street networks in various ways, but there are data availability and consistency limitations to the current urban planning/street network analysis literature. To address these challenges, this article presents OSMnx, a new tool to make the collection of data and creation and analysis of street networks simple, consistent, automatable and sound from the perspectives of graph theory, transportation, and urban design. OSMnx contributes five significant capabilities for researchers and practitioners: first, the automated downloading of political boundaries and building footprints; second, the tailored and automated downloading and constructing of street network data from OpenStreetMap; third, the algorithmic correction of network topology; fourth, the ability to save street networks to disk as shapefiles, GraphML, or SVG files; and fifth, the ability to analyze street networks, including calculating routes, projecting and visualizing networks, and calculating metric and topological measures. These measures include those common in urban design and transportation studies, as well as advanced measures of the structure and topology of the network. Finally, this article presents a simple case study using OSMnx to construct and analyze street networks in Portland, Oregon.","container-title":"Computers, Environment and Urban Systems","DOI":"10.1016/j.compenvurbsys.2017.05.004","ISSN":"0198-9715","journalAbbreviation":"Computers, Environment and Urban Systems","language":"en","page":"126-139","source":"ScienceDirect","title":"OSMnx: New methods for acquiring, constructing, analyzing, and visualizing complex street networks","title-short":"OSMnx","URL":"https://www.sciencedirect.com/science/article/pii/S0198971516303970","volume":"65","author":[{"family":"Boeing","given":"Geoff"}],"accessed":{"date-parts":[["2022",6,21]]},"issued":{"date-parts":[["2017",9,1]]}},"suppress-author":true}],"schema":"https://github.com/citation-style-language/schema/raw/master/csl-citation.json"} </w:instrText>
      </w:r>
      <w:r w:rsidR="00F04442">
        <w:fldChar w:fldCharType="separate"/>
      </w:r>
      <w:r w:rsidR="00967900" w:rsidRPr="00967900">
        <w:t>(2017)</w:t>
      </w:r>
      <w:r w:rsidR="00F04442">
        <w:fldChar w:fldCharType="end"/>
      </w:r>
      <w:r w:rsidR="00F04442">
        <w:t xml:space="preserve"> simplifies the creation and analysis of street networks from OpenStreetMap. Because people often adopt more than one mode of transportation, it is important to consider individual travel over a multimodal network. Travel times across each road segment were calculated by dividing the length (in meters) by an appropriate travel speed depending on the mode of transportation. For personal vehicles, the maximum road speed was assigned while for walking and biking, a speed of, respectively, 3.5 and 14 miles an hour were assumed. These two figures are close to average gait and cycle commuting speeds determined in past studies </w:t>
      </w:r>
      <w:r w:rsidR="00F04442">
        <w:fldChar w:fldCharType="begin"/>
      </w:r>
      <w:r w:rsidR="00F04442">
        <w:instrText xml:space="preserve"> ADDIN ZOTERO_ITEM CSL_CITATION {"citationID":"TmzWSsTu","properties":{"formattedCitation":"(Bohannon &amp; Williams Andrews, 2011; Schleinitz et al., 2017)","plainCitation":"(Bohannon &amp; Williams Andrews, 2011; Schleinitz et al., 2017)","noteIndex":0},"citationItems":[{"id":1782,"uris":["http://zotero.org/users/5090392/items/3XR6SMV5"],"itemData":{"id":1782,"type":"article-journal","abstract":"BACKGROUND: Walking speed has implications for community functioning and is predictive of important outcomes. Determining whether an individual's walking speed is limited requires normal values for comparison.\nOBJECTIVES: To use meta-analysis to describe normal gait speed for healthy individuals within age and gender strata.\nDATA SOURCES: PubMed, the Cumulative Index of Nursing and Allied Health (CINAHL), Scopus, Science Citation Index and articles identified by hand searches.\nSTUDY SELECTION CRITERIA: Inclusion required that the gait speed of apparently healthy adults was documented as they walked at a normal pace over a course of 3 to 30 m. Summary data were excluded unless obtained from at least 10 participants within a gender and decade stratum.\nSTUDY APPRAISAL AND SYNTHESIS METHODS: The two authors independently reviewed articles and extracted data. Accuracy was confirmed by the other author. Data were grouped within gender and decade strata. A meta-analysis macro was used to consolidate data by strata and to determine homogeneity.\nRESULTS: Forty-one articles contributed data to the analysis. Combined, they provided data from 23111 subjects. The gait speed was homogeneous within strata and ranged from a mean of 143.4 cm/second for men aged 40 to 49 years to a mean of 94.3 cm/second for women aged 80 to 99 years.\nLIMITATIONS: The data presented herein may not be useful as a standard of normal if gait is measured over short distances from the command 'go' or if a turn is involved.\nCONCLUSIONS AND IMPLICATIONS: The consolidation of data from multiple studies reported in this meta-analysis provides normative data that can serve as a standard against which individuals can be compared. Doing so will aid the interpretation of their performance.","container-title":"Physiotherapy","DOI":"10.1016/j.physio.2010.12.004","ISSN":"1873-1465","issue":"3","journalAbbreviation":"Physiotherapy","language":"eng","note":"PMID: 21820535","page":"182-189","source":"PubMed","title":"Normal walking speed: a descriptive meta-analysis","title-short":"Normal walking speed","volume":"97","author":[{"family":"Bohannon","given":"Richard W."},{"family":"Williams Andrews","given":"A."}],"issued":{"date-parts":[["2011",9]]}}},{"id":1784,"uris":["http://zotero.org/users/5090392/items/YPBFJL35"],"itemData":{"id":1784,"type":"article-journal","abstract":"In recent years, the number of electric bicycles on European, American and especially Chinese roads has increased substantially. Today, 11% of all bicycles sold in Germany are e-bikes. Given their potential to reach higher maximum speeds, concerns have been raised about a possible increase in crash risk associated with e-bike use. However, as of now, it is unclear if and how often the potentially higher speed is actually reached in everyday cycling. As part of the German Naturalistic Cycling Study we measured and compared the speed of three bicycle types (conventional bicycles, pedelecs (pedalling supported up to 25km/h), S-pedelecs (pedalling supported up to 45km/h)) under naturalistic conditions. Ninety participants, divided in three age groups, took part in our study. Participants used their own bikes or e-bikes. The bicycles were equipped with a data acquisition system, which included sensors to record speed and distance, as well as two cameras. Data was collected over a period of four weeks for each participant. Nearly 17,000km of cycling were recorded in total. The statistical analysis revealed significant differences in mean speed between all three bicycle types. Pedelec riders were, on average, 2km/h faster than cyclists. S-pedelec speed was even 9km/h higher. A similar pattern was also found when analysing free flow conditions and uphill or downhill cycling separately. The highest speed was measured on carriageways and bicycle infrastructure, regardless of bicycle type. Participants aged over 65years rode significantly slower than younger participants. Data on acceleration from standstill largely confirm the differences between bicycle types and age groups. The results show that electric bicycles indeed reach higher speeds than conventional bicycles regularly. Although it is unclear if this also leads to an increase in crash risk, it can be assumed that the consequences of a crash might be, on average, more severe.","container-title":"Safety Science","DOI":"10.1016/j.ssci.2015.07.027","ISSN":"0925-7535","journalAbbreviation":"Safety Science","language":"en","page":"290-297","source":"ScienceDirect","title":"The German Naturalistic Cycling Study – Comparing cycling speed of riders of different e-bikes and conventional bicycles","URL":"https://www.sciencedirect.com/science/article/pii/S0925753515001976","volume":"92","author":[{"family":"Schleinitz","given":"K."},{"family":"Petzoldt","given":"T."},{"family":"Franke-Bartholdt","given":"L."},{"family":"Krems","given":"J."},{"family":"Gehlert","given":"T."}],"accessed":{"date-parts":[["2022",6,22]]},"issued":{"date-parts":[["2017",2,1]]}}}],"schema":"https://github.com/citation-style-language/schema/raw/master/csl-citation.json"} </w:instrText>
      </w:r>
      <w:r w:rsidR="00F04442">
        <w:fldChar w:fldCharType="separate"/>
      </w:r>
      <w:r w:rsidR="00967900" w:rsidRPr="00967900">
        <w:t>(Bohannon &amp; Williams Andrews, 2011; Schleinitz et al., 2017)</w:t>
      </w:r>
      <w:r w:rsidR="00F04442">
        <w:fldChar w:fldCharType="end"/>
      </w:r>
      <w:r w:rsidR="00F04442">
        <w:t xml:space="preserve">. The travel times for the travel modes were added as separate attributes to a road network dataset. However, some people also use public transit to get to </w:t>
      </w:r>
      <w:r w:rsidR="00050256">
        <w:t>places,</w:t>
      </w:r>
      <w:r w:rsidR="00F04442">
        <w:t xml:space="preserve"> but no open-source software exists to model such complex travel networks that fully integrate public transit with street networks. Instead, travel over public transit was determined by calling the Google Maps Directions API </w:t>
      </w:r>
      <w:r w:rsidR="00F04442">
        <w:fldChar w:fldCharType="begin"/>
      </w:r>
      <w:r w:rsidR="00854690">
        <w:instrText xml:space="preserve"> ADDIN ZOTERO_ITEM CSL_CITATION {"citationID":"fTvr8y10","properties":{"formattedCitation":"(2022)","plainCitation":"(2022)","noteIndex":0},"citationItems":[{"id":1786,"uris":["http://zotero.org/users/5090392/items/SVQYIRQM"],"itemData":{"id":1786,"type":"software","publisher":"Google","title":"Directions API","URL":"https://developers.google.com/maps/documentation/directions/overview","author":[{"literal":"Google Maps"}],"accessed":{"date-parts":[["2022",6,22]]},"issued":{"date-parts":[["2022",5,1]]}},"suppress-author":true}],"schema":"https://github.com/citation-style-language/schema/raw/master/csl-citation.json"} </w:instrText>
      </w:r>
      <w:r w:rsidR="00F04442">
        <w:fldChar w:fldCharType="separate"/>
      </w:r>
      <w:r w:rsidR="00967900" w:rsidRPr="00967900">
        <w:t>(2022)</w:t>
      </w:r>
      <w:r w:rsidR="00F04442">
        <w:fldChar w:fldCharType="end"/>
      </w:r>
      <w:r w:rsidR="00F04442">
        <w:t xml:space="preserve"> to generate the fastest route between locations.</w:t>
      </w:r>
    </w:p>
    <w:p w14:paraId="0B722BE8" w14:textId="29A53DC9" w:rsidR="00084DCB" w:rsidRDefault="00561F70" w:rsidP="00156BEA">
      <w:pPr>
        <w:spacing w:line="480" w:lineRule="auto"/>
        <w:ind w:firstLine="720"/>
      </w:pPr>
      <w:r>
        <w:t xml:space="preserve">If the goal is to simply identify potential food opportunities, it may be easier to </w:t>
      </w:r>
      <w:r w:rsidR="001613CE">
        <w:t xml:space="preserve">calculate whether a person has sufficient time to access them. </w:t>
      </w:r>
      <w:r w:rsidR="00895D16">
        <w:t xml:space="preserve">But </w:t>
      </w:r>
      <w:r w:rsidR="00EC6F95">
        <w:t xml:space="preserve">time is also required to </w:t>
      </w:r>
      <w:r w:rsidR="006A6A45">
        <w:t>shop for and purchase food</w:t>
      </w:r>
      <w:r w:rsidR="00A85F3E">
        <w:t xml:space="preserve"> depending on the </w:t>
      </w:r>
      <w:r w:rsidR="00EA2815">
        <w:t xml:space="preserve">access </w:t>
      </w:r>
      <w:r w:rsidR="00A85F3E">
        <w:t>modality</w:t>
      </w:r>
      <w:r w:rsidR="00EA2815">
        <w:t xml:space="preserve">: </w:t>
      </w:r>
      <w:r w:rsidR="00BD0C4D">
        <w:t>curbside pickup, in-person shopping, or delivery</w:t>
      </w:r>
      <w:r w:rsidR="00D4194B">
        <w:t>.</w:t>
      </w:r>
      <w:r w:rsidR="00F233F6">
        <w:t xml:space="preserve"> </w:t>
      </w:r>
      <w:r w:rsidR="00E72B77">
        <w:t xml:space="preserve">The amount of free time available to individuals in turn shapes their food environment </w:t>
      </w:r>
      <w:r w:rsidR="00E72B77">
        <w:fldChar w:fldCharType="begin"/>
      </w:r>
      <w:r w:rsidR="00E72B77">
        <w:instrText xml:space="preserve"> ADDIN ZOTERO_ITEM CSL_CITATION {"citationID":"64qfEe79","properties":{"formattedCitation":"(Widener et al., 2013)","plainCitation":"(Widener et al., 2013)","noteIndex":0},"citationItems":[{"id":1807,"uris":["http://zotero.org/users/5090392/items/XK6JE8M4"],"itemData":{"id":1807,"type":"article-journal","abstract":"Improving spatial access to healthy foods in urban regions is recognized as an important component of reducing the prevalence of chronic illness and achieving better health outcomes. Previously, researchers exploring this domain have calculated accessibility measures derived from the travel cost from home locations to nearby food stores. This approach disregards additional opportunities that present themselves as residents move throughout the city. A time-geographic accessibility measure is utilized to explore how single-occupancy automobile commuting affords access to supermarkets. Results show residents in some TAZs have more access when accounting for their commuting behavior than when measuring access from their home. This finding suggests more nuanced calculations of accessibility are necessary to fully understand which urban populations have greater access to healthy food.","container-title":"Health &amp; Place","DOI":"10.1016/j.healthplace.2013.01.004","ISSN":"1353-8292","journalAbbreviation":"Health &amp; Place","language":"en","page":"1-9","source":"ScienceDirect","title":"Using urban commuting data to calculate a spatiotemporal accessibility measure for food environment studies","URL":"https://www.sciencedirect.com/science/article/pii/S1353829213000105","volume":"21","author":[{"family":"Widener","given":"Michael J."},{"family":"Farber","given":"Steven"},{"family":"Neutens","given":"Tijs"},{"family":"Horner","given":"Mark W."}],"accessed":{"date-parts":[["2022",7,10]]},"issued":{"date-parts":[["2013",5,1]]}}}],"schema":"https://github.com/citation-style-language/schema/raw/master/csl-citation.json"} </w:instrText>
      </w:r>
      <w:r w:rsidR="00E72B77">
        <w:fldChar w:fldCharType="separate"/>
      </w:r>
      <w:r w:rsidR="00967900" w:rsidRPr="00967900">
        <w:t>(Widener et al., 2013)</w:t>
      </w:r>
      <w:r w:rsidR="00E72B77">
        <w:fldChar w:fldCharType="end"/>
      </w:r>
      <w:r w:rsidR="008D7DA9">
        <w:t>.</w:t>
      </w:r>
      <w:r w:rsidR="00D4194B">
        <w:t xml:space="preserve"> </w:t>
      </w:r>
      <w:r w:rsidR="00DC5233">
        <w:t xml:space="preserve">A study by the mobile commerce platform Rakuten Ready </w:t>
      </w:r>
      <w:r w:rsidR="00932BFC">
        <w:t xml:space="preserve">found that the average time for </w:t>
      </w:r>
      <w:r w:rsidR="00EA44CC">
        <w:t>store pickup</w:t>
      </w:r>
      <w:r w:rsidR="00481F7A">
        <w:t xml:space="preserve"> and </w:t>
      </w:r>
      <w:r w:rsidR="00932BFC">
        <w:t>curbside pickup</w:t>
      </w:r>
      <w:r w:rsidR="00481F7A">
        <w:t xml:space="preserve"> from major grocery retailers was</w:t>
      </w:r>
      <w:r w:rsidR="006E32E6">
        <w:t>,</w:t>
      </w:r>
      <w:r w:rsidR="00481F7A">
        <w:t xml:space="preserve"> </w:t>
      </w:r>
      <w:r w:rsidR="006E32E6">
        <w:t>respectively, four minutes and three seconds and five minutes and twenty-one seconds</w:t>
      </w:r>
      <w:r w:rsidR="00050256">
        <w:t xml:space="preserve"> </w:t>
      </w:r>
      <w:r w:rsidR="00050256">
        <w:fldChar w:fldCharType="begin"/>
      </w:r>
      <w:r w:rsidR="00050256">
        <w:instrText xml:space="preserve"> ADDIN ZOTERO_ITEM CSL_CITATION {"citationID":"SL8h1Yye","properties":{"formattedCitation":"(Manning, 2019)","plainCitation":"(Manning, 2019)","noteIndex":0},"citationItems":[{"id":1792,"uris":["http://zotero.org/users/5090392/items/IQI8UM2Z"],"itemData":{"id":1792,"type":"webpage","abstract":"Mobile commerce platform Rakuten Ready used secret shoppers to evaluate pickup services at 25 retailers, including eight grocers.","container-title":"Grocery Dive","language":"en-US","title":"H-E-B, Whole Foods have fastest pickup times, study says","URL":"https://www.grocerydive.com/news/h-e-b-whole-foods-have-fastest-pickup-times-study-says/566152/","author":[{"family":"Manning","given":"Lauren"}],"accessed":{"date-parts":[["2022",7,2]]},"issued":{"date-parts":[["2019",10,30]]}}}],"schema":"https://github.com/citation-style-language/schema/raw/master/csl-citation.json"} </w:instrText>
      </w:r>
      <w:r w:rsidR="00050256">
        <w:fldChar w:fldCharType="separate"/>
      </w:r>
      <w:r w:rsidR="00967900" w:rsidRPr="00967900">
        <w:t>(Manning, 2019)</w:t>
      </w:r>
      <w:r w:rsidR="00050256">
        <w:fldChar w:fldCharType="end"/>
      </w:r>
      <w:r w:rsidR="006E32E6">
        <w:t xml:space="preserve">. </w:t>
      </w:r>
      <w:r w:rsidR="005D4B9C">
        <w:t xml:space="preserve">Meanwhile, </w:t>
      </w:r>
      <w:r w:rsidR="00980C30">
        <w:t>researchers at the United States Department of Agriculture Economic Research Service</w:t>
      </w:r>
      <w:r w:rsidR="00A821D8">
        <w:t xml:space="preserve"> found that the average time spent</w:t>
      </w:r>
      <w:r w:rsidR="005D4B9C">
        <w:t xml:space="preserve"> </w:t>
      </w:r>
      <w:r w:rsidR="00980C30">
        <w:t>for</w:t>
      </w:r>
      <w:r w:rsidR="005D4B9C">
        <w:t xml:space="preserve"> in-person grocery shopping</w:t>
      </w:r>
      <w:r w:rsidR="00980C30">
        <w:t xml:space="preserve"> </w:t>
      </w:r>
      <w:r w:rsidR="00A821D8">
        <w:t>totaled forty-six minutes</w:t>
      </w:r>
      <w:r w:rsidR="0069004E">
        <w:t xml:space="preserve"> </w:t>
      </w:r>
      <w:r w:rsidR="0069004E">
        <w:fldChar w:fldCharType="begin"/>
      </w:r>
      <w:r w:rsidR="0069004E">
        <w:instrText xml:space="preserve"> ADDIN ZOTERO_ITEM CSL_CITATION {"citationID":"26g46Rit","properties":{"formattedCitation":"(Anekwe &amp; Zeballos, 2019)","plainCitation":"(Anekwe &amp; Zeballos, 2019)","noteIndex":0},"citationItems":[{"id":1797,"uris":["http://zotero.org/users/5090392/items/Z8XGCSDI"],"itemData":{"id":1797,"type":"report","abstract":"Food-related time use can influence dietary choices and, in turn, influence health outcomes. Thus, tracking changes in food-related time use is key for understanding consumer decisions that affect diet. This report uses data from the 2004-17 American Time Use Survey (ATUS) to present an overview of food-related time-use patterns over time both for the U.S. population aged 15 years and older and for U.S. subgroups that are defined by educational attainment, household type (singles versus couples), and other demographic factors. Data from the supplemental Eating and Health Module (conducted annually during 2014-16 for a subset of the ATUS sample) are analyzed to provide time-use estimates for subgroups defined by Supplemental Nutrition Assistance Program (SNAP) participation, obesity, and food hardship. On an average day in 2014-17, Americans spent 64.0 minutes on eating and drinking as a “primary,” or main, activity, down 4.5 percent from 67.0 minutes in 2004-07. On an average day in 2014-17—counting only those who performed the activity—Americans spent 51.4 minutes on food preparation, 34.1 minutes on food-related cleanup, and 46.0 minutes on grocery shopping.","language":"en","page":"69","source":"Zotero","title":"Food-Related Time Use: Changes and Demographic Differences","URL":"https://www.ers.usda.gov/webdocs/publications/95399/eib-213.pdf?v=3329.2","author":[{"family":"Anekwe","given":"Tobenna D"},{"family":"Zeballos","given":"Eliana"}],"issued":{"date-parts":[["2019",11]]}}}],"schema":"https://github.com/citation-style-language/schema/raw/master/csl-citation.json"} </w:instrText>
      </w:r>
      <w:r w:rsidR="0069004E">
        <w:fldChar w:fldCharType="separate"/>
      </w:r>
      <w:r w:rsidR="00967900" w:rsidRPr="00967900">
        <w:t>(Anekwe &amp; Zeballos, 2019)</w:t>
      </w:r>
      <w:r w:rsidR="0069004E">
        <w:fldChar w:fldCharType="end"/>
      </w:r>
      <w:r w:rsidR="00A821D8">
        <w:t>.</w:t>
      </w:r>
      <w:r w:rsidR="00237C93">
        <w:t xml:space="preserve"> </w:t>
      </w:r>
      <w:r w:rsidR="00F9707A">
        <w:t xml:space="preserve">The dataset of individuals was constructed to recognize </w:t>
      </w:r>
      <w:r w:rsidR="00237C93">
        <w:lastRenderedPageBreak/>
        <w:t>different preferences for shopping modality</w:t>
      </w:r>
      <w:r w:rsidR="00F9707A">
        <w:t xml:space="preserve"> in the population with some people preferring to shop in-person while others preferred pickup or delivery.</w:t>
      </w:r>
      <w:r w:rsidR="006E07EF">
        <w:t xml:space="preserve"> Overall, the choice of shopping modality affects whether an individual can feasibly travel to </w:t>
      </w:r>
      <w:proofErr w:type="gramStart"/>
      <w:r w:rsidR="006E07EF">
        <w:t>and also</w:t>
      </w:r>
      <w:proofErr w:type="gramEnd"/>
      <w:r w:rsidR="006E07EF">
        <w:t xml:space="preserve"> acquire the food items they desire</w:t>
      </w:r>
      <w:r w:rsidR="00FD4298">
        <w:t>; each mode requires a different amount of time.</w:t>
      </w:r>
      <w:r w:rsidR="000B0C39">
        <w:t xml:space="preserve"> </w:t>
      </w:r>
      <w:r w:rsidR="000B0C39" w:rsidRPr="000B0C39">
        <w:t>Food opportunities can be reached in-person, online, or by both modalities; these are referred to as, respectively, 'physical', 'virtual', and 'hybrid' opportunities.</w:t>
      </w:r>
    </w:p>
    <w:p w14:paraId="0326345B" w14:textId="764D6B9C" w:rsidR="00D0589B" w:rsidRDefault="00D90DF0" w:rsidP="00156BEA">
      <w:pPr>
        <w:spacing w:line="480" w:lineRule="auto"/>
        <w:ind w:firstLine="720"/>
      </w:pPr>
      <w:r>
        <w:t>A</w:t>
      </w:r>
      <w:r w:rsidR="00100353">
        <w:t xml:space="preserve">n algorithm was developed to assess whether each opportunity </w:t>
      </w:r>
      <w:r w:rsidR="005125DE">
        <w:t>throughout</w:t>
      </w:r>
      <w:commentRangeStart w:id="97"/>
      <w:commentRangeStart w:id="98"/>
      <w:r w:rsidR="00100353">
        <w:t xml:space="preserve"> the study</w:t>
      </w:r>
      <w:commentRangeEnd w:id="97"/>
      <w:r w:rsidR="004701AD">
        <w:rPr>
          <w:rStyle w:val="CommentReference"/>
        </w:rPr>
        <w:commentReference w:id="97"/>
      </w:r>
      <w:commentRangeEnd w:id="98"/>
      <w:r w:rsidR="000E30AE">
        <w:rPr>
          <w:rStyle w:val="CommentReference"/>
        </w:rPr>
        <w:commentReference w:id="98"/>
      </w:r>
      <w:r w:rsidR="00100353">
        <w:t xml:space="preserve"> </w:t>
      </w:r>
      <w:r w:rsidR="005125DE">
        <w:t xml:space="preserve">area </w:t>
      </w:r>
      <w:r w:rsidR="0049047B">
        <w:t xml:space="preserve">was accessible </w:t>
      </w:r>
      <w:r w:rsidR="00A44039">
        <w:t>during each person’s discretionary period(s)</w:t>
      </w:r>
      <w:r>
        <w:t xml:space="preserve"> using the multimodal network </w:t>
      </w:r>
      <w:r w:rsidR="00564E93">
        <w:t>discussed earlier</w:t>
      </w:r>
      <w:r w:rsidR="00A44039">
        <w:t xml:space="preserve">. </w:t>
      </w:r>
      <w:r w:rsidR="00412329">
        <w:t>The algorithm first identifies the time required for participating in an activity based on the person’s preferences (</w:t>
      </w:r>
      <w:proofErr w:type="spellStart"/>
      <w:r w:rsidR="00412329">
        <w:rPr>
          <w:i/>
          <w:iCs/>
        </w:rPr>
        <w:t>other_pref</w:t>
      </w:r>
      <w:proofErr w:type="spellEnd"/>
      <w:r w:rsidR="00412329">
        <w:t xml:space="preserve">); for example, if an individual prefers in-store shopping, it is assumed they will require </w:t>
      </w:r>
      <w:r w:rsidR="002C102B">
        <w:t>forty-six</w:t>
      </w:r>
      <w:r w:rsidR="00412329">
        <w:t xml:space="preserve"> minutes (in seconds.) Afterwards, the algorithm identifies the appropriate road network based on the individual’s possible travel modes; for example, if an individual can take transit and walk but is without a personal vehicle, travel time will subsequently be calculated based on average walking speed and public transit schedules along the road network. Then, the shortest time required to travel from a person’s location at the start of their discretionary period to a potential food opportunity is calculated as well as from the food opportunity to the location at the end of their discretionary period. Afterwards, the travel time to and from the food opportunity are summed with the activity participation time. </w:t>
      </w:r>
      <w:r w:rsidR="00D0589B">
        <w:t xml:space="preserve">For </w:t>
      </w:r>
      <w:proofErr w:type="gramStart"/>
      <w:r w:rsidR="00D0589B">
        <w:t>each individual</w:t>
      </w:r>
      <w:proofErr w:type="gramEnd"/>
      <w:r w:rsidR="00D0589B">
        <w:t>, given the start of their discretionary time period(s), and for each potential opportunity, if the time required to travel to a potential opportunity AND the time required to participate in food shopping by their preferred modality AND the time required to travel to the location of their next fixed period is equal to or less than their total discretionary time, then the opportunity is physically accessible. If the person</w:t>
      </w:r>
      <w:r w:rsidR="006D0F6C">
        <w:t xml:space="preserve"> has access to a computer and </w:t>
      </w:r>
      <w:r w:rsidR="0029160E">
        <w:t xml:space="preserve">the </w:t>
      </w:r>
      <w:r w:rsidR="0029160E">
        <w:lastRenderedPageBreak/>
        <w:t>internet,</w:t>
      </w:r>
      <w:r w:rsidR="00D0589B">
        <w:t xml:space="preserve"> is also </w:t>
      </w:r>
      <w:commentRangeStart w:id="99"/>
      <w:commentRangeStart w:id="100"/>
      <w:r w:rsidR="00D0589B">
        <w:t>digitally literate</w:t>
      </w:r>
      <w:commentRangeEnd w:id="99"/>
      <w:r w:rsidR="000B3B82">
        <w:rPr>
          <w:rStyle w:val="CommentReference"/>
        </w:rPr>
        <w:commentReference w:id="99"/>
      </w:r>
      <w:commentRangeEnd w:id="100"/>
      <w:r w:rsidR="0029160E">
        <w:rPr>
          <w:rStyle w:val="CommentReference"/>
        </w:rPr>
        <w:commentReference w:id="100"/>
      </w:r>
      <w:r w:rsidR="00D0589B">
        <w:t xml:space="preserve"> (i.e., </w:t>
      </w:r>
      <w:proofErr w:type="gramStart"/>
      <w:r w:rsidR="00D0589B">
        <w:t>able</w:t>
      </w:r>
      <w:proofErr w:type="gramEnd"/>
      <w:r w:rsidR="00D0589B">
        <w:t xml:space="preserve"> and willing to order food online) and the store offers online services (e.g., delivery), then, the store can also be reached online and thus, the opportunity is considered as a hybrid opportunity. In other words:</w:t>
      </w:r>
    </w:p>
    <w:p w14:paraId="6BB34360" w14:textId="3B7DD87C" w:rsidR="00D0589B" w:rsidRDefault="00D0589B" w:rsidP="00156BEA">
      <w:pPr>
        <w:pStyle w:val="ListParagraph"/>
        <w:numPr>
          <w:ilvl w:val="0"/>
          <w:numId w:val="5"/>
        </w:numPr>
        <w:spacing w:line="480" w:lineRule="auto"/>
      </w:pPr>
      <w:r>
        <w:t>If a person can only reach the store physically but is not digitally literate and/or not willing to buy food online, the store is a physical opportunity.</w:t>
      </w:r>
    </w:p>
    <w:p w14:paraId="572C9C2F" w14:textId="7FB5EFF2" w:rsidR="00D0589B" w:rsidRDefault="00D0589B" w:rsidP="00156BEA">
      <w:pPr>
        <w:pStyle w:val="ListParagraph"/>
        <w:numPr>
          <w:ilvl w:val="0"/>
          <w:numId w:val="5"/>
        </w:numPr>
        <w:spacing w:line="480" w:lineRule="auto"/>
      </w:pPr>
      <w:r>
        <w:t>If a person cannot reach the store physically (e.g., not enough time and/or not willing to buy food in-person) but is willing and able to buy food online, the store is a virtual opportunity.</w:t>
      </w:r>
    </w:p>
    <w:p w14:paraId="65708D9D" w14:textId="4EB14C9B" w:rsidR="00D0589B" w:rsidRDefault="00D0589B" w:rsidP="00156BEA">
      <w:pPr>
        <w:pStyle w:val="ListParagraph"/>
        <w:numPr>
          <w:ilvl w:val="0"/>
          <w:numId w:val="5"/>
        </w:numPr>
        <w:spacing w:line="480" w:lineRule="auto"/>
      </w:pPr>
      <w:r>
        <w:t>If a person can both reach the store physically and online, the store is a hybrid opportunity.</w:t>
      </w:r>
    </w:p>
    <w:p w14:paraId="29F5B85F" w14:textId="347C301B" w:rsidR="00D0589B" w:rsidRDefault="00D0589B" w:rsidP="00156BEA">
      <w:pPr>
        <w:pStyle w:val="ListParagraph"/>
        <w:numPr>
          <w:ilvl w:val="0"/>
          <w:numId w:val="5"/>
        </w:numPr>
        <w:spacing w:line="480" w:lineRule="auto"/>
      </w:pPr>
      <w:r>
        <w:t>Otherwise, if a person cannot reach the store in person nor online, the store is not considered an accessible opportunity.</w:t>
      </w:r>
    </w:p>
    <w:p w14:paraId="14C5A085" w14:textId="3A886CDC" w:rsidR="00D26D46" w:rsidRDefault="00412329" w:rsidP="00156BEA">
      <w:pPr>
        <w:spacing w:line="480" w:lineRule="auto"/>
        <w:ind w:firstLine="720"/>
      </w:pPr>
      <w:r>
        <w:t xml:space="preserve">This process can be repeated until all potential opportunities are considered for </w:t>
      </w:r>
      <w:proofErr w:type="gramStart"/>
      <w:r>
        <w:t>each individual</w:t>
      </w:r>
      <w:proofErr w:type="gramEnd"/>
      <w:r>
        <w:t xml:space="preserve">. </w:t>
      </w:r>
      <w:r w:rsidR="00D0589B">
        <w:t xml:space="preserve">The counters at the top-middle of the GIS application </w:t>
      </w:r>
      <w:r w:rsidR="004C1B08">
        <w:t xml:space="preserve">shown in </w:t>
      </w:r>
      <w:commentRangeStart w:id="101"/>
      <w:commentRangeStart w:id="102"/>
      <w:r w:rsidR="004C1B08">
        <w:t xml:space="preserve">Figure </w:t>
      </w:r>
      <w:r w:rsidR="00154CD4">
        <w:t>8</w:t>
      </w:r>
      <w:r w:rsidR="004C1B08">
        <w:t xml:space="preserve"> </w:t>
      </w:r>
      <w:commentRangeEnd w:id="101"/>
      <w:r w:rsidR="003230FF">
        <w:rPr>
          <w:rStyle w:val="CommentReference"/>
        </w:rPr>
        <w:commentReference w:id="101"/>
      </w:r>
      <w:commentRangeEnd w:id="102"/>
      <w:r w:rsidR="003230FF">
        <w:rPr>
          <w:rStyle w:val="CommentReference"/>
        </w:rPr>
        <w:commentReference w:id="102"/>
      </w:r>
      <w:r w:rsidR="00D0589B">
        <w:t>reflect the opportunities of all activated/shown individuals.</w:t>
      </w:r>
      <w:commentRangeEnd w:id="87"/>
      <w:r w:rsidR="000959C5">
        <w:rPr>
          <w:rStyle w:val="CommentReference"/>
        </w:rPr>
        <w:commentReference w:id="87"/>
      </w:r>
      <w:commentRangeEnd w:id="88"/>
      <w:r w:rsidR="000C3FC5">
        <w:rPr>
          <w:rStyle w:val="CommentReference"/>
        </w:rPr>
        <w:commentReference w:id="88"/>
      </w:r>
      <w:r w:rsidR="00D0589B">
        <w:t xml:space="preserve"> </w:t>
      </w:r>
    </w:p>
    <w:p w14:paraId="3967D99D" w14:textId="68D3A2A2" w:rsidR="001A5537" w:rsidRDefault="0039089F" w:rsidP="00AD0163">
      <w:pPr>
        <w:spacing w:line="480" w:lineRule="auto"/>
        <w:ind w:firstLine="720"/>
      </w:pPr>
      <w:r>
        <w:t>Accessibility consequently varies between physical, virtual, and hybrid space</w:t>
      </w:r>
      <w:r w:rsidR="0094372A">
        <w:t xml:space="preserve">. </w:t>
      </w:r>
      <w:proofErr w:type="gramStart"/>
      <w:r w:rsidR="0094372A">
        <w:t>A</w:t>
      </w:r>
      <w:r w:rsidR="001C50CD">
        <w:t>ll of</w:t>
      </w:r>
      <w:proofErr w:type="gramEnd"/>
      <w:r w:rsidR="001C50CD">
        <w:t xml:space="preserve"> the considerations described in the data manipulation process to construct plausible travel routes for individuals, </w:t>
      </w:r>
      <w:r w:rsidR="0003518E">
        <w:t xml:space="preserve">calculate their discretionary time periods, and determine the areas </w:t>
      </w:r>
      <w:r w:rsidR="0094372A">
        <w:t xml:space="preserve">individuals can potentially visit </w:t>
      </w:r>
      <w:r>
        <w:t xml:space="preserve">raises the importance of considering the dimension from relative, relational, and mental space. </w:t>
      </w:r>
      <w:r w:rsidR="00AD0163">
        <w:t>People have different time budgets for activitie</w:t>
      </w:r>
      <w:r w:rsidR="00637E3A">
        <w:t>s and are often limited by other fixed activities such as work, sleep</w:t>
      </w:r>
      <w:r w:rsidR="00EA0BC2">
        <w:t>,</w:t>
      </w:r>
      <w:r w:rsidR="00637E3A">
        <w:t xml:space="preserve"> and childcare. Th</w:t>
      </w:r>
      <w:r w:rsidR="00A13F47">
        <w:t xml:space="preserve">e fixity of </w:t>
      </w:r>
      <w:proofErr w:type="gramStart"/>
      <w:r w:rsidR="00A13F47">
        <w:t>particular activities</w:t>
      </w:r>
      <w:proofErr w:type="gramEnd"/>
      <w:r w:rsidR="00637E3A">
        <w:t xml:space="preserve"> consequently</w:t>
      </w:r>
      <w:r w:rsidR="00A13F47">
        <w:t xml:space="preserve"> reduces the amount of discretionary time available to carry out </w:t>
      </w:r>
      <w:r w:rsidR="002F77F4">
        <w:t xml:space="preserve">other activities that may not necessarily be as urgent or pressing. It is these time periods where people have greater flexibility </w:t>
      </w:r>
      <w:r w:rsidR="002F77F4">
        <w:lastRenderedPageBreak/>
        <w:t xml:space="preserve">to reach different activity locations, whether in-person (in-store shopping), online (online delivery), or both (curbside pickup.) The emergence of online and hybrid shopping options </w:t>
      </w:r>
      <w:r w:rsidR="00951B51">
        <w:t xml:space="preserve">vitally changes how researchers should calculate </w:t>
      </w:r>
      <w:r w:rsidR="00B475C9">
        <w:t>(</w:t>
      </w:r>
      <w:r w:rsidR="00CD6369">
        <w:t>food</w:t>
      </w:r>
      <w:r w:rsidR="00B475C9">
        <w:t>)</w:t>
      </w:r>
      <w:r w:rsidR="00CD6369">
        <w:t xml:space="preserve"> </w:t>
      </w:r>
      <w:r w:rsidR="00951B51">
        <w:t xml:space="preserve">accessibility as these shopping modalities generally </w:t>
      </w:r>
      <w:r w:rsidR="00B86C5F">
        <w:t>enable people to reduce the time necessary for food procurement, thus expanding their window of accessibility to food stores</w:t>
      </w:r>
      <w:r w:rsidR="0000310E">
        <w:t xml:space="preserve">. This emerging trend of </w:t>
      </w:r>
      <w:r w:rsidR="00EA0BC2">
        <w:t>virtual-based</w:t>
      </w:r>
      <w:r w:rsidR="0000310E">
        <w:t xml:space="preserve"> services </w:t>
      </w:r>
      <w:r w:rsidR="00EA0BC2">
        <w:t>requires</w:t>
      </w:r>
      <w:r w:rsidR="0000310E">
        <w:t xml:space="preserve"> a relational space approach to accessibility</w:t>
      </w:r>
      <w:r w:rsidR="00EA0BC2">
        <w:t xml:space="preserve"> or else opportunities could be</w:t>
      </w:r>
      <w:r w:rsidR="001A5537">
        <w:t xml:space="preserve"> overlooked. However, understanding who </w:t>
      </w:r>
      <w:proofErr w:type="gramStart"/>
      <w:r w:rsidR="001A5537">
        <w:t xml:space="preserve">is capable </w:t>
      </w:r>
      <w:r w:rsidR="0012463A">
        <w:t>of</w:t>
      </w:r>
      <w:r w:rsidR="001A5537">
        <w:t xml:space="preserve"> </w:t>
      </w:r>
      <w:r w:rsidR="003C3ECD">
        <w:t>reaching</w:t>
      </w:r>
      <w:proofErr w:type="gramEnd"/>
      <w:r w:rsidR="003C3ECD">
        <w:t xml:space="preserve"> virtual-based f</w:t>
      </w:r>
      <w:r w:rsidR="007D2F0F">
        <w:t>ood services</w:t>
      </w:r>
      <w:r w:rsidR="001A5537">
        <w:t xml:space="preserve"> </w:t>
      </w:r>
      <w:r w:rsidR="0012463A">
        <w:t xml:space="preserve">necessitates knowledge of the perceptions and willingness of individuals </w:t>
      </w:r>
      <w:r w:rsidR="007D2F0F">
        <w:t>to use them</w:t>
      </w:r>
      <w:r w:rsidR="00F3521D">
        <w:t>, and this recognizes the importance of a mental space approach to accessibility.</w:t>
      </w:r>
      <w:r w:rsidR="00015ED6">
        <w:t xml:space="preserve"> </w:t>
      </w:r>
      <w:r w:rsidR="008B5A4B">
        <w:t xml:space="preserve">Individuals widely vary from one another and assuming a homogeneous pattern of behavior may </w:t>
      </w:r>
      <w:r w:rsidR="002D26DF">
        <w:t>neglect how people can overcome their situations</w:t>
      </w:r>
      <w:r w:rsidR="00B475C9">
        <w:t xml:space="preserve"> that extend beyond </w:t>
      </w:r>
      <w:r w:rsidR="00C76252">
        <w:t>solutions in physical space</w:t>
      </w:r>
      <w:r w:rsidR="002D26DF">
        <w:t xml:space="preserve">. </w:t>
      </w:r>
      <w:r w:rsidR="00936A1E">
        <w:t xml:space="preserve">As argued earlier in the proposed conceptual framework, accessibility is just one of five dimensions of access but </w:t>
      </w:r>
      <w:r w:rsidR="005C793A">
        <w:t xml:space="preserve">critically highlights how easy or difficult it may be for people to reach </w:t>
      </w:r>
      <w:r w:rsidR="002D731E">
        <w:t>food opportunities.</w:t>
      </w:r>
    </w:p>
    <w:p w14:paraId="41DA6C47" w14:textId="1DA65545" w:rsidR="00793F1A" w:rsidRPr="00A4743F" w:rsidRDefault="000E4A84" w:rsidP="00A4743F">
      <w:pPr>
        <w:pStyle w:val="Heading3"/>
        <w:spacing w:after="240"/>
        <w:jc w:val="center"/>
        <w:rPr>
          <w:rFonts w:ascii="Times New Roman" w:hAnsi="Times New Roman" w:cs="Times New Roman"/>
          <w:b/>
          <w:bCs/>
          <w:color w:val="auto"/>
        </w:rPr>
      </w:pPr>
      <w:bookmarkStart w:id="103" w:name="_Toc114258056"/>
      <w:r w:rsidRPr="00A4743F">
        <w:rPr>
          <w:rFonts w:ascii="Times New Roman" w:hAnsi="Times New Roman" w:cs="Times New Roman"/>
          <w:b/>
          <w:bCs/>
          <w:color w:val="auto"/>
        </w:rPr>
        <w:t>4</w:t>
      </w:r>
      <w:r w:rsidR="00793F1A" w:rsidRPr="00A4743F">
        <w:rPr>
          <w:rFonts w:ascii="Times New Roman" w:hAnsi="Times New Roman" w:cs="Times New Roman"/>
          <w:b/>
          <w:bCs/>
          <w:color w:val="auto"/>
        </w:rPr>
        <w:t>.</w:t>
      </w:r>
      <w:r w:rsidR="002938BB" w:rsidRPr="00A4743F">
        <w:rPr>
          <w:rFonts w:ascii="Times New Roman" w:hAnsi="Times New Roman" w:cs="Times New Roman"/>
          <w:b/>
          <w:bCs/>
          <w:color w:val="auto"/>
        </w:rPr>
        <w:t>2.</w:t>
      </w:r>
      <w:r w:rsidR="00787610" w:rsidRPr="00A4743F">
        <w:rPr>
          <w:rFonts w:ascii="Times New Roman" w:hAnsi="Times New Roman" w:cs="Times New Roman"/>
          <w:b/>
          <w:bCs/>
          <w:color w:val="auto"/>
        </w:rPr>
        <w:t>4</w:t>
      </w:r>
      <w:r w:rsidR="002938BB" w:rsidRPr="00A4743F">
        <w:rPr>
          <w:rFonts w:ascii="Times New Roman" w:hAnsi="Times New Roman" w:cs="Times New Roman"/>
          <w:b/>
          <w:bCs/>
          <w:color w:val="auto"/>
        </w:rPr>
        <w:t>. D</w:t>
      </w:r>
      <w:r w:rsidR="00A4743F" w:rsidRPr="00A4743F">
        <w:rPr>
          <w:rFonts w:ascii="Times New Roman" w:hAnsi="Times New Roman" w:cs="Times New Roman"/>
          <w:b/>
          <w:bCs/>
          <w:color w:val="auto"/>
        </w:rPr>
        <w:t>ATASET 4: BLOCK GROUP-LEVEL ESTIMATES OF SOCIOECONOMIC AND DEMOGRAPHIC CHARACTERISTICS IN KNOX COUNTY, TENNESSEE</w:t>
      </w:r>
      <w:bookmarkEnd w:id="103"/>
    </w:p>
    <w:p w14:paraId="7D13168E" w14:textId="18FC189D" w:rsidR="00A43DE4" w:rsidRDefault="000C3C5F" w:rsidP="00156BEA">
      <w:pPr>
        <w:spacing w:line="480" w:lineRule="auto"/>
      </w:pPr>
      <w:r>
        <w:rPr>
          <w:b/>
          <w:bCs/>
        </w:rPr>
        <w:tab/>
      </w:r>
      <w:r>
        <w:t xml:space="preserve">Local context </w:t>
      </w:r>
      <w:r w:rsidR="005F7A43">
        <w:t>is important to understanding the food opportunities accessible to different individuals and contextualizing the</w:t>
      </w:r>
      <w:r w:rsidR="00470705">
        <w:t xml:space="preserve">ir surrounding environment. </w:t>
      </w:r>
      <w:r w:rsidR="000024B8">
        <w:t xml:space="preserve">Statistics related to </w:t>
      </w:r>
      <w:r w:rsidR="00A43DE4">
        <w:t xml:space="preserve">basic </w:t>
      </w:r>
      <w:r w:rsidR="000024B8">
        <w:t>demographics,</w:t>
      </w:r>
      <w:r w:rsidR="005D489C">
        <w:t xml:space="preserve"> social vulnerability, and</w:t>
      </w:r>
      <w:r w:rsidR="000024B8">
        <w:t xml:space="preserve"> Supplemental Nutrition and Assistance Program (SNAP) benefit recipients</w:t>
      </w:r>
      <w:r w:rsidR="005D489C">
        <w:t xml:space="preserve"> aid in </w:t>
      </w:r>
      <w:r w:rsidR="001E0B85">
        <w:t xml:space="preserve">identifying areas that are socially disadvantaged or lacking in economic power. </w:t>
      </w:r>
      <w:r w:rsidR="008F4525">
        <w:t xml:space="preserve">All variables included in the CDC’s Social Vulnerability Index (SVI) were included </w:t>
      </w:r>
      <w:r w:rsidR="0053694A">
        <w:t xml:space="preserve">in accordance with what public health scientists at the CDC consider to </w:t>
      </w:r>
      <w:r w:rsidR="00905BC1">
        <w:t xml:space="preserve">be </w:t>
      </w:r>
      <w:commentRangeStart w:id="104"/>
      <w:commentRangeStart w:id="105"/>
      <w:r w:rsidR="00905BC1">
        <w:t>fifteen important variables that reflect human health</w:t>
      </w:r>
      <w:r w:rsidR="00635919">
        <w:t xml:space="preserve">, and these are </w:t>
      </w:r>
      <w:r w:rsidR="00386132">
        <w:t xml:space="preserve">numbers </w:t>
      </w:r>
      <w:r w:rsidR="00635919">
        <w:t>2 to 16 in the following list</w:t>
      </w:r>
      <w:r w:rsidR="00905BC1">
        <w:t xml:space="preserve">. </w:t>
      </w:r>
      <w:r w:rsidR="008C22EE">
        <w:t xml:space="preserve">Four additional variables </w:t>
      </w:r>
      <w:r w:rsidR="00635919">
        <w:t>for total population, SNAP benefits, no computer and no internet are also included</w:t>
      </w:r>
      <w:r w:rsidR="00F67D41">
        <w:t xml:space="preserve"> because of their relevance to food access in today’s hybrid physical-virtual space.</w:t>
      </w:r>
      <w:r w:rsidR="00386132">
        <w:t xml:space="preserve"> 2016-</w:t>
      </w:r>
      <w:r w:rsidR="00386132">
        <w:lastRenderedPageBreak/>
        <w:t>2020 5-Year Estimates from the American Community Survey (ACS) were retrieved for all block groups in Knox County, Tennessee, and a script for reproducibility</w:t>
      </w:r>
      <w:r w:rsidR="00C76252">
        <w:t xml:space="preserve"> written in R</w:t>
      </w:r>
      <w:r w:rsidR="00386132">
        <w:t xml:space="preserve"> was developed using the </w:t>
      </w:r>
      <w:proofErr w:type="spellStart"/>
      <w:r w:rsidR="00386132">
        <w:t>tidycensus</w:t>
      </w:r>
      <w:proofErr w:type="spellEnd"/>
      <w:r w:rsidR="00386132">
        <w:t xml:space="preserve"> library </w:t>
      </w:r>
      <w:r w:rsidR="00386132">
        <w:fldChar w:fldCharType="begin"/>
      </w:r>
      <w:r w:rsidR="00386132">
        <w:instrText xml:space="preserve"> ADDIN ZOTERO_ITEM CSL_CITATION {"citationID":"12t3ELhd","properties":{"formattedCitation":"(K. Walker &amp; Herman, 2022)","plainCitation":"(K. Walker &amp; Herman, 2022)","noteIndex":0},"citationItems":[{"id":1916,"uris":["http://zotero.org/users/5090392/items/RI5GJLMA"],"itemData":{"id":1916,"type":"software","genre":"R","title":"tidycensus: Load US Census Boundary and Attribute Data as 'tidyverse' and 'sf'-Ready Data Frames","URL":"https://walker-data.com/tidycensus/","version":"1.2.2.9000","author":[{"family":"Walker","given":"Kyle"},{"family":"Herman","given":"Matt"}],"accessed":{"date-parts":[["2022",8,18]]},"issued":{"date-parts":[["2022"]]}}}],"schema":"https://github.com/citation-style-language/schema/raw/master/csl-citation.json"} </w:instrText>
      </w:r>
      <w:r w:rsidR="00386132">
        <w:fldChar w:fldCharType="separate"/>
      </w:r>
      <w:r w:rsidR="00386132" w:rsidRPr="00827101">
        <w:t>(Walker &amp; Herman, 2022)</w:t>
      </w:r>
      <w:r w:rsidR="00386132">
        <w:fldChar w:fldCharType="end"/>
      </w:r>
      <w:r w:rsidR="00386132">
        <w:t>.</w:t>
      </w:r>
      <w:r w:rsidR="00F67D41">
        <w:t xml:space="preserve"> </w:t>
      </w:r>
      <w:r w:rsidR="00A43DE4">
        <w:t xml:space="preserve">These variables </w:t>
      </w:r>
      <w:r w:rsidR="001B1E54">
        <w:t xml:space="preserve">shed light on the different access dimensions </w:t>
      </w:r>
      <w:r w:rsidR="00F27C6B">
        <w:t xml:space="preserve">and </w:t>
      </w:r>
      <w:r w:rsidR="00A43DE4">
        <w:t>are:</w:t>
      </w:r>
      <w:commentRangeEnd w:id="104"/>
      <w:r w:rsidR="009F6D9C">
        <w:rPr>
          <w:rStyle w:val="CommentReference"/>
        </w:rPr>
        <w:commentReference w:id="104"/>
      </w:r>
      <w:commentRangeEnd w:id="105"/>
      <w:r w:rsidR="009206B2">
        <w:rPr>
          <w:rStyle w:val="CommentReference"/>
        </w:rPr>
        <w:commentReference w:id="105"/>
      </w:r>
      <w:r w:rsidR="00A43DE4">
        <w:t xml:space="preserve"> </w:t>
      </w:r>
    </w:p>
    <w:p w14:paraId="24C6CD2B" w14:textId="77777777" w:rsidR="00A43DE4" w:rsidRDefault="00A43DE4" w:rsidP="00156BEA">
      <w:pPr>
        <w:pStyle w:val="ListParagraph"/>
        <w:numPr>
          <w:ilvl w:val="0"/>
          <w:numId w:val="7"/>
        </w:numPr>
        <w:spacing w:line="480" w:lineRule="auto"/>
      </w:pPr>
      <w:r>
        <w:t>Total population</w:t>
      </w:r>
    </w:p>
    <w:p w14:paraId="79B9BBEA" w14:textId="77777777" w:rsidR="00A43DE4" w:rsidRDefault="00A43DE4" w:rsidP="00156BEA">
      <w:pPr>
        <w:pStyle w:val="ListParagraph"/>
        <w:numPr>
          <w:ilvl w:val="0"/>
          <w:numId w:val="7"/>
        </w:numPr>
        <w:spacing w:line="480" w:lineRule="auto"/>
      </w:pPr>
      <w:r>
        <w:t>Median income (Median household income in dollars in the past twelve months adjusted for 2020 inflation)</w:t>
      </w:r>
    </w:p>
    <w:p w14:paraId="656B0348" w14:textId="77777777" w:rsidR="00A43DE4" w:rsidRDefault="00A43DE4" w:rsidP="00156BEA">
      <w:pPr>
        <w:pStyle w:val="ListParagraph"/>
        <w:numPr>
          <w:ilvl w:val="0"/>
          <w:numId w:val="7"/>
        </w:numPr>
        <w:spacing w:line="480" w:lineRule="auto"/>
      </w:pPr>
      <w:r>
        <w:t>Poverty (% of all people living at or below the federal poverty line)</w:t>
      </w:r>
    </w:p>
    <w:p w14:paraId="5569C3FC" w14:textId="77777777" w:rsidR="00A43DE4" w:rsidRDefault="00A43DE4" w:rsidP="00156BEA">
      <w:pPr>
        <w:pStyle w:val="ListParagraph"/>
        <w:numPr>
          <w:ilvl w:val="0"/>
          <w:numId w:val="7"/>
        </w:numPr>
        <w:spacing w:line="480" w:lineRule="auto"/>
      </w:pPr>
      <w:r>
        <w:t>Unemployed (% of all people in the labor force who are unemployed)</w:t>
      </w:r>
    </w:p>
    <w:p w14:paraId="55908ACA" w14:textId="77777777" w:rsidR="00A43DE4" w:rsidRDefault="00A43DE4" w:rsidP="00156BEA">
      <w:pPr>
        <w:pStyle w:val="ListParagraph"/>
        <w:numPr>
          <w:ilvl w:val="0"/>
          <w:numId w:val="7"/>
        </w:numPr>
        <w:spacing w:line="480" w:lineRule="auto"/>
      </w:pPr>
      <w:r>
        <w:t>Low formal education (% of all people who are 25 and older without a high-school diploma)</w:t>
      </w:r>
    </w:p>
    <w:p w14:paraId="252944F8" w14:textId="77777777" w:rsidR="00A43DE4" w:rsidRDefault="00A43DE4" w:rsidP="00156BEA">
      <w:pPr>
        <w:pStyle w:val="ListParagraph"/>
        <w:numPr>
          <w:ilvl w:val="0"/>
          <w:numId w:val="7"/>
        </w:numPr>
        <w:spacing w:line="480" w:lineRule="auto"/>
      </w:pPr>
      <w:r>
        <w:t>Senior (% of all people who are 65 and older)</w:t>
      </w:r>
    </w:p>
    <w:p w14:paraId="3B47B2EA" w14:textId="77777777" w:rsidR="00A43DE4" w:rsidRDefault="00A43DE4" w:rsidP="00156BEA">
      <w:pPr>
        <w:pStyle w:val="ListParagraph"/>
        <w:numPr>
          <w:ilvl w:val="0"/>
          <w:numId w:val="7"/>
        </w:numPr>
        <w:spacing w:line="480" w:lineRule="auto"/>
      </w:pPr>
      <w:r>
        <w:t>Youth (% of all people who are age 17 and younger)</w:t>
      </w:r>
    </w:p>
    <w:p w14:paraId="48A78629" w14:textId="77777777" w:rsidR="00A43DE4" w:rsidRDefault="00A43DE4" w:rsidP="00156BEA">
      <w:pPr>
        <w:pStyle w:val="ListParagraph"/>
        <w:numPr>
          <w:ilvl w:val="0"/>
          <w:numId w:val="7"/>
        </w:numPr>
        <w:spacing w:line="480" w:lineRule="auto"/>
      </w:pPr>
      <w:r>
        <w:t>Disabled (% of all households with at least one person with a disability)</w:t>
      </w:r>
    </w:p>
    <w:p w14:paraId="5DD2B3DA" w14:textId="77777777" w:rsidR="00A43DE4" w:rsidRDefault="00A43DE4" w:rsidP="00156BEA">
      <w:pPr>
        <w:pStyle w:val="ListParagraph"/>
        <w:numPr>
          <w:ilvl w:val="0"/>
          <w:numId w:val="7"/>
        </w:numPr>
        <w:spacing w:line="480" w:lineRule="auto"/>
      </w:pPr>
      <w:r>
        <w:t xml:space="preserve">Single-parent households (% of all households with at least one </w:t>
      </w:r>
      <w:proofErr w:type="gramStart"/>
      <w:r>
        <w:t>children</w:t>
      </w:r>
      <w:proofErr w:type="gramEnd"/>
      <w:r>
        <w:t xml:space="preserve"> and either a female or male householder)</w:t>
      </w:r>
    </w:p>
    <w:p w14:paraId="774A8DAE" w14:textId="77777777" w:rsidR="00A43DE4" w:rsidRDefault="00A43DE4" w:rsidP="00156BEA">
      <w:pPr>
        <w:pStyle w:val="ListParagraph"/>
        <w:numPr>
          <w:ilvl w:val="0"/>
          <w:numId w:val="7"/>
        </w:numPr>
        <w:spacing w:line="480" w:lineRule="auto"/>
      </w:pPr>
      <w:r>
        <w:t>Minority (% of all people who are non-white)</w:t>
      </w:r>
    </w:p>
    <w:p w14:paraId="022A441A" w14:textId="77777777" w:rsidR="00A43DE4" w:rsidRDefault="00A43DE4" w:rsidP="00156BEA">
      <w:pPr>
        <w:pStyle w:val="ListParagraph"/>
        <w:numPr>
          <w:ilvl w:val="0"/>
          <w:numId w:val="7"/>
        </w:numPr>
        <w:spacing w:line="480" w:lineRule="auto"/>
      </w:pPr>
      <w:r>
        <w:t>Poor English speakers (% of all people who speak English less than “well”)</w:t>
      </w:r>
    </w:p>
    <w:p w14:paraId="2A833E89" w14:textId="77777777" w:rsidR="00A43DE4" w:rsidRDefault="00A43DE4" w:rsidP="00156BEA">
      <w:pPr>
        <w:pStyle w:val="ListParagraph"/>
        <w:numPr>
          <w:ilvl w:val="0"/>
          <w:numId w:val="7"/>
        </w:numPr>
        <w:spacing w:line="480" w:lineRule="auto"/>
      </w:pPr>
      <w:r>
        <w:t>Multi-unit housing (% of all occupied housing units that have 10 or more units)</w:t>
      </w:r>
    </w:p>
    <w:p w14:paraId="0802E43E" w14:textId="77777777" w:rsidR="00A43DE4" w:rsidRDefault="00A43DE4" w:rsidP="00156BEA">
      <w:pPr>
        <w:pStyle w:val="ListParagraph"/>
        <w:numPr>
          <w:ilvl w:val="0"/>
          <w:numId w:val="7"/>
        </w:numPr>
        <w:spacing w:line="480" w:lineRule="auto"/>
      </w:pPr>
      <w:r>
        <w:t>Mobile homes (% of all occupied housing units that are mobile structures)</w:t>
      </w:r>
    </w:p>
    <w:p w14:paraId="71FADA2A" w14:textId="77777777" w:rsidR="00A43DE4" w:rsidRDefault="00A43DE4" w:rsidP="00156BEA">
      <w:pPr>
        <w:pStyle w:val="ListParagraph"/>
        <w:numPr>
          <w:ilvl w:val="0"/>
          <w:numId w:val="7"/>
        </w:numPr>
        <w:spacing w:line="480" w:lineRule="auto"/>
      </w:pPr>
      <w:r>
        <w:t>Crowded housing (% of occupied housing units with greater than one person per room)</w:t>
      </w:r>
    </w:p>
    <w:p w14:paraId="3F906D93" w14:textId="77777777" w:rsidR="00A43DE4" w:rsidRDefault="00A43DE4" w:rsidP="00156BEA">
      <w:pPr>
        <w:pStyle w:val="ListParagraph"/>
        <w:numPr>
          <w:ilvl w:val="0"/>
          <w:numId w:val="7"/>
        </w:numPr>
        <w:spacing w:line="480" w:lineRule="auto"/>
      </w:pPr>
      <w:r>
        <w:t>No vehicles (% of all households without a personal vehicle)</w:t>
      </w:r>
    </w:p>
    <w:p w14:paraId="22C88508" w14:textId="77777777" w:rsidR="00A43DE4" w:rsidRDefault="00A43DE4" w:rsidP="00156BEA">
      <w:pPr>
        <w:pStyle w:val="ListParagraph"/>
        <w:numPr>
          <w:ilvl w:val="0"/>
          <w:numId w:val="7"/>
        </w:numPr>
        <w:spacing w:line="480" w:lineRule="auto"/>
      </w:pPr>
      <w:r>
        <w:lastRenderedPageBreak/>
        <w:t>Group quarters (% of all people living in group quarters)</w:t>
      </w:r>
    </w:p>
    <w:p w14:paraId="01A45B94" w14:textId="77777777" w:rsidR="00A43DE4" w:rsidRDefault="00A43DE4" w:rsidP="00156BEA">
      <w:pPr>
        <w:pStyle w:val="ListParagraph"/>
        <w:numPr>
          <w:ilvl w:val="0"/>
          <w:numId w:val="7"/>
        </w:numPr>
        <w:spacing w:line="480" w:lineRule="auto"/>
      </w:pPr>
      <w:r>
        <w:t>SNAP benefits (% of all people with SNAP benefits)</w:t>
      </w:r>
    </w:p>
    <w:p w14:paraId="1959DDD0" w14:textId="77777777" w:rsidR="00A43DE4" w:rsidRDefault="00A43DE4" w:rsidP="00156BEA">
      <w:pPr>
        <w:pStyle w:val="ListParagraph"/>
        <w:numPr>
          <w:ilvl w:val="0"/>
          <w:numId w:val="7"/>
        </w:numPr>
        <w:spacing w:line="480" w:lineRule="auto"/>
      </w:pPr>
      <w:r>
        <w:t>No computer (% of all people without a computer at home)</w:t>
      </w:r>
    </w:p>
    <w:p w14:paraId="3F07AEB9" w14:textId="14D79162" w:rsidR="00A43DE4" w:rsidRDefault="00A43DE4" w:rsidP="00156BEA">
      <w:pPr>
        <w:pStyle w:val="ListParagraph"/>
        <w:numPr>
          <w:ilvl w:val="0"/>
          <w:numId w:val="7"/>
        </w:numPr>
        <w:spacing w:line="480" w:lineRule="auto"/>
      </w:pPr>
      <w:r>
        <w:t>No internet (% of all people without internet at home)</w:t>
      </w:r>
    </w:p>
    <w:p w14:paraId="0D5629AC" w14:textId="4CD243CB" w:rsidR="00E87700" w:rsidRDefault="009047F4" w:rsidP="001B5BFB">
      <w:pPr>
        <w:spacing w:line="480" w:lineRule="auto"/>
        <w:ind w:firstLine="720"/>
      </w:pPr>
      <w:r>
        <w:t xml:space="preserve">For example, </w:t>
      </w:r>
      <w:r w:rsidR="00C75FC1">
        <w:t xml:space="preserve">the contextual layer of the population without vehicles reveals areas where the population may have lower adoption of personal vehicle transportation and face more difficulty in reaching places not easily traversed to by car. In car-centric cities like Knoxville, this understanding helps to understand the relative accessibility of people based on what is arguably the most important mode of transportation. But the existence of the Internet means that </w:t>
      </w:r>
      <w:r w:rsidR="00E87700">
        <w:t xml:space="preserve">the last two contextual layers of computer ownership and internet access </w:t>
      </w:r>
      <w:r w:rsidR="004808FB">
        <w:t xml:space="preserve">are also important </w:t>
      </w:r>
      <w:r w:rsidR="00E87700">
        <w:t>to understand</w:t>
      </w:r>
      <w:r w:rsidR="004808FB">
        <w:t>ing</w:t>
      </w:r>
      <w:r w:rsidR="00E87700">
        <w:t xml:space="preserve"> the </w:t>
      </w:r>
      <w:r w:rsidR="001A1705">
        <w:t xml:space="preserve">broader </w:t>
      </w:r>
      <w:r w:rsidR="00E87700">
        <w:t xml:space="preserve">structural barriers in navigating virtual space, or relational accessibility to different opportunities. People have different technological capabilities and broadband and 5G internet infrastructure is heterogeneous throughout the United States and across the world </w:t>
      </w:r>
      <w:r w:rsidR="00E87700">
        <w:fldChar w:fldCharType="begin"/>
      </w:r>
      <w:r w:rsidR="00E87700">
        <w:instrText xml:space="preserve"> ADDIN ZOTERO_ITEM CSL_CITATION {"citationID":"8Hc3VIys","properties":{"formattedCitation":"(Graham, 2014; Warf, 2011)","plainCitation":"(Graham, 2014; Warf, 2011)","noteIndex":0},"citationItems":[{"id":536,"uris":["http://zotero.org/users/5090392/items/AN5EUYXX"],"itemData":{"id":536,"type":"chapter","abstract":"Across the globe, daily economic, social, and political activities increasingly revolve around the use of content on the Internet. This content influences our understandings of, and interactions with, our social environment. Yet it is remarkable how little we know about the broader contexts in which much of that content in created. As such, this chapter sets out to comprehensively uncover: (1) where Internet content is being created; (2) whether the amount of content created in different places is changing over time; and (3) the ways in which landscapes of content are structured and formed. Mapping the geographic diversity and concentration of a broad variety of sources of online content is ultimately crucial to develop more informed strategies to combat digital divides and ultimately benefit those who are left out of flows of information.","container-title":"Society and the Internet: How Networks of Information and Communication are Changing our Lives","event-place":"Oxford","language":"en","note":"DOI: 10.2139/ssrn.2448222","page":"99-116","publisher":"Oxford University Press","publisher-place":"Oxford","source":"papers.ssrn.com","title":"Internet Geographies: Data Shadows and Digital Divisions of Labour","title-short":"Internet Geographies","URL":"https://papers.ssrn.com/abstract=2448222","author":[{"family":"Graham","given":"Mark"}],"accessed":{"date-parts":[["2020",4,9]]},"issued":{"date-parts":[["2014",6,10]]}}},{"id":1539,"uris":["http://zotero.org/users/5090392/items/X34X94K5"],"itemData":{"id":1539,"type":"article-journal","abstract":"More than one-quarter of the planet’s population uses the Internet today, although access to it is highly uneven throughout the world. While it is widely celebrated for its emancipatory potential, many governments view the Internet with alarm and have attempted to limit access or to control its contents. This project seeks to provide a comprehensive, theoretically informed analysis of the geographies of Internet censorship. It begins by clarifying the reasons, types, extent of, and opposition to, government limitations of Internet access and contents. Invoking an index of censorship by Reporters Without Borders, it maps the severity of censorship worldwide and assesses the numbers of people affected, and using the Freedom House index, it correlates political liberty with penetration rates. Second, it explores Internet censorship at several levels of severity to explicate the multiple means through which censorship is implemented and resisted. The third part offers a moral critique of Internet censorship via a Habermasian interpretation of cyberspace as the closest real-world approximation of an ideal speech situation. The summary notes the paradox of growing e-government and continued fears of an expanded domain of public discourse.","container-title":"GeoJournal","DOI":"10.1007/s10708-010-9393-3","ISSN":"1572-9893","issue":"1","journalAbbreviation":"GeoJournal","language":"en","page":"1-23","source":"Springer Link","title":"Geographies of global Internet censorship","URL":"https://doi.org/10.1007/s10708-010-9393-3","volume":"76","author":[{"family":"Warf","given":"Barney"}],"accessed":{"date-parts":[["2022",4,2]]},"issued":{"date-parts":[["2011",2,1]]}}}],"schema":"https://github.com/citation-style-language/schema/raw/master/csl-citation.json"} </w:instrText>
      </w:r>
      <w:r w:rsidR="00E87700">
        <w:fldChar w:fldCharType="separate"/>
      </w:r>
      <w:r w:rsidR="00E87700" w:rsidRPr="00B34326">
        <w:t>(Graham, 2014; Warf, 2011)</w:t>
      </w:r>
      <w:r w:rsidR="00E87700">
        <w:fldChar w:fldCharType="end"/>
      </w:r>
      <w:r w:rsidR="00E87700">
        <w:t>. In the U.S., ACS data for the population without computers and internet at home at the block group and coarser geographic units helps to understand where a relatively large population lacks access to the necessary digital resources and skills for reaching opportunities online</w:t>
      </w:r>
      <w:r w:rsidR="001A1705">
        <w:t xml:space="preserve">. </w:t>
      </w:r>
      <w:r w:rsidR="00E87700">
        <w:t>The FCC Broadband Map similarly details where and</w:t>
      </w:r>
      <w:r w:rsidR="005E1A26">
        <w:t xml:space="preserve"> </w:t>
      </w:r>
      <w:r w:rsidR="00E87700">
        <w:t xml:space="preserve">what type of internet infrastructure is laid across the U.S. (e.g., dial-up, satellite, </w:t>
      </w:r>
      <w:r w:rsidR="00F86BF4">
        <w:t xml:space="preserve">25/5 </w:t>
      </w:r>
      <w:proofErr w:type="spellStart"/>
      <w:r w:rsidR="00F86BF4">
        <w:t>mbps</w:t>
      </w:r>
      <w:proofErr w:type="spellEnd"/>
      <w:r w:rsidR="00F86BF4">
        <w:t xml:space="preserve"> broadband, 100/20 </w:t>
      </w:r>
      <w:proofErr w:type="spellStart"/>
      <w:r w:rsidR="00F86BF4">
        <w:t>mbps</w:t>
      </w:r>
      <w:proofErr w:type="spellEnd"/>
      <w:r w:rsidR="00F86BF4">
        <w:t xml:space="preserve"> </w:t>
      </w:r>
      <w:r w:rsidR="00E87700">
        <w:t>broadband, 5G, etc.) but is currently fraught with accuracy concerns and undergoing major revisions and updates</w:t>
      </w:r>
      <w:r w:rsidR="00112551">
        <w:t xml:space="preserve"> </w:t>
      </w:r>
      <w:r w:rsidR="004B6558">
        <w:t>spearheaded by a new task force</w:t>
      </w:r>
      <w:r w:rsidR="00E87700">
        <w:t xml:space="preserve"> </w:t>
      </w:r>
      <w:r w:rsidR="00E87700">
        <w:fldChar w:fldCharType="begin"/>
      </w:r>
      <w:r w:rsidR="00E87700">
        <w:instrText xml:space="preserve"> ADDIN ZOTERO_ITEM CSL_CITATION {"citationID":"6oHic5AK","properties":{"formattedCitation":"(Reardon, 2021; Tibken, 2021a, 2021b)","plainCitation":"(Reardon, 2021; Tibken, 2021a, 2021b)","noteIndex":0},"citationItems":[{"id":1351,"uris":["http://zotero.org/users/5090392/items/MWZ45BMD"],"itemData":{"id":1351,"type":"webpage","abstract":"The head of the new task force warns it could take until next year to fix the FCC's flawed maps.","container-title":"CNET","language":"en","title":"FCC Chair Rosenworcel launches broadband mapping task force","URL":"https://www.cnet.com/tech/mobile/fcc-chair-rosenworcel-launches-broadband-mapping-task-force/","author":[{"family":"Reardon","given":"Marguerite"}],"accessed":{"date-parts":[["2022",2,15]]},"issued":{"date-parts":[["2021",2,17]]}}},{"id":1345,"uris":["http://zotero.org/users/5090392/items/6XWULZTJ"],"itemData":{"id":1345,"type":"webpage","abstract":"A fundamental flaw in closing the digital divide is not knowing where the problems actually are. We're finally about to see changes.","container-title":"CNET","language":"en","title":"Millions of Americans can't get broadband because of the FCC's faulty map. There's a fix","URL":"https://www.cnet.com/home/internet/features/millions-of-americans-cant-get-broadband-because-of-a-faulty-fcc-map-theres-a-fix/","author":[{"family":"Tibken","given":"Shara"}],"accessed":{"date-parts":[["2022",2,14]]},"issued":{"date-parts":[["2021",2,19]]}}},{"id":1343,"uris":["http://zotero.org/users/5090392/items/LUXSGKFA"],"itemData":{"id":1343,"type":"webpage","abstract":"Georgia, Maine, Pennsylvania and others took mapping into their own hands, building their own granular data to pinpoint gaps in internet coverage and apply for federal funding.","container-title":"CNET","language":"en","title":"States couldn't afford to wait for the FCC's broadband maps to improve. So they didn't","URL":"https://www.cnet.com/home/internet/features/states-couldnt-afford-to-wait-for-the-fccs-broadband-maps-to-improve-so-they-didnt/","author":[{"family":"Tibken","given":"Shara"}],"accessed":{"date-parts":[["2022",2,14]]},"issued":{"date-parts":[["2021",2,23]]}}}],"schema":"https://github.com/citation-style-language/schema/raw/master/csl-citation.json"} </w:instrText>
      </w:r>
      <w:r w:rsidR="00E87700">
        <w:fldChar w:fldCharType="separate"/>
      </w:r>
      <w:r w:rsidR="00E87700" w:rsidRPr="00E03192">
        <w:t>(Reardon, 2021; Tibken, 2021a, 2021b)</w:t>
      </w:r>
      <w:r w:rsidR="00E87700">
        <w:fldChar w:fldCharType="end"/>
      </w:r>
      <w:r w:rsidR="00E87700">
        <w:t>.</w:t>
      </w:r>
      <w:r w:rsidR="001A1705">
        <w:t xml:space="preserve"> Such data</w:t>
      </w:r>
      <w:r w:rsidR="00E73F9D">
        <w:t>, with the necessary improvements,</w:t>
      </w:r>
      <w:r w:rsidR="000E6BB8">
        <w:t xml:space="preserve"> can be used to augment understanding of the characteristics of individuals</w:t>
      </w:r>
      <w:r w:rsidR="00AF363E">
        <w:t xml:space="preserve"> </w:t>
      </w:r>
      <w:r w:rsidR="001B5BFB">
        <w:t xml:space="preserve">(Dataset 2) </w:t>
      </w:r>
      <w:r w:rsidR="00AF363E">
        <w:t xml:space="preserve">and their capabilities in </w:t>
      </w:r>
      <w:r w:rsidR="001B5BFB">
        <w:t xml:space="preserve">reaching online </w:t>
      </w:r>
      <w:r w:rsidR="00B955AC">
        <w:t>stores</w:t>
      </w:r>
      <w:r w:rsidR="001B5BFB">
        <w:t>.</w:t>
      </w:r>
      <w:r w:rsidR="006168E2">
        <w:t xml:space="preserve"> </w:t>
      </w:r>
    </w:p>
    <w:p w14:paraId="36885907" w14:textId="4383D27C" w:rsidR="00AE2E08" w:rsidRDefault="00E87700" w:rsidP="00D155E6">
      <w:pPr>
        <w:spacing w:line="480" w:lineRule="auto"/>
        <w:ind w:firstLine="720"/>
      </w:pPr>
      <w:r>
        <w:lastRenderedPageBreak/>
        <w:t>U</w:t>
      </w:r>
      <w:r w:rsidR="009047F4">
        <w:t xml:space="preserve">nderstanding </w:t>
      </w:r>
      <w:r w:rsidR="00F27C6B">
        <w:t xml:space="preserve">the median income </w:t>
      </w:r>
      <w:r w:rsidR="0032329D">
        <w:t xml:space="preserve">across an area and </w:t>
      </w:r>
      <w:r w:rsidR="009047F4">
        <w:t>where</w:t>
      </w:r>
      <w:r w:rsidR="00DC01CE">
        <w:t xml:space="preserve"> unemployment and</w:t>
      </w:r>
      <w:r w:rsidR="009047F4">
        <w:t xml:space="preserve"> poverty </w:t>
      </w:r>
      <w:r w:rsidR="00DC01CE">
        <w:t>are</w:t>
      </w:r>
      <w:r w:rsidR="009047F4">
        <w:t xml:space="preserve"> greatest can </w:t>
      </w:r>
      <w:r w:rsidR="001B5BFB">
        <w:t xml:space="preserve">also </w:t>
      </w:r>
      <w:r w:rsidR="009047F4">
        <w:t xml:space="preserve">help </w:t>
      </w:r>
      <w:r w:rsidR="006F36A5">
        <w:t xml:space="preserve">policymakers develop more informed programs to combat food insecurity and </w:t>
      </w:r>
      <w:r w:rsidR="007310B4">
        <w:t>ameliorate poor food access</w:t>
      </w:r>
      <w:r w:rsidR="0032329D">
        <w:t xml:space="preserve"> stemming from financial and </w:t>
      </w:r>
      <w:r w:rsidR="004B6558">
        <w:t>economic</w:t>
      </w:r>
      <w:r w:rsidR="0032329D">
        <w:t xml:space="preserve"> considerations</w:t>
      </w:r>
      <w:r w:rsidR="007310B4">
        <w:t xml:space="preserve">. </w:t>
      </w:r>
      <w:r w:rsidR="00FC2512">
        <w:t>Such information adds context into the financial situations of people within different neighborhoods, or the relative affordability</w:t>
      </w:r>
      <w:r w:rsidR="0011139C">
        <w:t xml:space="preserve"> of individuals based on </w:t>
      </w:r>
      <w:r w:rsidR="009819D9">
        <w:t>the economic situation of where they live</w:t>
      </w:r>
      <w:r w:rsidR="00FC2512">
        <w:t>.</w:t>
      </w:r>
      <w:r>
        <w:t xml:space="preserve"> </w:t>
      </w:r>
      <w:r w:rsidR="004B7CC3">
        <w:t>Map overlays for these t</w:t>
      </w:r>
      <w:r w:rsidR="00DC01CE">
        <w:t>hree</w:t>
      </w:r>
      <w:r w:rsidR="004B7CC3">
        <w:t xml:space="preserve"> characteristics can help identify </w:t>
      </w:r>
      <w:r w:rsidR="00BA6BCD">
        <w:t xml:space="preserve">relatively </w:t>
      </w:r>
      <w:r w:rsidR="004B7CC3">
        <w:t>lower-income</w:t>
      </w:r>
      <w:r w:rsidR="00AE2E08">
        <w:t>, higher-unemployed,</w:t>
      </w:r>
      <w:r w:rsidR="004B7CC3">
        <w:t xml:space="preserve"> </w:t>
      </w:r>
      <w:r w:rsidR="00BA6BCD">
        <w:t xml:space="preserve">and more impoverished </w:t>
      </w:r>
      <w:r w:rsidR="004B7CC3">
        <w:t xml:space="preserve">areas that </w:t>
      </w:r>
      <w:r w:rsidR="004B7421">
        <w:t>have few inexpensive food opportunities</w:t>
      </w:r>
      <w:r w:rsidR="006168E2">
        <w:t xml:space="preserve"> when coupled with user queries of store characteristics (Dataset 1).</w:t>
      </w:r>
      <w:r w:rsidR="00D155E6">
        <w:t xml:space="preserve"> </w:t>
      </w:r>
      <w:r w:rsidR="00AE2E08">
        <w:t xml:space="preserve">Other </w:t>
      </w:r>
      <w:r w:rsidR="00F85C09">
        <w:t xml:space="preserve">contextual layers from the Census </w:t>
      </w:r>
      <w:r w:rsidR="00AE2E08">
        <w:t xml:space="preserve">such as </w:t>
      </w:r>
      <w:r w:rsidR="00F85C09">
        <w:t>the disabled</w:t>
      </w:r>
      <w:r w:rsidR="00F53706">
        <w:t xml:space="preserve"> </w:t>
      </w:r>
      <w:r w:rsidR="00CE4D95">
        <w:t>and</w:t>
      </w:r>
      <w:r w:rsidR="00F85C09">
        <w:t xml:space="preserve"> senior</w:t>
      </w:r>
      <w:r w:rsidR="00CE4D95">
        <w:t xml:space="preserve"> population </w:t>
      </w:r>
      <w:r w:rsidR="00B036C8">
        <w:t xml:space="preserve">can be used to inform </w:t>
      </w:r>
      <w:r w:rsidR="00964D4B">
        <w:t xml:space="preserve">areas that </w:t>
      </w:r>
      <w:r w:rsidR="00BA0C31">
        <w:t xml:space="preserve">have higher proportions of these people and </w:t>
      </w:r>
      <w:r w:rsidR="00964D4B">
        <w:t xml:space="preserve">may </w:t>
      </w:r>
      <w:r w:rsidR="00BA0C31">
        <w:t xml:space="preserve">more urgently </w:t>
      </w:r>
      <w:r w:rsidR="00964D4B">
        <w:t xml:space="preserve">require special infrastructure that accommodate the </w:t>
      </w:r>
      <w:r w:rsidR="00C7685A">
        <w:t xml:space="preserve">physical and mental </w:t>
      </w:r>
      <w:r w:rsidR="00964D4B">
        <w:t>needs of these populations.</w:t>
      </w:r>
      <w:r w:rsidR="00BA0C31">
        <w:t xml:space="preserve"> </w:t>
      </w:r>
      <w:r w:rsidR="009A2976">
        <w:t xml:space="preserve">Along with the store characteristics dataset, such layers can be tied together visually to understand </w:t>
      </w:r>
      <w:r w:rsidR="00BB30D0">
        <w:t>whether areas with higher proportions of these populations have destinations with the requisite infrastructure, such as wheelchair ramps</w:t>
      </w:r>
      <w:r w:rsidR="001754A3">
        <w:t xml:space="preserve"> and parking areas.</w:t>
      </w:r>
      <w:r w:rsidR="00F53706">
        <w:t xml:space="preserve"> The minority </w:t>
      </w:r>
      <w:r w:rsidR="00CE59D7">
        <w:t xml:space="preserve">and English language </w:t>
      </w:r>
      <w:proofErr w:type="gramStart"/>
      <w:r w:rsidR="00CE59D7">
        <w:t>speakers</w:t>
      </w:r>
      <w:proofErr w:type="gramEnd"/>
      <w:r w:rsidR="00CE59D7">
        <w:t xml:space="preserve"> </w:t>
      </w:r>
      <w:r w:rsidR="00F53706">
        <w:t xml:space="preserve">population layer also help to understand the broader racial </w:t>
      </w:r>
      <w:r w:rsidR="00CE59D7">
        <w:t xml:space="preserve">and linguistic </w:t>
      </w:r>
      <w:r w:rsidR="00F53706">
        <w:t>dynamics</w:t>
      </w:r>
      <w:r w:rsidR="00CE59D7">
        <w:t xml:space="preserve"> throughout the </w:t>
      </w:r>
      <w:r w:rsidR="00FC03B8">
        <w:t xml:space="preserve">area that can shed light on the perceived acceptability of </w:t>
      </w:r>
      <w:r w:rsidR="00B24C56">
        <w:t xml:space="preserve">people for different destinations, especially when store characteristics such as </w:t>
      </w:r>
      <w:r w:rsidR="00B25D83">
        <w:t xml:space="preserve">the Ethnic grocery </w:t>
      </w:r>
      <w:r w:rsidR="00B24C56">
        <w:t>st</w:t>
      </w:r>
      <w:r w:rsidR="00B25D83">
        <w:t xml:space="preserve">ore type </w:t>
      </w:r>
      <w:r w:rsidR="00DF1191">
        <w:t>are</w:t>
      </w:r>
      <w:r w:rsidR="00B25D83">
        <w:t xml:space="preserve"> tied in</w:t>
      </w:r>
      <w:r w:rsidR="00B24C56">
        <w:t xml:space="preserve">. </w:t>
      </w:r>
    </w:p>
    <w:p w14:paraId="724FBD4A" w14:textId="6078FE2D" w:rsidR="00A11F0F" w:rsidRPr="00A4743F" w:rsidRDefault="00DD1350" w:rsidP="00A4743F">
      <w:pPr>
        <w:pStyle w:val="Heading2"/>
        <w:spacing w:after="240"/>
        <w:jc w:val="center"/>
        <w:rPr>
          <w:rFonts w:ascii="Times New Roman" w:hAnsi="Times New Roman" w:cs="Times New Roman"/>
          <w:b/>
          <w:bCs/>
          <w:color w:val="auto"/>
        </w:rPr>
      </w:pPr>
      <w:bookmarkStart w:id="106" w:name="_Toc114258057"/>
      <w:r w:rsidRPr="00A4743F">
        <w:rPr>
          <w:rFonts w:ascii="Times New Roman" w:hAnsi="Times New Roman" w:cs="Times New Roman"/>
          <w:b/>
          <w:bCs/>
          <w:color w:val="auto"/>
        </w:rPr>
        <w:t>4</w:t>
      </w:r>
      <w:r w:rsidR="00A11F0F" w:rsidRPr="00A4743F">
        <w:rPr>
          <w:rFonts w:ascii="Times New Roman" w:hAnsi="Times New Roman" w:cs="Times New Roman"/>
          <w:b/>
          <w:bCs/>
          <w:color w:val="auto"/>
        </w:rPr>
        <w:t xml:space="preserve">.3. </w:t>
      </w:r>
      <w:commentRangeStart w:id="107"/>
      <w:commentRangeStart w:id="108"/>
      <w:r w:rsidR="00085BE5" w:rsidRPr="00A4743F">
        <w:rPr>
          <w:rFonts w:ascii="Times New Roman" w:hAnsi="Times New Roman" w:cs="Times New Roman"/>
          <w:b/>
          <w:bCs/>
          <w:color w:val="auto"/>
        </w:rPr>
        <w:t xml:space="preserve">A </w:t>
      </w:r>
      <w:r w:rsidR="00A4743F" w:rsidRPr="00A4743F">
        <w:rPr>
          <w:rFonts w:ascii="Times New Roman" w:hAnsi="Times New Roman" w:cs="Times New Roman"/>
          <w:b/>
          <w:bCs/>
          <w:color w:val="auto"/>
        </w:rPr>
        <w:t>PROTOTYPE MULTIDIMENSIONAL MUTLISPACE GIS FOR ACCESS</w:t>
      </w:r>
      <w:commentRangeEnd w:id="107"/>
      <w:r w:rsidR="00073F13">
        <w:rPr>
          <w:rStyle w:val="CommentReference"/>
          <w:rFonts w:ascii="Times New Roman" w:eastAsiaTheme="minorEastAsia" w:hAnsi="Times New Roman" w:cs="Times New Roman"/>
          <w:color w:val="auto"/>
        </w:rPr>
        <w:commentReference w:id="107"/>
      </w:r>
      <w:commentRangeEnd w:id="108"/>
      <w:r w:rsidR="001C6E6F">
        <w:rPr>
          <w:rStyle w:val="CommentReference"/>
          <w:rFonts w:ascii="Times New Roman" w:eastAsiaTheme="minorEastAsia" w:hAnsi="Times New Roman" w:cs="Times New Roman"/>
          <w:color w:val="auto"/>
        </w:rPr>
        <w:commentReference w:id="108"/>
      </w:r>
      <w:bookmarkEnd w:id="106"/>
    </w:p>
    <w:p w14:paraId="1205C25D" w14:textId="22B8A814" w:rsidR="00D67602" w:rsidRDefault="00A11F0F" w:rsidP="002E13AA">
      <w:pPr>
        <w:spacing w:line="480" w:lineRule="auto"/>
      </w:pPr>
      <w:r>
        <w:tab/>
      </w:r>
      <w:proofErr w:type="gramStart"/>
      <w:r w:rsidR="00C60D85">
        <w:t>All of</w:t>
      </w:r>
      <w:proofErr w:type="gramEnd"/>
      <w:r w:rsidR="00C60D85">
        <w:t xml:space="preserve"> these data are integrated into a </w:t>
      </w:r>
      <w:r w:rsidR="00615BFB">
        <w:t xml:space="preserve">prototype GIS platform </w:t>
      </w:r>
      <w:r w:rsidR="001809EE">
        <w:t xml:space="preserve">(see Figure </w:t>
      </w:r>
      <w:r w:rsidR="00154CD4">
        <w:t>8</w:t>
      </w:r>
      <w:r w:rsidR="001809EE">
        <w:t xml:space="preserve"> for a screenshot) </w:t>
      </w:r>
      <w:r w:rsidR="00615BFB">
        <w:t xml:space="preserve">to understand the opportunities accessible to people and to further identify new opportunities often not captured in traditional GIS approaches. </w:t>
      </w:r>
      <w:r w:rsidR="00870599">
        <w:t>With</w:t>
      </w:r>
      <w:r w:rsidR="00F83760">
        <w:t xml:space="preserve"> this interactive GIS, users </w:t>
      </w:r>
      <w:r w:rsidR="003C6611" w:rsidRPr="003C6611">
        <w:t xml:space="preserve">can examine movements over space-time of synthetic people, visualize food opportunities </w:t>
      </w:r>
    </w:p>
    <w:p w14:paraId="3FDEA8AD" w14:textId="77777777" w:rsidR="00073F13" w:rsidRDefault="00073F13" w:rsidP="00073F13">
      <w:pPr>
        <w:spacing w:line="480" w:lineRule="auto"/>
      </w:pPr>
      <w:r>
        <w:rPr>
          <w:noProof/>
        </w:rPr>
        <w:lastRenderedPageBreak/>
        <w:drawing>
          <wp:inline distT="0" distB="0" distL="0" distR="0" wp14:anchorId="1A77FC3B" wp14:editId="08142B72">
            <wp:extent cx="5943600" cy="21990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199005"/>
                    </a:xfrm>
                    <a:prstGeom prst="rect">
                      <a:avLst/>
                    </a:prstGeom>
                  </pic:spPr>
                </pic:pic>
              </a:graphicData>
            </a:graphic>
          </wp:inline>
        </w:drawing>
      </w:r>
      <w:r>
        <w:rPr>
          <w:noProof/>
        </w:rPr>
        <w:drawing>
          <wp:inline distT="0" distB="0" distL="0" distR="0" wp14:anchorId="08D356E3" wp14:editId="2EB8E4DC">
            <wp:extent cx="5943600" cy="1733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733550"/>
                    </a:xfrm>
                    <a:prstGeom prst="rect">
                      <a:avLst/>
                    </a:prstGeom>
                  </pic:spPr>
                </pic:pic>
              </a:graphicData>
            </a:graphic>
          </wp:inline>
        </w:drawing>
      </w:r>
    </w:p>
    <w:p w14:paraId="46878848" w14:textId="6A015589" w:rsidR="002E13AA" w:rsidRPr="002E13AA" w:rsidRDefault="00073F13" w:rsidP="002E13AA">
      <w:pPr>
        <w:pStyle w:val="Caption"/>
        <w:spacing w:line="480" w:lineRule="auto"/>
        <w:jc w:val="center"/>
        <w:rPr>
          <w:color w:val="auto"/>
        </w:rPr>
      </w:pPr>
      <w:bookmarkStart w:id="109" w:name="_Toc114258106"/>
      <w:r w:rsidRPr="002525EF">
        <w:rPr>
          <w:color w:val="auto"/>
        </w:rPr>
        <w:t xml:space="preserve">Figure </w:t>
      </w:r>
      <w:r w:rsidR="00B9244D" w:rsidRPr="002525EF">
        <w:rPr>
          <w:color w:val="auto"/>
        </w:rPr>
        <w:fldChar w:fldCharType="begin"/>
      </w:r>
      <w:r w:rsidR="00B9244D" w:rsidRPr="002525EF">
        <w:rPr>
          <w:color w:val="auto"/>
        </w:rPr>
        <w:instrText xml:space="preserve"> SEQ Figure \* ARABIC </w:instrText>
      </w:r>
      <w:r w:rsidR="00B9244D" w:rsidRPr="002525EF">
        <w:rPr>
          <w:color w:val="auto"/>
        </w:rPr>
        <w:fldChar w:fldCharType="separate"/>
      </w:r>
      <w:r w:rsidR="00C42D79">
        <w:rPr>
          <w:noProof/>
          <w:color w:val="auto"/>
        </w:rPr>
        <w:t>8</w:t>
      </w:r>
      <w:r w:rsidR="00B9244D" w:rsidRPr="002525EF">
        <w:rPr>
          <w:noProof/>
          <w:color w:val="auto"/>
        </w:rPr>
        <w:fldChar w:fldCharType="end"/>
      </w:r>
      <w:r w:rsidRPr="002525EF">
        <w:rPr>
          <w:color w:val="auto"/>
        </w:rPr>
        <w:t>. Screenshot of Interactive GIS Platform for Food Access</w:t>
      </w:r>
      <w:bookmarkEnd w:id="109"/>
    </w:p>
    <w:p w14:paraId="45BAF1B6" w14:textId="4D6892C0" w:rsidR="002E13AA" w:rsidRDefault="002E13AA">
      <w:r>
        <w:br w:type="page"/>
      </w:r>
    </w:p>
    <w:p w14:paraId="24234B99" w14:textId="77777777" w:rsidR="002E13AA" w:rsidRDefault="002E13AA" w:rsidP="002E13AA">
      <w:pPr>
        <w:spacing w:line="480" w:lineRule="auto"/>
      </w:pPr>
      <w:r w:rsidRPr="003C6611">
        <w:lastRenderedPageBreak/>
        <w:t>relative to locations of people and their daily travels, query food stores based on different characteristics perceived as desirable, visualize different census variables depicting social vulnerability and socioeconomic characteristics of block groups in Knox County, Tennessee, and identify the food opportunities accessible to people along different shopping modalities.</w:t>
      </w:r>
      <w:r>
        <w:t xml:space="preserve"> In other words, the GIS enables explicit consideration of the five dimensions relevant to access that are important to individuals in a hybrid physical-virtual world.</w:t>
      </w:r>
    </w:p>
    <w:p w14:paraId="3FD2B8A6" w14:textId="7917F329" w:rsidR="002E13AA" w:rsidRPr="002E13AA" w:rsidRDefault="002E13AA" w:rsidP="002E13AA">
      <w:pPr>
        <w:spacing w:line="480" w:lineRule="auto"/>
        <w:ind w:firstLine="720"/>
      </w:pPr>
      <w:r>
        <w:t xml:space="preserve">This platform is permanently hosted at the following hyperlink: </w:t>
      </w:r>
      <w:hyperlink r:id="rId22" w:history="1">
        <w:r w:rsidRPr="00DC0E44">
          <w:rPr>
            <w:rStyle w:val="Hyperlink"/>
          </w:rPr>
          <w:t>https://dissertationaccess.herokuapp.com</w:t>
        </w:r>
      </w:hyperlink>
      <w:r>
        <w:t xml:space="preserve">. </w:t>
      </w:r>
      <w:r w:rsidRPr="00195448">
        <w:t>All front and backend web development and visualization were carried out with</w:t>
      </w:r>
      <w:r>
        <w:t xml:space="preserve"> the Python libraries</w:t>
      </w:r>
      <w:r w:rsidRPr="00195448">
        <w:t xml:space="preserve"> dash</w:t>
      </w:r>
      <w:r>
        <w:t xml:space="preserve"> </w:t>
      </w:r>
      <w:r>
        <w:fldChar w:fldCharType="begin"/>
      </w:r>
      <w:r>
        <w:instrText xml:space="preserve"> ADDIN ZOTERO_ITEM CSL_CITATION {"citationID":"HrYBz6mj","properties":{"formattedCitation":"({\\i{}Dash Documentation &amp; User Guide | Plotly}, 2022)","plainCitation":"(Dash Documentation &amp; User Guide | Plotly, 2022)","noteIndex":0},"citationItems":[{"id":1798,"uris":["http://zotero.org/users/5090392/items/JX9YR88Z"],"itemData":{"id":1798,"type":"software","publisher":"Plotly","title":"Dash Documentation &amp; User Guide | Plotly","URL":"https://dash.plotly.com/","accessed":{"date-parts":[["2022",7,3]]},"issued":{"date-parts":[["2022"]]}}}],"schema":"https://github.com/citation-style-language/schema/raw/master/csl-citation.json"} </w:instrText>
      </w:r>
      <w:r>
        <w:fldChar w:fldCharType="separate"/>
      </w:r>
      <w:r w:rsidRPr="00967900">
        <w:t>(</w:t>
      </w:r>
      <w:r w:rsidRPr="00967900">
        <w:rPr>
          <w:i/>
          <w:iCs/>
        </w:rPr>
        <w:t>Dash Documentation &amp; User Guide | Plotly</w:t>
      </w:r>
      <w:r w:rsidRPr="00967900">
        <w:t>, 2022)</w:t>
      </w:r>
      <w:r>
        <w:fldChar w:fldCharType="end"/>
      </w:r>
      <w:r>
        <w:t>, dash-bootstrap-components, dash-</w:t>
      </w:r>
      <w:proofErr w:type="spellStart"/>
      <w:r>
        <w:t>cytoscape</w:t>
      </w:r>
      <w:proofErr w:type="spellEnd"/>
      <w:r>
        <w:t>,</w:t>
      </w:r>
      <w:r w:rsidRPr="00195448">
        <w:t xml:space="preserve"> and </w:t>
      </w:r>
      <w:proofErr w:type="spellStart"/>
      <w:r w:rsidRPr="00195448">
        <w:t>plotly</w:t>
      </w:r>
      <w:proofErr w:type="spellEnd"/>
      <w:r>
        <w:t xml:space="preserve"> </w:t>
      </w:r>
      <w:r>
        <w:fldChar w:fldCharType="begin"/>
      </w:r>
      <w:r>
        <w:instrText xml:space="preserve"> ADDIN ZOTERO_ITEM CSL_CITATION {"citationID":"vIcZRazm","properties":{"formattedCitation":"({\\i{}Plotly Open Source Graphing Library for Python}, 2022)","plainCitation":"(Plotly Open Source Graphing Library for Python, 2022)","noteIndex":0},"citationItems":[{"id":1799,"uris":["http://zotero.org/users/5090392/items/TTIAZYI5"],"itemData":{"id":1799,"type":"software","publisher":"Plotly","title":"Plotly Open Source Graphing Library for Python","URL":"https://plotly.com/python/","accessed":{"date-parts":[["2022",7,3]]},"issued":{"date-parts":[["2022"]]}}}],"schema":"https://github.com/citation-style-language/schema/raw/master/csl-citation.json"} </w:instrText>
      </w:r>
      <w:r>
        <w:fldChar w:fldCharType="separate"/>
      </w:r>
      <w:r w:rsidRPr="00967900">
        <w:t>(</w:t>
      </w:r>
      <w:r w:rsidRPr="00967900">
        <w:rPr>
          <w:i/>
          <w:iCs/>
        </w:rPr>
        <w:t>Plotly Open Source Graphing Library for Python</w:t>
      </w:r>
      <w:r w:rsidRPr="00967900">
        <w:t>, 2022)</w:t>
      </w:r>
      <w:r>
        <w:fldChar w:fldCharType="end"/>
      </w:r>
      <w:r>
        <w:t xml:space="preserve"> while the application is hosted with Heroku using the Heroku </w:t>
      </w:r>
      <w:proofErr w:type="spellStart"/>
      <w:r>
        <w:t>Buildpack</w:t>
      </w:r>
      <w:proofErr w:type="spellEnd"/>
      <w:r>
        <w:t xml:space="preserve"> Geo that installs necessary geographic/GIS libraries</w:t>
      </w:r>
      <w:r w:rsidRPr="00195448">
        <w:t>.</w:t>
      </w:r>
      <w:r>
        <w:t xml:space="preserve"> Because the platform has many processes running at once and is hosted on the free version of Heroku, it may take some time (upwards to a minute) for the panels to fully load and update. The platform contains </w:t>
      </w:r>
      <w:r w:rsidRPr="003201D1">
        <w:t xml:space="preserve">four </w:t>
      </w:r>
      <w:r>
        <w:t xml:space="preserve">interlinked </w:t>
      </w:r>
      <w:r w:rsidRPr="003201D1">
        <w:t xml:space="preserve">panels </w:t>
      </w:r>
      <w:r>
        <w:t>which</w:t>
      </w:r>
      <w:r w:rsidRPr="003201D1">
        <w:t xml:space="preserve"> depict a different perspective into the food opportunities available to people</w:t>
      </w:r>
      <w:r>
        <w:t>,</w:t>
      </w:r>
      <w:r w:rsidRPr="003201D1">
        <w:t xml:space="preserve"> inspired by four conceptualizations of space in Shaw and Sui </w:t>
      </w:r>
      <w:r>
        <w:fldChar w:fldCharType="begin"/>
      </w:r>
      <w:r>
        <w:instrText xml:space="preserve"> ADDIN ZOTERO_ITEM CSL_CITATION {"citationID":"ktJYCYa3","properties":{"formattedCitation":"(2020)","plainCitation":"(2020)","dontUpdate":true,"noteIndex":0},"citationItems":[{"id":335,"uris":["http://zotero.org/users/5090392/items/Q85RS2WV"],"itemData":{"id":335,"type":"article-journal","abstract":"The smart technologies led by advances in artificial intelligence, machine learning, and the emerging data science in recent years are transforming many facets of society in profound ways. One of these affected areas is the experience of human dynamics in general and human mobility in particular with the growing maturity of smart technologies. The goal of this article is to critically examine the concepts of space and place in geography in general and in geographic information science (GIScience) in particular so that intelligent geographic information systems incorporating concepts of smart space and smart place can be developed to support human dynamics research. We argue that the current discussions on smart technologies are conceptually constrained due to their confinement to absolute space and physical place. By engaging research on smart technologies with geography and GIScience, we seek to move beyond the crude, and often simplistic, conceptualizations of space and place by synthesizing the multiple dimensions of both space and place. By doing so, we can better understand human dynamics through a synergistic perspective of both space and place. The space–place (splatial) framework proposed in this article will enable us to creatively study the human dynamics in the age of smart technologies. Our approach will not only allow us to better understand human dynamics but also advance and enrich our theoretical and methodological frameworks for studying smart technologies and the profound social impacts from a geographic perspective. Challenges for the implementation of the proposed framework are discussed and directions for future research are highlighted. Key Words: GIScience, human dynamics, place, space, splatial framework.","container-title":"Annals of the American Association of Geographers","DOI":"10.1080/24694452.2019.1631145","ISSN":"2469-4452","issue":"0","page":"339-348","source":"Taylor and Francis+NEJM","title":"Understanding the New Human Dynamics in Smart Spaces and Places: Toward a Splatial Framework","title-short":"Understanding the New Human Dynamics in Smart Spaces and Places","URL":"https://doi.org/10.1080/24694452.2019.1631145","volume":"0","author":[{"family":"Shaw","given":"Shih-Lung"},{"family":"Sui","given":"Daniel"}],"accessed":{"date-parts":[["2019",10,19]]},"issued":{"date-parts":[["2020",3]]}},"suppress-author":true}],"schema":"https://github.com/citation-style-language/schema/raw/master/csl-citation.json"} </w:instrText>
      </w:r>
      <w:r>
        <w:fldChar w:fldCharType="separate"/>
      </w:r>
      <w:r w:rsidRPr="009B5AEB">
        <w:t>(202</w:t>
      </w:r>
      <w:r>
        <w:t>1</w:t>
      </w:r>
      <w:r w:rsidRPr="009B5AEB">
        <w:t>)</w:t>
      </w:r>
      <w:r>
        <w:fldChar w:fldCharType="end"/>
      </w:r>
      <w:r w:rsidRPr="003201D1">
        <w:t xml:space="preserve">'s </w:t>
      </w:r>
      <w:proofErr w:type="spellStart"/>
      <w:r w:rsidRPr="003201D1">
        <w:t>splatial</w:t>
      </w:r>
      <w:proofErr w:type="spellEnd"/>
      <w:r w:rsidRPr="003201D1">
        <w:t xml:space="preserve"> framework</w:t>
      </w:r>
      <w:r>
        <w:t xml:space="preserve"> and the proposed conceptual framework in this dissertation</w:t>
      </w:r>
      <w:r w:rsidRPr="003201D1">
        <w:t xml:space="preserve">. </w:t>
      </w:r>
      <w:r>
        <w:t xml:space="preserve">While not mutually exclusive from each other, each panel depicts one of the four different spatial dimensions proposed in the conceptual framework to understanding access. </w:t>
      </w:r>
      <w:commentRangeStart w:id="110"/>
      <w:commentRangeStart w:id="111"/>
      <w:r w:rsidRPr="003201D1">
        <w:t>Any user interaction in one panel results in synchronized changes across all other panels</w:t>
      </w:r>
      <w:commentRangeEnd w:id="110"/>
      <w:r>
        <w:rPr>
          <w:rStyle w:val="CommentReference"/>
        </w:rPr>
        <w:commentReference w:id="110"/>
      </w:r>
      <w:commentRangeEnd w:id="111"/>
      <w:r>
        <w:rPr>
          <w:rStyle w:val="CommentReference"/>
        </w:rPr>
        <w:commentReference w:id="111"/>
      </w:r>
      <w:r>
        <w:t xml:space="preserve">, and is congruent with the notion that understanding access and its individual five dimensions must be inclusive of different forms of human experiences expressed with a </w:t>
      </w:r>
      <w:proofErr w:type="spellStart"/>
      <w:r>
        <w:t>multispace</w:t>
      </w:r>
      <w:proofErr w:type="spellEnd"/>
      <w:r>
        <w:t xml:space="preserve"> perspective. </w:t>
      </w:r>
      <w:r w:rsidRPr="003201D1">
        <w:t>Colors for each individual and store type are uniform across the 2D Map, 3D Plot, and Food Network.</w:t>
      </w:r>
    </w:p>
    <w:p w14:paraId="473BF7EF" w14:textId="2114C802" w:rsidR="00A4743F" w:rsidRPr="003B51B6" w:rsidRDefault="00A4743F" w:rsidP="003B51B6">
      <w:pPr>
        <w:pStyle w:val="Heading3"/>
        <w:spacing w:after="240"/>
        <w:jc w:val="center"/>
        <w:rPr>
          <w:rFonts w:ascii="Times New Roman" w:hAnsi="Times New Roman" w:cs="Times New Roman"/>
          <w:b/>
          <w:bCs/>
          <w:color w:val="auto"/>
        </w:rPr>
      </w:pPr>
      <w:bookmarkStart w:id="112" w:name="_Toc114258058"/>
      <w:r w:rsidRPr="003B51B6">
        <w:rPr>
          <w:rFonts w:ascii="Times New Roman" w:hAnsi="Times New Roman" w:cs="Times New Roman"/>
          <w:b/>
          <w:bCs/>
          <w:color w:val="auto"/>
        </w:rPr>
        <w:lastRenderedPageBreak/>
        <w:t>4.3.1. INTERACTIVE PANEL DESCRIPTION</w:t>
      </w:r>
      <w:bookmarkEnd w:id="112"/>
    </w:p>
    <w:p w14:paraId="0347AE25" w14:textId="77777777" w:rsidR="008F71F0" w:rsidRPr="008F71F0" w:rsidRDefault="008F71F0" w:rsidP="00156BEA">
      <w:pPr>
        <w:spacing w:line="480" w:lineRule="auto"/>
        <w:rPr>
          <w:u w:val="single"/>
        </w:rPr>
      </w:pPr>
      <w:r w:rsidRPr="008F71F0">
        <w:rPr>
          <w:u w:val="single"/>
        </w:rPr>
        <w:t>Upper-Left: 2-D Map of Food Stores and People</w:t>
      </w:r>
    </w:p>
    <w:p w14:paraId="751BA00E" w14:textId="15B9D004" w:rsidR="008F71F0" w:rsidRDefault="008F71F0" w:rsidP="003B51B6">
      <w:pPr>
        <w:spacing w:line="480" w:lineRule="auto"/>
        <w:ind w:firstLine="720"/>
      </w:pPr>
      <w:r>
        <w:t xml:space="preserve">An interactive 2-D map depicts all the potential food opportunities accessible by all individuals shown. Food opportunities are colored by a main POI type with a manual classification system described below. </w:t>
      </w:r>
      <w:r w:rsidR="00A778BE">
        <w:t xml:space="preserve">Legend interaction is disabled here. </w:t>
      </w:r>
      <w:r>
        <w:t xml:space="preserve">Users can zoom in/out and pan the map interface, set the </w:t>
      </w:r>
      <w:proofErr w:type="gramStart"/>
      <w:r>
        <w:t>time period</w:t>
      </w:r>
      <w:proofErr w:type="gramEnd"/>
      <w:r>
        <w:t xml:space="preserve">, and add contextual layers from the United States Census at the block-group level related to food access and social vulnerability. </w:t>
      </w:r>
      <w:r w:rsidR="00C3324A">
        <w:t xml:space="preserve">As discussed earlier, these contextual layers can augment understanding of </w:t>
      </w:r>
      <w:r w:rsidR="005F589F">
        <w:t xml:space="preserve">different dimensions of access. With an assortment of layers related to affordability (median income, </w:t>
      </w:r>
      <w:r w:rsidR="00CA74C3">
        <w:t xml:space="preserve">unemployment, poverty, and SNAP benefits), </w:t>
      </w:r>
      <w:r w:rsidR="0020158A">
        <w:t xml:space="preserve">users can effectively examine opportunities </w:t>
      </w:r>
      <w:r w:rsidR="00F37313">
        <w:t>and their respective store type on a map</w:t>
      </w:r>
      <w:r w:rsidR="00147682">
        <w:t>, providing a better understanding of affordability from a relative space perspective</w:t>
      </w:r>
      <w:r w:rsidR="00F37313">
        <w:t xml:space="preserve">. For example, many low-income peoples </w:t>
      </w:r>
      <w:r w:rsidR="00BD2C30">
        <w:t>frequent discount stores such as Dollar General and Dollar Tree for much of their food procurement</w:t>
      </w:r>
      <w:r w:rsidR="00DE3DC9">
        <w:t>. C</w:t>
      </w:r>
      <w:r w:rsidR="00642BA8">
        <w:t>omparing and contrasting the locations of such stores</w:t>
      </w:r>
      <w:r w:rsidR="00DE3DC9">
        <w:t xml:space="preserve"> as in Figure </w:t>
      </w:r>
      <w:r w:rsidR="00436054">
        <w:t>9</w:t>
      </w:r>
      <w:r w:rsidR="00642BA8">
        <w:t xml:space="preserve">, with a yellow color in the GIS, </w:t>
      </w:r>
      <w:r w:rsidR="000E6A5A">
        <w:t xml:space="preserve">across </w:t>
      </w:r>
      <w:r w:rsidR="002B59DC">
        <w:t>block groups</w:t>
      </w:r>
      <w:r w:rsidR="00C24ED3">
        <w:t xml:space="preserve"> suggests that </w:t>
      </w:r>
      <w:r w:rsidR="00F240B7">
        <w:t>discount stores are predominantly located along major road corridors</w:t>
      </w:r>
      <w:r w:rsidR="00050190">
        <w:t xml:space="preserve"> (e.g., Kingston Pike)</w:t>
      </w:r>
      <w:r w:rsidR="00B70465">
        <w:t xml:space="preserve"> and in poorer areas </w:t>
      </w:r>
      <w:r w:rsidR="00050190">
        <w:t>throughout</w:t>
      </w:r>
      <w:r w:rsidR="00B70465">
        <w:t xml:space="preserve"> Knox County</w:t>
      </w:r>
      <w:r>
        <w:t>.</w:t>
      </w:r>
    </w:p>
    <w:p w14:paraId="146DEC98" w14:textId="51ABB45B" w:rsidR="002E13AA" w:rsidRDefault="002E13AA" w:rsidP="003B51B6">
      <w:pPr>
        <w:spacing w:line="480" w:lineRule="auto"/>
        <w:ind w:firstLine="720"/>
      </w:pPr>
      <w:r>
        <w:t xml:space="preserve">This panel reveals an absolute and relative space perspective to availability and accessibility as it shows the absolute locations of all food opportunities as well as individuals throughout the established </w:t>
      </w:r>
      <w:proofErr w:type="gramStart"/>
      <w:r>
        <w:t>time period</w:t>
      </w:r>
      <w:proofErr w:type="gramEnd"/>
      <w:r>
        <w:t>. As discussed later, clicking at a specific location throughout the trajectory of an individual in the 3-D Space-Time Paths of Human Trajectories panel will consequently coerce the 2-D Map to center and zoom-in on the clicked location. The updated view in this map captures the relative availability of food opportunities near the examined location of an individual. The different colors of food opportunities augments</w:t>
      </w:r>
    </w:p>
    <w:p w14:paraId="1DA48876" w14:textId="77777777" w:rsidR="00436054" w:rsidRPr="002E13AA" w:rsidRDefault="00386C96" w:rsidP="00BF16C6">
      <w:pPr>
        <w:keepNext/>
        <w:spacing w:line="240" w:lineRule="auto"/>
        <w:jc w:val="center"/>
      </w:pPr>
      <w:r w:rsidRPr="002E13AA">
        <w:rPr>
          <w:noProof/>
        </w:rPr>
        <w:lastRenderedPageBreak/>
        <w:drawing>
          <wp:inline distT="0" distB="0" distL="0" distR="0" wp14:anchorId="76310A6E" wp14:editId="1D7AA3F9">
            <wp:extent cx="4460682" cy="28436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64653" cy="2846217"/>
                    </a:xfrm>
                    <a:prstGeom prst="rect">
                      <a:avLst/>
                    </a:prstGeom>
                  </pic:spPr>
                </pic:pic>
              </a:graphicData>
            </a:graphic>
          </wp:inline>
        </w:drawing>
      </w:r>
    </w:p>
    <w:p w14:paraId="0B0B72FE" w14:textId="47B7ECB6" w:rsidR="00386C96" w:rsidRPr="002E13AA" w:rsidRDefault="00436054" w:rsidP="00BF16C6">
      <w:pPr>
        <w:pStyle w:val="Caption"/>
        <w:jc w:val="center"/>
        <w:rPr>
          <w:color w:val="auto"/>
        </w:rPr>
      </w:pPr>
      <w:bookmarkStart w:id="113" w:name="_Toc114258107"/>
      <w:r w:rsidRPr="002E13AA">
        <w:rPr>
          <w:color w:val="auto"/>
        </w:rPr>
        <w:t xml:space="preserve">Figure </w:t>
      </w:r>
      <w:r w:rsidR="00435025" w:rsidRPr="002E13AA">
        <w:rPr>
          <w:color w:val="auto"/>
        </w:rPr>
        <w:fldChar w:fldCharType="begin"/>
      </w:r>
      <w:r w:rsidR="00435025" w:rsidRPr="002E13AA">
        <w:rPr>
          <w:color w:val="auto"/>
        </w:rPr>
        <w:instrText xml:space="preserve"> SEQ Figure \* ARABIC </w:instrText>
      </w:r>
      <w:r w:rsidR="00435025" w:rsidRPr="002E13AA">
        <w:rPr>
          <w:color w:val="auto"/>
        </w:rPr>
        <w:fldChar w:fldCharType="separate"/>
      </w:r>
      <w:r w:rsidR="00C42D79">
        <w:rPr>
          <w:noProof/>
          <w:color w:val="auto"/>
        </w:rPr>
        <w:t>9</w:t>
      </w:r>
      <w:r w:rsidR="00435025" w:rsidRPr="002E13AA">
        <w:rPr>
          <w:noProof/>
          <w:color w:val="auto"/>
        </w:rPr>
        <w:fldChar w:fldCharType="end"/>
      </w:r>
      <w:r w:rsidRPr="002E13AA">
        <w:rPr>
          <w:color w:val="auto"/>
        </w:rPr>
        <w:t>. Map overlay to contextualize the total population throughout the study area</w:t>
      </w:r>
      <w:bookmarkEnd w:id="113"/>
    </w:p>
    <w:p w14:paraId="41237DAF" w14:textId="77777777" w:rsidR="002E13AA" w:rsidRDefault="002E13AA">
      <w:r>
        <w:br w:type="page"/>
      </w:r>
    </w:p>
    <w:p w14:paraId="1506E568" w14:textId="1D041843" w:rsidR="002E13AA" w:rsidRDefault="002E13AA" w:rsidP="00156BEA">
      <w:pPr>
        <w:spacing w:line="480" w:lineRule="auto"/>
        <w:rPr>
          <w:u w:val="single"/>
        </w:rPr>
      </w:pPr>
      <w:r>
        <w:lastRenderedPageBreak/>
        <w:t>understanding of the types of stores throughout the study area when zoomed out and near individuals when zoomed in.</w:t>
      </w:r>
    </w:p>
    <w:p w14:paraId="3FD82176" w14:textId="4332F5A7" w:rsidR="008F71F0" w:rsidRPr="008F71F0" w:rsidRDefault="008F71F0" w:rsidP="00156BEA">
      <w:pPr>
        <w:spacing w:line="480" w:lineRule="auto"/>
        <w:rPr>
          <w:u w:val="single"/>
        </w:rPr>
      </w:pPr>
      <w:r w:rsidRPr="008F71F0">
        <w:rPr>
          <w:u w:val="single"/>
        </w:rPr>
        <w:t>Upper-Right: 3-D Space-Time P</w:t>
      </w:r>
      <w:r w:rsidR="00587837">
        <w:rPr>
          <w:u w:val="single"/>
        </w:rPr>
        <w:t>aths</w:t>
      </w:r>
      <w:r w:rsidRPr="008F71F0">
        <w:rPr>
          <w:u w:val="single"/>
        </w:rPr>
        <w:t xml:space="preserve"> of Human Trajectories</w:t>
      </w:r>
    </w:p>
    <w:p w14:paraId="4DA6809D" w14:textId="098302D2" w:rsidR="008F71F0" w:rsidRDefault="008F71F0" w:rsidP="003B51B6">
      <w:pPr>
        <w:spacing w:line="480" w:lineRule="auto"/>
        <w:ind w:firstLine="720"/>
      </w:pPr>
      <w:r>
        <w:t>The interactive 3-D plot illustrates individuals' movements over space (x- + y-axes) and time (z-axis</w:t>
      </w:r>
      <w:r w:rsidR="00C66436">
        <w:t xml:space="preserve">.) </w:t>
      </w:r>
      <w:r w:rsidR="00C66436" w:rsidRPr="00E230E2">
        <w:t xml:space="preserve">This panel is closely intertwined with </w:t>
      </w:r>
      <w:r w:rsidR="00CB619D" w:rsidRPr="00E230E2">
        <w:t>the absolute and relative space concepts for accessibility</w:t>
      </w:r>
      <w:r w:rsidR="005B170B" w:rsidRPr="00E230E2">
        <w:t xml:space="preserve"> whereby </w:t>
      </w:r>
      <w:r w:rsidR="00E91818" w:rsidRPr="00E230E2">
        <w:t xml:space="preserve">users can visually discern the geographic distance of individuals at any given location in their trajectory relative to </w:t>
      </w:r>
      <w:r w:rsidR="00E071FD" w:rsidRPr="00E230E2">
        <w:t>food opportunities</w:t>
      </w:r>
      <w:r w:rsidR="00CB619D" w:rsidRPr="00E230E2">
        <w:t>.</w:t>
      </w:r>
      <w:r w:rsidR="00E071FD">
        <w:t xml:space="preserve"> </w:t>
      </w:r>
      <w:r w:rsidR="0085515F">
        <w:t>I</w:t>
      </w:r>
      <w:r w:rsidR="00E071FD">
        <w:t>ncluding the complete trajectory of individuals provides</w:t>
      </w:r>
      <w:r w:rsidR="00905707">
        <w:t xml:space="preserve"> a dynamic snapshot of the varied schedules and space-time behaviors of individuals whereby their location is not solely defined by their </w:t>
      </w:r>
      <w:r w:rsidR="00155BBD">
        <w:t>residence</w:t>
      </w:r>
      <w:r w:rsidR="00905707">
        <w:t xml:space="preserve">. </w:t>
      </w:r>
      <w:r w:rsidR="0085515F">
        <w:t xml:space="preserve">Some people may be stationary at a particular location for hours on end due to work </w:t>
      </w:r>
      <w:r w:rsidR="00FA6FB5">
        <w:t>but may carry out more activities during their non-working hours, and this is easily visualized in th</w:t>
      </w:r>
      <w:r w:rsidR="002342AF">
        <w:t>e panel.</w:t>
      </w:r>
      <w:r w:rsidR="009A7DA3">
        <w:t xml:space="preserve"> The data manipulation process for</w:t>
      </w:r>
      <w:r w:rsidR="002342AF">
        <w:t xml:space="preserve"> </w:t>
      </w:r>
      <w:r w:rsidR="005F4C45">
        <w:t xml:space="preserve">Dataset 3 pre-emptively calculated the shortest paths based on travel time </w:t>
      </w:r>
      <w:r w:rsidR="00171805">
        <w:t xml:space="preserve">for every individual between the location at the start of their discretionary </w:t>
      </w:r>
      <w:proofErr w:type="gramStart"/>
      <w:r w:rsidR="00171805">
        <w:t>time period</w:t>
      </w:r>
      <w:proofErr w:type="gramEnd"/>
      <w:r w:rsidR="00171805">
        <w:t xml:space="preserve"> and</w:t>
      </w:r>
      <w:r w:rsidR="00284BCA">
        <w:t xml:space="preserve"> all food opportunities, and the panel illustrates </w:t>
      </w:r>
      <w:r w:rsidR="005344C5">
        <w:t>the union of opportunity sets for all visualized individuals.</w:t>
      </w:r>
      <w:r w:rsidR="00171805">
        <w:t xml:space="preserve"> </w:t>
      </w:r>
      <w:r>
        <w:t xml:space="preserve">All potential food opportunities are similarly shown as colored circles at the bottom of the plot. The legend contains </w:t>
      </w:r>
      <w:proofErr w:type="gramStart"/>
      <w:r>
        <w:t>each individual</w:t>
      </w:r>
      <w:proofErr w:type="gramEnd"/>
      <w:r>
        <w:t xml:space="preserve"> represented with a unique color and their respective ID.</w:t>
      </w:r>
    </w:p>
    <w:p w14:paraId="07A0F376" w14:textId="77777777" w:rsidR="008F71F0" w:rsidRDefault="008F71F0" w:rsidP="003B51B6">
      <w:pPr>
        <w:pStyle w:val="ListParagraph"/>
        <w:numPr>
          <w:ilvl w:val="0"/>
          <w:numId w:val="20"/>
        </w:numPr>
        <w:spacing w:line="480" w:lineRule="auto"/>
      </w:pPr>
      <w:r>
        <w:t>Clicking once on an individual in the legend removes them from all other panels and renders them inactive in the legend. Clicking once again renders them active and visible in all panels.</w:t>
      </w:r>
    </w:p>
    <w:p w14:paraId="44A8A2F9" w14:textId="77777777" w:rsidR="008F71F0" w:rsidRDefault="008F71F0" w:rsidP="003B51B6">
      <w:pPr>
        <w:pStyle w:val="ListParagraph"/>
        <w:numPr>
          <w:ilvl w:val="0"/>
          <w:numId w:val="20"/>
        </w:numPr>
        <w:spacing w:line="480" w:lineRule="auto"/>
      </w:pPr>
      <w:r>
        <w:t>Double-clicking an individual in the legend reduces all individuals shown to just the clicked individual. In other words, all other individuals are rendered inactive. To reset the view and make all individuals visible, simply double-click the legend.</w:t>
      </w:r>
    </w:p>
    <w:p w14:paraId="148111A3" w14:textId="0E070ACF" w:rsidR="008F71F0" w:rsidRDefault="008F71F0" w:rsidP="003B51B6">
      <w:pPr>
        <w:pStyle w:val="ListParagraph"/>
        <w:numPr>
          <w:ilvl w:val="0"/>
          <w:numId w:val="20"/>
        </w:numPr>
        <w:spacing w:line="480" w:lineRule="auto"/>
      </w:pPr>
      <w:r>
        <w:lastRenderedPageBreak/>
        <w:t>Clicking at a specific location in the plot will coerce the view of the 2-D Map to focus on the latitude and longitude of that location. In this sense, a relative-space perspective is depicted whereby any nearby food opportunities based on one's given location at a point in time are shown.</w:t>
      </w:r>
    </w:p>
    <w:p w14:paraId="3F3667A3" w14:textId="6E0A19A5" w:rsidR="00AD5FFF" w:rsidRDefault="00AD5FFF" w:rsidP="00652DD1">
      <w:pPr>
        <w:spacing w:line="480" w:lineRule="auto"/>
        <w:ind w:firstLine="720"/>
      </w:pPr>
      <w:r>
        <w:t xml:space="preserve">These interactive features thus enable comparison of </w:t>
      </w:r>
      <w:r w:rsidR="00652DD1">
        <w:t xml:space="preserve">the </w:t>
      </w:r>
      <w:r w:rsidR="006D7E86">
        <w:t xml:space="preserve">trajectories and </w:t>
      </w:r>
      <w:r w:rsidR="00652DD1">
        <w:t xml:space="preserve">potential food opportunities accessible </w:t>
      </w:r>
      <w:r w:rsidR="004F04A6">
        <w:t>to</w:t>
      </w:r>
      <w:r w:rsidR="00652DD1">
        <w:t xml:space="preserve"> </w:t>
      </w:r>
      <w:r>
        <w:t>individual</w:t>
      </w:r>
      <w:r w:rsidR="006D7E86">
        <w:t>s.</w:t>
      </w:r>
    </w:p>
    <w:p w14:paraId="368E5243" w14:textId="77777777" w:rsidR="008F71F0" w:rsidRPr="008F71F0" w:rsidRDefault="008F71F0" w:rsidP="00156BEA">
      <w:pPr>
        <w:spacing w:line="480" w:lineRule="auto"/>
        <w:rPr>
          <w:u w:val="single"/>
        </w:rPr>
      </w:pPr>
      <w:commentRangeStart w:id="114"/>
      <w:commentRangeStart w:id="115"/>
      <w:r w:rsidRPr="008F71F0">
        <w:rPr>
          <w:u w:val="single"/>
        </w:rPr>
        <w:t>Lower-Left: Food Network</w:t>
      </w:r>
    </w:p>
    <w:p w14:paraId="6DC1752D" w14:textId="4592F367" w:rsidR="008F71F0" w:rsidRDefault="008F71F0" w:rsidP="003B51B6">
      <w:pPr>
        <w:spacing w:line="480" w:lineRule="auto"/>
        <w:ind w:firstLine="720"/>
      </w:pPr>
      <w:r>
        <w:t>A food network reflects the relationships (i.e., potential connections) between individuals and stores and with other individuals.</w:t>
      </w:r>
      <w:r w:rsidR="008D583E">
        <w:t xml:space="preserve"> In other words, th</w:t>
      </w:r>
      <w:r w:rsidR="00BF4846">
        <w:t xml:space="preserve">is panel depicts </w:t>
      </w:r>
      <w:r w:rsidR="00B20779">
        <w:t>accessibility from a relational space</w:t>
      </w:r>
      <w:r w:rsidR="00CA45B0">
        <w:t xml:space="preserve"> </w:t>
      </w:r>
      <w:r w:rsidR="00B20779">
        <w:t xml:space="preserve">perspective </w:t>
      </w:r>
      <w:r w:rsidR="001A42E0">
        <w:t xml:space="preserve">with edges indicating connections between individuals and/or stores, and the colors of these lines representing </w:t>
      </w:r>
      <w:r w:rsidR="00A67AB9">
        <w:t xml:space="preserve">how they interact together. </w:t>
      </w:r>
      <w:r w:rsidR="00CA45B0">
        <w:t xml:space="preserve">The different parameter options for layout, person shape, and store shape as discussed in the next few bullet points will </w:t>
      </w:r>
      <w:r w:rsidR="007C5157">
        <w:t xml:space="preserve">alter the aesthetic of the visualization. </w:t>
      </w:r>
      <w:r w:rsidR="004B4461">
        <w:t>M</w:t>
      </w:r>
      <w:r w:rsidR="007C5157">
        <w:t>ore unique food opportunities and individuals</w:t>
      </w:r>
      <w:r w:rsidR="004B4461">
        <w:t xml:space="preserve"> will result in more visual clutter</w:t>
      </w:r>
      <w:r w:rsidR="00FE3661">
        <w:t>.</w:t>
      </w:r>
      <w:r w:rsidR="00CE5AAA">
        <w:t xml:space="preserve"> </w:t>
      </w:r>
      <w:r w:rsidR="00BE2422">
        <w:t>It is suggeste</w:t>
      </w:r>
      <w:r w:rsidR="00BA1FD0">
        <w:t xml:space="preserve">d to try out different layout and shape options </w:t>
      </w:r>
      <w:proofErr w:type="gramStart"/>
      <w:r w:rsidR="00BA1FD0">
        <w:t>in order to</w:t>
      </w:r>
      <w:proofErr w:type="gramEnd"/>
      <w:r w:rsidR="00BA1FD0">
        <w:t xml:space="preserve"> identify a suitable </w:t>
      </w:r>
      <w:r w:rsidR="00BB76FE">
        <w:t xml:space="preserve">network for visualization. </w:t>
      </w:r>
      <w:r w:rsidR="00CE5AAA">
        <w:t>One way to reduce clutter is by manually selecting and dragging nodes and edges</w:t>
      </w:r>
      <w:r w:rsidR="00BE2422">
        <w:t xml:space="preserve"> such that overlaps are minimized.</w:t>
      </w:r>
    </w:p>
    <w:p w14:paraId="31B9246D" w14:textId="77777777" w:rsidR="008F71F0" w:rsidRDefault="008F71F0" w:rsidP="003B51B6">
      <w:pPr>
        <w:pStyle w:val="ListParagraph"/>
        <w:numPr>
          <w:ilvl w:val="0"/>
          <w:numId w:val="21"/>
        </w:numPr>
        <w:spacing w:line="480" w:lineRule="auto"/>
      </w:pPr>
      <w:r>
        <w:t>Clicking on any node isolates all visible lines to all potential connections to and from that node. For example, clicking on a store will show all individuals who can access that store with line connections depicting the modality of potential access. All clicked and visible nodes are labelled; stores are labelled according to their store name and their Google Plus Code while individuals are labelled according to their unique ID.</w:t>
      </w:r>
    </w:p>
    <w:p w14:paraId="26B744CA" w14:textId="77777777" w:rsidR="008F71F0" w:rsidRDefault="008F71F0" w:rsidP="003B51B6">
      <w:pPr>
        <w:pStyle w:val="ListParagraph"/>
        <w:numPr>
          <w:ilvl w:val="0"/>
          <w:numId w:val="21"/>
        </w:numPr>
        <w:spacing w:line="480" w:lineRule="auto"/>
      </w:pPr>
      <w:r>
        <w:lastRenderedPageBreak/>
        <w:t>All user clicks of nodes are retained until the Reset Network button is clicked. This helps to explore first, second, ... n-order food opportunities whereby connections between people can be visualized and expanded to visually examine the potential opportunities available to both an individual as well as the individual's first, second, ..., n-order connections.</w:t>
      </w:r>
    </w:p>
    <w:p w14:paraId="5FD6AF08" w14:textId="00ED5BB6" w:rsidR="008F71F0" w:rsidRDefault="008F71F0" w:rsidP="003B51B6">
      <w:pPr>
        <w:pStyle w:val="ListParagraph"/>
        <w:numPr>
          <w:ilvl w:val="0"/>
          <w:numId w:val="21"/>
        </w:numPr>
        <w:spacing w:line="480" w:lineRule="auto"/>
      </w:pPr>
      <w:r w:rsidRPr="003B51B6">
        <w:rPr>
          <w:i/>
          <w:iCs/>
        </w:rPr>
        <w:t>Layout</w:t>
      </w:r>
      <w:r>
        <w:t>: Click any option in the dropdown menu to set the network to a different layout.</w:t>
      </w:r>
      <w:r w:rsidR="00FE3661">
        <w:t xml:space="preserve"> It is recommended to use the ‘Concentric’ layout f</w:t>
      </w:r>
      <w:r w:rsidR="00CE5AAA">
        <w:t>or larger datasets of food opportunities and people.</w:t>
      </w:r>
    </w:p>
    <w:p w14:paraId="4A05A1D8" w14:textId="77777777" w:rsidR="008F71F0" w:rsidRDefault="008F71F0" w:rsidP="003B51B6">
      <w:pPr>
        <w:pStyle w:val="ListParagraph"/>
        <w:numPr>
          <w:ilvl w:val="0"/>
          <w:numId w:val="21"/>
        </w:numPr>
        <w:spacing w:line="480" w:lineRule="auto"/>
      </w:pPr>
      <w:r w:rsidRPr="003B51B6">
        <w:rPr>
          <w:i/>
          <w:iCs/>
        </w:rPr>
        <w:t>Person Shape</w:t>
      </w:r>
      <w:r>
        <w:t>: Click any option in the dropdown menu to set the shape of nodes representing individuals.</w:t>
      </w:r>
    </w:p>
    <w:p w14:paraId="551EB070" w14:textId="77777777" w:rsidR="008F71F0" w:rsidRDefault="008F71F0" w:rsidP="003B51B6">
      <w:pPr>
        <w:pStyle w:val="ListParagraph"/>
        <w:numPr>
          <w:ilvl w:val="0"/>
          <w:numId w:val="21"/>
        </w:numPr>
        <w:spacing w:line="480" w:lineRule="auto"/>
      </w:pPr>
      <w:r w:rsidRPr="003B51B6">
        <w:rPr>
          <w:i/>
          <w:iCs/>
        </w:rPr>
        <w:t>Store Shape</w:t>
      </w:r>
      <w:r>
        <w:t>: Click any option in the dropdown menu to set the shape of nodes representing stores.</w:t>
      </w:r>
    </w:p>
    <w:p w14:paraId="156391C8" w14:textId="77777777" w:rsidR="008F71F0" w:rsidRDefault="008F71F0" w:rsidP="003B51B6">
      <w:pPr>
        <w:pStyle w:val="ListParagraph"/>
        <w:numPr>
          <w:ilvl w:val="0"/>
          <w:numId w:val="21"/>
        </w:numPr>
        <w:spacing w:line="480" w:lineRule="auto"/>
      </w:pPr>
      <w:r w:rsidRPr="003B51B6">
        <w:rPr>
          <w:i/>
          <w:iCs/>
        </w:rPr>
        <w:t>Reset Network</w:t>
      </w:r>
      <w:r>
        <w:t>: Click the button to reset the view of the network to the original state.</w:t>
      </w:r>
    </w:p>
    <w:p w14:paraId="27DC5803" w14:textId="77777777" w:rsidR="008F71F0" w:rsidRPr="003B51B6" w:rsidRDefault="008F71F0" w:rsidP="003B51B6">
      <w:pPr>
        <w:pStyle w:val="ListParagraph"/>
        <w:numPr>
          <w:ilvl w:val="0"/>
          <w:numId w:val="21"/>
        </w:numPr>
        <w:spacing w:line="480" w:lineRule="auto"/>
        <w:rPr>
          <w:i/>
          <w:iCs/>
        </w:rPr>
      </w:pPr>
      <w:r w:rsidRPr="003B51B6">
        <w:rPr>
          <w:i/>
          <w:iCs/>
        </w:rPr>
        <w:t>Line Legend</w:t>
      </w:r>
    </w:p>
    <w:p w14:paraId="4B2920F7" w14:textId="47837A87" w:rsidR="008F71F0" w:rsidRDefault="008F71F0" w:rsidP="003B51B6">
      <w:pPr>
        <w:pStyle w:val="ListParagraph"/>
        <w:numPr>
          <w:ilvl w:val="0"/>
          <w:numId w:val="19"/>
        </w:numPr>
        <w:spacing w:line="480" w:lineRule="auto"/>
      </w:pPr>
      <w:r>
        <w:t>Green lines indicate that the connection between an individual to a store or another individual only exists physically (e.g., a person can only visit a store in-person)</w:t>
      </w:r>
      <w:r w:rsidR="00162592">
        <w:t>.</w:t>
      </w:r>
    </w:p>
    <w:p w14:paraId="03E26E37" w14:textId="6516D2EA" w:rsidR="008F71F0" w:rsidRDefault="008F71F0" w:rsidP="003B51B6">
      <w:pPr>
        <w:pStyle w:val="ListParagraph"/>
        <w:numPr>
          <w:ilvl w:val="0"/>
          <w:numId w:val="19"/>
        </w:numPr>
        <w:spacing w:line="480" w:lineRule="auto"/>
      </w:pPr>
      <w:r>
        <w:t>Blue lines indicate that the connection between an individual to a store or another individual only exists virtually (e.g., a person can only access a grocery store online)</w:t>
      </w:r>
      <w:r w:rsidR="00162592">
        <w:t>.</w:t>
      </w:r>
    </w:p>
    <w:p w14:paraId="20AAD63A" w14:textId="7E312754" w:rsidR="008F71F0" w:rsidRDefault="008F71F0" w:rsidP="003B51B6">
      <w:pPr>
        <w:pStyle w:val="ListParagraph"/>
        <w:numPr>
          <w:ilvl w:val="0"/>
          <w:numId w:val="19"/>
        </w:numPr>
        <w:spacing w:line="480" w:lineRule="auto"/>
      </w:pPr>
      <w:r>
        <w:t>Yellow lines indicate that the connection between an individual to a store or another individual can exist both physically and virtually (e.g., a person can access a store both in-person or online)</w:t>
      </w:r>
      <w:commentRangeEnd w:id="114"/>
      <w:r w:rsidR="00162592">
        <w:t>.</w:t>
      </w:r>
      <w:r w:rsidR="007118DB">
        <w:rPr>
          <w:rStyle w:val="CommentReference"/>
        </w:rPr>
        <w:commentReference w:id="114"/>
      </w:r>
      <w:commentRangeEnd w:id="115"/>
      <w:r w:rsidR="007118DB">
        <w:rPr>
          <w:rStyle w:val="CommentReference"/>
        </w:rPr>
        <w:commentReference w:id="115"/>
      </w:r>
    </w:p>
    <w:p w14:paraId="3EBEBAAD" w14:textId="0B41B1D9" w:rsidR="00C23DD6" w:rsidRPr="000E1487" w:rsidRDefault="00C23DD6" w:rsidP="002B600D">
      <w:pPr>
        <w:spacing w:line="480" w:lineRule="auto"/>
        <w:ind w:firstLine="720"/>
      </w:pPr>
      <w:r>
        <w:t xml:space="preserve">A network representation of individuals and food opportunities </w:t>
      </w:r>
      <w:r w:rsidR="002B600D">
        <w:t>with edge colors denoting shopping (individual to store) and interaction (individual to individual) modality</w:t>
      </w:r>
      <w:r w:rsidR="00032C1C">
        <w:t xml:space="preserve"> is congruent </w:t>
      </w:r>
      <w:r w:rsidR="00032C1C">
        <w:lastRenderedPageBreak/>
        <w:t>with the notion of accessibility beyond physical proximity</w:t>
      </w:r>
      <w:r w:rsidR="007364C5">
        <w:t xml:space="preserve">. It suggests that accessibility can be viewed as topological distance with connections to individuals potentially enhancing </w:t>
      </w:r>
      <w:r w:rsidR="005203E6">
        <w:t xml:space="preserve">access to opportunities. The ease to which people can reach food opportunities can </w:t>
      </w:r>
      <w:r w:rsidR="00BD5786">
        <w:t>be measured in terms of their degree of connection to other individuals who may have access to</w:t>
      </w:r>
      <w:r w:rsidR="000E1487">
        <w:t xml:space="preserve"> other opportunities, or ‘</w:t>
      </w:r>
      <w:r w:rsidR="000E1487">
        <w:rPr>
          <w:i/>
          <w:iCs/>
        </w:rPr>
        <w:t>n</w:t>
      </w:r>
      <w:r w:rsidR="000E1487">
        <w:t>-</w:t>
      </w:r>
      <w:proofErr w:type="spellStart"/>
      <w:r w:rsidR="000E1487">
        <w:t>th</w:t>
      </w:r>
      <w:proofErr w:type="spellEnd"/>
      <w:r w:rsidR="000E1487">
        <w:t xml:space="preserve">’ order opportunities with </w:t>
      </w:r>
      <w:r w:rsidR="000E1487">
        <w:rPr>
          <w:i/>
          <w:iCs/>
        </w:rPr>
        <w:t xml:space="preserve">n </w:t>
      </w:r>
      <w:r w:rsidR="000E1487">
        <w:t>being an integer representing their degree of connection.</w:t>
      </w:r>
      <w:r w:rsidR="005D5C77">
        <w:t xml:space="preserve"> The network also expands accessibility to explicitly consider how individuals can adopt other modes of interaction</w:t>
      </w:r>
      <w:r w:rsidR="00EB4709">
        <w:t xml:space="preserve"> that are not traditionally captured in spatial accessibility measures</w:t>
      </w:r>
      <w:r w:rsidR="005D5C77">
        <w:t>, for example, the prospect of an individual placing a food order online to be delivered to their home</w:t>
      </w:r>
      <w:r w:rsidR="00EB4709">
        <w:t xml:space="preserve">. Blue and yellow edges capture these new forms of interactions while the </w:t>
      </w:r>
      <w:r w:rsidR="00513897">
        <w:t>green edges still maintain conventional spatial accessibility logic whereby opportunities are physically reached.</w:t>
      </w:r>
    </w:p>
    <w:p w14:paraId="54E922EB" w14:textId="77777777" w:rsidR="008F71F0" w:rsidRPr="008F71F0" w:rsidRDefault="008F71F0" w:rsidP="00156BEA">
      <w:pPr>
        <w:spacing w:line="480" w:lineRule="auto"/>
        <w:rPr>
          <w:u w:val="single"/>
        </w:rPr>
      </w:pPr>
      <w:r w:rsidRPr="008F71F0">
        <w:rPr>
          <w:u w:val="single"/>
        </w:rPr>
        <w:t>Lower-Right: Socioeconomic, Demographic, and Perceived Data Tables</w:t>
      </w:r>
    </w:p>
    <w:p w14:paraId="49361A40" w14:textId="7CE168BB" w:rsidR="008F71F0" w:rsidRDefault="001040CB" w:rsidP="003B51B6">
      <w:pPr>
        <w:spacing w:line="480" w:lineRule="auto"/>
        <w:ind w:firstLine="720"/>
      </w:pPr>
      <w:r>
        <w:t>This panel includes two i</w:t>
      </w:r>
      <w:r w:rsidR="008F71F0">
        <w:t>nteractive tables containing detailed socioeconomic, demographic, and perceived characteristics of people and attributes of food stores</w:t>
      </w:r>
      <w:r>
        <w:t xml:space="preserve"> which</w:t>
      </w:r>
      <w:r w:rsidR="008F71F0">
        <w:t xml:space="preserve"> can be queried to subset either or both. Stores can be filtered based on user preferences while individuals can be subset based on their specific attributes. Users can enter queries in the cells in the first row below the header of each table. Traditional mathematical notation can be used, e.g., in the 'Price' for the Food Stores table, if someone only desired cheap stores, they could enter the following query: '=$'; if someone only sought stores with a rating greater than 4.5, they could enter: '&gt;4.5'.</w:t>
      </w:r>
    </w:p>
    <w:p w14:paraId="6E7BC345" w14:textId="6182BD2A" w:rsidR="001040CB" w:rsidRDefault="001040CB" w:rsidP="003B51B6">
      <w:pPr>
        <w:spacing w:line="480" w:lineRule="auto"/>
        <w:ind w:firstLine="720"/>
      </w:pPr>
      <w:r>
        <w:t xml:space="preserve">While </w:t>
      </w:r>
      <w:r w:rsidR="009D4F97">
        <w:t>th</w:t>
      </w:r>
      <w:r w:rsidR="00A76737">
        <w:t>e</w:t>
      </w:r>
      <w:r w:rsidR="009D4F97">
        <w:t xml:space="preserve"> </w:t>
      </w:r>
      <w:r w:rsidR="00A76737">
        <w:t>function</w:t>
      </w:r>
      <w:r w:rsidR="009D4F97">
        <w:t xml:space="preserve"> </w:t>
      </w:r>
      <w:r w:rsidR="00A76737">
        <w:t xml:space="preserve">in the panel </w:t>
      </w:r>
      <w:r w:rsidR="009D4F97">
        <w:t>is simple, its</w:t>
      </w:r>
      <w:r>
        <w:t xml:space="preserve"> inclusion</w:t>
      </w:r>
      <w:r w:rsidR="009D4F97">
        <w:t xml:space="preserve"> greatly enhances the ability of researchers to include other dimensions of access often not captured in conventional spatial accessibility measures. As discussed in the descriptions of the datasets earlier, many store attributes and individual characteristics </w:t>
      </w:r>
      <w:r w:rsidR="00FC5078">
        <w:t xml:space="preserve">reflect upon different access dimensions that are </w:t>
      </w:r>
      <w:r w:rsidR="00FC5078">
        <w:lastRenderedPageBreak/>
        <w:t>important to the food procurement process for people</w:t>
      </w:r>
      <w:r w:rsidR="00A16BCB">
        <w:t xml:space="preserve"> (i.e., mental space approach to the five dimensions of access</w:t>
      </w:r>
      <w:r w:rsidR="00C022A5">
        <w:t xml:space="preserve"> in the context of food</w:t>
      </w:r>
      <w:r w:rsidR="00A16BCB">
        <w:t>)</w:t>
      </w:r>
      <w:r w:rsidR="00FC5078">
        <w:t xml:space="preserve">. Idiosyncratic differences as unique </w:t>
      </w:r>
      <w:r w:rsidR="001B4574">
        <w:t>abilities (</w:t>
      </w:r>
      <w:r w:rsidR="00037B48">
        <w:t xml:space="preserve">e.g., </w:t>
      </w:r>
      <w:r w:rsidR="001B4574">
        <w:t>wheelchair-bound), preferences (</w:t>
      </w:r>
      <w:r w:rsidR="00037B48">
        <w:t>e.g., wholesale clubs and not convenience stores</w:t>
      </w:r>
      <w:r w:rsidR="0068622E">
        <w:t>; Mexican groceries</w:t>
      </w:r>
      <w:r w:rsidR="00037B48">
        <w:t>),</w:t>
      </w:r>
      <w:r w:rsidR="002C1974">
        <w:t xml:space="preserve"> resources (e.g., SNAP benefits vs. NFC mobile payment)</w:t>
      </w:r>
      <w:r w:rsidR="0068622E">
        <w:t xml:space="preserve"> and skills (e.g., technological aptitude)</w:t>
      </w:r>
      <w:r w:rsidR="00037B48">
        <w:t xml:space="preserve"> </w:t>
      </w:r>
      <w:r w:rsidR="00FC5078">
        <w:t>can easily be conceived as queries on store attributes to identify more accurate opportunity sets.</w:t>
      </w:r>
      <w:r w:rsidR="00C022A5">
        <w:t xml:space="preserve"> The case studies in the next section will demonstrate </w:t>
      </w:r>
      <w:r w:rsidR="00FA4AC1">
        <w:t>some potential applications of the proposed conceptual framework to better understand access.</w:t>
      </w:r>
    </w:p>
    <w:p w14:paraId="3B99D959" w14:textId="4A609262" w:rsidR="008F71F0" w:rsidRPr="003B51B6" w:rsidRDefault="003B51B6" w:rsidP="003B51B6">
      <w:pPr>
        <w:pStyle w:val="Heading3"/>
        <w:spacing w:after="240"/>
        <w:jc w:val="center"/>
        <w:rPr>
          <w:rFonts w:ascii="Times New Roman" w:hAnsi="Times New Roman" w:cs="Times New Roman"/>
          <w:b/>
          <w:bCs/>
          <w:color w:val="auto"/>
        </w:rPr>
      </w:pPr>
      <w:bookmarkStart w:id="116" w:name="_Toc114258059"/>
      <w:r w:rsidRPr="003B51B6">
        <w:rPr>
          <w:rFonts w:ascii="Times New Roman" w:hAnsi="Times New Roman" w:cs="Times New Roman"/>
          <w:b/>
          <w:bCs/>
          <w:color w:val="auto"/>
        </w:rPr>
        <w:t>4.3.2. ACCESSIBLE OPPORTUNITIES COUNTER</w:t>
      </w:r>
      <w:bookmarkEnd w:id="116"/>
    </w:p>
    <w:p w14:paraId="1FB70F26" w14:textId="1CC92C00" w:rsidR="008F71F0" w:rsidRDefault="0045026B" w:rsidP="003B51B6">
      <w:pPr>
        <w:spacing w:line="480" w:lineRule="auto"/>
        <w:ind w:firstLine="720"/>
      </w:pPr>
      <w:r>
        <w:t xml:space="preserve">Potential access is measured by the total number of reachable opportunities which can be differentiated by </w:t>
      </w:r>
      <w:r w:rsidR="006D2731">
        <w:t xml:space="preserve">their modality: in-person (physical), online (virtual), </w:t>
      </w:r>
      <w:r w:rsidR="00F646C4">
        <w:t xml:space="preserve">or both (hybrid). </w:t>
      </w:r>
      <w:r w:rsidR="008F71F0">
        <w:t xml:space="preserve">Located at the top-middle is a grid of four boxes that tracks the number of accessible opportunities by </w:t>
      </w:r>
      <w:r w:rsidR="00F646C4">
        <w:t xml:space="preserve">these </w:t>
      </w:r>
      <w:r w:rsidR="008F71F0">
        <w:t>modalit</w:t>
      </w:r>
      <w:r w:rsidR="00F646C4">
        <w:t>ies</w:t>
      </w:r>
      <w:r w:rsidR="008F71F0">
        <w:t xml:space="preserve">. Changes based on user interaction (e.g., </w:t>
      </w:r>
      <w:proofErr w:type="spellStart"/>
      <w:r w:rsidR="008F71F0">
        <w:t>subsetting</w:t>
      </w:r>
      <w:proofErr w:type="spellEnd"/>
      <w:r w:rsidR="008F71F0">
        <w:t xml:space="preserve"> individuals and/or</w:t>
      </w:r>
      <w:r w:rsidR="00B95E7B">
        <w:t xml:space="preserve"> querying</w:t>
      </w:r>
      <w:r w:rsidR="008F71F0">
        <w:t xml:space="preserve"> stores</w:t>
      </w:r>
      <w:r w:rsidR="00B95E7B">
        <w:t xml:space="preserve"> based on their different characteristics related to the dimensions of access</w:t>
      </w:r>
      <w:r w:rsidR="008F71F0">
        <w:t>) will subsequently change the number of accessible opportunities shown in the 'Physical', 'Virtual', and 'Hybrid' counters.</w:t>
      </w:r>
    </w:p>
    <w:p w14:paraId="4CCCE8B0" w14:textId="77777777" w:rsidR="008F71F0" w:rsidRDefault="008F71F0" w:rsidP="003B51B6">
      <w:pPr>
        <w:pStyle w:val="ListParagraph"/>
        <w:numPr>
          <w:ilvl w:val="0"/>
          <w:numId w:val="22"/>
        </w:numPr>
        <w:spacing w:line="480" w:lineRule="auto"/>
      </w:pPr>
      <w:r w:rsidRPr="003B51B6">
        <w:rPr>
          <w:i/>
          <w:iCs/>
        </w:rPr>
        <w:t>Total Food Stores</w:t>
      </w:r>
      <w:r>
        <w:t xml:space="preserve"> reflects the total number of food stores in and around the county.</w:t>
      </w:r>
    </w:p>
    <w:p w14:paraId="6C079781" w14:textId="77777777" w:rsidR="008F71F0" w:rsidRDefault="008F71F0" w:rsidP="003B51B6">
      <w:pPr>
        <w:pStyle w:val="ListParagraph"/>
        <w:numPr>
          <w:ilvl w:val="0"/>
          <w:numId w:val="22"/>
        </w:numPr>
        <w:spacing w:line="480" w:lineRule="auto"/>
      </w:pPr>
      <w:r w:rsidRPr="003B51B6">
        <w:rPr>
          <w:i/>
          <w:iCs/>
        </w:rPr>
        <w:t>Physical</w:t>
      </w:r>
      <w:r>
        <w:t xml:space="preserve"> reflects the total number of accessible food stores that all individuals shown can exclusively reach in person and not online.</w:t>
      </w:r>
    </w:p>
    <w:p w14:paraId="7A4C1B75" w14:textId="77777777" w:rsidR="008F71F0" w:rsidRDefault="008F71F0" w:rsidP="003B51B6">
      <w:pPr>
        <w:pStyle w:val="ListParagraph"/>
        <w:numPr>
          <w:ilvl w:val="0"/>
          <w:numId w:val="22"/>
        </w:numPr>
        <w:spacing w:line="480" w:lineRule="auto"/>
      </w:pPr>
      <w:r w:rsidRPr="003B51B6">
        <w:rPr>
          <w:i/>
          <w:iCs/>
        </w:rPr>
        <w:t>Virtual</w:t>
      </w:r>
      <w:r>
        <w:t xml:space="preserve"> reflects the total number of accessible food stores that all individuals shown can exclusively reach online and not in person.</w:t>
      </w:r>
    </w:p>
    <w:p w14:paraId="05FA7F00" w14:textId="21806823" w:rsidR="009B1528" w:rsidRDefault="008F71F0" w:rsidP="003B51B6">
      <w:pPr>
        <w:pStyle w:val="ListParagraph"/>
        <w:numPr>
          <w:ilvl w:val="0"/>
          <w:numId w:val="22"/>
        </w:numPr>
        <w:spacing w:line="480" w:lineRule="auto"/>
      </w:pPr>
      <w:r w:rsidRPr="003B51B6">
        <w:rPr>
          <w:i/>
          <w:iCs/>
        </w:rPr>
        <w:t>Hybrid</w:t>
      </w:r>
      <w:r>
        <w:t xml:space="preserve"> reflects the total number of accessible food stores that all individuals shown can reach either in person or online.</w:t>
      </w:r>
    </w:p>
    <w:p w14:paraId="5627C415" w14:textId="77777777" w:rsidR="009B1528" w:rsidRDefault="009B1528" w:rsidP="00156BEA">
      <w:pPr>
        <w:spacing w:line="480" w:lineRule="auto"/>
      </w:pPr>
      <w:r>
        <w:br w:type="page"/>
      </w:r>
    </w:p>
    <w:p w14:paraId="66894DCA" w14:textId="6AE6C4C9" w:rsidR="003D0EF3" w:rsidRPr="003B51B6" w:rsidRDefault="00EC36AE" w:rsidP="003B51B6">
      <w:pPr>
        <w:pStyle w:val="Heading1"/>
        <w:spacing w:after="240"/>
        <w:jc w:val="center"/>
        <w:rPr>
          <w:rFonts w:ascii="Times New Roman" w:hAnsi="Times New Roman" w:cs="Times New Roman"/>
          <w:b/>
          <w:bCs/>
          <w:color w:val="auto"/>
        </w:rPr>
      </w:pPr>
      <w:bookmarkStart w:id="117" w:name="_Toc114258060"/>
      <w:commentRangeStart w:id="118"/>
      <w:commentRangeStart w:id="119"/>
      <w:r>
        <w:rPr>
          <w:rFonts w:ascii="Times New Roman" w:hAnsi="Times New Roman" w:cs="Times New Roman"/>
          <w:b/>
          <w:bCs/>
          <w:color w:val="auto"/>
        </w:rPr>
        <w:lastRenderedPageBreak/>
        <w:t xml:space="preserve">CHAPTER </w:t>
      </w:r>
      <w:r w:rsidR="003B51B6" w:rsidRPr="003B51B6">
        <w:rPr>
          <w:rFonts w:ascii="Times New Roman" w:hAnsi="Times New Roman" w:cs="Times New Roman"/>
          <w:b/>
          <w:bCs/>
          <w:color w:val="auto"/>
        </w:rPr>
        <w:t>5. CASE STUDIES</w:t>
      </w:r>
      <w:commentRangeEnd w:id="118"/>
      <w:r w:rsidR="00F545AF">
        <w:rPr>
          <w:rStyle w:val="CommentReference"/>
          <w:rFonts w:ascii="Times New Roman" w:eastAsiaTheme="minorEastAsia" w:hAnsi="Times New Roman" w:cs="Times New Roman"/>
          <w:color w:val="auto"/>
        </w:rPr>
        <w:commentReference w:id="118"/>
      </w:r>
      <w:commentRangeEnd w:id="119"/>
      <w:r w:rsidR="00697CEC">
        <w:rPr>
          <w:rStyle w:val="CommentReference"/>
          <w:rFonts w:ascii="Times New Roman" w:eastAsiaTheme="minorEastAsia" w:hAnsi="Times New Roman" w:cs="Times New Roman"/>
          <w:color w:val="auto"/>
        </w:rPr>
        <w:commentReference w:id="119"/>
      </w:r>
      <w:bookmarkEnd w:id="117"/>
    </w:p>
    <w:p w14:paraId="72873541" w14:textId="1D401474" w:rsidR="00437690" w:rsidRDefault="00437690" w:rsidP="00156BEA">
      <w:pPr>
        <w:spacing w:line="480" w:lineRule="auto"/>
      </w:pPr>
      <w:r>
        <w:tab/>
        <w:t xml:space="preserve">The purpose of this chapter is </w:t>
      </w:r>
      <w:r w:rsidR="00DA0CD6">
        <w:t xml:space="preserve">to illustrate specific cases that demonstrate how the proposed GIS interface can help better understand different </w:t>
      </w:r>
      <w:r w:rsidR="0050390E">
        <w:t>levels</w:t>
      </w:r>
      <w:r w:rsidR="00DA0CD6">
        <w:t xml:space="preserve"> of access</w:t>
      </w:r>
      <w:r w:rsidR="00063DC6">
        <w:t xml:space="preserve"> to </w:t>
      </w:r>
      <w:r w:rsidR="00094FD5">
        <w:t xml:space="preserve">essential </w:t>
      </w:r>
      <w:r w:rsidR="00063DC6">
        <w:t>opportunities</w:t>
      </w:r>
      <w:r w:rsidR="00DA0CD6">
        <w:t xml:space="preserve"> among different population groups.</w:t>
      </w:r>
      <w:r w:rsidR="0041408C">
        <w:t xml:space="preserve"> </w:t>
      </w:r>
      <w:r w:rsidR="00AE3B97">
        <w:t>This</w:t>
      </w:r>
      <w:r w:rsidR="0041408C">
        <w:t xml:space="preserve"> describes </w:t>
      </w:r>
      <w:r w:rsidR="00831145">
        <w:t>four</w:t>
      </w:r>
      <w:r w:rsidR="0041408C">
        <w:t xml:space="preserve"> </w:t>
      </w:r>
      <w:r w:rsidR="00C7644D">
        <w:t xml:space="preserve">scenarios </w:t>
      </w:r>
      <w:r w:rsidR="002262E2">
        <w:t xml:space="preserve">of food access </w:t>
      </w:r>
      <w:r w:rsidR="00A406C5">
        <w:t>that plausibly exist for people of different backgrounds</w:t>
      </w:r>
      <w:r w:rsidR="002A056C">
        <w:t>, especially those who are most disadvantage</w:t>
      </w:r>
      <w:r w:rsidR="003317EC">
        <w:t>d</w:t>
      </w:r>
      <w:r w:rsidR="002262E2">
        <w:t xml:space="preserve">. To go beyond conventional GIS and its traditional limitations, we </w:t>
      </w:r>
      <w:r w:rsidR="00AE3B97">
        <w:t xml:space="preserve">show how the space-place framework </w:t>
      </w:r>
      <w:r w:rsidR="00A406C5">
        <w:t xml:space="preserve">and relationships in our proposed conceptual framework </w:t>
      </w:r>
      <w:r w:rsidR="00AE3B97">
        <w:t>can be applied to better understand social inequities in food access.</w:t>
      </w:r>
      <w:r w:rsidR="00A52138">
        <w:t xml:space="preserve"> In the past, with conventional space-time accessibility analyses, researchers were only able to identify the opportunities available to people as those opportunity locations that could be physically reached given a person’s respective locations over space and time. Essentially, a space-time prism would be derived for </w:t>
      </w:r>
      <w:proofErr w:type="gramStart"/>
      <w:r w:rsidR="00A52138">
        <w:t>each individual</w:t>
      </w:r>
      <w:proofErr w:type="gramEnd"/>
      <w:r w:rsidR="00A52138">
        <w:t xml:space="preserve"> based on their self-reported activities in locations at given time periods in a travel diary. This space-time prism would be projected into the potential path area and researchers would use a point</w:t>
      </w:r>
      <w:r w:rsidR="00B75EDE">
        <w:t>-</w:t>
      </w:r>
      <w:r w:rsidR="00A52138">
        <w:t>in</w:t>
      </w:r>
      <w:r w:rsidR="00B75EDE">
        <w:t>-</w:t>
      </w:r>
      <w:r w:rsidR="00A52138">
        <w:t>polygon overlay to identify where stores intersected the possible areas people could feasibly travel to.</w:t>
      </w:r>
      <w:r w:rsidR="0059490B">
        <w:t xml:space="preserve"> </w:t>
      </w:r>
      <w:r w:rsidR="00620CBD">
        <w:t>Here, we expand upon this analytical approach to consider additional and important factors that mediate potential access to food opportunities for different individuals.</w:t>
      </w:r>
    </w:p>
    <w:p w14:paraId="7674D19E" w14:textId="44FA3034" w:rsidR="005A679B" w:rsidRPr="003B51B6" w:rsidRDefault="00831145" w:rsidP="003B51B6">
      <w:pPr>
        <w:pStyle w:val="Heading2"/>
        <w:spacing w:after="240"/>
        <w:jc w:val="center"/>
        <w:rPr>
          <w:rFonts w:ascii="Times New Roman" w:hAnsi="Times New Roman" w:cs="Times New Roman"/>
          <w:b/>
          <w:bCs/>
          <w:color w:val="auto"/>
        </w:rPr>
      </w:pPr>
      <w:bookmarkStart w:id="120" w:name="_Toc114258061"/>
      <w:r w:rsidRPr="003B51B6">
        <w:rPr>
          <w:rFonts w:ascii="Times New Roman" w:hAnsi="Times New Roman" w:cs="Times New Roman"/>
          <w:b/>
          <w:bCs/>
          <w:color w:val="auto"/>
        </w:rPr>
        <w:t>5</w:t>
      </w:r>
      <w:r w:rsidR="005A679B" w:rsidRPr="003B51B6">
        <w:rPr>
          <w:rFonts w:ascii="Times New Roman" w:hAnsi="Times New Roman" w:cs="Times New Roman"/>
          <w:b/>
          <w:bCs/>
          <w:color w:val="auto"/>
        </w:rPr>
        <w:t xml:space="preserve">.1. </w:t>
      </w:r>
      <w:r w:rsidR="003B51B6" w:rsidRPr="003B51B6">
        <w:rPr>
          <w:rFonts w:ascii="Times New Roman" w:hAnsi="Times New Roman" w:cs="Times New Roman"/>
          <w:b/>
          <w:bCs/>
          <w:color w:val="auto"/>
        </w:rPr>
        <w:t>CASE STUDY 1</w:t>
      </w:r>
      <w:r w:rsidR="005A679B" w:rsidRPr="003B51B6">
        <w:rPr>
          <w:rFonts w:ascii="Times New Roman" w:hAnsi="Times New Roman" w:cs="Times New Roman"/>
          <w:b/>
          <w:bCs/>
          <w:color w:val="auto"/>
        </w:rPr>
        <w:t>:</w:t>
      </w:r>
      <w:r w:rsidR="00650527" w:rsidRPr="003B51B6">
        <w:rPr>
          <w:rFonts w:ascii="Times New Roman" w:hAnsi="Times New Roman" w:cs="Times New Roman"/>
          <w:b/>
          <w:bCs/>
          <w:color w:val="auto"/>
        </w:rPr>
        <w:t xml:space="preserve"> </w:t>
      </w:r>
      <w:r w:rsidR="003B51B6" w:rsidRPr="003B51B6">
        <w:rPr>
          <w:rFonts w:ascii="Times New Roman" w:hAnsi="Times New Roman" w:cs="Times New Roman"/>
          <w:b/>
          <w:bCs/>
          <w:color w:val="auto"/>
        </w:rPr>
        <w:t>W</w:t>
      </w:r>
      <w:r w:rsidR="00873ED7" w:rsidRPr="003B51B6">
        <w:rPr>
          <w:rFonts w:ascii="Times New Roman" w:hAnsi="Times New Roman" w:cs="Times New Roman"/>
          <w:b/>
          <w:bCs/>
          <w:color w:val="auto"/>
        </w:rPr>
        <w:t>hat</w:t>
      </w:r>
      <w:r w:rsidR="003673CD" w:rsidRPr="003B51B6">
        <w:rPr>
          <w:rFonts w:ascii="Times New Roman" w:hAnsi="Times New Roman" w:cs="Times New Roman"/>
          <w:b/>
          <w:bCs/>
          <w:color w:val="auto"/>
        </w:rPr>
        <w:t xml:space="preserve"> food</w:t>
      </w:r>
      <w:r w:rsidR="00873ED7" w:rsidRPr="003B51B6">
        <w:rPr>
          <w:rFonts w:ascii="Times New Roman" w:hAnsi="Times New Roman" w:cs="Times New Roman"/>
          <w:b/>
          <w:bCs/>
          <w:color w:val="auto"/>
        </w:rPr>
        <w:t xml:space="preserve"> opportunities can people </w:t>
      </w:r>
      <w:r w:rsidR="00DF1368" w:rsidRPr="003B51B6">
        <w:rPr>
          <w:rFonts w:ascii="Times New Roman" w:hAnsi="Times New Roman" w:cs="Times New Roman"/>
          <w:b/>
          <w:bCs/>
          <w:color w:val="auto"/>
        </w:rPr>
        <w:t>access</w:t>
      </w:r>
      <w:r w:rsidR="00873ED7" w:rsidRPr="003B51B6">
        <w:rPr>
          <w:rFonts w:ascii="Times New Roman" w:hAnsi="Times New Roman" w:cs="Times New Roman"/>
          <w:b/>
          <w:bCs/>
          <w:color w:val="auto"/>
        </w:rPr>
        <w:t xml:space="preserve"> that are nearby an individual as they travel to and visit different places in their daily lives?</w:t>
      </w:r>
      <w:bookmarkEnd w:id="120"/>
    </w:p>
    <w:p w14:paraId="1866F98F" w14:textId="77777777" w:rsidR="00B358B8" w:rsidRDefault="00117B83" w:rsidP="00B358B8">
      <w:pPr>
        <w:spacing w:line="480" w:lineRule="auto"/>
        <w:ind w:firstLine="720"/>
      </w:pPr>
      <w:r>
        <w:t xml:space="preserve">The first case study </w:t>
      </w:r>
      <w:r w:rsidR="00E057AC">
        <w:t xml:space="preserve">explores how the varying mobilities </w:t>
      </w:r>
      <w:r w:rsidR="0012144D">
        <w:t xml:space="preserve">and unique travel patterns </w:t>
      </w:r>
      <w:r w:rsidR="00E057AC">
        <w:t>of individuals can be used to inform and</w:t>
      </w:r>
      <w:r w:rsidR="002E2936">
        <w:t xml:space="preserve"> identify potential food opportunities </w:t>
      </w:r>
      <w:r w:rsidR="003302CC">
        <w:t xml:space="preserve">accessible to them. </w:t>
      </w:r>
      <w:r w:rsidR="00B75EDE">
        <w:t xml:space="preserve">People have differing </w:t>
      </w:r>
      <w:r w:rsidR="00E043E9">
        <w:t>accessibilities owing to t</w:t>
      </w:r>
      <w:r w:rsidR="0064453B">
        <w:t>he</w:t>
      </w:r>
      <w:r w:rsidR="00E043E9">
        <w:t>ir</w:t>
      </w:r>
      <w:r w:rsidR="0064453B">
        <w:t xml:space="preserve"> </w:t>
      </w:r>
      <w:r w:rsidR="00E043E9">
        <w:t xml:space="preserve">available </w:t>
      </w:r>
      <w:r w:rsidR="0064453B">
        <w:t>mode</w:t>
      </w:r>
      <w:r w:rsidR="00E043E9">
        <w:t>(s)</w:t>
      </w:r>
      <w:r w:rsidR="0064453B">
        <w:t xml:space="preserve"> of transportation</w:t>
      </w:r>
      <w:r w:rsidR="00CC6004">
        <w:t xml:space="preserve">, </w:t>
      </w:r>
      <w:r w:rsidR="00E043E9">
        <w:t xml:space="preserve">their </w:t>
      </w:r>
      <w:r w:rsidR="00CC6004">
        <w:t>different visited locations,</w:t>
      </w:r>
      <w:r w:rsidR="00942221">
        <w:t xml:space="preserve"> and</w:t>
      </w:r>
      <w:r w:rsidR="0064453B">
        <w:t xml:space="preserve"> their schedule </w:t>
      </w:r>
      <w:r w:rsidR="005D5515">
        <w:t>of fixed and discretionary activities</w:t>
      </w:r>
      <w:r w:rsidR="00194935">
        <w:t xml:space="preserve">. Altogether, </w:t>
      </w:r>
      <w:r w:rsidR="00194935">
        <w:lastRenderedPageBreak/>
        <w:t>these characteristics influence</w:t>
      </w:r>
      <w:r w:rsidR="003752EF">
        <w:t xml:space="preserve"> the opportunities they can visit and </w:t>
      </w:r>
      <w:r w:rsidR="00E96F7A">
        <w:t>obtain desired food from</w:t>
      </w:r>
      <w:r w:rsidR="00DD3FFF">
        <w:t xml:space="preserve"> at different points in time</w:t>
      </w:r>
      <w:r w:rsidR="00E96F7A">
        <w:t>.</w:t>
      </w:r>
      <w:r w:rsidR="00624FC7">
        <w:t xml:space="preserve"> Some</w:t>
      </w:r>
      <w:r w:rsidR="00624FC7" w:rsidRPr="00AD586B">
        <w:t xml:space="preserve"> research studies place similar emphasis on the relevance of time and the temporal dimension in food accessibility research </w:t>
      </w:r>
      <w:r w:rsidR="00624FC7" w:rsidRPr="00AD586B">
        <w:fldChar w:fldCharType="begin"/>
      </w:r>
      <w:r w:rsidR="00624FC7">
        <w:instrText xml:space="preserve"> ADDIN ZOTERO_ITEM CSL_CITATION {"citationID":"IW6fdkjy","properties":{"formattedCitation":"(Widener, 2018; Widener &amp; Shannon, 2014)","plainCitation":"(Widener, 2018; Widener &amp; Shannon, 2014)","noteIndex":0},"citationItems":[{"id":684,"uris":["http://zotero.org/users/5090392/items/G23ENZGI"],"itemData":{"id":684,"type":"article-journal","abstract":"The food desert metaphor has been widely used over the past few decades as a way to identify regions as being at risk for having little or no access to healthy food. While the simplicity of the metaphor is attractive, this article argues that its usefulness to researchers interested in understanding the relationship between the geography of healthy food opportunities and dietary behaviours is limited. More nuanced approaches to incorporating geography into food access studies, like including transportation, economic factors, and time use, in addition to considering other dimensions of accessibility, are warranted.","collection-title":"The Pace of Life and Feeding: Health Implications","container-title":"Physiology &amp; Behavior","DOI":"10.1016/j.physbeh.2018.02.032","ISSN":"0031-9384","journalAbbreviation":"Physiology &amp; Behavior","language":"en","page":"257-260","source":"ScienceDirect","title":"Spatial access to food: Retiring the food desert metaphor","title-short":"Spatial access to food","URL":"http://www.sciencedirect.com/science/article/pii/S003193841830091X","volume":"193","author":[{"family":"Widener","given":"Michael J."}],"accessed":{"date-parts":[["2020",11,27]]},"issued":{"date-parts":[["2018",9,1]]}}},{"id":682,"uris":["http://zotero.org/users/5090392/items/U5V7QJBR"],"itemData":{"id":682,"type":"article-journal","abstract":"The food desert concept is used as a means for defining regions as having inadequate spatial and socioeconomic access to vendors selling nutritious foods. This primarily aggregate-level and static method for understanding the food environment is commonly used by researchers and policy makers seeking to improve health outcomes of those affected by reduced access. However, recent research findings have brought the association between living in a food desert and adverse health outcomes into question. In this viewpoint, we put forward the idea that the food desert concept, and food accessibility research more generally, should be expanded to include a temporal component, and note potential avenues for future research.","container-title":"Health &amp; Place","DOI":"10.1016/j.healthplace.2014.07.011","ISSN":"1353-8292","journalAbbreviation":"Health &amp; Place","language":"en","page":"1-3","source":"ScienceDirect","title":"When are food deserts? Integrating time into research on food accessibility","title-short":"When are food deserts?","URL":"http://www.sciencedirect.com/science/article/pii/S1353829214001038","volume":"30","author":[{"family":"Widener","given":"Michael J."},{"family":"Shannon","given":"Jerry"}],"accessed":{"date-parts":[["2020",11,26]]},"issued":{"date-parts":[["2014",11,1]]}}}],"schema":"https://github.com/citation-style-language/schema/raw/master/csl-citation.json"} </w:instrText>
      </w:r>
      <w:r w:rsidR="00624FC7" w:rsidRPr="00AD586B">
        <w:fldChar w:fldCharType="separate"/>
      </w:r>
      <w:r w:rsidR="00967900" w:rsidRPr="00967900">
        <w:t>(Widener, 2018; Widener &amp; Shannon, 2014)</w:t>
      </w:r>
      <w:r w:rsidR="00624FC7" w:rsidRPr="00AD586B">
        <w:fldChar w:fldCharType="end"/>
      </w:r>
      <w:r w:rsidR="00624FC7" w:rsidRPr="00AD586B">
        <w:t xml:space="preserve">. They articulate the ways in which food access is premised beyond conventions of geographic distance and spatial proximity but is also shaped by the temporality of the larger food system and mobile nature of individuals. Strictly exploring access as geographic accessibility overlooks other critical aspects, including time use and economic factors. This static approach can in turn obfuscate understanding of the relationship between the geography of healthy food opportunities and health outcomes related to dietary behaviors. Recognizing the importance of time in access, </w:t>
      </w:r>
      <w:r w:rsidR="00624FC7" w:rsidRPr="00AD586B">
        <w:fldChar w:fldCharType="begin"/>
      </w:r>
      <w:r w:rsidR="00624FC7">
        <w:instrText xml:space="preserve"> ADDIN ZOTERO_ITEM CSL_CITATION {"citationID":"215NYv3H","properties":{"formattedCitation":"(Farber et al., 2014)","plainCitation":"(Farber et al., 2014)","noteIndex":0},"citationItems":[{"id":679,"uris":["http://zotero.org/users/5090392/items/ATULH466"],"itemData":{"id":679,"type":"article-journal","abstract":"Food desert studies attempt to identify geographic areas in which people lack access to sources of healthy food. While academic and policy research often defines access to food stores using simple Euclidean distance or road network metrics, dense urban areas with large public transit systems call for more sophisticated methods of determining access. It is particularly important to understand the level of access the transit-dependent population has to healthy food vendors, as their mobility is largely constrained by the routes and scheduling of their local public transportation system. In this study, we analyze public transit access to supermarkets in Cincinnati, Ohio. Using General Transit Feed Specification (GTFS) data from the Southwest Ohio Regional Transit Authority (SORTA) and the Transit Authority of Northern Kentucky (TANK) and custom ArcGIS tools, we calculate the time it takes to travel from each Cincinnati census block to its nearest supermarkets at different times of the day. This transit-travel-time matrix allows us to investigate food deserts that change shape based on the time of day considered and to calculate the temporal variability in block-level access. Also, by combining this time-dependent analysis with census data on race, income, and age, we search for disparities in average levels of accessibility. The results of this analysis identify the areas and subpopulations in Cincinnati with the greatest need for improved access to healthy food stores and will demonstrate how schedule-dependent transportation can be factored into measures of accessibility. Ultimately, this study paints a more complete and realistic picture of food deserts in Cincinnati and helps policy-makers better target interventions aimed at mitigating their effects.","container-title":"Applied Geography","DOI":"10.1016/j.apgeog.2014.06.012","ISSN":"0143-6228","journalAbbreviation":"Applied Geography","language":"en","page":"149-159","source":"ScienceDirect","title":"Temporal variability in transit-based accessibility to supermarkets","URL":"http://www.sciencedirect.com/science/article/pii/S0143622814001283","volume":"53","author":[{"family":"Farber","given":"Steven"},{"family":"Morang","given":"Melinda Z."},{"family":"Widener","given":"Michael J."}],"accessed":{"date-parts":[["2020",11,26]]},"issued":{"date-parts":[["2014",9,1]]}}}],"schema":"https://github.com/citation-style-language/schema/raw/master/csl-citation.json"} </w:instrText>
      </w:r>
      <w:r w:rsidR="00624FC7" w:rsidRPr="00AD586B">
        <w:fldChar w:fldCharType="separate"/>
      </w:r>
      <w:r w:rsidR="00967900" w:rsidRPr="00967900">
        <w:t>(Farber et al., 2014)</w:t>
      </w:r>
      <w:r w:rsidR="00624FC7" w:rsidRPr="00AD586B">
        <w:fldChar w:fldCharType="end"/>
      </w:r>
      <w:r w:rsidR="00624FC7" w:rsidRPr="00AD586B">
        <w:t xml:space="preserve"> use General Transit Feed Specification (GTFS) data from public transit agencies in the Cincinnati, Ohio area to examine the temporal variability of a weekday in public transit access to supermarkets for each census block. Echoing </w:t>
      </w:r>
      <w:r w:rsidR="00624FC7" w:rsidRPr="00AD586B">
        <w:fldChar w:fldCharType="begin"/>
      </w:r>
      <w:r w:rsidR="00624FC7">
        <w:instrText xml:space="preserve"> ADDIN ZOTERO_ITEM CSL_CITATION {"citationID":"dcjLhQjq","properties":{"formattedCitation":"(Widener, 2018)","plainCitation":"(Widener, 2018)","noteIndex":0},"citationItems":[{"id":684,"uris":["http://zotero.org/users/5090392/items/G23ENZGI"],"itemData":{"id":684,"type":"article-journal","abstract":"The food desert metaphor has been widely used over the past few decades as a way to identify regions as being at risk for having little or no access to healthy food. While the simplicity of the metaphor is attractive, this article argues that its usefulness to researchers interested in understanding the relationship between the geography of healthy food opportunities and dietary behaviours is limited. More nuanced approaches to incorporating geography into food access studies, like including transportation, economic factors, and time use, in addition to considering other dimensions of accessibility, are warranted.","collection-title":"The Pace of Life and Feeding: Health Implications","container-title":"Physiology &amp; Behavior","DOI":"10.1016/j.physbeh.2018.02.032","ISSN":"0031-9384","journalAbbreviation":"Physiology &amp; Behavior","language":"en","page":"257-260","source":"ScienceDirect","title":"Spatial access to food: Retiring the food desert metaphor","title-short":"Spatial access to food","URL":"http://www.sciencedirect.com/science/article/pii/S003193841830091X","volume":"193","author":[{"family":"Widener","given":"Michael J."}],"accessed":{"date-parts":[["2020",11,27]]},"issued":{"date-parts":[["2018",9,1]]}}}],"schema":"https://github.com/citation-style-language/schema/raw/master/csl-citation.json"} </w:instrText>
      </w:r>
      <w:r w:rsidR="00624FC7" w:rsidRPr="00AD586B">
        <w:fldChar w:fldCharType="separate"/>
      </w:r>
      <w:r w:rsidR="00967900" w:rsidRPr="00967900">
        <w:t>(Widener, 2018)</w:t>
      </w:r>
      <w:r w:rsidR="00624FC7" w:rsidRPr="00AD586B">
        <w:fldChar w:fldCharType="end"/>
      </w:r>
      <w:r w:rsidR="00624FC7" w:rsidRPr="00AD586B">
        <w:t xml:space="preserve"> and </w:t>
      </w:r>
      <w:r w:rsidR="00624FC7" w:rsidRPr="00AD586B">
        <w:fldChar w:fldCharType="begin"/>
      </w:r>
      <w:r w:rsidR="00624FC7">
        <w:instrText xml:space="preserve"> ADDIN ZOTERO_ITEM CSL_CITATION {"citationID":"Qf2cUx0O","properties":{"formattedCitation":"(Widener &amp; Shannon, 2014)","plainCitation":"(Widener &amp; Shannon, 2014)","noteIndex":0},"citationItems":[{"id":682,"uris":["http://zotero.org/users/5090392/items/U5V7QJBR"],"itemData":{"id":682,"type":"article-journal","abstract":"The food desert concept is used as a means for defining regions as having inadequate spatial and socioeconomic access to vendors selling nutritious foods. This primarily aggregate-level and static method for understanding the food environment is commonly used by researchers and policy makers seeking to improve health outcomes of those affected by reduced access. However, recent research findings have brought the association between living in a food desert and adverse health outcomes into question. In this viewpoint, we put forward the idea that the food desert concept, and food accessibility research more generally, should be expanded to include a temporal component, and note potential avenues for future research.","container-title":"Health &amp; Place","DOI":"10.1016/j.healthplace.2014.07.011","ISSN":"1353-8292","journalAbbreviation":"Health &amp; Place","language":"en","page":"1-3","source":"ScienceDirect","title":"When are food deserts? Integrating time into research on food accessibility","title-short":"When are food deserts?","URL":"http://www.sciencedirect.com/science/article/pii/S1353829214001038","volume":"30","author":[{"family":"Widener","given":"Michael J."},{"family":"Shannon","given":"Jerry"}],"accessed":{"date-parts":[["2020",11,26]]},"issued":{"date-parts":[["2014",11,1]]}}}],"schema":"https://github.com/citation-style-language/schema/raw/master/csl-citation.json"} </w:instrText>
      </w:r>
      <w:r w:rsidR="00624FC7" w:rsidRPr="00AD586B">
        <w:fldChar w:fldCharType="separate"/>
      </w:r>
      <w:r w:rsidR="00967900" w:rsidRPr="00967900">
        <w:t>(Widener &amp; Shannon, 2014)</w:t>
      </w:r>
      <w:r w:rsidR="00624FC7" w:rsidRPr="00AD586B">
        <w:fldChar w:fldCharType="end"/>
      </w:r>
      <w:r w:rsidR="00624FC7" w:rsidRPr="00AD586B">
        <w:t xml:space="preserve">’s sentiments of the need to also include time in studies on access to food, Farber and colleagues found that accessibility to reachable </w:t>
      </w:r>
      <w:r w:rsidR="001162CE">
        <w:t>opportunities</w:t>
      </w:r>
      <w:r w:rsidR="00624FC7" w:rsidRPr="00AD586B">
        <w:t xml:space="preserve"> such as supermarkets via public transit drastically varies over time and few people have consistent access to supermarkets throughout a day. Thus, accessibility is not rooted just in space but as a function of space</w:t>
      </w:r>
      <w:r w:rsidR="00682008">
        <w:t xml:space="preserve">, time, and the unique </w:t>
      </w:r>
      <w:r w:rsidR="00775654">
        <w:t xml:space="preserve">travel </w:t>
      </w:r>
      <w:r w:rsidR="00682008">
        <w:t>characteristics of individuals.</w:t>
      </w:r>
      <w:r w:rsidR="00194935">
        <w:t xml:space="preserve"> </w:t>
      </w:r>
      <w:r w:rsidR="00F714B0">
        <w:t xml:space="preserve">In this sense, accessibility needs to be considered from a relative space perspective </w:t>
      </w:r>
      <w:r w:rsidR="0099545F">
        <w:t xml:space="preserve">because people often travel to multiple locations </w:t>
      </w:r>
      <w:r w:rsidR="00A11587">
        <w:t xml:space="preserve">throughout a day and </w:t>
      </w:r>
      <w:r w:rsidR="00F714B0">
        <w:t xml:space="preserve">the opportunities near </w:t>
      </w:r>
      <w:r w:rsidR="001250B5">
        <w:t xml:space="preserve">different locations </w:t>
      </w:r>
      <w:r w:rsidR="00520592">
        <w:t>are likely to be different</w:t>
      </w:r>
      <w:r w:rsidR="001250B5">
        <w:t xml:space="preserve">. </w:t>
      </w:r>
      <w:r w:rsidR="000E18EF">
        <w:t>C</w:t>
      </w:r>
      <w:r w:rsidR="001250B5">
        <w:t xml:space="preserve">hanges in </w:t>
      </w:r>
      <w:r w:rsidR="000E18EF">
        <w:t>the locations one visits accordingly changes the types of opportunities that are availabl</w:t>
      </w:r>
      <w:r w:rsidR="00DF1E0F">
        <w:t>e to them</w:t>
      </w:r>
      <w:r w:rsidR="00520592">
        <w:t xml:space="preserve">. This </w:t>
      </w:r>
      <w:r w:rsidR="00DB7792">
        <w:t xml:space="preserve">first </w:t>
      </w:r>
      <w:r w:rsidR="00520592">
        <w:t xml:space="preserve">case study </w:t>
      </w:r>
      <w:r w:rsidR="00DB7792">
        <w:t>demonstrates how such dimensions of availability</w:t>
      </w:r>
      <w:r w:rsidR="00301E26">
        <w:t>, accessibility, and more</w:t>
      </w:r>
      <w:r w:rsidR="009655CC">
        <w:t xml:space="preserve"> from different </w:t>
      </w:r>
      <w:r w:rsidR="009D4C3A">
        <w:t>dimensions of space</w:t>
      </w:r>
      <w:r w:rsidR="00301E26">
        <w:t xml:space="preserve"> </w:t>
      </w:r>
      <w:r w:rsidR="00DB7792">
        <w:t xml:space="preserve">can be understood </w:t>
      </w:r>
      <w:r w:rsidR="00D176CA">
        <w:t>with the proposed GIS.</w:t>
      </w:r>
    </w:p>
    <w:p w14:paraId="0D33ECC8" w14:textId="32C70712" w:rsidR="008A3841" w:rsidRDefault="00B000A1" w:rsidP="00B358B8">
      <w:pPr>
        <w:spacing w:line="480" w:lineRule="auto"/>
        <w:ind w:firstLine="720"/>
      </w:pPr>
      <w:r>
        <w:lastRenderedPageBreak/>
        <w:t xml:space="preserve">The first person in this </w:t>
      </w:r>
      <w:r w:rsidR="00E96F7A">
        <w:t>first</w:t>
      </w:r>
      <w:r w:rsidR="008A3841">
        <w:t xml:space="preserve"> case study </w:t>
      </w:r>
      <w:r>
        <w:t>is</w:t>
      </w:r>
      <w:r w:rsidR="008A3841">
        <w:t xml:space="preserve"> </w:t>
      </w:r>
      <w:r w:rsidR="00EA2147">
        <w:t>a single Hispanic immigrant mother</w:t>
      </w:r>
      <w:r w:rsidR="007D29BF">
        <w:t xml:space="preserve">, </w:t>
      </w:r>
      <w:r w:rsidR="005A2E1E">
        <w:rPr>
          <w:i/>
          <w:iCs/>
        </w:rPr>
        <w:t>A</w:t>
      </w:r>
      <w:r w:rsidR="005A2E1E">
        <w:t>,</w:t>
      </w:r>
      <w:r w:rsidR="00EA2147">
        <w:t xml:space="preserve"> living with two teenagers in east Knoxville in a rental apartment </w:t>
      </w:r>
      <w:r w:rsidR="00F92FDA">
        <w:t xml:space="preserve">complex </w:t>
      </w:r>
      <w:r w:rsidR="0072066D">
        <w:t>who has a personal vehicle to get around the area</w:t>
      </w:r>
      <w:r w:rsidR="00EA2147">
        <w:t>.</w:t>
      </w:r>
      <w:r w:rsidR="00D176CA">
        <w:t xml:space="preserve"> Consequently, her mobility is limited to </w:t>
      </w:r>
      <w:r w:rsidR="0022730C">
        <w:t>her means of personal vehicular transportation and some walking</w:t>
      </w:r>
      <w:r w:rsidR="006A239D">
        <w:t>.</w:t>
      </w:r>
      <w:r w:rsidR="00EA2147">
        <w:t xml:space="preserve"> As a line cook at a local restaurant, she earns roughly $40,320 before taxes a year while typically </w:t>
      </w:r>
      <w:commentRangeStart w:id="121"/>
      <w:commentRangeStart w:id="122"/>
      <w:r w:rsidR="00EA2147">
        <w:t xml:space="preserve">working </w:t>
      </w:r>
      <w:r w:rsidR="00331098">
        <w:t>a bit more than 50</w:t>
      </w:r>
      <w:r w:rsidR="00EA2147">
        <w:t xml:space="preserve"> hours a week between 9AM and 7</w:t>
      </w:r>
      <w:r w:rsidR="00220460">
        <w:t>:30</w:t>
      </w:r>
      <w:r w:rsidR="00EA2147">
        <w:t xml:space="preserve"> PM from Monday to </w:t>
      </w:r>
      <w:r w:rsidR="00331098">
        <w:t>Frida</w:t>
      </w:r>
      <w:r w:rsidR="00EA2147">
        <w:t>y</w:t>
      </w:r>
      <w:commentRangeEnd w:id="121"/>
      <w:r w:rsidR="009F5377">
        <w:rPr>
          <w:rStyle w:val="CommentReference"/>
        </w:rPr>
        <w:commentReference w:id="121"/>
      </w:r>
      <w:commentRangeEnd w:id="122"/>
      <w:r w:rsidR="00331098">
        <w:rPr>
          <w:rStyle w:val="CommentReference"/>
        </w:rPr>
        <w:commentReference w:id="122"/>
      </w:r>
      <w:r w:rsidR="00EA2147">
        <w:t>. She does this to save aggressively in hopes of supporting her kids’ college education and to buy a small home in the next few years.</w:t>
      </w:r>
      <w:r w:rsidR="00D34A59">
        <w:t xml:space="preserve"> </w:t>
      </w:r>
      <w:r w:rsidR="006A239D">
        <w:t xml:space="preserve">In other words, </w:t>
      </w:r>
      <w:r w:rsidR="005A6D05">
        <w:t xml:space="preserve">the ease to which </w:t>
      </w:r>
      <w:r w:rsidR="005A6D05">
        <w:rPr>
          <w:i/>
          <w:iCs/>
        </w:rPr>
        <w:t xml:space="preserve">A </w:t>
      </w:r>
      <w:r w:rsidR="005A6D05">
        <w:t xml:space="preserve">can reach food opportunities is rather difficult during her working hours </w:t>
      </w:r>
      <w:r w:rsidR="008777FA">
        <w:t xml:space="preserve">on the weekdays; </w:t>
      </w:r>
      <w:proofErr w:type="gramStart"/>
      <w:r w:rsidR="008777FA">
        <w:rPr>
          <w:i/>
          <w:iCs/>
        </w:rPr>
        <w:t>A</w:t>
      </w:r>
      <w:r w:rsidR="008777FA">
        <w:t>‘</w:t>
      </w:r>
      <w:proofErr w:type="gramEnd"/>
      <w:r w:rsidR="008777FA">
        <w:t xml:space="preserve">s </w:t>
      </w:r>
      <w:r w:rsidR="0041244D">
        <w:t xml:space="preserve">relative accessibility to stores is higher during the weekends compared to the weekdays. </w:t>
      </w:r>
      <w:r w:rsidR="00D34A59">
        <w:t>She only has basic English comprehension skills and limited use of technology to just calling and messaging on her mobile device</w:t>
      </w:r>
      <w:r w:rsidR="0041244D">
        <w:t xml:space="preserve"> which means that </w:t>
      </w:r>
      <w:r w:rsidR="003F113F">
        <w:t>virtual-based options to reach online food stores</w:t>
      </w:r>
      <w:r w:rsidR="00B73EB8">
        <w:t xml:space="preserve"> </w:t>
      </w:r>
      <w:r w:rsidR="003F113F">
        <w:t>such as grocery delivery and pickup are inaccessible to her</w:t>
      </w:r>
      <w:r w:rsidR="00D34A59">
        <w:t>.</w:t>
      </w:r>
      <w:r w:rsidR="00B73EB8">
        <w:t xml:space="preserve"> Because of this, </w:t>
      </w:r>
      <w:r w:rsidR="002337D6">
        <w:t>her accessibility from a relational space perspective is essentially non-existent</w:t>
      </w:r>
      <w:r w:rsidR="004F3BF1">
        <w:t xml:space="preserve"> compared to someone who is </w:t>
      </w:r>
      <w:r w:rsidR="0048242B">
        <w:t>able and willing to use virtual-based services</w:t>
      </w:r>
      <w:r w:rsidR="002337D6">
        <w:t>.</w:t>
      </w:r>
      <w:r w:rsidR="00D34A59">
        <w:t xml:space="preserve"> When shopping for food, she prefers </w:t>
      </w:r>
      <w:r w:rsidR="007620C1">
        <w:t>Mexican ingredients</w:t>
      </w:r>
      <w:r w:rsidR="0048242B">
        <w:t>.</w:t>
      </w:r>
    </w:p>
    <w:p w14:paraId="0C75EC98" w14:textId="18140B4B" w:rsidR="007B4433" w:rsidRPr="00BD3D71" w:rsidRDefault="007B4433" w:rsidP="007B4433">
      <w:pPr>
        <w:spacing w:line="480" w:lineRule="auto"/>
      </w:pPr>
      <w:r w:rsidRPr="007B4433">
        <w:t xml:space="preserve">Given this information about A, how do we assess the total number of opportunities that may potentially be accessed by her at different points in time? As detailed in the methodology chapter, an algorithm was developed to identify all food opportunities that could be reached given the activity and travel behaviors, feasible travel modes, and ability and willingness to use online services by individuals. Because of the computational intensity, the algorithm was run on the entire dataset of individuals to extract results for visualization and interpretation. This algorithm can be conceived as a function to determine the total potential opportunity set for </w:t>
      </w:r>
      <w:proofErr w:type="gramStart"/>
      <w:r w:rsidRPr="007B4433">
        <w:t>each</w:t>
      </w:r>
      <w:r>
        <w:t xml:space="preserve"> </w:t>
      </w:r>
      <w:r w:rsidRPr="007B4433">
        <w:t>individual</w:t>
      </w:r>
      <w:proofErr w:type="gramEnd"/>
      <w:r w:rsidRPr="007B4433">
        <w:t xml:space="preserve"> throughout a study period based on their physical means of travel (e.g., driving, </w:t>
      </w:r>
      <w:r w:rsidRPr="007B4433">
        <w:lastRenderedPageBreak/>
        <w:t xml:space="preserve">walking, transit) and virtual means of interaction (e.g., phone, Internet). </w:t>
      </w:r>
      <w:r>
        <w:t xml:space="preserve">Identified opportunities for </w:t>
      </w:r>
      <w:proofErr w:type="gramStart"/>
      <w:r>
        <w:t>each individual</w:t>
      </w:r>
      <w:proofErr w:type="gramEnd"/>
      <w:r>
        <w:t xml:space="preserve"> are obtained by calculating the shortest travel time from the starting location of their discretionary period to a food store and then from the food store to the location at the end of their discretionary period. If the total derived travel time is less than the total discretionary </w:t>
      </w:r>
      <w:proofErr w:type="gramStart"/>
      <w:r>
        <w:t>time</w:t>
      </w:r>
      <w:proofErr w:type="gramEnd"/>
      <w:r>
        <w:t xml:space="preserve"> they have available, it can be considered an opportunity. In other words, the total potential opportunity set for </w:t>
      </w:r>
      <w:proofErr w:type="gramStart"/>
      <w:r>
        <w:t>each individual</w:t>
      </w:r>
      <w:proofErr w:type="gramEnd"/>
      <w:r>
        <w:t xml:space="preserve"> throughout the two-day period was pre-computed. </w:t>
      </w:r>
    </w:p>
    <w:p w14:paraId="1B2F4C96" w14:textId="46DB5E04" w:rsidR="007B4433" w:rsidRDefault="007B4433" w:rsidP="007B4433">
      <w:pPr>
        <w:spacing w:line="480" w:lineRule="auto"/>
        <w:ind w:firstLine="720"/>
      </w:pPr>
      <w:r>
        <w:t xml:space="preserve">Figure 10 presents two separate but synchronized maps that visually depict the results of the algorithm: all potential food opportunities that are accessible to </w:t>
      </w:r>
      <w:r>
        <w:rPr>
          <w:i/>
          <w:iCs/>
        </w:rPr>
        <w:t>A</w:t>
      </w:r>
      <w:r>
        <w:t xml:space="preserve"> when she is at her home. The home location can be discerned as the portion of the line in the direction of the arrow in the right-hand side 3-D plot that is straight, as </w:t>
      </w:r>
      <w:r>
        <w:rPr>
          <w:i/>
          <w:iCs/>
        </w:rPr>
        <w:t xml:space="preserve">A </w:t>
      </w:r>
      <w:r>
        <w:t xml:space="preserve">spends </w:t>
      </w:r>
      <w:proofErr w:type="gramStart"/>
      <w:r>
        <w:t>the majority of</w:t>
      </w:r>
      <w:proofErr w:type="gramEnd"/>
      <w:r>
        <w:t xml:space="preserve"> her entire day at home during the two-day period of Friday and Saturday. Clicking on any portion of her trajectory at her home location returns a zoomed-in map centered on the home location in the left-hand side 2-D map. One green point symbol represents a single grocery store near her home. When the focus shifts to another location such as </w:t>
      </w:r>
      <w:r>
        <w:rPr>
          <w:i/>
          <w:iCs/>
        </w:rPr>
        <w:t>A</w:t>
      </w:r>
      <w:r>
        <w:t xml:space="preserve">’s workplace at a local restaurant, pointed to by the black arrow in Figure 11, two grocery stores are returned in the 2-D map. The interactive mapping features (e.g., map panning, clicking trajectory segments, zooming in/out) in both panels enable the quick identification of nearby opportunities at any point in the trajectory of an individual. While the types of stores available to </w:t>
      </w:r>
      <w:r>
        <w:rPr>
          <w:i/>
          <w:iCs/>
        </w:rPr>
        <w:t xml:space="preserve">A </w:t>
      </w:r>
      <w:r>
        <w:t xml:space="preserve">is the same (only grocery stores), there are more stores at her workplace relative to her home (two versus one) and this indicates that the relative availability of stores for </w:t>
      </w:r>
      <w:r>
        <w:rPr>
          <w:i/>
          <w:iCs/>
        </w:rPr>
        <w:t xml:space="preserve">A </w:t>
      </w:r>
      <w:r>
        <w:t>varies by her given location. This feature to quickly visualize the food opportunities near an individual is useful to compare the opportunities present at any point and time in their travel, not just at ‘important’ locations. Capturing the relative availability of food opportunities of people based on their spatiotemporal travel patterns (relative accessibility) enables the</w:t>
      </w:r>
      <w:r>
        <w:br w:type="page"/>
      </w:r>
    </w:p>
    <w:p w14:paraId="40AF0340" w14:textId="1E4D6BDA" w:rsidR="00A4119F" w:rsidRPr="00CC5F57" w:rsidRDefault="00856064" w:rsidP="000178C6">
      <w:pPr>
        <w:spacing w:line="480" w:lineRule="auto"/>
        <w:jc w:val="center"/>
      </w:pPr>
      <w:r w:rsidRPr="00CC5F57">
        <w:rPr>
          <w:noProof/>
        </w:rPr>
        <w:lastRenderedPageBreak/>
        <w:drawing>
          <wp:inline distT="0" distB="0" distL="0" distR="0" wp14:anchorId="74E0C576" wp14:editId="0CEE255C">
            <wp:extent cx="5943600" cy="53213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532130"/>
                    </a:xfrm>
                    <a:prstGeom prst="rect">
                      <a:avLst/>
                    </a:prstGeom>
                  </pic:spPr>
                </pic:pic>
              </a:graphicData>
            </a:graphic>
          </wp:inline>
        </w:drawing>
      </w:r>
      <w:r w:rsidR="00332B53" w:rsidRPr="00CC5F57">
        <w:rPr>
          <w:noProof/>
        </w:rPr>
        <w:drawing>
          <wp:inline distT="0" distB="0" distL="0" distR="0" wp14:anchorId="2EA0CECA" wp14:editId="7368390F">
            <wp:extent cx="5943600" cy="174995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749955"/>
                    </a:xfrm>
                    <a:prstGeom prst="rect">
                      <a:avLst/>
                    </a:prstGeom>
                  </pic:spPr>
                </pic:pic>
              </a:graphicData>
            </a:graphic>
          </wp:inline>
        </w:drawing>
      </w:r>
    </w:p>
    <w:p w14:paraId="75E4DF79" w14:textId="61346396" w:rsidR="00B16E17" w:rsidRPr="00CC5F57" w:rsidRDefault="00A4119F" w:rsidP="009D4C3A">
      <w:pPr>
        <w:pStyle w:val="Caption"/>
        <w:spacing w:line="480" w:lineRule="auto"/>
        <w:jc w:val="center"/>
        <w:rPr>
          <w:color w:val="auto"/>
        </w:rPr>
      </w:pPr>
      <w:bookmarkStart w:id="123" w:name="_Toc114258108"/>
      <w:r w:rsidRPr="00CC5F57">
        <w:rPr>
          <w:color w:val="auto"/>
        </w:rPr>
        <w:t xml:space="preserve">Figure </w:t>
      </w:r>
      <w:r w:rsidR="00B9244D" w:rsidRPr="00CC5F57">
        <w:rPr>
          <w:color w:val="auto"/>
        </w:rPr>
        <w:fldChar w:fldCharType="begin"/>
      </w:r>
      <w:r w:rsidR="00B9244D" w:rsidRPr="00CC5F57">
        <w:rPr>
          <w:color w:val="auto"/>
        </w:rPr>
        <w:instrText xml:space="preserve"> SEQ Figure \* ARABIC </w:instrText>
      </w:r>
      <w:r w:rsidR="00B9244D" w:rsidRPr="00CC5F57">
        <w:rPr>
          <w:color w:val="auto"/>
        </w:rPr>
        <w:fldChar w:fldCharType="separate"/>
      </w:r>
      <w:r w:rsidR="00C42D79">
        <w:rPr>
          <w:noProof/>
          <w:color w:val="auto"/>
        </w:rPr>
        <w:t>10</w:t>
      </w:r>
      <w:r w:rsidR="00B9244D" w:rsidRPr="00CC5F57">
        <w:rPr>
          <w:noProof/>
          <w:color w:val="auto"/>
        </w:rPr>
        <w:fldChar w:fldCharType="end"/>
      </w:r>
      <w:r w:rsidRPr="00CC5F57">
        <w:rPr>
          <w:color w:val="auto"/>
        </w:rPr>
        <w:t>. Opportunities near Person A's</w:t>
      </w:r>
      <w:r w:rsidR="003147F2" w:rsidRPr="00CC5F57">
        <w:rPr>
          <w:color w:val="auto"/>
        </w:rPr>
        <w:t xml:space="preserve"> (1)</w:t>
      </w:r>
      <w:r w:rsidRPr="00CC5F57">
        <w:rPr>
          <w:color w:val="auto"/>
        </w:rPr>
        <w:t xml:space="preserve"> Home</w:t>
      </w:r>
      <w:bookmarkEnd w:id="123"/>
    </w:p>
    <w:p w14:paraId="5EF7031C" w14:textId="56211DC9" w:rsidR="000A768B" w:rsidRPr="00CC5F57" w:rsidRDefault="000A768B" w:rsidP="007B4433">
      <w:r w:rsidRPr="00CC5F57">
        <w:rPr>
          <w:noProof/>
        </w:rPr>
        <w:drawing>
          <wp:inline distT="0" distB="0" distL="0" distR="0" wp14:anchorId="24906059" wp14:editId="51CCF20D">
            <wp:extent cx="5943600" cy="532130"/>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532130"/>
                    </a:xfrm>
                    <a:prstGeom prst="rect">
                      <a:avLst/>
                    </a:prstGeom>
                  </pic:spPr>
                </pic:pic>
              </a:graphicData>
            </a:graphic>
          </wp:inline>
        </w:drawing>
      </w:r>
      <w:r w:rsidRPr="00CC5F57">
        <w:rPr>
          <w:noProof/>
        </w:rPr>
        <w:drawing>
          <wp:inline distT="0" distB="0" distL="0" distR="0" wp14:anchorId="3E6EADA5" wp14:editId="37087360">
            <wp:extent cx="5942907" cy="1740535"/>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2907" cy="1740535"/>
                    </a:xfrm>
                    <a:prstGeom prst="rect">
                      <a:avLst/>
                    </a:prstGeom>
                  </pic:spPr>
                </pic:pic>
              </a:graphicData>
            </a:graphic>
          </wp:inline>
        </w:drawing>
      </w:r>
    </w:p>
    <w:p w14:paraId="453F32E5" w14:textId="04B73922" w:rsidR="000A768B" w:rsidRPr="00CC5F57" w:rsidRDefault="000A768B" w:rsidP="000A768B">
      <w:pPr>
        <w:pStyle w:val="Caption"/>
        <w:spacing w:line="480" w:lineRule="auto"/>
        <w:jc w:val="center"/>
        <w:rPr>
          <w:color w:val="auto"/>
        </w:rPr>
      </w:pPr>
      <w:bookmarkStart w:id="124" w:name="_Toc114258109"/>
      <w:r w:rsidRPr="00CC5F57">
        <w:rPr>
          <w:color w:val="auto"/>
        </w:rPr>
        <w:t xml:space="preserve">Figure </w:t>
      </w:r>
      <w:r w:rsidR="00435025" w:rsidRPr="00CC5F57">
        <w:rPr>
          <w:color w:val="auto"/>
        </w:rPr>
        <w:fldChar w:fldCharType="begin"/>
      </w:r>
      <w:r w:rsidR="00435025" w:rsidRPr="00CC5F57">
        <w:rPr>
          <w:color w:val="auto"/>
        </w:rPr>
        <w:instrText xml:space="preserve"> SEQ Figure \* ARABIC </w:instrText>
      </w:r>
      <w:r w:rsidR="00435025" w:rsidRPr="00CC5F57">
        <w:rPr>
          <w:color w:val="auto"/>
        </w:rPr>
        <w:fldChar w:fldCharType="separate"/>
      </w:r>
      <w:r w:rsidR="00C42D79">
        <w:rPr>
          <w:noProof/>
          <w:color w:val="auto"/>
        </w:rPr>
        <w:t>11</w:t>
      </w:r>
      <w:r w:rsidR="00435025" w:rsidRPr="00CC5F57">
        <w:rPr>
          <w:noProof/>
          <w:color w:val="auto"/>
        </w:rPr>
        <w:fldChar w:fldCharType="end"/>
      </w:r>
      <w:r w:rsidRPr="00CC5F57">
        <w:rPr>
          <w:color w:val="auto"/>
        </w:rPr>
        <w:t>. Opportunities near Person A's Workplace during a two-day period</w:t>
      </w:r>
      <w:bookmarkEnd w:id="124"/>
    </w:p>
    <w:p w14:paraId="1FE9F6EF" w14:textId="77777777" w:rsidR="007B4433" w:rsidRDefault="007B4433">
      <w:r>
        <w:br w:type="page"/>
      </w:r>
    </w:p>
    <w:p w14:paraId="25BE2EC9" w14:textId="31338109" w:rsidR="007B4433" w:rsidRDefault="007B4433" w:rsidP="007B4433">
      <w:pPr>
        <w:spacing w:line="480" w:lineRule="auto"/>
      </w:pPr>
      <w:r>
        <w:lastRenderedPageBreak/>
        <w:t>comparison of accessibility to food opportunities relative to all the different locations in the daily trajectory of individuals.</w:t>
      </w:r>
    </w:p>
    <w:p w14:paraId="53449DE4" w14:textId="242432CF" w:rsidR="004D55AE" w:rsidRDefault="000C1140" w:rsidP="00031BBD">
      <w:pPr>
        <w:spacing w:line="480" w:lineRule="auto"/>
        <w:ind w:firstLine="720"/>
      </w:pPr>
      <w:r>
        <w:t>However, the examples show</w:t>
      </w:r>
      <w:r w:rsidR="00EA5B46">
        <w:t>n in Figure</w:t>
      </w:r>
      <w:r w:rsidR="007B0B92">
        <w:t>s</w:t>
      </w:r>
      <w:r w:rsidR="00EA5B46">
        <w:t xml:space="preserve"> </w:t>
      </w:r>
      <w:r w:rsidR="00BE6B08">
        <w:t>10</w:t>
      </w:r>
      <w:r w:rsidR="0044455E">
        <w:t xml:space="preserve"> and </w:t>
      </w:r>
      <w:r w:rsidR="00154CD4">
        <w:t>1</w:t>
      </w:r>
      <w:r w:rsidR="00BE6B08">
        <w:t>1</w:t>
      </w:r>
      <w:r w:rsidR="00EA5B46">
        <w:t xml:space="preserve"> reflect all potential opportunities in the current time extent of a full </w:t>
      </w:r>
      <w:r w:rsidR="005A7447">
        <w:t>two-day</w:t>
      </w:r>
      <w:r w:rsidR="00EA5B46">
        <w:t xml:space="preserve"> period. </w:t>
      </w:r>
      <w:commentRangeStart w:id="125"/>
      <w:commentRangeStart w:id="126"/>
      <w:r w:rsidR="00EA5B46">
        <w:rPr>
          <w:i/>
          <w:iCs/>
        </w:rPr>
        <w:t>A</w:t>
      </w:r>
      <w:r w:rsidR="00EA5B46">
        <w:t xml:space="preserve"> has </w:t>
      </w:r>
      <w:r w:rsidR="00B97C11">
        <w:t xml:space="preserve">much more discretionary time </w:t>
      </w:r>
      <w:r w:rsidR="007745E0">
        <w:t xml:space="preserve">on Saturdays </w:t>
      </w:r>
      <w:r w:rsidR="00B97C11">
        <w:t xml:space="preserve">because she has </w:t>
      </w:r>
      <w:r w:rsidR="007745E0">
        <w:t>that day</w:t>
      </w:r>
      <w:r w:rsidR="00EA5B46">
        <w:t xml:space="preserve"> off</w:t>
      </w:r>
      <w:r w:rsidR="006E6CAB">
        <w:t xml:space="preserve"> </w:t>
      </w:r>
      <w:r w:rsidR="00B97C11">
        <w:t xml:space="preserve">in contrast to </w:t>
      </w:r>
      <w:r w:rsidR="00123922">
        <w:t>Fridays when she works roughly between 9 AM and 7:30 PM</w:t>
      </w:r>
      <w:commentRangeEnd w:id="125"/>
      <w:r w:rsidR="00880FED">
        <w:rPr>
          <w:rStyle w:val="CommentReference"/>
        </w:rPr>
        <w:commentReference w:id="125"/>
      </w:r>
      <w:commentRangeEnd w:id="126"/>
      <w:r w:rsidR="008C22EE">
        <w:rPr>
          <w:rStyle w:val="CommentReference"/>
        </w:rPr>
        <w:commentReference w:id="126"/>
      </w:r>
      <w:r w:rsidR="009F4692">
        <w:t xml:space="preserve">. </w:t>
      </w:r>
      <w:r w:rsidR="00774082">
        <w:t xml:space="preserve">The algorithm used to determine potential food opportunities for individuals considers all periods of time </w:t>
      </w:r>
      <w:r w:rsidR="00220460">
        <w:t>in</w:t>
      </w:r>
      <w:r w:rsidR="00774082">
        <w:t xml:space="preserve"> the </w:t>
      </w:r>
      <w:r w:rsidR="00EE388C">
        <w:t>time setting widget</w:t>
      </w:r>
      <w:r w:rsidR="00385AAC">
        <w:t>.</w:t>
      </w:r>
      <w:r w:rsidR="00E8650A">
        <w:t xml:space="preserve"> Subsequently, it is possible to consider</w:t>
      </w:r>
      <w:r w:rsidR="00031BBD">
        <w:t xml:space="preserve"> accommodation with a relative space approach—</w:t>
      </w:r>
      <w:r w:rsidR="00DB1426">
        <w:t>how the</w:t>
      </w:r>
      <w:r w:rsidR="00E8650A">
        <w:t xml:space="preserve"> operational hours of food opportuniti</w:t>
      </w:r>
      <w:r w:rsidR="00762B75">
        <w:t>es</w:t>
      </w:r>
      <w:r w:rsidR="00DB1426">
        <w:t xml:space="preserve"> </w:t>
      </w:r>
      <w:r w:rsidR="00031BBD">
        <w:t>align with</w:t>
      </w:r>
      <w:r w:rsidR="00DB1426">
        <w:t xml:space="preserve"> the </w:t>
      </w:r>
      <w:r w:rsidR="00735548">
        <w:t>schedules of individuals</w:t>
      </w:r>
      <w:r w:rsidR="00762B75">
        <w:t>.</w:t>
      </w:r>
      <w:r w:rsidR="00B97C11">
        <w:t xml:space="preserve"> </w:t>
      </w:r>
      <w:r w:rsidR="00385AAC">
        <w:t xml:space="preserve">Someone working does not have the same flexibility </w:t>
      </w:r>
      <w:r w:rsidR="005B5D90">
        <w:t>to visit other locations and carry out other activities than someone without an obligation to be somewhere</w:t>
      </w:r>
      <w:r w:rsidR="00EE388C">
        <w:t xml:space="preserve"> and do something. </w:t>
      </w:r>
      <w:r w:rsidR="00787F2D">
        <w:t xml:space="preserve">Setting the time widget to different periods of time </w:t>
      </w:r>
      <w:r w:rsidR="00E26414">
        <w:t>such as a smaller time window during the work hours of an individual may mean there are fewer potential opportunities</w:t>
      </w:r>
      <w:r w:rsidR="00A419F3">
        <w:t>.</w:t>
      </w:r>
      <w:r w:rsidR="00787796">
        <w:t xml:space="preserve"> The adjustment of the time </w:t>
      </w:r>
      <w:r w:rsidR="00ED0563">
        <w:t>widget</w:t>
      </w:r>
      <w:r w:rsidR="00787796">
        <w:t xml:space="preserve"> </w:t>
      </w:r>
      <w:r w:rsidR="00162B32">
        <w:t>leads to a back-end process</w:t>
      </w:r>
      <w:r w:rsidR="00F779ED">
        <w:t xml:space="preserve"> in the GIS</w:t>
      </w:r>
      <w:r w:rsidR="00151668">
        <w:t xml:space="preserve"> to </w:t>
      </w:r>
      <w:r w:rsidR="00440812">
        <w:t xml:space="preserve">filter out all opportunities that cannot be reached during the </w:t>
      </w:r>
      <w:r w:rsidR="00ED0563">
        <w:t xml:space="preserve">established </w:t>
      </w:r>
      <w:proofErr w:type="gramStart"/>
      <w:r w:rsidR="00ED0563">
        <w:t>time period</w:t>
      </w:r>
      <w:proofErr w:type="gramEnd"/>
      <w:r w:rsidR="00ED0563">
        <w:t xml:space="preserve">. </w:t>
      </w:r>
      <w:r w:rsidR="00211649">
        <w:t xml:space="preserve">Because the opportunities that could be potentially accessed by </w:t>
      </w:r>
      <w:proofErr w:type="gramStart"/>
      <w:r w:rsidR="00211649">
        <w:t>each individual</w:t>
      </w:r>
      <w:proofErr w:type="gramEnd"/>
      <w:r w:rsidR="00211649">
        <w:t xml:space="preserve"> was pre-computed </w:t>
      </w:r>
      <w:r w:rsidR="007B2865">
        <w:t xml:space="preserve">for every period of their discretionary time, </w:t>
      </w:r>
      <w:r w:rsidR="00A20239">
        <w:t xml:space="preserve">the computational burden of </w:t>
      </w:r>
      <w:r w:rsidR="00435823">
        <w:t xml:space="preserve">the filtering </w:t>
      </w:r>
      <w:r w:rsidR="000F6BD2">
        <w:t>function</w:t>
      </w:r>
      <w:r w:rsidR="007D3A69">
        <w:t xml:space="preserve"> on the pre-computed results</w:t>
      </w:r>
      <w:r w:rsidR="000F6BD2">
        <w:t xml:space="preserve"> is reduced and enables for quicker visualization.</w:t>
      </w:r>
    </w:p>
    <w:p w14:paraId="14E140D3" w14:textId="77777777" w:rsidR="00B33EDD" w:rsidRPr="00E57C54" w:rsidRDefault="00B33EDD" w:rsidP="00B33EDD">
      <w:pPr>
        <w:spacing w:line="480" w:lineRule="auto"/>
      </w:pPr>
      <w:r>
        <w:tab/>
        <w:t xml:space="preserve">Figure 12 demonstrates this feature with the time widget set to the time window of the </w:t>
      </w:r>
      <w:proofErr w:type="gramStart"/>
      <w:r>
        <w:t>time period</w:t>
      </w:r>
      <w:proofErr w:type="gramEnd"/>
      <w:r>
        <w:t xml:space="preserve"> when </w:t>
      </w:r>
      <w:r>
        <w:rPr>
          <w:i/>
          <w:iCs/>
        </w:rPr>
        <w:t xml:space="preserve">A </w:t>
      </w:r>
      <w:r>
        <w:t xml:space="preserve">is working. It shows a lack of potential opportunities, indicated by a lack of point symbols in both the 2D and 3D maps, because </w:t>
      </w:r>
      <w:r>
        <w:rPr>
          <w:i/>
          <w:iCs/>
        </w:rPr>
        <w:t>A</w:t>
      </w:r>
      <w:r>
        <w:t xml:space="preserve"> cannot simply leave her workplace to go elsewhere. This is also captured in the accessible opportunities counter where </w:t>
      </w:r>
      <w:r>
        <w:rPr>
          <w:i/>
          <w:iCs/>
        </w:rPr>
        <w:t>A</w:t>
      </w:r>
      <w:r>
        <w:t xml:space="preserve"> has access to zero opportunities, indicated by the three 0’s in each of the physical, virtual, and hybrid counters.</w:t>
      </w:r>
    </w:p>
    <w:p w14:paraId="1BBDF0FD" w14:textId="2080A7B6" w:rsidR="00B33EDD" w:rsidRDefault="00B33EDD" w:rsidP="00B33EDD">
      <w:pPr>
        <w:spacing w:line="480" w:lineRule="auto"/>
      </w:pPr>
    </w:p>
    <w:p w14:paraId="387B1F85" w14:textId="77777777" w:rsidR="004D55AE" w:rsidRDefault="004D55AE" w:rsidP="004D55AE">
      <w:pPr>
        <w:jc w:val="center"/>
      </w:pPr>
      <w:r>
        <w:rPr>
          <w:noProof/>
        </w:rPr>
        <w:lastRenderedPageBreak/>
        <w:drawing>
          <wp:inline distT="0" distB="0" distL="0" distR="0" wp14:anchorId="30656FCB" wp14:editId="3E7E9AD5">
            <wp:extent cx="5943600" cy="54737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547370"/>
                    </a:xfrm>
                    <a:prstGeom prst="rect">
                      <a:avLst/>
                    </a:prstGeom>
                  </pic:spPr>
                </pic:pic>
              </a:graphicData>
            </a:graphic>
          </wp:inline>
        </w:drawing>
      </w:r>
      <w:r>
        <w:rPr>
          <w:noProof/>
        </w:rPr>
        <w:drawing>
          <wp:inline distT="0" distB="0" distL="0" distR="0" wp14:anchorId="1A06C049" wp14:editId="100B815F">
            <wp:extent cx="5943600" cy="17227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1722755"/>
                    </a:xfrm>
                    <a:prstGeom prst="rect">
                      <a:avLst/>
                    </a:prstGeom>
                  </pic:spPr>
                </pic:pic>
              </a:graphicData>
            </a:graphic>
          </wp:inline>
        </w:drawing>
      </w:r>
    </w:p>
    <w:p w14:paraId="235E81F4" w14:textId="54F216D2" w:rsidR="004D55AE" w:rsidRPr="00B33EDD" w:rsidRDefault="004D55AE" w:rsidP="004D55AE">
      <w:pPr>
        <w:pStyle w:val="Caption"/>
        <w:spacing w:line="480" w:lineRule="auto"/>
        <w:jc w:val="center"/>
        <w:rPr>
          <w:color w:val="auto"/>
        </w:rPr>
      </w:pPr>
      <w:bookmarkStart w:id="127" w:name="_Toc114258110"/>
      <w:r w:rsidRPr="00B33EDD">
        <w:rPr>
          <w:color w:val="auto"/>
        </w:rPr>
        <w:t xml:space="preserve">Figure </w:t>
      </w:r>
      <w:r w:rsidR="00435025" w:rsidRPr="00B33EDD">
        <w:rPr>
          <w:color w:val="auto"/>
        </w:rPr>
        <w:fldChar w:fldCharType="begin"/>
      </w:r>
      <w:r w:rsidR="00435025" w:rsidRPr="00B33EDD">
        <w:rPr>
          <w:color w:val="auto"/>
        </w:rPr>
        <w:instrText xml:space="preserve"> SEQ Figure \* ARABIC </w:instrText>
      </w:r>
      <w:r w:rsidR="00435025" w:rsidRPr="00B33EDD">
        <w:rPr>
          <w:color w:val="auto"/>
        </w:rPr>
        <w:fldChar w:fldCharType="separate"/>
      </w:r>
      <w:r w:rsidR="00C42D79">
        <w:rPr>
          <w:noProof/>
          <w:color w:val="auto"/>
        </w:rPr>
        <w:t>12</w:t>
      </w:r>
      <w:r w:rsidR="00435025" w:rsidRPr="00B33EDD">
        <w:rPr>
          <w:noProof/>
          <w:color w:val="auto"/>
        </w:rPr>
        <w:fldChar w:fldCharType="end"/>
      </w:r>
      <w:r w:rsidRPr="00B33EDD">
        <w:rPr>
          <w:color w:val="auto"/>
        </w:rPr>
        <w:t>. Opportunities near Person A's Workplace during their working hours on Friday</w:t>
      </w:r>
      <w:bookmarkEnd w:id="127"/>
    </w:p>
    <w:p w14:paraId="017FC64D" w14:textId="77777777" w:rsidR="00B33EDD" w:rsidRDefault="00B33EDD">
      <w:r>
        <w:br w:type="page"/>
      </w:r>
    </w:p>
    <w:p w14:paraId="271B33E1" w14:textId="6638018A" w:rsidR="00D066F6" w:rsidRDefault="00760342" w:rsidP="00450EAA">
      <w:pPr>
        <w:spacing w:line="480" w:lineRule="auto"/>
        <w:ind w:firstLine="720"/>
      </w:pPr>
      <w:r>
        <w:lastRenderedPageBreak/>
        <w:t xml:space="preserve">Conversely, when </w:t>
      </w:r>
      <w:r>
        <w:rPr>
          <w:i/>
          <w:iCs/>
        </w:rPr>
        <w:t>A</w:t>
      </w:r>
      <w:r>
        <w:t xml:space="preserve"> is off work and does not have any other responsibilities that demand her time at a specific location, </w:t>
      </w:r>
      <w:r w:rsidR="00536B83">
        <w:t xml:space="preserve">she has many more opportunities nearby a road she passes through on her way home from shopping on Saturday. </w:t>
      </w:r>
      <w:r w:rsidR="000F6236">
        <w:t xml:space="preserve">To reflect this </w:t>
      </w:r>
      <w:proofErr w:type="gramStart"/>
      <w:r w:rsidR="000F6236">
        <w:t>time period</w:t>
      </w:r>
      <w:proofErr w:type="gramEnd"/>
      <w:r w:rsidR="000F6236">
        <w:t xml:space="preserve">, the time </w:t>
      </w:r>
      <w:r w:rsidR="007D3A69">
        <w:t xml:space="preserve">widget </w:t>
      </w:r>
      <w:r w:rsidR="000F6236">
        <w:t>is now set between 11:50 AM and</w:t>
      </w:r>
      <w:r w:rsidR="004A5C29">
        <w:t xml:space="preserve"> right before</w:t>
      </w:r>
      <w:r w:rsidR="000F6236">
        <w:t xml:space="preserve"> midnight (11:59 PM) on Saturday, 03/12/2022.</w:t>
      </w:r>
      <w:r w:rsidR="007D3A69">
        <w:t xml:space="preserve"> Setting the widget to this </w:t>
      </w:r>
      <w:proofErr w:type="gramStart"/>
      <w:r w:rsidR="007D3A69">
        <w:t>time period</w:t>
      </w:r>
      <w:proofErr w:type="gramEnd"/>
      <w:r w:rsidR="007D3A69">
        <w:t xml:space="preserve"> </w:t>
      </w:r>
      <w:r w:rsidR="00BE3C63">
        <w:t>means the temporal window of focus is reduced.</w:t>
      </w:r>
      <w:r w:rsidR="000F6236">
        <w:t xml:space="preserve"> </w:t>
      </w:r>
      <w:r w:rsidR="00FB1D6E">
        <w:t>The</w:t>
      </w:r>
      <w:r w:rsidR="002C7C46">
        <w:t xml:space="preserve"> example imparts the importance of considering </w:t>
      </w:r>
      <w:r w:rsidR="006A1348">
        <w:t xml:space="preserve">the relative availability and accessibility of </w:t>
      </w:r>
      <w:r w:rsidR="002C7C46">
        <w:t xml:space="preserve">all locations </w:t>
      </w:r>
      <w:r w:rsidR="00FE0D9F">
        <w:t xml:space="preserve">and routes </w:t>
      </w:r>
      <w:r w:rsidR="002C7C46">
        <w:t xml:space="preserve">throughout </w:t>
      </w:r>
      <w:r w:rsidR="00294ED7">
        <w:t>individual</w:t>
      </w:r>
      <w:r w:rsidR="00FE0D9F">
        <w:t xml:space="preserve"> travel </w:t>
      </w:r>
      <w:r w:rsidR="005943B5">
        <w:t>itinerar</w:t>
      </w:r>
      <w:r w:rsidR="00294ED7">
        <w:t>ies while also</w:t>
      </w:r>
      <w:r w:rsidR="00FE0D9F">
        <w:t xml:space="preserve"> </w:t>
      </w:r>
      <w:r w:rsidR="00B85812">
        <w:t>considering the flexibility of individuals to carry out discretionary activities</w:t>
      </w:r>
      <w:r w:rsidR="00FE0D9F">
        <w:t xml:space="preserve">, not just </w:t>
      </w:r>
      <w:r w:rsidR="00B85812">
        <w:t xml:space="preserve">assume that they can access stores </w:t>
      </w:r>
      <w:r w:rsidR="006B232B">
        <w:t xml:space="preserve">anytime </w:t>
      </w:r>
      <w:r w:rsidR="006A1348">
        <w:t>at</w:t>
      </w:r>
      <w:r w:rsidR="00FE0D9F">
        <w:t xml:space="preserve"> ‘main’ locations. </w:t>
      </w:r>
      <w:r w:rsidR="00536B83">
        <w:t>This is</w:t>
      </w:r>
      <w:r w:rsidR="000C6BAA">
        <w:t xml:space="preserve"> demonstrated </w:t>
      </w:r>
      <w:r w:rsidR="003B38A0">
        <w:t>in Figure 1</w:t>
      </w:r>
      <w:r w:rsidR="00BE6B08">
        <w:t>3</w:t>
      </w:r>
      <w:r w:rsidR="003B38A0">
        <w:t xml:space="preserve"> with </w:t>
      </w:r>
      <w:r w:rsidR="00A23F6F">
        <w:t>one</w:t>
      </w:r>
      <w:r w:rsidR="003B38A0">
        <w:t xml:space="preserve"> ethnic grocery store, </w:t>
      </w:r>
      <w:r w:rsidR="00A23F6F">
        <w:t>one</w:t>
      </w:r>
      <w:r w:rsidR="003B38A0">
        <w:t xml:space="preserve"> grocery store,</w:t>
      </w:r>
      <w:r w:rsidR="00A23F6F">
        <w:t xml:space="preserve"> one discount store</w:t>
      </w:r>
      <w:r w:rsidR="003B38A0">
        <w:t xml:space="preserve"> and one specialty food store near a road </w:t>
      </w:r>
      <w:r w:rsidR="006B232B">
        <w:rPr>
          <w:i/>
          <w:iCs/>
        </w:rPr>
        <w:t>A</w:t>
      </w:r>
      <w:r w:rsidR="003B38A0">
        <w:t xml:space="preserve"> take</w:t>
      </w:r>
      <w:r w:rsidR="00A23F6F">
        <w:t>s</w:t>
      </w:r>
      <w:r w:rsidR="003B38A0">
        <w:t xml:space="preserve"> </w:t>
      </w:r>
      <w:r w:rsidR="00A23F6F">
        <w:t>on her</w:t>
      </w:r>
      <w:r w:rsidR="003B38A0">
        <w:t xml:space="preserve"> travels back to her home after </w:t>
      </w:r>
      <w:r w:rsidR="001A03BF">
        <w:t xml:space="preserve">attending a church event and eating at a restaurant. </w:t>
      </w:r>
      <w:r w:rsidR="00FB1D6E">
        <w:t xml:space="preserve">The diversity of store types suggests that </w:t>
      </w:r>
      <w:r w:rsidR="006B232B">
        <w:t>she</w:t>
      </w:r>
      <w:r w:rsidR="008A5AE5">
        <w:rPr>
          <w:i/>
          <w:iCs/>
        </w:rPr>
        <w:t xml:space="preserve"> </w:t>
      </w:r>
      <w:r w:rsidR="008A5AE5">
        <w:t xml:space="preserve">has a wider array of stores available to her, but what she considers to be appropriate </w:t>
      </w:r>
      <w:r w:rsidR="00DC0FC5">
        <w:t xml:space="preserve">for her tastes and preferences </w:t>
      </w:r>
      <w:r w:rsidR="008A5AE5">
        <w:t xml:space="preserve">could potentially render one or more of these store types </w:t>
      </w:r>
      <w:r w:rsidR="00DC0FC5">
        <w:t>unavailable. Nonetheless, there are a total of four stores in this area in contrast to just two near her workplace and one near her home</w:t>
      </w:r>
      <w:r w:rsidR="007C7D35">
        <w:t xml:space="preserve">. In other words, the relative availability of stores and store types is far greater near a road feature </w:t>
      </w:r>
      <w:r w:rsidR="000546BF">
        <w:t xml:space="preserve">than the ‘major’ locations visited by </w:t>
      </w:r>
      <w:r w:rsidR="000546BF">
        <w:rPr>
          <w:i/>
          <w:iCs/>
        </w:rPr>
        <w:t>A</w:t>
      </w:r>
      <w:r w:rsidR="00F86368">
        <w:rPr>
          <w:i/>
          <w:iCs/>
        </w:rPr>
        <w:t xml:space="preserve">. </w:t>
      </w:r>
      <w:r w:rsidR="006E0F35">
        <w:t>M</w:t>
      </w:r>
      <w:r w:rsidR="007C7D35">
        <w:t xml:space="preserve">ost studies would </w:t>
      </w:r>
      <w:r w:rsidR="00A516BB">
        <w:t>overlook and neglect</w:t>
      </w:r>
      <w:r w:rsidR="006E0F35">
        <w:t xml:space="preserve"> access along these travel corridors because these are areas where people do not necessarily spend much time in</w:t>
      </w:r>
      <w:r w:rsidR="00D27EA9">
        <w:t xml:space="preserve"> and are not considered as anchor/important locations</w:t>
      </w:r>
      <w:r w:rsidR="00A516BB">
        <w:t xml:space="preserve">. </w:t>
      </w:r>
      <w:r w:rsidR="00704425">
        <w:t xml:space="preserve">Because </w:t>
      </w:r>
      <w:r w:rsidR="00704425">
        <w:rPr>
          <w:i/>
          <w:iCs/>
        </w:rPr>
        <w:t>A</w:t>
      </w:r>
      <w:r w:rsidR="00704425">
        <w:t xml:space="preserve"> has </w:t>
      </w:r>
      <w:r w:rsidR="00411EA9">
        <w:t>a lot of discretionary time for activities, she can potentially visit and buy food from many different food stores n</w:t>
      </w:r>
      <w:r w:rsidR="001E0860">
        <w:t>ear her as she travels throughout the day on Saturday</w:t>
      </w:r>
      <w:r w:rsidR="008A5F37">
        <w:t>. W</w:t>
      </w:r>
      <w:r w:rsidR="007D320F">
        <w:t>hat is shown in the left-hand side in Figure 1</w:t>
      </w:r>
      <w:r w:rsidR="00BE6B08">
        <w:t>3</w:t>
      </w:r>
      <w:r w:rsidR="007D320F">
        <w:t xml:space="preserve"> is just a subset of the many opportunities</w:t>
      </w:r>
      <w:r w:rsidR="002D1653">
        <w:t xml:space="preserve"> she can potentially visit. </w:t>
      </w:r>
      <w:r w:rsidR="008E572E">
        <w:t xml:space="preserve">The accessible physical opportunities counter indicates that </w:t>
      </w:r>
      <w:r w:rsidR="008E572E">
        <w:rPr>
          <w:i/>
          <w:iCs/>
        </w:rPr>
        <w:t xml:space="preserve">A </w:t>
      </w:r>
      <w:r w:rsidR="008E572E">
        <w:t xml:space="preserve">can potentially travel to and shop for food at a total of 181 </w:t>
      </w:r>
      <w:r w:rsidR="0076758D">
        <w:t>stores and a</w:t>
      </w:r>
      <w:r w:rsidR="002D1653">
        <w:t xml:space="preserve">ll the point symbols in the </w:t>
      </w:r>
      <w:r w:rsidR="002D1653">
        <w:lastRenderedPageBreak/>
        <w:t>right-hand side 3D plot reflect th</w:t>
      </w:r>
      <w:r w:rsidR="0076758D">
        <w:t>is</w:t>
      </w:r>
      <w:r w:rsidR="002D1653">
        <w:t xml:space="preserve"> total opportunity set</w:t>
      </w:r>
      <w:r w:rsidR="00481087">
        <w:t xml:space="preserve"> comprised of all seven store types. </w:t>
      </w:r>
      <w:r w:rsidR="00481087">
        <w:rPr>
          <w:i/>
          <w:iCs/>
        </w:rPr>
        <w:t xml:space="preserve">A </w:t>
      </w:r>
      <w:r w:rsidR="00D234D2">
        <w:t>potentially has access to a larger</w:t>
      </w:r>
      <w:r w:rsidR="00DB4466">
        <w:t xml:space="preserve"> diversity of store types (seven) as well as a larger </w:t>
      </w:r>
      <w:r w:rsidR="00DC4831">
        <w:t xml:space="preserve">number of stores </w:t>
      </w:r>
      <w:r w:rsidR="00E76293">
        <w:t xml:space="preserve">during her time off from work on a Saturday </w:t>
      </w:r>
      <w:r w:rsidR="00DC4831">
        <w:t xml:space="preserve">compared to </w:t>
      </w:r>
      <w:r w:rsidR="00E76293">
        <w:t>during her work-shift</w:t>
      </w:r>
      <w:r w:rsidR="003048C2">
        <w:t>.</w:t>
      </w:r>
    </w:p>
    <w:p w14:paraId="4F641979" w14:textId="77777777" w:rsidR="00291AD9" w:rsidRDefault="00291AD9" w:rsidP="00291AD9">
      <w:pPr>
        <w:spacing w:line="480" w:lineRule="auto"/>
        <w:ind w:firstLine="720"/>
      </w:pPr>
      <w:r>
        <w:t xml:space="preserve">And because </w:t>
      </w:r>
      <w:r>
        <w:rPr>
          <w:i/>
          <w:iCs/>
        </w:rPr>
        <w:t>A</w:t>
      </w:r>
      <w:r>
        <w:t xml:space="preserve"> prefers shopping at Mexican grocery stores, which is grouped into ‘Ethnic grocery store’, her opportunity set is much smaller than what is depicted in Figure 13. Filtering all opportunities to Mexican stores nets just a few grocery stores that are truly accessible to </w:t>
      </w:r>
      <w:r>
        <w:rPr>
          <w:i/>
          <w:iCs/>
        </w:rPr>
        <w:t>A</w:t>
      </w:r>
      <w:r>
        <w:t xml:space="preserve">, as shown in Figure 14. A simple query function to filter the column ‘Specific Type’ to all Mexican stores nets a total of six accessible opportunities. This is drastically fewer than the 181 total potential opportunities that were determined without considering store type. Slightly zooming out of the 2-D map indicates that there is one store, symbolized with a red point, near the road she takes to head home after attending a church event and eating lunch at a restaurant. By considering the unique tastes and preferences of individuals for opportunities such as store type, the GIS demonstrates how availability from a mental space approach, in cohesion with understanding the relative and relational accessibility of individuals and relative accommodation of store hours can also be included to derive opportunity sets aligned with what people have in mind. </w:t>
      </w:r>
    </w:p>
    <w:p w14:paraId="0DA0081E" w14:textId="067CE229" w:rsidR="00291AD9" w:rsidRPr="00481087" w:rsidRDefault="00291AD9" w:rsidP="00291AD9">
      <w:pPr>
        <w:spacing w:line="480" w:lineRule="auto"/>
        <w:ind w:firstLine="720"/>
      </w:pPr>
      <w:r>
        <w:t xml:space="preserve">In comparison, Person </w:t>
      </w:r>
      <w:r>
        <w:rPr>
          <w:i/>
          <w:iCs/>
        </w:rPr>
        <w:t>B</w:t>
      </w:r>
      <w:r>
        <w:t xml:space="preserve"> also has a limited opportunity set because of a lack of a personal vehicle and thus reliance on either public transit or walking, as well as their unique schedule. The difference in travel modes and schedules results in differing accessibilities between </w:t>
      </w:r>
      <w:r>
        <w:rPr>
          <w:i/>
          <w:iCs/>
        </w:rPr>
        <w:t xml:space="preserve">A </w:t>
      </w:r>
      <w:r>
        <w:t xml:space="preserve">and </w:t>
      </w:r>
      <w:r>
        <w:rPr>
          <w:i/>
          <w:iCs/>
        </w:rPr>
        <w:t>B</w:t>
      </w:r>
      <w:r>
        <w:t xml:space="preserve">. </w:t>
      </w:r>
      <w:r>
        <w:rPr>
          <w:i/>
          <w:iCs/>
        </w:rPr>
        <w:t>B</w:t>
      </w:r>
      <w:r>
        <w:t xml:space="preserve"> is a s</w:t>
      </w:r>
      <w:r w:rsidRPr="006B3655">
        <w:t>ingle white man with a GED who works night-time shifts as a janitor for a local bank</w:t>
      </w:r>
      <w:r>
        <w:t xml:space="preserve"> downtown (Bank of America)</w:t>
      </w:r>
      <w:r w:rsidRPr="006B3655">
        <w:t xml:space="preserve"> </w:t>
      </w:r>
      <w:r>
        <w:t xml:space="preserve">making roughly $28,685 a year </w:t>
      </w:r>
      <w:r w:rsidRPr="006B3655">
        <w:t xml:space="preserve">while attending Tennessee College of Applied Technology during the day to become an electrician. </w:t>
      </w:r>
      <w:r>
        <w:t>He is o</w:t>
      </w:r>
      <w:r w:rsidRPr="006B3655">
        <w:t>riginally from south Alabama and relocated</w:t>
      </w:r>
      <w:r>
        <w:t xml:space="preserve"> to Knoxville</w:t>
      </w:r>
      <w:r w:rsidRPr="006B3655">
        <w:t xml:space="preserve"> because of a lack of job opportunities. </w:t>
      </w:r>
      <w:r>
        <w:rPr>
          <w:i/>
          <w:iCs/>
        </w:rPr>
        <w:t xml:space="preserve">B </w:t>
      </w:r>
      <w:r>
        <w:t>r</w:t>
      </w:r>
      <w:r w:rsidRPr="006B3655">
        <w:t xml:space="preserve">ents a room </w:t>
      </w:r>
    </w:p>
    <w:p w14:paraId="4A50712E" w14:textId="1B8B0951" w:rsidR="000C6BAA" w:rsidRDefault="0021416E" w:rsidP="00156BEA">
      <w:pPr>
        <w:keepNext/>
        <w:spacing w:line="480" w:lineRule="auto"/>
        <w:jc w:val="center"/>
      </w:pPr>
      <w:r>
        <w:rPr>
          <w:noProof/>
        </w:rPr>
        <w:lastRenderedPageBreak/>
        <w:drawing>
          <wp:inline distT="0" distB="0" distL="0" distR="0" wp14:anchorId="434793DC" wp14:editId="15F37B2C">
            <wp:extent cx="5943600" cy="5321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532130"/>
                    </a:xfrm>
                    <a:prstGeom prst="rect">
                      <a:avLst/>
                    </a:prstGeom>
                  </pic:spPr>
                </pic:pic>
              </a:graphicData>
            </a:graphic>
          </wp:inline>
        </w:drawing>
      </w:r>
      <w:r w:rsidR="000C6BAA">
        <w:rPr>
          <w:noProof/>
        </w:rPr>
        <w:drawing>
          <wp:inline distT="0" distB="0" distL="0" distR="0" wp14:anchorId="4E755549" wp14:editId="52011C7E">
            <wp:extent cx="5810811" cy="17043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10811" cy="1704340"/>
                    </a:xfrm>
                    <a:prstGeom prst="rect">
                      <a:avLst/>
                    </a:prstGeom>
                  </pic:spPr>
                </pic:pic>
              </a:graphicData>
            </a:graphic>
          </wp:inline>
        </w:drawing>
      </w:r>
    </w:p>
    <w:p w14:paraId="3D643932" w14:textId="744BCE66" w:rsidR="00817898" w:rsidRDefault="000C6BAA" w:rsidP="00D446A8">
      <w:pPr>
        <w:pStyle w:val="Caption"/>
        <w:jc w:val="center"/>
        <w:rPr>
          <w:color w:val="auto"/>
        </w:rPr>
      </w:pPr>
      <w:bookmarkStart w:id="128" w:name="_Toc114258111"/>
      <w:r w:rsidRPr="00412597">
        <w:rPr>
          <w:color w:val="auto"/>
        </w:rPr>
        <w:t xml:space="preserve">Figure </w:t>
      </w:r>
      <w:r w:rsidR="00E0535C" w:rsidRPr="00412597">
        <w:rPr>
          <w:color w:val="auto"/>
        </w:rPr>
        <w:fldChar w:fldCharType="begin"/>
      </w:r>
      <w:r w:rsidR="00E0535C" w:rsidRPr="00412597">
        <w:rPr>
          <w:color w:val="auto"/>
        </w:rPr>
        <w:instrText xml:space="preserve"> SEQ Figure \* ARABIC </w:instrText>
      </w:r>
      <w:r w:rsidR="00E0535C" w:rsidRPr="00412597">
        <w:rPr>
          <w:color w:val="auto"/>
        </w:rPr>
        <w:fldChar w:fldCharType="separate"/>
      </w:r>
      <w:r w:rsidR="00C42D79">
        <w:rPr>
          <w:noProof/>
          <w:color w:val="auto"/>
        </w:rPr>
        <w:t>13</w:t>
      </w:r>
      <w:r w:rsidR="00E0535C" w:rsidRPr="00412597">
        <w:rPr>
          <w:noProof/>
          <w:color w:val="auto"/>
        </w:rPr>
        <w:fldChar w:fldCharType="end"/>
      </w:r>
      <w:r w:rsidRPr="00412597">
        <w:rPr>
          <w:color w:val="auto"/>
        </w:rPr>
        <w:t>. Opportunities near Person A as they travel home after church and lunch at a restaurant</w:t>
      </w:r>
      <w:r w:rsidR="00D62A24" w:rsidRPr="00412597">
        <w:rPr>
          <w:color w:val="auto"/>
        </w:rPr>
        <w:t xml:space="preserve">. </w:t>
      </w:r>
      <w:r w:rsidR="00076FA4">
        <w:rPr>
          <w:color w:val="auto"/>
        </w:rPr>
        <w:t>T</w:t>
      </w:r>
      <w:r w:rsidR="00D62A24" w:rsidRPr="00412597">
        <w:rPr>
          <w:color w:val="auto"/>
        </w:rPr>
        <w:t>he plot on the right looks different than those in the previous t</w:t>
      </w:r>
      <w:r w:rsidR="00523BBF" w:rsidRPr="00412597">
        <w:rPr>
          <w:color w:val="auto"/>
        </w:rPr>
        <w:t>wo</w:t>
      </w:r>
      <w:r w:rsidR="00D62A24" w:rsidRPr="00412597">
        <w:rPr>
          <w:color w:val="auto"/>
        </w:rPr>
        <w:t xml:space="preserve"> figures due to a slight change in perspective</w:t>
      </w:r>
      <w:r w:rsidR="000F7CD2" w:rsidRPr="00412597">
        <w:rPr>
          <w:color w:val="auto"/>
        </w:rPr>
        <w:t>, but the trajectory remains the same.</w:t>
      </w:r>
      <w:bookmarkEnd w:id="128"/>
    </w:p>
    <w:p w14:paraId="6C0E6CAE" w14:textId="389A2413" w:rsidR="00076FA4" w:rsidRPr="00817898" w:rsidRDefault="00817898" w:rsidP="009B2C74">
      <w:pPr>
        <w:rPr>
          <w:i/>
          <w:iCs/>
          <w:sz w:val="18"/>
          <w:szCs w:val="18"/>
        </w:rPr>
      </w:pPr>
      <w:r>
        <w:br w:type="page"/>
      </w:r>
    </w:p>
    <w:p w14:paraId="0E047DA9" w14:textId="530D3983" w:rsidR="00DD11E8" w:rsidRDefault="00322381" w:rsidP="00291AD9">
      <w:pPr>
        <w:pStyle w:val="Caption"/>
        <w:spacing w:line="480" w:lineRule="auto"/>
        <w:jc w:val="center"/>
      </w:pPr>
      <w:r>
        <w:rPr>
          <w:noProof/>
        </w:rPr>
        <w:lastRenderedPageBreak/>
        <w:drawing>
          <wp:inline distT="0" distB="0" distL="0" distR="0" wp14:anchorId="75501633" wp14:editId="57724567">
            <wp:extent cx="5943600" cy="20980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098040"/>
                    </a:xfrm>
                    <a:prstGeom prst="rect">
                      <a:avLst/>
                    </a:prstGeom>
                  </pic:spPr>
                </pic:pic>
              </a:graphicData>
            </a:graphic>
          </wp:inline>
        </w:drawing>
      </w:r>
      <w:r w:rsidR="00DD11E8">
        <w:br/>
      </w:r>
      <w:r w:rsidR="00DD11E8">
        <w:rPr>
          <w:noProof/>
        </w:rPr>
        <w:drawing>
          <wp:inline distT="0" distB="0" distL="0" distR="0" wp14:anchorId="7362EA7A" wp14:editId="43E86CCA">
            <wp:extent cx="5943600" cy="2010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010410"/>
                    </a:xfrm>
                    <a:prstGeom prst="rect">
                      <a:avLst/>
                    </a:prstGeom>
                  </pic:spPr>
                </pic:pic>
              </a:graphicData>
            </a:graphic>
          </wp:inline>
        </w:drawing>
      </w:r>
    </w:p>
    <w:p w14:paraId="0C326BAE" w14:textId="47BBE889" w:rsidR="00817898" w:rsidRDefault="00DD11E8" w:rsidP="00DD11E8">
      <w:pPr>
        <w:pStyle w:val="Caption"/>
        <w:jc w:val="center"/>
        <w:rPr>
          <w:color w:val="auto"/>
        </w:rPr>
      </w:pPr>
      <w:bookmarkStart w:id="129" w:name="_Toc114258112"/>
      <w:r w:rsidRPr="00D446A8">
        <w:rPr>
          <w:color w:val="auto"/>
        </w:rPr>
        <w:t xml:space="preserve">Figure </w:t>
      </w:r>
      <w:r w:rsidR="00E0535C" w:rsidRPr="00D446A8">
        <w:rPr>
          <w:color w:val="auto"/>
        </w:rPr>
        <w:fldChar w:fldCharType="begin"/>
      </w:r>
      <w:r w:rsidR="00E0535C" w:rsidRPr="00D446A8">
        <w:rPr>
          <w:color w:val="auto"/>
        </w:rPr>
        <w:instrText xml:space="preserve"> SEQ Figure \* ARABIC </w:instrText>
      </w:r>
      <w:r w:rsidR="00E0535C" w:rsidRPr="00D446A8">
        <w:rPr>
          <w:color w:val="auto"/>
        </w:rPr>
        <w:fldChar w:fldCharType="separate"/>
      </w:r>
      <w:r w:rsidR="00C42D79">
        <w:rPr>
          <w:noProof/>
          <w:color w:val="auto"/>
        </w:rPr>
        <w:t>14</w:t>
      </w:r>
      <w:r w:rsidR="00E0535C" w:rsidRPr="00D446A8">
        <w:rPr>
          <w:noProof/>
          <w:color w:val="auto"/>
        </w:rPr>
        <w:fldChar w:fldCharType="end"/>
      </w:r>
      <w:r w:rsidRPr="00D446A8">
        <w:rPr>
          <w:color w:val="auto"/>
        </w:rPr>
        <w:t>. Mexican food stores accessible to A during her non-working hours on a Saturday</w:t>
      </w:r>
      <w:bookmarkEnd w:id="129"/>
    </w:p>
    <w:p w14:paraId="5D6D5DFF" w14:textId="6AC46FF5" w:rsidR="00322381" w:rsidRPr="00817898" w:rsidRDefault="00817898" w:rsidP="00817898">
      <w:pPr>
        <w:rPr>
          <w:i/>
          <w:iCs/>
          <w:sz w:val="18"/>
          <w:szCs w:val="18"/>
        </w:rPr>
      </w:pPr>
      <w:r>
        <w:br w:type="page"/>
      </w:r>
    </w:p>
    <w:p w14:paraId="322977B1" w14:textId="0034DFDF" w:rsidR="00291AD9" w:rsidRDefault="00291AD9" w:rsidP="009F6854">
      <w:pPr>
        <w:spacing w:line="480" w:lineRule="auto"/>
      </w:pPr>
      <w:r>
        <w:lastRenderedPageBreak/>
        <w:t xml:space="preserve">in a house </w:t>
      </w:r>
      <w:r w:rsidRPr="006B3655">
        <w:t>in South Knoxville and commutes to work by foot to save money</w:t>
      </w:r>
      <w:r>
        <w:t xml:space="preserve"> and r</w:t>
      </w:r>
      <w:r w:rsidRPr="006B3655">
        <w:t xml:space="preserve">elies on </w:t>
      </w:r>
      <w:r>
        <w:t>the Knoxville Area Transit system</w:t>
      </w:r>
      <w:r w:rsidRPr="006B3655">
        <w:t xml:space="preserve"> to get to </w:t>
      </w:r>
      <w:r>
        <w:t xml:space="preserve">his </w:t>
      </w:r>
      <w:r w:rsidRPr="006B3655">
        <w:t>college</w:t>
      </w:r>
      <w:r>
        <w:t>.</w:t>
      </w:r>
    </w:p>
    <w:p w14:paraId="66580BA2" w14:textId="5476797E" w:rsidR="00291AD9" w:rsidRDefault="00291AD9" w:rsidP="00291AD9">
      <w:pPr>
        <w:spacing w:line="480" w:lineRule="auto"/>
        <w:ind w:firstLine="720"/>
      </w:pPr>
      <w:r>
        <w:t xml:space="preserve">As shown in Figure 15, the left-hand side map centered on </w:t>
      </w:r>
      <w:r>
        <w:rPr>
          <w:i/>
          <w:iCs/>
        </w:rPr>
        <w:t>B</w:t>
      </w:r>
      <w:r>
        <w:t xml:space="preserve">’s home is without any point symbols while the right-hand side plot is relatively sparse in point symbols compared to </w:t>
      </w:r>
      <w:r>
        <w:rPr>
          <w:i/>
          <w:iCs/>
        </w:rPr>
        <w:t>A</w:t>
      </w:r>
      <w:r>
        <w:t xml:space="preserve">. This difference is due to both the geography of the area where there are far fewer grocery stores along the Tennessee River </w:t>
      </w:r>
      <w:proofErr w:type="gramStart"/>
      <w:r>
        <w:t>and also</w:t>
      </w:r>
      <w:proofErr w:type="gramEnd"/>
      <w:r>
        <w:t xml:space="preserve"> because </w:t>
      </w:r>
      <w:r>
        <w:rPr>
          <w:i/>
          <w:iCs/>
        </w:rPr>
        <w:t xml:space="preserve">B </w:t>
      </w:r>
      <w:r>
        <w:t xml:space="preserve">lacks access to a personal vehicle. Further, because </w:t>
      </w:r>
      <w:r>
        <w:rPr>
          <w:i/>
          <w:iCs/>
        </w:rPr>
        <w:t>B</w:t>
      </w:r>
      <w:r>
        <w:t xml:space="preserve"> has both educational and work obligations, he has far less discretionary time than </w:t>
      </w:r>
      <w:r>
        <w:rPr>
          <w:i/>
          <w:iCs/>
        </w:rPr>
        <w:t>A</w:t>
      </w:r>
      <w:r>
        <w:t xml:space="preserve"> and means that his ability to reach places is limited. Without a personal vehicle and with his rigid schedule, </w:t>
      </w:r>
      <w:r>
        <w:rPr>
          <w:i/>
          <w:iCs/>
        </w:rPr>
        <w:t xml:space="preserve">B </w:t>
      </w:r>
      <w:r>
        <w:t xml:space="preserve">experiences limitations on the ease to which he can reach different food opportunities. Unlike </w:t>
      </w:r>
      <w:r>
        <w:rPr>
          <w:i/>
          <w:iCs/>
        </w:rPr>
        <w:t xml:space="preserve">A </w:t>
      </w:r>
      <w:r>
        <w:t xml:space="preserve">who can freely stop at grocery stores along travel corridors after work, </w:t>
      </w:r>
      <w:r>
        <w:rPr>
          <w:i/>
          <w:iCs/>
        </w:rPr>
        <w:t>B</w:t>
      </w:r>
      <w:r>
        <w:t xml:space="preserve"> is far more constrained in time and accessibility to physical stores especially because bus transit routes have more infrequent service and getting off a stop just to shop for groceries and then waiting for another bus invokes a huge opportunity cost of time.</w:t>
      </w:r>
    </w:p>
    <w:p w14:paraId="077D2098" w14:textId="34503376" w:rsidR="00291AD9" w:rsidRDefault="00291AD9" w:rsidP="00291AD9">
      <w:pPr>
        <w:spacing w:line="480" w:lineRule="auto"/>
        <w:ind w:firstLine="720"/>
      </w:pPr>
      <w:r>
        <w:t xml:space="preserve">Incorporating context with map overlays of local economic, demographic, social, and environmental conditions can also aid in understanding where accessible opportunities are perhaps located in more favorable areas. In one respect, the addition of such map layers helps to consider external factors shaping the ease to which people can reach stores as well as the local environment around stores. This can aid in understanding accessibility from a mental space perspective. Figure 16 shows an overlay of total population by block group in the 2D map with dark purple indicating lower population and bright yellow indicating higher population. The map can be used to inform which stores </w:t>
      </w:r>
      <w:proofErr w:type="gramStart"/>
      <w:r>
        <w:t>are located in</w:t>
      </w:r>
      <w:proofErr w:type="gramEnd"/>
      <w:r>
        <w:t xml:space="preserve"> less densely populated areas in cases where individuals may prefer lower density areas.</w:t>
      </w:r>
    </w:p>
    <w:p w14:paraId="0E6353C5" w14:textId="77777777" w:rsidR="00291AD9" w:rsidRDefault="00291AD9">
      <w:r>
        <w:br w:type="page"/>
      </w:r>
    </w:p>
    <w:p w14:paraId="0851B475" w14:textId="5AC338B5" w:rsidR="009F6854" w:rsidRPr="00291AD9" w:rsidRDefault="009F6854" w:rsidP="009F6854">
      <w:pPr>
        <w:spacing w:line="480" w:lineRule="auto"/>
      </w:pPr>
      <w:r w:rsidRPr="00291AD9">
        <w:rPr>
          <w:noProof/>
        </w:rPr>
        <w:lastRenderedPageBreak/>
        <w:drawing>
          <wp:inline distT="0" distB="0" distL="0" distR="0" wp14:anchorId="175EF8D8" wp14:editId="317D21DA">
            <wp:extent cx="5943600" cy="5594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559435"/>
                    </a:xfrm>
                    <a:prstGeom prst="rect">
                      <a:avLst/>
                    </a:prstGeom>
                  </pic:spPr>
                </pic:pic>
              </a:graphicData>
            </a:graphic>
          </wp:inline>
        </w:drawing>
      </w:r>
      <w:r w:rsidRPr="00291AD9">
        <w:rPr>
          <w:noProof/>
        </w:rPr>
        <w:drawing>
          <wp:inline distT="0" distB="0" distL="0" distR="0" wp14:anchorId="2888888E" wp14:editId="18EB79B1">
            <wp:extent cx="5943600" cy="1715135"/>
            <wp:effectExtent l="0" t="0" r="0" b="0"/>
            <wp:docPr id="10" name="Picture 1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1715135"/>
                    </a:xfrm>
                    <a:prstGeom prst="rect">
                      <a:avLst/>
                    </a:prstGeom>
                  </pic:spPr>
                </pic:pic>
              </a:graphicData>
            </a:graphic>
          </wp:inline>
        </w:drawing>
      </w:r>
    </w:p>
    <w:p w14:paraId="797493A9" w14:textId="53A77698" w:rsidR="009F6854" w:rsidRPr="00291AD9" w:rsidRDefault="009F6854" w:rsidP="009F6854">
      <w:pPr>
        <w:pStyle w:val="Caption"/>
        <w:spacing w:line="480" w:lineRule="auto"/>
        <w:jc w:val="center"/>
        <w:rPr>
          <w:color w:val="auto"/>
        </w:rPr>
      </w:pPr>
      <w:bookmarkStart w:id="130" w:name="_Toc114258113"/>
      <w:r w:rsidRPr="00291AD9">
        <w:rPr>
          <w:color w:val="auto"/>
        </w:rPr>
        <w:t xml:space="preserve">Figure </w:t>
      </w:r>
      <w:r w:rsidR="00435025" w:rsidRPr="00291AD9">
        <w:rPr>
          <w:color w:val="auto"/>
        </w:rPr>
        <w:fldChar w:fldCharType="begin"/>
      </w:r>
      <w:r w:rsidR="00435025" w:rsidRPr="00291AD9">
        <w:rPr>
          <w:color w:val="auto"/>
        </w:rPr>
        <w:instrText xml:space="preserve"> SEQ Figure \* ARABIC </w:instrText>
      </w:r>
      <w:r w:rsidR="00435025" w:rsidRPr="00291AD9">
        <w:rPr>
          <w:color w:val="auto"/>
        </w:rPr>
        <w:fldChar w:fldCharType="separate"/>
      </w:r>
      <w:r w:rsidR="00C42D79">
        <w:rPr>
          <w:noProof/>
          <w:color w:val="auto"/>
        </w:rPr>
        <w:t>15</w:t>
      </w:r>
      <w:r w:rsidR="00435025" w:rsidRPr="00291AD9">
        <w:rPr>
          <w:noProof/>
          <w:color w:val="auto"/>
        </w:rPr>
        <w:fldChar w:fldCharType="end"/>
      </w:r>
      <w:r w:rsidRPr="00291AD9">
        <w:rPr>
          <w:color w:val="auto"/>
        </w:rPr>
        <w:t>. A lack of opportunities near the home of Person B (3)</w:t>
      </w:r>
      <w:bookmarkEnd w:id="130"/>
    </w:p>
    <w:p w14:paraId="40A35F2D" w14:textId="65F558EA" w:rsidR="006A1955" w:rsidRPr="00291AD9" w:rsidRDefault="00143460" w:rsidP="00156BEA">
      <w:pPr>
        <w:keepNext/>
        <w:spacing w:line="480" w:lineRule="auto"/>
        <w:jc w:val="center"/>
      </w:pPr>
      <w:r w:rsidRPr="00291AD9">
        <w:rPr>
          <w:noProof/>
        </w:rPr>
        <w:drawing>
          <wp:inline distT="0" distB="0" distL="0" distR="0" wp14:anchorId="56C24698" wp14:editId="7580B6E5">
            <wp:extent cx="5943600" cy="2853055"/>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2853055"/>
                    </a:xfrm>
                    <a:prstGeom prst="rect">
                      <a:avLst/>
                    </a:prstGeom>
                  </pic:spPr>
                </pic:pic>
              </a:graphicData>
            </a:graphic>
          </wp:inline>
        </w:drawing>
      </w:r>
    </w:p>
    <w:p w14:paraId="6DEC94BE" w14:textId="14C231B9" w:rsidR="008225A5" w:rsidRPr="00291AD9" w:rsidRDefault="00762D88" w:rsidP="00156BEA">
      <w:pPr>
        <w:pStyle w:val="Caption"/>
        <w:spacing w:line="480" w:lineRule="auto"/>
        <w:jc w:val="center"/>
        <w:rPr>
          <w:color w:val="auto"/>
        </w:rPr>
      </w:pPr>
      <w:bookmarkStart w:id="131" w:name="_Toc114258114"/>
      <w:r w:rsidRPr="00291AD9">
        <w:rPr>
          <w:color w:val="auto"/>
        </w:rPr>
        <w:t xml:space="preserve">Figure </w:t>
      </w:r>
      <w:r w:rsidR="00B9244D" w:rsidRPr="00291AD9">
        <w:rPr>
          <w:color w:val="auto"/>
        </w:rPr>
        <w:fldChar w:fldCharType="begin"/>
      </w:r>
      <w:r w:rsidR="00B9244D" w:rsidRPr="00291AD9">
        <w:rPr>
          <w:color w:val="auto"/>
        </w:rPr>
        <w:instrText xml:space="preserve"> SEQ Figure \* ARABIC </w:instrText>
      </w:r>
      <w:r w:rsidR="00B9244D" w:rsidRPr="00291AD9">
        <w:rPr>
          <w:color w:val="auto"/>
        </w:rPr>
        <w:fldChar w:fldCharType="separate"/>
      </w:r>
      <w:r w:rsidR="00C42D79">
        <w:rPr>
          <w:noProof/>
          <w:color w:val="auto"/>
        </w:rPr>
        <w:t>16</w:t>
      </w:r>
      <w:r w:rsidR="00B9244D" w:rsidRPr="00291AD9">
        <w:rPr>
          <w:noProof/>
          <w:color w:val="auto"/>
        </w:rPr>
        <w:fldChar w:fldCharType="end"/>
      </w:r>
      <w:r w:rsidRPr="00291AD9">
        <w:rPr>
          <w:color w:val="auto"/>
        </w:rPr>
        <w:t>. Population overlay with opportunities accessible to Person B</w:t>
      </w:r>
      <w:bookmarkEnd w:id="131"/>
    </w:p>
    <w:p w14:paraId="4F4B6FC0" w14:textId="77777777" w:rsidR="00291AD9" w:rsidRDefault="00291AD9">
      <w:r>
        <w:br w:type="page"/>
      </w:r>
    </w:p>
    <w:p w14:paraId="00668F40" w14:textId="066D8480" w:rsidR="000F721E" w:rsidRDefault="00291AD9" w:rsidP="00156BEA">
      <w:pPr>
        <w:spacing w:line="480" w:lineRule="auto"/>
      </w:pPr>
      <w:r>
        <w:lastRenderedPageBreak/>
        <w:t>F</w:t>
      </w:r>
      <w:r w:rsidR="003B24B1">
        <w:t>or example, if</w:t>
      </w:r>
      <w:r w:rsidR="00C028D2">
        <w:t xml:space="preserve"> </w:t>
      </w:r>
      <w:r w:rsidR="00C028D2">
        <w:rPr>
          <w:i/>
          <w:iCs/>
        </w:rPr>
        <w:t xml:space="preserve">B </w:t>
      </w:r>
      <w:r w:rsidR="0094125E">
        <w:t xml:space="preserve">is </w:t>
      </w:r>
      <w:r w:rsidR="006E1205">
        <w:t>immunocompromised and a</w:t>
      </w:r>
      <w:r w:rsidR="0094125E">
        <w:t xml:space="preserve">n introvert who is very concerned about contracting Covid-19 </w:t>
      </w:r>
      <w:r w:rsidR="00BA08C6">
        <w:t xml:space="preserve">as it would hinder his ability to work and go to school, </w:t>
      </w:r>
      <w:r w:rsidR="0094125E">
        <w:t xml:space="preserve">and </w:t>
      </w:r>
      <w:r w:rsidR="00C028D2">
        <w:t>desire</w:t>
      </w:r>
      <w:r w:rsidR="0094125E">
        <w:t>s shopping at food stores in quieter and less trafficked areas</w:t>
      </w:r>
      <w:r w:rsidR="00C76282">
        <w:t xml:space="preserve"> (and thus lower potential </w:t>
      </w:r>
      <w:r w:rsidR="00057340">
        <w:t>for disease</w:t>
      </w:r>
      <w:r w:rsidR="00C76282">
        <w:t xml:space="preserve"> transmission</w:t>
      </w:r>
      <w:r w:rsidR="003B24B1">
        <w:t xml:space="preserve">), </w:t>
      </w:r>
      <w:r w:rsidR="003A5443">
        <w:t xml:space="preserve">the map can help him to understand where stores </w:t>
      </w:r>
      <w:proofErr w:type="gramStart"/>
      <w:r w:rsidR="003A5443">
        <w:t>are located in</w:t>
      </w:r>
      <w:proofErr w:type="gramEnd"/>
      <w:r w:rsidR="003A5443">
        <w:t xml:space="preserve"> lower density areas.</w:t>
      </w:r>
      <w:r w:rsidR="003B24B1">
        <w:t xml:space="preserve"> </w:t>
      </w:r>
      <w:r w:rsidR="0094125E">
        <w:t xml:space="preserve">Foot traffic from providers like </w:t>
      </w:r>
      <w:proofErr w:type="spellStart"/>
      <w:r w:rsidR="0094125E">
        <w:t>SafeGraph</w:t>
      </w:r>
      <w:proofErr w:type="spellEnd"/>
      <w:r w:rsidR="0094125E">
        <w:t xml:space="preserve"> and Google Maps </w:t>
      </w:r>
      <w:r w:rsidR="005B26AE">
        <w:t>could also be integrated as local context to serve a similar purpose for contextualizing</w:t>
      </w:r>
      <w:r w:rsidR="00B660C5">
        <w:t xml:space="preserve"> store environments</w:t>
      </w:r>
      <w:r w:rsidR="005B26AE">
        <w:t>.</w:t>
      </w:r>
      <w:r w:rsidR="0094125E">
        <w:t xml:space="preserve"> </w:t>
      </w:r>
      <w:r w:rsidR="00D57F08" w:rsidRPr="00C028D2">
        <w:t>The</w:t>
      </w:r>
      <w:r w:rsidR="00D57F08">
        <w:t xml:space="preserve"> dropdown in the bottom-right of the panel can be changed to other data layers as well</w:t>
      </w:r>
      <w:r w:rsidR="000F721E">
        <w:t xml:space="preserve">, including </w:t>
      </w:r>
      <w:r w:rsidR="00E56FB8">
        <w:t xml:space="preserve">a layer on the percentage of people in poverty by block group. </w:t>
      </w:r>
      <w:r w:rsidR="00352BBA">
        <w:t xml:space="preserve">Figure 17 </w:t>
      </w:r>
      <w:r w:rsidR="0026315B">
        <w:t xml:space="preserve">illustrates a poverty map overlay on all opportunities that Person </w:t>
      </w:r>
      <w:r w:rsidR="0026315B">
        <w:rPr>
          <w:i/>
          <w:iCs/>
        </w:rPr>
        <w:t xml:space="preserve">A </w:t>
      </w:r>
      <w:r w:rsidR="0026315B">
        <w:t xml:space="preserve">can reach </w:t>
      </w:r>
      <w:r w:rsidR="00076C72">
        <w:t xml:space="preserve">throughout the two-day period. The radius of </w:t>
      </w:r>
      <w:r w:rsidR="00076C72">
        <w:rPr>
          <w:i/>
          <w:iCs/>
        </w:rPr>
        <w:t>A</w:t>
      </w:r>
      <w:r w:rsidR="00076C72">
        <w:t xml:space="preserve">’s travels is rather small, mostly spanning </w:t>
      </w:r>
      <w:r w:rsidR="00DE7CB9">
        <w:t xml:space="preserve">North Knoxville, downtown, and Bearden. In this current view, </w:t>
      </w:r>
      <w:r w:rsidR="002551C3">
        <w:t xml:space="preserve">it can be observed that there are </w:t>
      </w:r>
      <w:r w:rsidR="000F0C68">
        <w:t>a sizable</w:t>
      </w:r>
      <w:r w:rsidR="002551C3">
        <w:t xml:space="preserve"> number of </w:t>
      </w:r>
      <w:r w:rsidR="004C5CFE">
        <w:t xml:space="preserve">(12) </w:t>
      </w:r>
      <w:r w:rsidR="002551C3">
        <w:t>discount and</w:t>
      </w:r>
      <w:r w:rsidR="002872F9">
        <w:t xml:space="preserve"> (12)</w:t>
      </w:r>
      <w:r w:rsidR="002551C3">
        <w:t xml:space="preserve"> convenience stores in the most impoverished block groups, colored in </w:t>
      </w:r>
      <w:r w:rsidR="004C5CFE">
        <w:t xml:space="preserve">gradients of </w:t>
      </w:r>
      <w:r w:rsidR="002551C3">
        <w:t xml:space="preserve">yellow. </w:t>
      </w:r>
      <w:r w:rsidR="0010755D">
        <w:t xml:space="preserve">While there are </w:t>
      </w:r>
      <w:r w:rsidR="00CD0A83">
        <w:t>twenty-nine</w:t>
      </w:r>
      <w:r w:rsidR="0010755D">
        <w:t xml:space="preserve"> red and green point symbols </w:t>
      </w:r>
      <w:r w:rsidR="00CD0A83">
        <w:t>representing</w:t>
      </w:r>
      <w:r w:rsidR="0010755D">
        <w:t xml:space="preserve"> grocery stores </w:t>
      </w:r>
      <w:r w:rsidR="00CD0A83">
        <w:t>in the same map</w:t>
      </w:r>
      <w:r w:rsidR="00901036">
        <w:t xml:space="preserve">, they exist in areas with more purple hues that indicate lower levels of poverty. While more work could be carried out in </w:t>
      </w:r>
      <w:r w:rsidR="00887CE2">
        <w:t xml:space="preserve">quantifying the correlation between food stores and area-based socioeconomic characteristics, this </w:t>
      </w:r>
      <w:r w:rsidR="00B52611">
        <w:t>exploratory visualization approach affirms the notion of supermarket redlining where</w:t>
      </w:r>
      <w:r w:rsidR="00565067">
        <w:t>, historically,</w:t>
      </w:r>
      <w:r w:rsidR="00B52611">
        <w:t xml:space="preserve"> </w:t>
      </w:r>
      <w:r w:rsidR="00991C60">
        <w:t>major supermarket chains</w:t>
      </w:r>
      <w:r w:rsidR="00B358B8">
        <w:t xml:space="preserve"> </w:t>
      </w:r>
      <w:r w:rsidR="00565067">
        <w:t>relocated from</w:t>
      </w:r>
      <w:r w:rsidR="00991C60">
        <w:t xml:space="preserve"> low-income and/or minority neighborhoods</w:t>
      </w:r>
      <w:r w:rsidR="00B358B8">
        <w:t xml:space="preserve"> in the inner city to the suburbs (e.g., Bearden)</w:t>
      </w:r>
      <w:r>
        <w:t>.</w:t>
      </w:r>
    </w:p>
    <w:p w14:paraId="42C77B09" w14:textId="1341ADA2" w:rsidR="00291AD9" w:rsidRPr="00076C72" w:rsidRDefault="00291AD9" w:rsidP="00156BEA">
      <w:pPr>
        <w:spacing w:line="480" w:lineRule="auto"/>
      </w:pPr>
      <w:r>
        <w:tab/>
        <w:t>This case study illustrates how integrating the mobilities as the unique travel patterns and activity schedule of individuals as well as local conditions help to inform the different food opportunities potentially accessible to them as they go about their daily lives. An assortment of snapshots depicting different locations and time periods in the GPS trajectories of two individuals visually reflect disparities in the number and types of opportunities.</w:t>
      </w:r>
    </w:p>
    <w:p w14:paraId="3A813F48" w14:textId="77777777" w:rsidR="00352BBA" w:rsidRDefault="000F721E" w:rsidP="00352BBA">
      <w:pPr>
        <w:keepNext/>
        <w:spacing w:after="0" w:line="480" w:lineRule="auto"/>
        <w:jc w:val="center"/>
      </w:pPr>
      <w:r>
        <w:rPr>
          <w:noProof/>
        </w:rPr>
        <w:lastRenderedPageBreak/>
        <w:drawing>
          <wp:inline distT="0" distB="0" distL="0" distR="0" wp14:anchorId="58D3D256" wp14:editId="60AEFA5F">
            <wp:extent cx="5943600" cy="21653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165350"/>
                    </a:xfrm>
                    <a:prstGeom prst="rect">
                      <a:avLst/>
                    </a:prstGeom>
                  </pic:spPr>
                </pic:pic>
              </a:graphicData>
            </a:graphic>
          </wp:inline>
        </w:drawing>
      </w:r>
    </w:p>
    <w:p w14:paraId="7BFD673B" w14:textId="1463DF67" w:rsidR="000F721E" w:rsidRPr="00291AD9" w:rsidRDefault="00352BBA" w:rsidP="00352BBA">
      <w:pPr>
        <w:pStyle w:val="Caption"/>
        <w:jc w:val="center"/>
        <w:rPr>
          <w:color w:val="auto"/>
        </w:rPr>
      </w:pPr>
      <w:bookmarkStart w:id="132" w:name="_Toc114258115"/>
      <w:r w:rsidRPr="00291AD9">
        <w:rPr>
          <w:color w:val="auto"/>
        </w:rPr>
        <w:t xml:space="preserve">Figure </w:t>
      </w:r>
      <w:r w:rsidR="00B9244D" w:rsidRPr="00291AD9">
        <w:rPr>
          <w:color w:val="auto"/>
        </w:rPr>
        <w:fldChar w:fldCharType="begin"/>
      </w:r>
      <w:r w:rsidR="00B9244D" w:rsidRPr="00291AD9">
        <w:rPr>
          <w:color w:val="auto"/>
        </w:rPr>
        <w:instrText xml:space="preserve"> SEQ Figure \* ARABIC </w:instrText>
      </w:r>
      <w:r w:rsidR="00B9244D" w:rsidRPr="00291AD9">
        <w:rPr>
          <w:color w:val="auto"/>
        </w:rPr>
        <w:fldChar w:fldCharType="separate"/>
      </w:r>
      <w:r w:rsidR="00C42D79">
        <w:rPr>
          <w:noProof/>
          <w:color w:val="auto"/>
        </w:rPr>
        <w:t>17</w:t>
      </w:r>
      <w:r w:rsidR="00B9244D" w:rsidRPr="00291AD9">
        <w:rPr>
          <w:noProof/>
          <w:color w:val="auto"/>
        </w:rPr>
        <w:fldChar w:fldCharType="end"/>
      </w:r>
      <w:r w:rsidRPr="00291AD9">
        <w:rPr>
          <w:color w:val="auto"/>
        </w:rPr>
        <w:t>. Poverty</w:t>
      </w:r>
      <w:r w:rsidRPr="00291AD9">
        <w:rPr>
          <w:noProof/>
          <w:color w:val="auto"/>
        </w:rPr>
        <w:t xml:space="preserve"> map overlay on stores that can be accessed by A</w:t>
      </w:r>
      <w:bookmarkEnd w:id="132"/>
    </w:p>
    <w:p w14:paraId="2560B2FF" w14:textId="77777777" w:rsidR="00291AD9" w:rsidRDefault="00291AD9">
      <w:r>
        <w:br w:type="page"/>
      </w:r>
    </w:p>
    <w:p w14:paraId="3308B3BA" w14:textId="59AEE3A9" w:rsidR="008B7EA9" w:rsidRPr="00BB6BD1" w:rsidRDefault="00AD15EB" w:rsidP="00291AD9">
      <w:pPr>
        <w:spacing w:line="480" w:lineRule="auto"/>
      </w:pPr>
      <w:r>
        <w:lastRenderedPageBreak/>
        <w:t xml:space="preserve">The </w:t>
      </w:r>
      <w:r w:rsidR="00587677">
        <w:t xml:space="preserve">GIS can be used to measure the total number of </w:t>
      </w:r>
      <w:r w:rsidR="003C2274">
        <w:t xml:space="preserve">food opportunities that can potentially be accessed by </w:t>
      </w:r>
      <w:r w:rsidR="00587677">
        <w:t>individuals.</w:t>
      </w:r>
      <w:r w:rsidR="00E8224A">
        <w:t xml:space="preserve"> </w:t>
      </w:r>
      <w:r w:rsidR="00DB2AD5">
        <w:t>Putting aside her preference for Mexican grocery stores, t</w:t>
      </w:r>
      <w:r w:rsidR="00587677">
        <w:t xml:space="preserve">hroughout </w:t>
      </w:r>
      <w:r w:rsidR="00D82E16">
        <w:t xml:space="preserve">a Saturday where </w:t>
      </w:r>
      <w:r w:rsidR="00757FC3">
        <w:t xml:space="preserve">Persons </w:t>
      </w:r>
      <w:r w:rsidR="00757FC3">
        <w:rPr>
          <w:i/>
          <w:iCs/>
        </w:rPr>
        <w:t xml:space="preserve">A </w:t>
      </w:r>
      <w:r w:rsidR="00757FC3">
        <w:t xml:space="preserve">and </w:t>
      </w:r>
      <w:r w:rsidR="00757FC3">
        <w:rPr>
          <w:i/>
          <w:iCs/>
        </w:rPr>
        <w:t>B</w:t>
      </w:r>
      <w:r w:rsidR="00D82E16">
        <w:t xml:space="preserve"> </w:t>
      </w:r>
      <w:r w:rsidR="00757FC3">
        <w:t>have more flexible schedules</w:t>
      </w:r>
      <w:r w:rsidR="00587677">
        <w:t xml:space="preserve">, </w:t>
      </w:r>
      <w:r w:rsidR="003C2274">
        <w:rPr>
          <w:i/>
          <w:iCs/>
        </w:rPr>
        <w:t xml:space="preserve">A </w:t>
      </w:r>
      <w:r w:rsidR="00587677">
        <w:t>has access to a total of 181 physical stores they can reach in-person</w:t>
      </w:r>
      <w:r w:rsidR="00DB2AD5">
        <w:t>. Mean</w:t>
      </w:r>
      <w:r w:rsidR="00587677">
        <w:t xml:space="preserve">while </w:t>
      </w:r>
      <w:r w:rsidR="003C2274">
        <w:rPr>
          <w:i/>
          <w:iCs/>
        </w:rPr>
        <w:t xml:space="preserve">B </w:t>
      </w:r>
      <w:r w:rsidR="00587677">
        <w:t xml:space="preserve">has access to </w:t>
      </w:r>
      <w:r w:rsidR="00947E27">
        <w:t xml:space="preserve">just roughly one-third the amount (62 physical stores.) </w:t>
      </w:r>
      <w:r w:rsidR="00B9405B">
        <w:t xml:space="preserve">Conventional </w:t>
      </w:r>
      <w:r w:rsidR="00CC1998">
        <w:t xml:space="preserve">space-time </w:t>
      </w:r>
      <w:r w:rsidR="00B9405B">
        <w:t>access</w:t>
      </w:r>
      <w:r w:rsidR="00CC1998">
        <w:t xml:space="preserve">ibility measures would mostly end the analysis </w:t>
      </w:r>
      <w:r w:rsidR="005918D0">
        <w:t>at this step.</w:t>
      </w:r>
      <w:r w:rsidR="00CC1998">
        <w:t xml:space="preserve"> </w:t>
      </w:r>
      <w:r w:rsidR="00947E27">
        <w:t>Because bot</w:t>
      </w:r>
      <w:r w:rsidR="004B580B">
        <w:t>h are not capable of and willing to use virtual-based services, their access to virtual and hybrid-based services are the same.</w:t>
      </w:r>
      <w:r w:rsidR="00593534">
        <w:t xml:space="preserve"> But </w:t>
      </w:r>
      <w:r w:rsidR="00CF1BA3">
        <w:t xml:space="preserve">where conventional quantitative approaches fall short is in </w:t>
      </w:r>
      <w:r w:rsidR="002A58D3">
        <w:t xml:space="preserve">including </w:t>
      </w:r>
      <w:r w:rsidR="00307137">
        <w:t>aspects beyond the physical proximity and</w:t>
      </w:r>
      <w:r w:rsidR="007E44B6">
        <w:t xml:space="preserve"> temporal organization of individuals and stores, such as </w:t>
      </w:r>
      <w:r w:rsidR="002A58D3">
        <w:t>the social and cultural preferences of people</w:t>
      </w:r>
      <w:r w:rsidR="00CF1BA3">
        <w:t xml:space="preserve">. </w:t>
      </w:r>
      <w:r w:rsidR="009C2C7D">
        <w:t>A</w:t>
      </w:r>
      <w:r w:rsidR="00F4126B">
        <w:t xml:space="preserve">n </w:t>
      </w:r>
      <w:r w:rsidR="009C2C7D">
        <w:t xml:space="preserve">algorithm based on GIS-based </w:t>
      </w:r>
      <w:proofErr w:type="spellStart"/>
      <w:r w:rsidR="009C2C7D">
        <w:t>geocomputational</w:t>
      </w:r>
      <w:proofErr w:type="spellEnd"/>
      <w:r w:rsidR="009C2C7D">
        <w:t xml:space="preserve"> procedures was developed to pre-compute potential opportunities for every period of discretionary time available to </w:t>
      </w:r>
      <w:proofErr w:type="gramStart"/>
      <w:r w:rsidR="009C2C7D">
        <w:t>each individual</w:t>
      </w:r>
      <w:proofErr w:type="gramEnd"/>
      <w:r w:rsidR="009C2C7D">
        <w:t xml:space="preserve">. Pre-computing potential opportunities helps to reduce the computational overload when user interaction is included to further integrate different dimensions beyond conventional spatial accessibility logic. </w:t>
      </w:r>
      <w:r w:rsidR="009415F4">
        <w:t>Explicitly recognizing</w:t>
      </w:r>
      <w:r w:rsidR="002A58D3">
        <w:t xml:space="preserve"> </w:t>
      </w:r>
      <w:r w:rsidR="007E44B6">
        <w:t xml:space="preserve">preferences for </w:t>
      </w:r>
      <w:r w:rsidR="002A58D3">
        <w:t xml:space="preserve">cultural </w:t>
      </w:r>
      <w:r w:rsidR="007E44B6">
        <w:t xml:space="preserve">food </w:t>
      </w:r>
      <w:r w:rsidR="002A58D3">
        <w:t xml:space="preserve">ingredients </w:t>
      </w:r>
      <w:r w:rsidR="009415F4">
        <w:t xml:space="preserve">in a query </w:t>
      </w:r>
      <w:r w:rsidR="00C9213A">
        <w:t xml:space="preserve">reduced </w:t>
      </w:r>
      <w:r w:rsidR="00C9213A">
        <w:rPr>
          <w:i/>
          <w:iCs/>
        </w:rPr>
        <w:t>A</w:t>
      </w:r>
      <w:r w:rsidR="00C9213A">
        <w:t>’s opportunity set to just 6 stores she can reach in person, which is substantially less than 62.</w:t>
      </w:r>
      <w:r w:rsidR="00757FC3">
        <w:t xml:space="preserve"> </w:t>
      </w:r>
      <w:r w:rsidR="00BB6BD1">
        <w:t xml:space="preserve">Because </w:t>
      </w:r>
      <w:r w:rsidR="00BB6BD1">
        <w:rPr>
          <w:i/>
          <w:iCs/>
        </w:rPr>
        <w:t xml:space="preserve">B </w:t>
      </w:r>
      <w:r w:rsidR="00BB6BD1">
        <w:t>has fewer preferences</w:t>
      </w:r>
      <w:r w:rsidR="00B9405B">
        <w:t xml:space="preserve">, his opportunity set </w:t>
      </w:r>
      <w:r w:rsidR="00AD7281">
        <w:t>is now larger than that of A</w:t>
      </w:r>
      <w:r w:rsidR="00A67B7E">
        <w:t>.</w:t>
      </w:r>
      <w:r w:rsidR="00316B13">
        <w:t xml:space="preserve"> </w:t>
      </w:r>
    </w:p>
    <w:p w14:paraId="221FB350" w14:textId="08114D4C" w:rsidR="008C53A1" w:rsidRDefault="00DC2B4D" w:rsidP="00C438C8">
      <w:pPr>
        <w:spacing w:line="480" w:lineRule="auto"/>
        <w:ind w:firstLine="720"/>
      </w:pPr>
      <w:r>
        <w:t>In addition,</w:t>
      </w:r>
      <w:r w:rsidR="00AC457D">
        <w:t xml:space="preserve"> this </w:t>
      </w:r>
      <w:r w:rsidR="005A6970">
        <w:t xml:space="preserve">first case study </w:t>
      </w:r>
      <w:r w:rsidR="00AC457D">
        <w:t>shows how the web GIS platform can identify the opportunities nearby an individual as they visit different locations throughout a day and contingent upon their schedule and time budget.</w:t>
      </w:r>
      <w:r w:rsidR="00D82AC1" w:rsidRPr="00D82AC1">
        <w:t xml:space="preserve"> </w:t>
      </w:r>
      <w:r w:rsidR="00D82AC1">
        <w:t xml:space="preserve">The </w:t>
      </w:r>
      <w:r w:rsidR="00F522FE">
        <w:t xml:space="preserve">use of the </w:t>
      </w:r>
      <w:r w:rsidR="00D82AC1">
        <w:t xml:space="preserve">prototype GIS </w:t>
      </w:r>
      <w:r w:rsidR="00F522FE">
        <w:t xml:space="preserve">demonstrates the </w:t>
      </w:r>
      <w:r w:rsidR="00D82AC1">
        <w:t>contribut</w:t>
      </w:r>
      <w:r w:rsidR="00F522FE">
        <w:t>ion</w:t>
      </w:r>
      <w:r w:rsidR="00D82AC1">
        <w:t xml:space="preserve"> </w:t>
      </w:r>
      <w:r w:rsidR="00F522FE">
        <w:t xml:space="preserve">of a </w:t>
      </w:r>
      <w:r w:rsidR="00242D94">
        <w:t xml:space="preserve">synchronized </w:t>
      </w:r>
      <w:r w:rsidR="00F522FE">
        <w:t xml:space="preserve">multi-space </w:t>
      </w:r>
      <w:r w:rsidR="00242D94">
        <w:t xml:space="preserve">perspective to </w:t>
      </w:r>
      <w:r w:rsidR="00893136">
        <w:t>measure the total number of</w:t>
      </w:r>
      <w:r w:rsidR="00242D94">
        <w:t xml:space="preserve"> and visualize the relative availability of </w:t>
      </w:r>
      <w:r w:rsidR="00B9306E">
        <w:t>food opportunities</w:t>
      </w:r>
      <w:r w:rsidR="00D50425">
        <w:t>.</w:t>
      </w:r>
      <w:r w:rsidR="008A37B3">
        <w:t xml:space="preserve"> </w:t>
      </w:r>
      <w:r w:rsidR="00AC457D">
        <w:t xml:space="preserve">Even showing the opportunities near the same locations but at different time intervals can reflect how opportunities are contingent upon one’s time budget and whether they have enough discretionary time to both visit and participate </w:t>
      </w:r>
      <w:r w:rsidR="00AC457D">
        <w:lastRenderedPageBreak/>
        <w:t>in food shopping</w:t>
      </w:r>
      <w:r w:rsidR="00C330C9">
        <w:t xml:space="preserve"> and other activities</w:t>
      </w:r>
      <w:r w:rsidR="00AC457D">
        <w:t xml:space="preserve">. </w:t>
      </w:r>
      <w:r w:rsidR="007E7C34">
        <w:t xml:space="preserve">Accounting for the spatiotemporal behaviors of individuals helps to understand what types of and how many stores are </w:t>
      </w:r>
      <w:r w:rsidR="004D0938">
        <w:t xml:space="preserve">near any location throughout their </w:t>
      </w:r>
      <w:r w:rsidR="00401A8D">
        <w:t>daily travels, or availability from a relative space approach</w:t>
      </w:r>
      <w:r w:rsidR="004D0938">
        <w:t>.</w:t>
      </w:r>
      <w:r w:rsidR="00401A8D">
        <w:t xml:space="preserve"> Additionally considering individual </w:t>
      </w:r>
      <w:r w:rsidR="008E401A">
        <w:t>taste</w:t>
      </w:r>
      <w:r w:rsidR="00401A8D">
        <w:t>s</w:t>
      </w:r>
      <w:r w:rsidR="00AB67A9">
        <w:t xml:space="preserve"> as a query</w:t>
      </w:r>
      <w:r w:rsidR="00401A8D">
        <w:t xml:space="preserve">, as with Person </w:t>
      </w:r>
      <w:r w:rsidR="00401A8D">
        <w:rPr>
          <w:i/>
          <w:iCs/>
        </w:rPr>
        <w:t xml:space="preserve">A </w:t>
      </w:r>
      <w:r w:rsidR="008E401A">
        <w:t xml:space="preserve">and her preference for Mexican grocery stores </w:t>
      </w:r>
      <w:r w:rsidR="00401A8D">
        <w:t>in Figure 1</w:t>
      </w:r>
      <w:r w:rsidR="00BE6B08">
        <w:t>4</w:t>
      </w:r>
      <w:r w:rsidR="00401A8D">
        <w:t xml:space="preserve">, </w:t>
      </w:r>
      <w:r w:rsidR="00680F1D">
        <w:t>enables consideration of availability from a mental space approach</w:t>
      </w:r>
      <w:r w:rsidR="007F0F84">
        <w:t xml:space="preserve"> as people</w:t>
      </w:r>
      <w:r w:rsidR="00F470BD">
        <w:t xml:space="preserve"> may</w:t>
      </w:r>
      <w:r w:rsidR="007F0F84">
        <w:t xml:space="preserve"> differ</w:t>
      </w:r>
      <w:r w:rsidR="00F470BD">
        <w:t xml:space="preserve"> in their</w:t>
      </w:r>
      <w:r w:rsidR="007F0F84">
        <w:t xml:space="preserve"> values for the type and variety of opportunities.</w:t>
      </w:r>
      <w:r w:rsidR="0053168B">
        <w:t xml:space="preserve"> Identifying the stores that could potentially be accessed by individual</w:t>
      </w:r>
      <w:r w:rsidR="00AC457D">
        <w:t>s</w:t>
      </w:r>
      <w:r w:rsidR="0053168B">
        <w:t xml:space="preserve"> also necessitates understanding the relative accessibilit</w:t>
      </w:r>
      <w:r w:rsidR="006A2462">
        <w:t>ies of people based on their feasible travel modes and flexibility of time.</w:t>
      </w:r>
      <w:r w:rsidR="00E64218">
        <w:t xml:space="preserve"> The addition of contextual layers can augment understanding of accessibility from a </w:t>
      </w:r>
      <w:r w:rsidR="006A7785">
        <w:t xml:space="preserve">relative and </w:t>
      </w:r>
      <w:r w:rsidR="00E64218">
        <w:t xml:space="preserve">mental space </w:t>
      </w:r>
      <w:r w:rsidR="00B454E1">
        <w:t>approach</w:t>
      </w:r>
      <w:r w:rsidR="00E64218">
        <w:t xml:space="preserve"> to distinguish local environments where physical opportunities</w:t>
      </w:r>
      <w:r w:rsidR="004D0938">
        <w:t xml:space="preserve"> </w:t>
      </w:r>
      <w:r w:rsidR="00E64218">
        <w:t>are located</w:t>
      </w:r>
      <w:r w:rsidR="009578DF">
        <w:t>. It can also</w:t>
      </w:r>
      <w:r w:rsidR="006A7785">
        <w:t xml:space="preserve"> help understand how some users may </w:t>
      </w:r>
      <w:r w:rsidR="00257CFB">
        <w:t xml:space="preserve">prefer some stores over others due to </w:t>
      </w:r>
      <w:proofErr w:type="gramStart"/>
      <w:r w:rsidR="00257CFB">
        <w:t>a number of</w:t>
      </w:r>
      <w:proofErr w:type="gramEnd"/>
      <w:r w:rsidR="00257CFB">
        <w:t xml:space="preserve"> external factors related to the socioeconomic makeup and physical environment</w:t>
      </w:r>
      <w:r w:rsidR="00E64218">
        <w:t>, as shown in Figure 1</w:t>
      </w:r>
      <w:r w:rsidR="00BE6B08">
        <w:t>6</w:t>
      </w:r>
      <w:r w:rsidR="00E64218">
        <w:t>.</w:t>
      </w:r>
      <w:r w:rsidR="00457BE0">
        <w:t xml:space="preserve"> </w:t>
      </w:r>
      <w:r w:rsidR="00425DAD">
        <w:t>From a qualitative perspective, the ability to understand store characteristics (e.g., POI type) throughout the study area either by hovering-over the store symbols in the 2-D map and 3-D plot, as in Figure 1</w:t>
      </w:r>
      <w:r w:rsidR="00200621">
        <w:t>7</w:t>
      </w:r>
      <w:r w:rsidR="00425DAD">
        <w:t>, as well as local area-based socioeconomic and demographic characteristics can help to theorize why some areas may have more or fewer stores that truly meet the different needs of individuals.</w:t>
      </w:r>
      <w:r w:rsidR="00C438C8">
        <w:t xml:space="preserve"> </w:t>
      </w:r>
      <w:r w:rsidR="00F7748C">
        <w:t xml:space="preserve">Moreover, accounting for the opening hours of stores </w:t>
      </w:r>
      <w:r w:rsidR="00874529">
        <w:t xml:space="preserve">in relation to the schedules of individuals also helps to understand accommodation from a relative space perspective. </w:t>
      </w:r>
      <w:r w:rsidR="00EC7DF1">
        <w:t xml:space="preserve">This first case study </w:t>
      </w:r>
      <w:r w:rsidR="00C97661">
        <w:t xml:space="preserve">thus </w:t>
      </w:r>
      <w:r w:rsidR="00EC7DF1">
        <w:t>exemplifies how access to human needs is necessarily a spatiotemporal phenomenon.</w:t>
      </w:r>
      <w:r w:rsidR="00F5156A">
        <w:t xml:space="preserve"> </w:t>
      </w:r>
      <w:r w:rsidR="00CE5A14">
        <w:t>T</w:t>
      </w:r>
      <w:r w:rsidR="00457BE0">
        <w:t>he next</w:t>
      </w:r>
      <w:r w:rsidR="00D6444E">
        <w:t xml:space="preserve"> two</w:t>
      </w:r>
      <w:r w:rsidR="00457BE0">
        <w:t xml:space="preserve"> case stud</w:t>
      </w:r>
      <w:r w:rsidR="00D6444E">
        <w:t>ies</w:t>
      </w:r>
      <w:r w:rsidR="00CE5A14">
        <w:t xml:space="preserve"> further discuss how</w:t>
      </w:r>
      <w:r w:rsidR="00457BE0">
        <w:t xml:space="preserve"> the GIS can also support researchers in understanding </w:t>
      </w:r>
      <w:r w:rsidR="0036617D">
        <w:t xml:space="preserve">other dimensions of access to </w:t>
      </w:r>
      <w:r w:rsidR="007E2DFD">
        <w:t>calculate potential access more accurately</w:t>
      </w:r>
      <w:r w:rsidR="0036617D">
        <w:t xml:space="preserve"> for individuals, such as </w:t>
      </w:r>
      <w:r w:rsidR="00D6444E">
        <w:t xml:space="preserve">accessibility from a relational </w:t>
      </w:r>
      <w:r w:rsidR="00CE5A14">
        <w:t xml:space="preserve">and mental </w:t>
      </w:r>
      <w:r w:rsidR="00D6444E">
        <w:t>space perspective whereby virtual communications and relations can be explicitly considered.</w:t>
      </w:r>
    </w:p>
    <w:p w14:paraId="0F52BEDB" w14:textId="62377349" w:rsidR="005A679B" w:rsidRPr="003B51B6" w:rsidRDefault="00831145" w:rsidP="003B51B6">
      <w:pPr>
        <w:pStyle w:val="Heading2"/>
        <w:spacing w:after="240"/>
        <w:jc w:val="center"/>
        <w:rPr>
          <w:rFonts w:ascii="Times New Roman" w:hAnsi="Times New Roman" w:cs="Times New Roman"/>
          <w:b/>
          <w:bCs/>
          <w:color w:val="auto"/>
        </w:rPr>
      </w:pPr>
      <w:bookmarkStart w:id="133" w:name="_Toc114258062"/>
      <w:r w:rsidRPr="003B51B6">
        <w:rPr>
          <w:rFonts w:ascii="Times New Roman" w:hAnsi="Times New Roman" w:cs="Times New Roman"/>
          <w:b/>
          <w:bCs/>
          <w:color w:val="auto"/>
        </w:rPr>
        <w:lastRenderedPageBreak/>
        <w:t>5</w:t>
      </w:r>
      <w:r w:rsidR="005A679B" w:rsidRPr="003B51B6">
        <w:rPr>
          <w:rFonts w:ascii="Times New Roman" w:hAnsi="Times New Roman" w:cs="Times New Roman"/>
          <w:b/>
          <w:bCs/>
          <w:color w:val="auto"/>
        </w:rPr>
        <w:t xml:space="preserve">.2. </w:t>
      </w:r>
      <w:r w:rsidR="003B51B6" w:rsidRPr="003B51B6">
        <w:rPr>
          <w:rFonts w:ascii="Times New Roman" w:hAnsi="Times New Roman" w:cs="Times New Roman"/>
          <w:b/>
          <w:bCs/>
          <w:color w:val="auto"/>
        </w:rPr>
        <w:t>CASE STUDY</w:t>
      </w:r>
      <w:r w:rsidR="005A679B" w:rsidRPr="003B51B6">
        <w:rPr>
          <w:rFonts w:ascii="Times New Roman" w:hAnsi="Times New Roman" w:cs="Times New Roman"/>
          <w:b/>
          <w:bCs/>
          <w:color w:val="auto"/>
        </w:rPr>
        <w:t xml:space="preserve"> 2:</w:t>
      </w:r>
      <w:r w:rsidR="00605CE7" w:rsidRPr="003B51B6">
        <w:rPr>
          <w:rFonts w:ascii="Times New Roman" w:hAnsi="Times New Roman" w:cs="Times New Roman"/>
          <w:b/>
          <w:bCs/>
          <w:color w:val="auto"/>
        </w:rPr>
        <w:t xml:space="preserve"> What opportunities may be accessed by an individual and by what modalities, e.g., in person, online, or both?</w:t>
      </w:r>
      <w:bookmarkEnd w:id="133"/>
    </w:p>
    <w:p w14:paraId="64ED31F9" w14:textId="77174829" w:rsidR="008B586A" w:rsidRDefault="00FA32DE" w:rsidP="00156BEA">
      <w:pPr>
        <w:spacing w:line="480" w:lineRule="auto"/>
      </w:pPr>
      <w:r>
        <w:rPr>
          <w:b/>
          <w:bCs/>
        </w:rPr>
        <w:tab/>
      </w:r>
      <w:r>
        <w:t xml:space="preserve">The second case study examines </w:t>
      </w:r>
      <w:r w:rsidR="00E50099">
        <w:t>how people can potentially access food opportunities by different shopping modalities</w:t>
      </w:r>
      <w:r w:rsidR="00D976AB">
        <w:t xml:space="preserve">. In addition to the mobilities, feasible travel modes, and </w:t>
      </w:r>
      <w:r w:rsidR="00021FCF">
        <w:t>travel/activity patterns</w:t>
      </w:r>
      <w:r w:rsidR="00755DFA">
        <w:t xml:space="preserve"> that help to understand relative accessibility</w:t>
      </w:r>
      <w:r w:rsidR="00555130">
        <w:t xml:space="preserve"> of individuals to </w:t>
      </w:r>
      <w:r w:rsidR="00C606B9">
        <w:t xml:space="preserve">physical </w:t>
      </w:r>
      <w:r w:rsidR="00555130">
        <w:t>opportunities at their different locations over time</w:t>
      </w:r>
      <w:r w:rsidR="00021FCF">
        <w:t xml:space="preserve">, considering </w:t>
      </w:r>
      <w:r w:rsidR="00037D82">
        <w:t xml:space="preserve">the technological aptitudes and preferences of individuals helps to understand </w:t>
      </w:r>
      <w:r w:rsidR="006A17D2">
        <w:t>the opportunities they can also reach</w:t>
      </w:r>
      <w:r w:rsidR="008C70B0">
        <w:t xml:space="preserve"> virtually</w:t>
      </w:r>
      <w:r w:rsidR="00755DFA">
        <w:t>, or relational accessibility</w:t>
      </w:r>
      <w:r w:rsidR="008C70B0">
        <w:t>.</w:t>
      </w:r>
      <w:r w:rsidR="007A5DA0">
        <w:t xml:space="preserve"> While scholars have developed GIS</w:t>
      </w:r>
      <w:r w:rsidR="00D33096">
        <w:t xml:space="preserve"> to </w:t>
      </w:r>
      <w:r w:rsidR="006C463C">
        <w:t xml:space="preserve">model travel and activity patterns in </w:t>
      </w:r>
      <w:r w:rsidR="00D33096">
        <w:t xml:space="preserve">both physical and virtual spaces </w:t>
      </w:r>
      <w:r w:rsidR="00D33096">
        <w:fldChar w:fldCharType="begin"/>
      </w:r>
      <w:r w:rsidR="00D33096">
        <w:instrText xml:space="preserve"> ADDIN ZOTERO_ITEM CSL_CITATION {"citationID":"vIwhlZir","properties":{"formattedCitation":"(Shaw &amp; Yu, 2009; Yu &amp; Shaw, 2008)","plainCitation":"(Shaw &amp; Yu, 2009; Yu &amp; Shaw, 2008)","noteIndex":0},"citationItems":[{"id":45,"uris":["http://zotero.org/users/5090392/items/BYS36MZR"],"itemData":{"id":45,"type":"article-journal","abstract":"Modern information and communication technologies (ICT) are changing human activity and travel patterns that could have significant implications to our everyday lives and the human organization of space. Time geography, which examines human activities under various constraints in a space–time context, provides a useful framework to analyze the complex spatio-temporal relationships among activities and interactions taking place in both physical and virtual spaces. However, virtual activities and interactions conducted via ICT have characteristics that cannot be properly represented and analyzed under the classical time-geographic framework. This paper extends classical time-geographic concepts to accommodate the needs of representing and analyzing all activities and interactions in a hybrid physical–virtual space. In addition, this paper presents a space–time geographic information system (GIS) design that is capable of organizing complex activity and interaction data as spatio-temporal processes in an integrated space–time environment. This space–time GIS design offers a useful analytical environment for researchers to study increasingly dynamic human activity and travel patterns in today’s society and their implications toward changing travel demand patterns from both spatial and temporal perspectives.","collection-title":"ICT and the Shaping of Access, Mobility and Everyday Life","container-title":"Journal of Transport Geography","DOI":"10.1016/j.jtrangeo.2008.11.012","ISSN":"0966-6923","issue":"2","journalAbbreviation":"Journal of Transport Geography","page":"141-149","source":"ScienceDirect","title":"A GIS-based time-geographic approach of studying individual activities and interactions in a hybrid physical–virtual space","URL":"http://www.sciencedirect.com/science/article/pii/S0966692308001324","volume":"17","author":[{"family":"Shaw","given":"Shih-Lung"},{"family":"Yu","given":"Hongbo"}],"accessed":{"date-parts":[["2018",9,12]]},"issued":{"date-parts":[["2009",3,1]]}}},{"id":48,"uris":["http://zotero.org/users/5090392/items/MJB5C4PF"],"itemData":{"id":48,"type":"article-journal","abstract":"Today, the opportunity for potential human activity has gone beyond physical space to virtual space. Based on a proposed conceptual framework that models the relationships between physical and virtual spaces, this paper presents an attempt to adjust the space–time prism concept of Hägerstrand's time geography to identify potential a</w:instrText>
      </w:r>
      <w:r w:rsidR="00D33096">
        <w:rPr>
          <w:rFonts w:hint="eastAsia"/>
        </w:rPr>
        <w:instrText>ctivity opportunities in virtual space, focusing on the virtual space access channels available in physical space. A three</w:instrText>
      </w:r>
      <w:r w:rsidR="00D33096">
        <w:rPr>
          <w:rFonts w:hint="eastAsia"/>
        </w:rPr>
        <w:instrText>‐</w:instrText>
      </w:r>
      <w:r w:rsidR="00D33096">
        <w:rPr>
          <w:rFonts w:hint="eastAsia"/>
        </w:rPr>
        <w:instrText>dimensional (3D) spatio</w:instrText>
      </w:r>
      <w:r w:rsidR="00D33096">
        <w:rPr>
          <w:rFonts w:hint="eastAsia"/>
        </w:rPr>
        <w:instrText>‐</w:instrText>
      </w:r>
      <w:r w:rsidR="00D33096">
        <w:rPr>
          <w:rFonts w:hint="eastAsia"/>
        </w:rPr>
        <w:instrText>temporal Geographic Information System (GIS) design has been developed in this research to accommodate the a</w:instrText>
      </w:r>
      <w:r w:rsidR="00D33096">
        <w:instrText>djusted space–time prism concept to support the representation, visualization, and analysis of potential human activities and interactions in physical and virtual spaces using the prism representation. Following the design, a prototype system has been suc</w:instrText>
      </w:r>
      <w:r w:rsidR="00D33096">
        <w:rPr>
          <w:rFonts w:hint="eastAsia"/>
        </w:rPr>
        <w:instrText>cessfully implemented in a 3D GIS environment. Such a system can provide powerful analytical tools for studies related to potential human activities and applications such as location</w:instrText>
      </w:r>
      <w:r w:rsidR="00D33096">
        <w:rPr>
          <w:rFonts w:hint="eastAsia"/>
        </w:rPr>
        <w:instrText>‐</w:instrText>
      </w:r>
      <w:r w:rsidR="00D33096">
        <w:rPr>
          <w:rFonts w:hint="eastAsia"/>
        </w:rPr>
        <w:instrText>based services (LBS) and accessibility analysis in the information age."</w:instrText>
      </w:r>
      <w:r w:rsidR="00D33096">
        <w:instrText>,"container-title":"International Journal of Geographical Information Science","DOI":"10.1080/13658810701427569","ISSN":"1365-8816","issue":"4","page":"409-430","source":"Taylor and Francis+NEJM","title":"Exploring potential human activities in physical a</w:instrText>
      </w:r>
      <w:r w:rsidR="00D33096">
        <w:rPr>
          <w:rFonts w:hint="eastAsia"/>
        </w:rPr>
        <w:instrText>nd virtual spaces: a spatio</w:instrText>
      </w:r>
      <w:r w:rsidR="00D33096">
        <w:rPr>
          <w:rFonts w:hint="eastAsia"/>
        </w:rPr>
        <w:instrText>‐</w:instrText>
      </w:r>
      <w:r w:rsidR="00D33096">
        <w:rPr>
          <w:rFonts w:hint="eastAsia"/>
        </w:rPr>
        <w:instrText>temporal GIS approach","title-short":"Exploring potential human activities in physical and virtual spaces","URL":"https://doi.org/10.1080/13658810701427569","volume":"22","author":[{"family":"Yu","given":"Hongbo"},{"family":"Sh</w:instrText>
      </w:r>
      <w:r w:rsidR="00D33096">
        <w:instrText xml:space="preserve">aw","given":"Shih-Lung"}],"accessed":{"date-parts":[["2018",9,12]]},"issued":{"date-parts":[["2008",4,1]]}}}],"schema":"https://github.com/citation-style-language/schema/raw/master/csl-citation.json"} </w:instrText>
      </w:r>
      <w:r w:rsidR="00D33096">
        <w:fldChar w:fldCharType="separate"/>
      </w:r>
      <w:r w:rsidR="00967900" w:rsidRPr="00967900">
        <w:t>(Shaw &amp; Yu, 2009; Yu &amp; Shaw, 2008)</w:t>
      </w:r>
      <w:r w:rsidR="00D33096">
        <w:fldChar w:fldCharType="end"/>
      </w:r>
      <w:r w:rsidR="006C463C">
        <w:t xml:space="preserve">, </w:t>
      </w:r>
      <w:r w:rsidR="00166F93">
        <w:t xml:space="preserve">to the author’s knowledge, </w:t>
      </w:r>
      <w:r w:rsidR="006C463C">
        <w:t xml:space="preserve">no attempt has been made to </w:t>
      </w:r>
      <w:r w:rsidR="00166F93">
        <w:t xml:space="preserve">use such a model to understand access </w:t>
      </w:r>
      <w:r w:rsidR="005A667B">
        <w:t xml:space="preserve">to food and other human needs </w:t>
      </w:r>
      <w:r w:rsidR="00166F93">
        <w:t xml:space="preserve">in a hybrid physical-virtual </w:t>
      </w:r>
      <w:r w:rsidR="006A17D2">
        <w:t>space</w:t>
      </w:r>
      <w:r w:rsidR="00166F93">
        <w:t>.</w:t>
      </w:r>
    </w:p>
    <w:p w14:paraId="0379D06F" w14:textId="19E991EF" w:rsidR="000C74CE" w:rsidRDefault="000C74CE" w:rsidP="00156BEA">
      <w:pPr>
        <w:spacing w:line="480" w:lineRule="auto"/>
      </w:pPr>
      <w:r>
        <w:tab/>
      </w:r>
      <w:r w:rsidR="00850479">
        <w:t xml:space="preserve">Analyzing the ease to which individuals can reach stores online </w:t>
      </w:r>
      <w:r w:rsidR="00E929D8">
        <w:t>can involve a behavioral indicator</w:t>
      </w:r>
      <w:r w:rsidR="003D7BAD">
        <w:t xml:space="preserve"> (</w:t>
      </w:r>
      <w:proofErr w:type="spellStart"/>
      <w:r w:rsidR="003D7BAD">
        <w:rPr>
          <w:i/>
          <w:iCs/>
        </w:rPr>
        <w:t>digitallit</w:t>
      </w:r>
      <w:proofErr w:type="spellEnd"/>
      <w:r w:rsidR="003D7BAD">
        <w:rPr>
          <w:i/>
          <w:iCs/>
        </w:rPr>
        <w:t xml:space="preserve"> </w:t>
      </w:r>
      <w:r w:rsidR="003D7BAD">
        <w:t>in Dataset 3)</w:t>
      </w:r>
      <w:r w:rsidR="00E929D8">
        <w:t xml:space="preserve"> for whether someone has access to </w:t>
      </w:r>
      <w:r w:rsidR="00212AB7">
        <w:t xml:space="preserve">a device that can connect to the Internet and </w:t>
      </w:r>
      <w:r w:rsidR="00E929D8">
        <w:t xml:space="preserve">is capable </w:t>
      </w:r>
      <w:r w:rsidR="00577794">
        <w:t>and willing to use the device to reach online-based services such as grocery delivery.</w:t>
      </w:r>
      <w:r w:rsidR="001453F4">
        <w:t xml:space="preserve"> A</w:t>
      </w:r>
      <w:r w:rsidR="007913AE">
        <w:t xml:space="preserve"> back-end function </w:t>
      </w:r>
      <w:r w:rsidR="00A224F5">
        <w:t xml:space="preserve">in the GIS was developed </w:t>
      </w:r>
      <w:r w:rsidR="007913AE">
        <w:t xml:space="preserve">to </w:t>
      </w:r>
      <w:r w:rsidR="00A058BC">
        <w:t>identify whether individuals could reach stores online</w:t>
      </w:r>
      <w:r w:rsidR="00B9796C">
        <w:t xml:space="preserve">. The function is conceptually simple: for every individual, if they </w:t>
      </w:r>
      <w:r w:rsidR="00BD2BD8">
        <w:t>can and are able to use online services (i.e., they have access to ICT, are digitally literate, and willing to use online services)</w:t>
      </w:r>
      <w:r w:rsidR="003D7BAD">
        <w:t>,</w:t>
      </w:r>
      <w:r w:rsidR="00FE28B8">
        <w:t xml:space="preserve"> identify </w:t>
      </w:r>
      <w:r w:rsidR="00AC04BF">
        <w:t xml:space="preserve">and sum up </w:t>
      </w:r>
      <w:r w:rsidR="00FE28B8">
        <w:t xml:space="preserve">all stores </w:t>
      </w:r>
      <w:r w:rsidR="00C55075">
        <w:t xml:space="preserve">that have online services (based on the ‘Service Options’ variables </w:t>
      </w:r>
      <w:r w:rsidR="00AC04BF">
        <w:t>in Dataset 1)</w:t>
      </w:r>
      <w:r w:rsidR="00F073D8">
        <w:t xml:space="preserve">. Together with the </w:t>
      </w:r>
      <w:r w:rsidR="00464A3C">
        <w:t>function/</w:t>
      </w:r>
      <w:r w:rsidR="00F073D8">
        <w:t xml:space="preserve">algorithm to calculate shortest paths and feasible </w:t>
      </w:r>
      <w:r w:rsidR="00464A3C">
        <w:t xml:space="preserve">physical </w:t>
      </w:r>
      <w:r w:rsidR="00F073D8">
        <w:t xml:space="preserve">opportunities </w:t>
      </w:r>
      <w:r w:rsidR="00464A3C">
        <w:t xml:space="preserve">discussed in the previous case study, it is possible to identify whether individuals solely have physical or virtual access to a particular store </w:t>
      </w:r>
      <w:r w:rsidR="008474F6">
        <w:t>or hybrid access, if they can reach a store both physically and virtually.</w:t>
      </w:r>
      <w:r w:rsidR="009E1B99">
        <w:t xml:space="preserve"> </w:t>
      </w:r>
      <w:r w:rsidR="00D2297E">
        <w:t xml:space="preserve">Thus, this new development also enables quantification of the opportunities that can potentially be accessed by specific modality. </w:t>
      </w:r>
      <w:r w:rsidR="009E1B99">
        <w:t xml:space="preserve">From a social equity perspective, </w:t>
      </w:r>
      <w:r w:rsidR="002C2B5A">
        <w:t xml:space="preserve">these metrics enable </w:t>
      </w:r>
      <w:r w:rsidR="00D2297E">
        <w:t xml:space="preserve">comparison </w:t>
      </w:r>
      <w:r w:rsidR="009E1B99">
        <w:t xml:space="preserve">of the </w:t>
      </w:r>
      <w:r w:rsidR="009E1B99">
        <w:lastRenderedPageBreak/>
        <w:t xml:space="preserve">opportunities </w:t>
      </w:r>
      <w:r w:rsidR="002C2B5A">
        <w:t>for different individuals and can reveal how t</w:t>
      </w:r>
      <w:r w:rsidR="00670BBC">
        <w:t>he digital divide may exacerbate inequalities in the opportunities accessible to people.</w:t>
      </w:r>
    </w:p>
    <w:p w14:paraId="30902FA7" w14:textId="7677C17A" w:rsidR="00C21A5A" w:rsidRDefault="00C21A5A" w:rsidP="00156BEA">
      <w:pPr>
        <w:spacing w:line="480" w:lineRule="auto"/>
      </w:pPr>
      <w:r>
        <w:tab/>
        <w:t xml:space="preserve">This subsection first presents a case study of Person </w:t>
      </w:r>
      <w:r>
        <w:rPr>
          <w:i/>
          <w:iCs/>
        </w:rPr>
        <w:t>C</w:t>
      </w:r>
      <w:r>
        <w:t xml:space="preserve"> who is an international female college student from Kuwait living on-campus with a work-study job at UTK and no personal vehicle. As a result, she can only get around by public transit or foot. She has little disposable income and is halal, so most food on-campus is not consumable for her, but she is very capable with technology and computers and is willing to use online services. In other words, her personal physical travel limitations restrict her relative accessibility, or the ease to which she can physically reach different stores, but her ability and willingness to navigate the Internet and order groceries online enhances her accessibility from a relational space perspective. The different characteristics relating to her accessibility are input into the functions to calculate the number of opportunities reachable physically, virtually, or by both modalities.</w:t>
      </w:r>
    </w:p>
    <w:p w14:paraId="6B466931" w14:textId="1FC378A1" w:rsidR="00A13B15" w:rsidRDefault="00A13B15" w:rsidP="00A13B15">
      <w:pPr>
        <w:spacing w:line="480" w:lineRule="auto"/>
        <w:ind w:firstLine="720"/>
      </w:pPr>
      <w:r>
        <w:t xml:space="preserve">Figure 18 shows a sizable number of opportunities potentially accessible to </w:t>
      </w:r>
      <w:r>
        <w:rPr>
          <w:i/>
          <w:iCs/>
        </w:rPr>
        <w:t>C</w:t>
      </w:r>
      <w:r>
        <w:t xml:space="preserve">, with access to 64 physical, 54 virtual, and 36 hybrid opportunities. The top-left map indicates that there are two convenience stores and one grocery store near her dorm on campus. Despite her relatively limited travels as demarcated by her nearly straight-line trajectory and small travel radius, the flexible schedule of </w:t>
      </w:r>
      <w:r>
        <w:rPr>
          <w:i/>
          <w:iCs/>
        </w:rPr>
        <w:t xml:space="preserve">C </w:t>
      </w:r>
      <w:r>
        <w:t>as a student and on-campus work-study employee means she can potentially reach and buy food at many stores throughout the county with public transit and by foot. And her technological capabilities further increase the opportunities available to her.</w:t>
      </w:r>
    </w:p>
    <w:p w14:paraId="28F78B70" w14:textId="3BACFE16" w:rsidR="0036177C" w:rsidRPr="00C55075" w:rsidRDefault="0036177C" w:rsidP="00A13B15">
      <w:pPr>
        <w:spacing w:line="480" w:lineRule="auto"/>
        <w:ind w:firstLine="720"/>
      </w:pPr>
      <w:r>
        <w:t xml:space="preserve">The food network shown in the bottom-left panel indicates with colored lines the modalities by which </w:t>
      </w:r>
      <w:r>
        <w:rPr>
          <w:i/>
          <w:iCs/>
        </w:rPr>
        <w:t>C</w:t>
      </w:r>
      <w:r>
        <w:t xml:space="preserve"> can reach these different opportunities, with an associated name and Google </w:t>
      </w:r>
      <w:proofErr w:type="spellStart"/>
      <w:r>
        <w:t>PlusCode</w:t>
      </w:r>
      <w:proofErr w:type="spellEnd"/>
      <w:r>
        <w:t xml:space="preserve"> description.</w:t>
      </w:r>
    </w:p>
    <w:p w14:paraId="2386D031" w14:textId="77777777" w:rsidR="008C70B0" w:rsidRPr="0036177C" w:rsidRDefault="00EF73D7" w:rsidP="00156BEA">
      <w:pPr>
        <w:keepNext/>
        <w:spacing w:line="480" w:lineRule="auto"/>
        <w:jc w:val="center"/>
      </w:pPr>
      <w:r w:rsidRPr="0036177C">
        <w:rPr>
          <w:noProof/>
        </w:rPr>
        <w:lastRenderedPageBreak/>
        <w:drawing>
          <wp:inline distT="0" distB="0" distL="0" distR="0" wp14:anchorId="06CD0144" wp14:editId="757B5CD0">
            <wp:extent cx="5943600" cy="22066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206625"/>
                    </a:xfrm>
                    <a:prstGeom prst="rect">
                      <a:avLst/>
                    </a:prstGeom>
                  </pic:spPr>
                </pic:pic>
              </a:graphicData>
            </a:graphic>
          </wp:inline>
        </w:drawing>
      </w:r>
      <w:r w:rsidR="00AE63ED" w:rsidRPr="0036177C">
        <w:rPr>
          <w:b/>
          <w:bCs/>
        </w:rPr>
        <w:br/>
      </w:r>
      <w:r w:rsidR="00AE63ED" w:rsidRPr="0036177C">
        <w:rPr>
          <w:noProof/>
        </w:rPr>
        <w:drawing>
          <wp:inline distT="0" distB="0" distL="0" distR="0" wp14:anchorId="138EA514" wp14:editId="435F2B32">
            <wp:extent cx="5943600" cy="1672523"/>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1672523"/>
                    </a:xfrm>
                    <a:prstGeom prst="rect">
                      <a:avLst/>
                    </a:prstGeom>
                  </pic:spPr>
                </pic:pic>
              </a:graphicData>
            </a:graphic>
          </wp:inline>
        </w:drawing>
      </w:r>
    </w:p>
    <w:p w14:paraId="2A47101B" w14:textId="0543EA1E" w:rsidR="00A13B15" w:rsidRPr="0036177C" w:rsidRDefault="008C70B0" w:rsidP="00A13B15">
      <w:pPr>
        <w:pStyle w:val="Caption"/>
        <w:spacing w:line="480" w:lineRule="auto"/>
        <w:jc w:val="center"/>
        <w:rPr>
          <w:color w:val="auto"/>
        </w:rPr>
      </w:pPr>
      <w:bookmarkStart w:id="134" w:name="_Toc114258116"/>
      <w:r w:rsidRPr="0036177C">
        <w:rPr>
          <w:color w:val="auto"/>
        </w:rPr>
        <w:t xml:space="preserve">Figure </w:t>
      </w:r>
      <w:r w:rsidR="00B9244D" w:rsidRPr="0036177C">
        <w:rPr>
          <w:color w:val="auto"/>
        </w:rPr>
        <w:fldChar w:fldCharType="begin"/>
      </w:r>
      <w:r w:rsidR="00B9244D" w:rsidRPr="0036177C">
        <w:rPr>
          <w:color w:val="auto"/>
        </w:rPr>
        <w:instrText xml:space="preserve"> SEQ Figure \* ARABIC </w:instrText>
      </w:r>
      <w:r w:rsidR="00B9244D" w:rsidRPr="0036177C">
        <w:rPr>
          <w:color w:val="auto"/>
        </w:rPr>
        <w:fldChar w:fldCharType="separate"/>
      </w:r>
      <w:r w:rsidR="00C42D79">
        <w:rPr>
          <w:noProof/>
          <w:color w:val="auto"/>
        </w:rPr>
        <w:t>18</w:t>
      </w:r>
      <w:r w:rsidR="00B9244D" w:rsidRPr="0036177C">
        <w:rPr>
          <w:noProof/>
          <w:color w:val="auto"/>
        </w:rPr>
        <w:fldChar w:fldCharType="end"/>
      </w:r>
      <w:r w:rsidRPr="0036177C">
        <w:rPr>
          <w:color w:val="auto"/>
        </w:rPr>
        <w:t>. Opportunities accessible to Person C</w:t>
      </w:r>
      <w:r w:rsidR="003147F2" w:rsidRPr="0036177C">
        <w:rPr>
          <w:color w:val="auto"/>
        </w:rPr>
        <w:t xml:space="preserve"> (5)</w:t>
      </w:r>
      <w:bookmarkEnd w:id="134"/>
    </w:p>
    <w:p w14:paraId="6923E496" w14:textId="77777777" w:rsidR="0036177C" w:rsidRDefault="0036177C">
      <w:r>
        <w:br w:type="page"/>
      </w:r>
    </w:p>
    <w:p w14:paraId="20A3182C" w14:textId="769C66E2" w:rsidR="00BB643B" w:rsidRDefault="00BB643B" w:rsidP="0036177C">
      <w:pPr>
        <w:spacing w:line="480" w:lineRule="auto"/>
      </w:pPr>
      <w:r>
        <w:lastRenderedPageBreak/>
        <w:t xml:space="preserve">In contrast to existing approaches which only identify the physical opportunities accessible, this new approach finds a 54% increase in opportunities for </w:t>
      </w:r>
      <w:r>
        <w:rPr>
          <w:i/>
          <w:iCs/>
        </w:rPr>
        <w:t>C</w:t>
      </w:r>
      <w:r>
        <w:t xml:space="preserve"> in a two-day period; this was obtained by dividing 54 virtual opportunities by the total number of physically reachable opportunities: 64 physical + 3</w:t>
      </w:r>
      <w:r w:rsidR="00D93783">
        <w:t>5</w:t>
      </w:r>
      <w:r>
        <w:t xml:space="preserve"> hybrid opportunities, 54</w:t>
      </w:r>
      <w:proofErr w:type="gramStart"/>
      <w:r>
        <w:t>/(</w:t>
      </w:r>
      <w:proofErr w:type="gramEnd"/>
      <w:r>
        <w:t>64+3</w:t>
      </w:r>
      <w:r w:rsidR="00D93783">
        <w:t>5</w:t>
      </w:r>
      <w:r>
        <w:t>).</w:t>
      </w:r>
      <w:r w:rsidR="00D93783">
        <w:t xml:space="preserve"> This means that in total, she potentially has access to a total of </w:t>
      </w:r>
      <w:r w:rsidR="00B715AE">
        <w:t>153 opportunities.</w:t>
      </w:r>
      <w:r>
        <w:t xml:space="preserve"> Even if </w:t>
      </w:r>
      <w:r>
        <w:rPr>
          <w:i/>
          <w:iCs/>
        </w:rPr>
        <w:t>C</w:t>
      </w:r>
      <w:r>
        <w:t xml:space="preserve"> was constrained in time, for example if she took more shifts as a work-study employee or was studying more during finals week, the emergence of virtual-based services such as grocery delivery and online app-based shopping means that she and other individuals can spend significantly less time selecting, purchasing, and getting food delivered to wherever she is during the opening hours of stores. </w:t>
      </w:r>
      <w:r w:rsidR="003F22BA">
        <w:t xml:space="preserve">This understanding necessarily involves understanding a </w:t>
      </w:r>
      <w:r w:rsidR="007C68EB">
        <w:t xml:space="preserve">range of dimensions important to access from different perspectives: </w:t>
      </w:r>
      <w:r w:rsidR="0068443C">
        <w:t xml:space="preserve">the relative accessibility of individuals to reach stores based on their </w:t>
      </w:r>
      <w:r w:rsidR="00EC739D">
        <w:t xml:space="preserve">sequence of fixed and discretionary activities, relational accessibility enabled by use of ICT </w:t>
      </w:r>
      <w:r w:rsidR="001D03A9">
        <w:t xml:space="preserve">and virtual-based services, and </w:t>
      </w:r>
      <w:r w:rsidR="007C68EB">
        <w:t xml:space="preserve">relative accommodation of business hours </w:t>
      </w:r>
      <w:r w:rsidR="0068443C">
        <w:t xml:space="preserve">to the free time of individuals. </w:t>
      </w:r>
      <w:r>
        <w:t xml:space="preserve">A cursory overview of the stores in the food network also suggests that </w:t>
      </w:r>
      <w:proofErr w:type="gramStart"/>
      <w:r>
        <w:t>the majority of</w:t>
      </w:r>
      <w:proofErr w:type="gramEnd"/>
      <w:r>
        <w:t xml:space="preserve"> the stores </w:t>
      </w:r>
      <w:r>
        <w:rPr>
          <w:i/>
          <w:iCs/>
        </w:rPr>
        <w:t xml:space="preserve">C </w:t>
      </w:r>
      <w:r>
        <w:t xml:space="preserve">can physically reach span a range of store types, from traditional grocery stores to convenience stores. Meanwhile, the store names labelled at the end of the blue and yellow line connections suggest that </w:t>
      </w:r>
      <w:proofErr w:type="gramStart"/>
      <w:r>
        <w:t>the majority of</w:t>
      </w:r>
      <w:proofErr w:type="gramEnd"/>
      <w:r>
        <w:t xml:space="preserve"> virtual-based food providers are larger retailers such as Kroger, Aldi, and Target.</w:t>
      </w:r>
      <w:r w:rsidR="00956ABE">
        <w:t xml:space="preserve"> The network also enables understanding of the </w:t>
      </w:r>
      <w:r w:rsidR="000E0790">
        <w:t xml:space="preserve">availability of different store brands which may be perceived differently between individuals. While not shown, </w:t>
      </w:r>
      <w:r w:rsidR="00C76547">
        <w:t xml:space="preserve">a simple query on store name in the Food Stores Table is able to capture </w:t>
      </w:r>
      <w:r w:rsidR="008C0D9A">
        <w:t xml:space="preserve">these perceptions which relates to a mental space approach to </w:t>
      </w:r>
      <w:r w:rsidR="00CC431B">
        <w:t xml:space="preserve">acceptability. People may </w:t>
      </w:r>
      <w:r w:rsidR="007804C1">
        <w:t xml:space="preserve">associate a certain view of a store brand that </w:t>
      </w:r>
      <w:r w:rsidR="0010521C">
        <w:t>they find acceptable or not acceptable, and this would consequently affect the opportunities potentially accessible to them.</w:t>
      </w:r>
    </w:p>
    <w:p w14:paraId="1FDF0EF6" w14:textId="440AAABB" w:rsidR="001E314E" w:rsidRDefault="001E314E" w:rsidP="00156BEA">
      <w:pPr>
        <w:spacing w:line="480" w:lineRule="auto"/>
        <w:ind w:firstLine="720"/>
      </w:pPr>
      <w:r>
        <w:lastRenderedPageBreak/>
        <w:t xml:space="preserve">But there exists a significant population without sufficient technological capabilities to even navigate the internet, let alone buy groceries online. Figure 19 illustrates how the web GIS looks for person </w:t>
      </w:r>
      <w:r>
        <w:rPr>
          <w:i/>
          <w:iCs/>
        </w:rPr>
        <w:t>D</w:t>
      </w:r>
      <w:r>
        <w:t xml:space="preserve"> who is a 56-year-old rural white farmer that owns a small plot of land raising livestock in north Knox County. The left-hand side map shows the only point in time when the farmer is traveling beyond his farm-home and to a Walmart. Despite similar activity patterns with </w:t>
      </w:r>
      <w:r>
        <w:rPr>
          <w:i/>
          <w:iCs/>
        </w:rPr>
        <w:t>C</w:t>
      </w:r>
      <w:r>
        <w:t xml:space="preserve"> as both are mostly confined to their home locations, </w:t>
      </w:r>
      <w:r>
        <w:rPr>
          <w:i/>
          <w:iCs/>
        </w:rPr>
        <w:t>D</w:t>
      </w:r>
      <w:r>
        <w:t xml:space="preserve"> cannot obtain food through virtual-based mediums, so he only has access to 58 physical stores, which is roughly 38% of the opportunities potentially accessible to </w:t>
      </w:r>
      <w:r>
        <w:rPr>
          <w:i/>
          <w:iCs/>
        </w:rPr>
        <w:t>C</w:t>
      </w:r>
      <w:r>
        <w:t>.  His inability and willingness to use virtual-based services means that his accessibility from a relational space perspective is effectively null; he has access to a total of zero virtual and hybrid opportunities. The disparity in virtual (</w:t>
      </w:r>
      <w:r>
        <w:rPr>
          <w:i/>
          <w:iCs/>
        </w:rPr>
        <w:t>C</w:t>
      </w:r>
      <w:r>
        <w:t xml:space="preserve">: 54 vs. </w:t>
      </w:r>
      <w:r>
        <w:rPr>
          <w:i/>
          <w:iCs/>
        </w:rPr>
        <w:t>D</w:t>
      </w:r>
      <w:r>
        <w:t>: 0) and hybrid (</w:t>
      </w:r>
      <w:r>
        <w:rPr>
          <w:i/>
          <w:iCs/>
        </w:rPr>
        <w:t>C</w:t>
      </w:r>
      <w:r>
        <w:t xml:space="preserve">: 35 vs. </w:t>
      </w:r>
      <w:r>
        <w:rPr>
          <w:i/>
          <w:iCs/>
        </w:rPr>
        <w:t>D</w:t>
      </w:r>
      <w:r>
        <w:t xml:space="preserve">: 0) opportunities is also far greater between </w:t>
      </w:r>
      <w:r>
        <w:rPr>
          <w:i/>
          <w:iCs/>
        </w:rPr>
        <w:t xml:space="preserve">C </w:t>
      </w:r>
      <w:r>
        <w:t xml:space="preserve">and </w:t>
      </w:r>
      <w:r>
        <w:rPr>
          <w:i/>
          <w:iCs/>
        </w:rPr>
        <w:t>D</w:t>
      </w:r>
      <w:r>
        <w:t>. His food network depicts a lack of blue and yellow lines with all potential opportunities indicated by a green line which means he can only access them physically.</w:t>
      </w:r>
    </w:p>
    <w:p w14:paraId="6844987B" w14:textId="5DB42992" w:rsidR="00B07527" w:rsidRPr="00BB643B" w:rsidRDefault="00B07527" w:rsidP="00156BEA">
      <w:pPr>
        <w:spacing w:line="480" w:lineRule="auto"/>
        <w:ind w:firstLine="720"/>
      </w:pPr>
      <w:commentRangeStart w:id="135"/>
      <w:commentRangeStart w:id="136"/>
      <w:r>
        <w:t xml:space="preserve">Such a difference could be attributed to the difference in their local geographies whereby </w:t>
      </w:r>
      <w:r>
        <w:rPr>
          <w:i/>
          <w:iCs/>
        </w:rPr>
        <w:t>D</w:t>
      </w:r>
      <w:r>
        <w:t xml:space="preserve"> lives in a remote and sparsely populated part of the county while </w:t>
      </w:r>
      <w:r>
        <w:rPr>
          <w:i/>
          <w:iCs/>
        </w:rPr>
        <w:t>C</w:t>
      </w:r>
      <w:r>
        <w:t xml:space="preserve"> is located in downtown and closer to other parts of the county with more food stores.</w:t>
      </w:r>
      <w:commentRangeEnd w:id="135"/>
      <w:r>
        <w:rPr>
          <w:rStyle w:val="CommentReference"/>
        </w:rPr>
        <w:commentReference w:id="135"/>
      </w:r>
      <w:commentRangeEnd w:id="136"/>
      <w:r>
        <w:rPr>
          <w:rStyle w:val="CommentReference"/>
        </w:rPr>
        <w:commentReference w:id="136"/>
      </w:r>
      <w:r>
        <w:t xml:space="preserve"> This explanation is plausible especially because hybrid opportunities are determined as those that can be reached physically and virtually, which means that hybrid opportunities, in the absence of the willingness and capacity to use online-based services, can effectively be considered as physical opportunities. So even if </w:t>
      </w:r>
      <w:r>
        <w:rPr>
          <w:i/>
          <w:iCs/>
        </w:rPr>
        <w:t xml:space="preserve">C </w:t>
      </w:r>
      <w:r>
        <w:t xml:space="preserve">was not capable of accessibility from a relational space perspective (i.e., not able to use online services to order groceries), she would still have time to travel to and shop for food at the physical locations of the hybrid opportunities which would bring her total number of potentially </w:t>
      </w:r>
      <w:r w:rsidR="00600374">
        <w:t xml:space="preserve">accessible physical opportunities to 99 (64 physical + 35 </w:t>
      </w:r>
      <w:proofErr w:type="gramStart"/>
      <w:r w:rsidR="00600374">
        <w:t>hybrid;</w:t>
      </w:r>
      <w:proofErr w:type="gramEnd"/>
      <w:r w:rsidR="00600374">
        <w:t xml:space="preserve"> 170% greater physical</w:t>
      </w:r>
    </w:p>
    <w:p w14:paraId="6107AE71" w14:textId="77777777" w:rsidR="00EB59F9" w:rsidRPr="00600374" w:rsidRDefault="00AC1F40" w:rsidP="00156BEA">
      <w:pPr>
        <w:keepNext/>
        <w:spacing w:line="480" w:lineRule="auto"/>
        <w:jc w:val="center"/>
      </w:pPr>
      <w:r w:rsidRPr="00B07527">
        <w:rPr>
          <w:noProof/>
        </w:rPr>
        <w:lastRenderedPageBreak/>
        <w:drawing>
          <wp:inline distT="0" distB="0" distL="0" distR="0" wp14:anchorId="0FFF9D3C" wp14:editId="279A3DF0">
            <wp:extent cx="5943600" cy="21602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160270"/>
                    </a:xfrm>
                    <a:prstGeom prst="rect">
                      <a:avLst/>
                    </a:prstGeom>
                  </pic:spPr>
                </pic:pic>
              </a:graphicData>
            </a:graphic>
          </wp:inline>
        </w:drawing>
      </w:r>
      <w:r w:rsidR="00CA7B5B" w:rsidRPr="00B07527">
        <w:rPr>
          <w:b/>
          <w:bCs/>
        </w:rPr>
        <w:br/>
      </w:r>
      <w:r w:rsidR="00CA7B5B" w:rsidRPr="00600374">
        <w:rPr>
          <w:noProof/>
        </w:rPr>
        <w:drawing>
          <wp:inline distT="0" distB="0" distL="0" distR="0" wp14:anchorId="10B26F29" wp14:editId="06B9C12E">
            <wp:extent cx="5943600" cy="16560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656080"/>
                    </a:xfrm>
                    <a:prstGeom prst="rect">
                      <a:avLst/>
                    </a:prstGeom>
                  </pic:spPr>
                </pic:pic>
              </a:graphicData>
            </a:graphic>
          </wp:inline>
        </w:drawing>
      </w:r>
    </w:p>
    <w:p w14:paraId="1EC4ED05" w14:textId="14EE028A" w:rsidR="00600374" w:rsidRPr="00600374" w:rsidRDefault="00EB59F9" w:rsidP="00600374">
      <w:pPr>
        <w:pStyle w:val="Caption"/>
        <w:spacing w:line="480" w:lineRule="auto"/>
        <w:jc w:val="center"/>
        <w:rPr>
          <w:b/>
          <w:bCs/>
          <w:color w:val="auto"/>
        </w:rPr>
      </w:pPr>
      <w:bookmarkStart w:id="137" w:name="_Toc114258117"/>
      <w:r w:rsidRPr="00600374">
        <w:rPr>
          <w:color w:val="auto"/>
        </w:rPr>
        <w:t xml:space="preserve">Figure </w:t>
      </w:r>
      <w:r w:rsidR="00B9244D" w:rsidRPr="00600374">
        <w:rPr>
          <w:color w:val="auto"/>
        </w:rPr>
        <w:fldChar w:fldCharType="begin"/>
      </w:r>
      <w:r w:rsidR="00B9244D" w:rsidRPr="00600374">
        <w:rPr>
          <w:color w:val="auto"/>
        </w:rPr>
        <w:instrText xml:space="preserve"> SEQ Figure \* ARABIC </w:instrText>
      </w:r>
      <w:r w:rsidR="00B9244D" w:rsidRPr="00600374">
        <w:rPr>
          <w:color w:val="auto"/>
        </w:rPr>
        <w:fldChar w:fldCharType="separate"/>
      </w:r>
      <w:r w:rsidR="00C42D79">
        <w:rPr>
          <w:noProof/>
          <w:color w:val="auto"/>
        </w:rPr>
        <w:t>19</w:t>
      </w:r>
      <w:r w:rsidR="00B9244D" w:rsidRPr="00600374">
        <w:rPr>
          <w:noProof/>
          <w:color w:val="auto"/>
        </w:rPr>
        <w:fldChar w:fldCharType="end"/>
      </w:r>
      <w:r w:rsidRPr="00600374">
        <w:rPr>
          <w:color w:val="auto"/>
        </w:rPr>
        <w:t>. Opportunities accessible to Person D</w:t>
      </w:r>
      <w:r w:rsidR="003147F2" w:rsidRPr="00600374">
        <w:rPr>
          <w:color w:val="auto"/>
        </w:rPr>
        <w:t xml:space="preserve"> (27)</w:t>
      </w:r>
      <w:bookmarkEnd w:id="137"/>
    </w:p>
    <w:p w14:paraId="7F59DF1D" w14:textId="77777777" w:rsidR="00600374" w:rsidRDefault="00600374">
      <w:r>
        <w:br w:type="page"/>
      </w:r>
    </w:p>
    <w:p w14:paraId="42BEEA9F" w14:textId="42309AEC" w:rsidR="00CA7B5B" w:rsidRDefault="00B07527" w:rsidP="00156BEA">
      <w:pPr>
        <w:spacing w:line="480" w:lineRule="auto"/>
      </w:pPr>
      <w:r>
        <w:lastRenderedPageBreak/>
        <w:t xml:space="preserve">opportunities than </w:t>
      </w:r>
      <w:r>
        <w:rPr>
          <w:i/>
          <w:iCs/>
        </w:rPr>
        <w:t>D</w:t>
      </w:r>
      <w:r>
        <w:t>.</w:t>
      </w:r>
      <w:r w:rsidR="00600374">
        <w:t xml:space="preserve">) </w:t>
      </w:r>
      <w:r w:rsidR="002E40F2">
        <w:t>Th</w:t>
      </w:r>
      <w:r w:rsidR="00FA7EC8">
        <w:t xml:space="preserve">is alone however does not explain the differences </w:t>
      </w:r>
      <w:r w:rsidR="00D56959">
        <w:t xml:space="preserve">in virtual opportunities which means that food access necessarily requires understanding not just the mobilities and spatiotemporal </w:t>
      </w:r>
      <w:r w:rsidR="00E76FB5">
        <w:t xml:space="preserve">characteristics of individuals but also their capabilities in an increasingly physical-virtual world. </w:t>
      </w:r>
      <w:r w:rsidR="003958E1">
        <w:t xml:space="preserve">The density of stores in the physical landscape could </w:t>
      </w:r>
      <w:proofErr w:type="gramStart"/>
      <w:r w:rsidR="003958E1">
        <w:t>be a reflection of</w:t>
      </w:r>
      <w:proofErr w:type="gramEnd"/>
      <w:r w:rsidR="003958E1">
        <w:t xml:space="preserve"> the underlying dynamics of the environment, such as population distribution, which relates to availability from a relative space perspective. It could also be attributed to socioeconomic forces that require a relative space perspective to affordability. Areas will differ in the opportunities they contain owing to a number of external factors such as historical supermarket redlining whereby major chain supermarkets (1) are less inclined to establish a physical location in low-income neighborhoods and/or (2) relocate existing branches to wealthier suburban areas </w:t>
      </w:r>
      <w:r w:rsidR="003958E1">
        <w:fldChar w:fldCharType="begin"/>
      </w:r>
      <w:r w:rsidR="003958E1">
        <w:instrText xml:space="preserve"> ADDIN ZOTERO_ITEM CSL_CITATION {"citationID":"rz2xnQJQ","properties":{"formattedCitation":"(Eisenhauer, 2001)","plainCitation":"(Eisenhauer, 2001)","noteIndex":0},"citationItems":[{"id":1927,"uris":["http://zotero.org/users/5090392/items/WR2LAGYK"],"itemData":{"id":1927,"type":"article-journal","abstract":"Over the past 100 years, ethnic minorities and the poor have become increasingly concentrated and isolated in low-income urban neighborhoods. While the demographic changes in cities are well documented, the parallel history of urban retailing is less well known. Little research has been done on changes in urban food retailing, particularly as they concern the urban poor. As the residential character of urban neighborhoods changed during the 20th century, so did the amenities available in those neighborhoods. The low point for urban retailing was in the 1980s, when cities experienced a net loss of supermarkets even as, nationally, store openings exceeded closings. The trend toward fewer, bigger stores located outside cities has continued to the present. Some critics have referred to this disinclination of large chains to locate in cities as ‘supermarket redlining’. Changes in food availability are a key element in the changing social conditions of the urban poor and, as good nutrition is critical for good health, a contributing factor in the decline of urban health. This paper will examine changes in urban retail food availability, the impact these changes have had on the health status of the urban poor, strategies utilized by the urban poor to address inadequate access to quality food sources, and the role of supermarkets in distressed communities.","container-title":"GeoJournal","language":"en","page":"125-133","source":"Zotero","title":"In poor health: Supermarket redlining and urban nutrition","volume":"53","author":[{"family":"Eisenhauer","given":"Elizabeth"}],"issued":{"date-parts":[["2001",12,10]]}}}],"schema":"https://github.com/citation-style-language/schema/raw/master/csl-citation.json"} </w:instrText>
      </w:r>
      <w:r w:rsidR="003958E1">
        <w:fldChar w:fldCharType="separate"/>
      </w:r>
      <w:r w:rsidR="003958E1" w:rsidRPr="00726A03">
        <w:t>(Eisenhauer, 2001)</w:t>
      </w:r>
      <w:r w:rsidR="003958E1">
        <w:fldChar w:fldCharType="end"/>
      </w:r>
      <w:r w:rsidR="003958E1">
        <w:t xml:space="preserve">. As the first case study demonstrated, contextual map layers </w:t>
      </w:r>
      <w:r w:rsidR="009D4293">
        <w:t>such as</w:t>
      </w:r>
      <w:r w:rsidR="003958E1">
        <w:t xml:space="preserve"> </w:t>
      </w:r>
      <w:r w:rsidR="003918FC">
        <w:t xml:space="preserve">total population, </w:t>
      </w:r>
      <w:r w:rsidR="009D4293">
        <w:t xml:space="preserve">median income, </w:t>
      </w:r>
      <w:r w:rsidR="003918FC">
        <w:t xml:space="preserve">and </w:t>
      </w:r>
      <w:r w:rsidR="009D4293">
        <w:t xml:space="preserve">poverty can all be </w:t>
      </w:r>
      <w:r w:rsidR="001D0069">
        <w:t xml:space="preserve">displayed to further identify where stores are located with respect to the underlying </w:t>
      </w:r>
      <w:r w:rsidR="00EF035F">
        <w:t xml:space="preserve">demographic and </w:t>
      </w:r>
      <w:r w:rsidR="001D0069">
        <w:t xml:space="preserve">socioeconomic characteristics of the area. </w:t>
      </w:r>
      <w:r w:rsidR="00E76FB5">
        <w:t>Access to food requires new innovative approaches that can differentiate between opportunities reachable by different modalities</w:t>
      </w:r>
      <w:r w:rsidR="00C333AF">
        <w:t xml:space="preserve"> and subsequently that access and its dimensions be considered from different perspectives of space.</w:t>
      </w:r>
    </w:p>
    <w:p w14:paraId="7C9AB4F2" w14:textId="172A9F87" w:rsidR="004E01EC" w:rsidRPr="00786169" w:rsidRDefault="004E01EC" w:rsidP="00156BEA">
      <w:pPr>
        <w:spacing w:line="480" w:lineRule="auto"/>
      </w:pPr>
      <w:r>
        <w:tab/>
      </w:r>
      <w:r w:rsidR="00DB6A2C">
        <w:t>The</w:t>
      </w:r>
      <w:r w:rsidR="00EF035F">
        <w:t xml:space="preserve"> contribution of the</w:t>
      </w:r>
      <w:r w:rsidR="00DB6A2C">
        <w:t xml:space="preserve"> proposed algorithm to analyze and calculate the total number of opportunities in physical, virtual, and hybrid space that can potentially be accessed by </w:t>
      </w:r>
      <w:proofErr w:type="gramStart"/>
      <w:r w:rsidR="00DB6A2C">
        <w:t>each individual</w:t>
      </w:r>
      <w:proofErr w:type="gramEnd"/>
      <w:r w:rsidR="00DB6A2C">
        <w:t xml:space="preserve"> is also applicable to </w:t>
      </w:r>
      <w:r w:rsidR="00F155DE">
        <w:t>other human needs. Notably, the rapid growth and adoption of telehealth prompted by Covid-19 necessitates renewed efforts in understanding access to health and medical care</w:t>
      </w:r>
      <w:r w:rsidR="00EF25CD">
        <w:t xml:space="preserve"> </w:t>
      </w:r>
      <w:r w:rsidR="00F559E7">
        <w:t xml:space="preserve">services </w:t>
      </w:r>
      <w:r w:rsidR="00EF25CD">
        <w:fldChar w:fldCharType="begin"/>
      </w:r>
      <w:r w:rsidR="00EF25CD">
        <w:instrText xml:space="preserve"> ADDIN ZOTERO_ITEM CSL_CITATION {"citationID":"2SUZPaig","properties":{"formattedCitation":"(Alford-Teaster et al., 2021)","plainCitation":"(Alford-Teaster et al., 2021)","noteIndex":0},"citationItems":[{"id":1499,"uris":["http://zotero.org/users/5090392/items/5V7FI3FN"],"itemData":{"id":1499,"type":"article-journal","abstract":"Abstract\n            The COVID-19 (coronavirus disease 2019) pandemic has expanded telehealth utilization in unprecedented ways and has important implications for measuring geographic access to healthcare services. Established measures of geographic access to care have focused on the spatial impedance of patients in seeking health care that pertains to specific transportation modes and do not account for the underlying broadband network that supports telemedicine and e-health. To be able to measure the impact of telehealth on healthcare access, we created a pilot augmentation of existing methods to incorporate measures of broadband accessibility to measure geographic access to telehealth. A reliable measure of telehealth accessibility is important to enable policy analysts to assess whether the increasing prevalence of telehealth may help alleviate the disparities in healthcare access in rural areas and for disadvantaged populations, or exacerbate the existing gaps as they experience “double burdens.”","container-title":"Journal of the American Medical Informatics Association","DOI":"10.1093/jamia/ocab149","ISSN":"1527-974X","issue":"11","language":"en","page":"2526-2530","source":"DOI.org (Crossref)","title":"Incorporating broadband durability in measuring geographic access to health care in the era of telehealth: A case example of the 2-step virtual catchment area (2SVCA) Method","title-short":"Incorporating broadband durability in measuring geographic access to health care in the era of telehealth","URL":"https://academic.oup.com/jamia/article/28/11/2526/6355335","volume":"28","author":[{"family":"Alford-Teaster","given":"Jennifer"},{"family":"Wang","given":"Fahui"},{"family":"Tosteson","given":"Anna N A"},{"family":"Onega","given":"Tracy"}],"accessed":{"date-parts":[["2022",3,31]]},"issued":{"date-parts":[["2021",10,12]]}}}],"schema":"https://github.com/citation-style-language/schema/raw/master/csl-citation.json"} </w:instrText>
      </w:r>
      <w:r w:rsidR="00EF25CD">
        <w:fldChar w:fldCharType="separate"/>
      </w:r>
      <w:r w:rsidR="00EF25CD" w:rsidRPr="00EF25CD">
        <w:t>(Alford-Teaster et al., 2021)</w:t>
      </w:r>
      <w:r w:rsidR="00EF25CD">
        <w:fldChar w:fldCharType="end"/>
      </w:r>
      <w:r w:rsidR="00F155DE">
        <w:t>.</w:t>
      </w:r>
      <w:r w:rsidR="00F559E7">
        <w:t xml:space="preserve"> Similarly, the massive shift to remote work </w:t>
      </w:r>
      <w:r w:rsidR="00406DAB">
        <w:t xml:space="preserve">also requires a shift towards </w:t>
      </w:r>
      <w:r w:rsidR="00C1455A">
        <w:t xml:space="preserve">understanding </w:t>
      </w:r>
      <w:r w:rsidR="00406DAB">
        <w:t xml:space="preserve">access in a physical-virtual world, and not just a physical world. New </w:t>
      </w:r>
      <w:r w:rsidR="00BB34B7">
        <w:t xml:space="preserve">and emerging virtual-based </w:t>
      </w:r>
      <w:r w:rsidR="00406DAB">
        <w:t xml:space="preserve">services </w:t>
      </w:r>
      <w:r w:rsidR="00626044">
        <w:t xml:space="preserve">have revolutionized vital and important </w:t>
      </w:r>
      <w:r w:rsidR="00626044">
        <w:lastRenderedPageBreak/>
        <w:t xml:space="preserve">activities </w:t>
      </w:r>
      <w:r w:rsidR="00B93594">
        <w:t xml:space="preserve">in the daily lives of people. Virtual space has enlarged the total number of potential opportunities for those capable of navigating online but also simultaneously widens the divide between those who are digitally connected and those who are not. </w:t>
      </w:r>
      <w:r w:rsidR="00B91C1E">
        <w:t xml:space="preserve">In this sense, </w:t>
      </w:r>
      <w:r w:rsidR="00B4535D">
        <w:t xml:space="preserve">new </w:t>
      </w:r>
      <w:r w:rsidR="00B91C1E">
        <w:t xml:space="preserve">inequalities in access to different human needs </w:t>
      </w:r>
      <w:r w:rsidR="00B4535D">
        <w:t>may be emerging that need greater recognition and</w:t>
      </w:r>
      <w:r w:rsidR="00BB34B7">
        <w:t xml:space="preserve"> </w:t>
      </w:r>
      <w:r w:rsidR="00B4535D">
        <w:t>understanding</w:t>
      </w:r>
      <w:r w:rsidR="00BB34B7">
        <w:t>.</w:t>
      </w:r>
      <w:r w:rsidR="00AE15B9">
        <w:t xml:space="preserve"> This case study proposes one way to systematically analyze access in a physical-virtual world and heeds </w:t>
      </w:r>
      <w:r w:rsidR="00DF01B7">
        <w:t>the call to consider the social implications of emerging access inequalities rooted in the digital divide.</w:t>
      </w:r>
    </w:p>
    <w:p w14:paraId="1AF0AB41" w14:textId="0E765FEA" w:rsidR="005A679B" w:rsidRPr="003B51B6" w:rsidRDefault="00831145" w:rsidP="00F23F24">
      <w:pPr>
        <w:pStyle w:val="Heading2"/>
        <w:spacing w:after="240"/>
        <w:jc w:val="center"/>
        <w:rPr>
          <w:rFonts w:ascii="Times New Roman" w:hAnsi="Times New Roman" w:cs="Times New Roman"/>
          <w:b/>
          <w:bCs/>
          <w:color w:val="auto"/>
        </w:rPr>
      </w:pPr>
      <w:bookmarkStart w:id="138" w:name="_Toc114258063"/>
      <w:r w:rsidRPr="003B51B6">
        <w:rPr>
          <w:rFonts w:ascii="Times New Roman" w:hAnsi="Times New Roman" w:cs="Times New Roman"/>
          <w:b/>
          <w:bCs/>
          <w:color w:val="auto"/>
        </w:rPr>
        <w:t>5</w:t>
      </w:r>
      <w:r w:rsidR="005A679B" w:rsidRPr="003B51B6">
        <w:rPr>
          <w:rFonts w:ascii="Times New Roman" w:hAnsi="Times New Roman" w:cs="Times New Roman"/>
          <w:b/>
          <w:bCs/>
          <w:color w:val="auto"/>
        </w:rPr>
        <w:t xml:space="preserve">.3. </w:t>
      </w:r>
      <w:r w:rsidR="003B51B6" w:rsidRPr="003B51B6">
        <w:rPr>
          <w:rFonts w:ascii="Times New Roman" w:hAnsi="Times New Roman" w:cs="Times New Roman"/>
          <w:b/>
          <w:bCs/>
          <w:color w:val="auto"/>
        </w:rPr>
        <w:t>CASE STUDY 3</w:t>
      </w:r>
      <w:r w:rsidR="005A679B" w:rsidRPr="003B51B6">
        <w:rPr>
          <w:rFonts w:ascii="Times New Roman" w:hAnsi="Times New Roman" w:cs="Times New Roman"/>
          <w:b/>
          <w:bCs/>
          <w:color w:val="auto"/>
        </w:rPr>
        <w:t>:</w:t>
      </w:r>
      <w:r w:rsidR="00C541E3" w:rsidRPr="003B51B6">
        <w:rPr>
          <w:rFonts w:ascii="Times New Roman" w:hAnsi="Times New Roman" w:cs="Times New Roman"/>
          <w:b/>
          <w:bCs/>
          <w:color w:val="auto"/>
        </w:rPr>
        <w:t xml:space="preserve"> What opportunities may be accessed by an individual via their social networks, in other words, what are the second, third, </w:t>
      </w:r>
      <w:commentRangeStart w:id="139"/>
      <w:commentRangeStart w:id="140"/>
      <w:r w:rsidR="00C541E3" w:rsidRPr="003B51B6">
        <w:rPr>
          <w:rFonts w:ascii="Times New Roman" w:hAnsi="Times New Roman" w:cs="Times New Roman"/>
          <w:b/>
          <w:bCs/>
          <w:color w:val="auto"/>
        </w:rPr>
        <w:t>n</w:t>
      </w:r>
      <w:r w:rsidR="00F23F24">
        <w:rPr>
          <w:rFonts w:ascii="Times New Roman" w:hAnsi="Times New Roman" w:cs="Times New Roman"/>
          <w:b/>
          <w:bCs/>
          <w:color w:val="auto"/>
        </w:rPr>
        <w:t>th</w:t>
      </w:r>
      <w:r w:rsidR="00C541E3" w:rsidRPr="003B51B6">
        <w:rPr>
          <w:rFonts w:ascii="Times New Roman" w:hAnsi="Times New Roman" w:cs="Times New Roman"/>
          <w:b/>
          <w:bCs/>
          <w:color w:val="auto"/>
        </w:rPr>
        <w:t xml:space="preserve">-order opportunities </w:t>
      </w:r>
      <w:commentRangeEnd w:id="139"/>
      <w:r w:rsidR="00D75E0C">
        <w:rPr>
          <w:rStyle w:val="CommentReference"/>
          <w:rFonts w:ascii="Times New Roman" w:eastAsiaTheme="minorEastAsia" w:hAnsi="Times New Roman" w:cs="Times New Roman"/>
          <w:color w:val="auto"/>
        </w:rPr>
        <w:commentReference w:id="139"/>
      </w:r>
      <w:commentRangeEnd w:id="140"/>
      <w:r w:rsidR="00D75E0C">
        <w:rPr>
          <w:rStyle w:val="CommentReference"/>
          <w:rFonts w:ascii="Times New Roman" w:eastAsiaTheme="minorEastAsia" w:hAnsi="Times New Roman" w:cs="Times New Roman"/>
          <w:color w:val="auto"/>
        </w:rPr>
        <w:commentReference w:id="140"/>
      </w:r>
      <w:r w:rsidR="00C541E3" w:rsidRPr="003B51B6">
        <w:rPr>
          <w:rFonts w:ascii="Times New Roman" w:hAnsi="Times New Roman" w:cs="Times New Roman"/>
          <w:b/>
          <w:bCs/>
          <w:color w:val="auto"/>
        </w:rPr>
        <w:t>accessible to people based on who they know?</w:t>
      </w:r>
      <w:bookmarkEnd w:id="138"/>
    </w:p>
    <w:p w14:paraId="0E3417B3" w14:textId="5495714F" w:rsidR="00EB59F9" w:rsidRDefault="00EB59F9" w:rsidP="00156BEA">
      <w:pPr>
        <w:spacing w:line="480" w:lineRule="auto"/>
      </w:pPr>
      <w:r>
        <w:rPr>
          <w:b/>
          <w:bCs/>
        </w:rPr>
        <w:tab/>
      </w:r>
      <w:r w:rsidR="001A027A">
        <w:t xml:space="preserve">The previous case study </w:t>
      </w:r>
      <w:r w:rsidR="00C520EF">
        <w:t xml:space="preserve">demonstrated how the food network can be used to inform </w:t>
      </w:r>
      <w:proofErr w:type="gramStart"/>
      <w:r w:rsidR="00C520EF">
        <w:t>the means by which</w:t>
      </w:r>
      <w:proofErr w:type="gramEnd"/>
      <w:r w:rsidR="00C520EF">
        <w:t xml:space="preserve"> individuals can access different food opportunities. </w:t>
      </w:r>
      <w:r w:rsidR="000C7E9C">
        <w:t>But how can social networks and relations</w:t>
      </w:r>
      <w:r w:rsidR="001D0069">
        <w:t>hips between individuals and other entities (e.g., stores</w:t>
      </w:r>
      <w:r w:rsidR="002B2C9B">
        <w:t>)</w:t>
      </w:r>
      <w:r w:rsidR="000C7E9C">
        <w:t xml:space="preserve"> also be integrated in spatial analytical approaches to food access? This case study discusses the </w:t>
      </w:r>
      <w:r w:rsidR="007803D0">
        <w:t xml:space="preserve">contribution and </w:t>
      </w:r>
      <w:r w:rsidR="000C7E9C">
        <w:t xml:space="preserve">exploration of individual social networks to </w:t>
      </w:r>
      <w:r w:rsidR="00017BA8">
        <w:t xml:space="preserve">identify second, third, and </w:t>
      </w:r>
      <w:r w:rsidR="00017BA8">
        <w:rPr>
          <w:i/>
          <w:iCs/>
        </w:rPr>
        <w:t>n</w:t>
      </w:r>
      <w:r w:rsidR="00017BA8">
        <w:t>-order opportunities.</w:t>
      </w:r>
      <w:r w:rsidR="002B2C9B">
        <w:t xml:space="preserve"> </w:t>
      </w:r>
      <w:proofErr w:type="gramStart"/>
      <w:r w:rsidR="00A74CD6">
        <w:t>In reality, it</w:t>
      </w:r>
      <w:proofErr w:type="gramEnd"/>
      <w:r w:rsidR="00A74CD6">
        <w:t xml:space="preserve"> is unlikely that people go beyond third-order opportunities, but this GIS has functionality to identify such opportunities. </w:t>
      </w:r>
      <w:r w:rsidR="002B2C9B">
        <w:t xml:space="preserve">The focus here is on the dimensions of access from a relational space perspective that explicitly considers the </w:t>
      </w:r>
      <w:r w:rsidR="00A74CD6">
        <w:t>institutions, relationships, and other forces that come to influence the food opportunities which people can potentially access.</w:t>
      </w:r>
    </w:p>
    <w:p w14:paraId="740616F5" w14:textId="5BCC55DE" w:rsidR="00244040" w:rsidRDefault="006C6B60" w:rsidP="00156BEA">
      <w:pPr>
        <w:spacing w:line="480" w:lineRule="auto"/>
      </w:pPr>
      <w:r>
        <w:tab/>
        <w:t>From an analytical perspective, deriving (food and other) networks involves the construction of a network graph</w:t>
      </w:r>
      <w:r w:rsidR="00332E44">
        <w:t xml:space="preserve">. </w:t>
      </w:r>
      <w:r w:rsidR="00C623AD">
        <w:t>Conventional quantitative approaches</w:t>
      </w:r>
      <w:r w:rsidR="00332E44">
        <w:t xml:space="preserve"> implicitly assume </w:t>
      </w:r>
      <w:r w:rsidR="00BA0CDA">
        <w:t xml:space="preserve">relationships between just people and stores (i.e., that individuals only go to food stores </w:t>
      </w:r>
      <w:r w:rsidR="00781321">
        <w:t xml:space="preserve">for food). </w:t>
      </w:r>
      <w:r w:rsidR="00C623AD">
        <w:t xml:space="preserve">However, </w:t>
      </w:r>
      <w:r w:rsidR="00D05739">
        <w:t xml:space="preserve">people can reach out to others to procure food, such as a </w:t>
      </w:r>
      <w:r w:rsidR="00397D5F">
        <w:t>mother dropping off groceries to her daughter</w:t>
      </w:r>
      <w:r w:rsidR="006F54A7">
        <w:t xml:space="preserve">. Conceptually, relationships can also exist between people. </w:t>
      </w:r>
      <w:r w:rsidR="00991E2B">
        <w:t>A f</w:t>
      </w:r>
      <w:r w:rsidR="00254385">
        <w:t xml:space="preserve">unction </w:t>
      </w:r>
      <w:r w:rsidR="00254385">
        <w:lastRenderedPageBreak/>
        <w:t xml:space="preserve">to derive a network graph was developed to model these relationships and expand understanding </w:t>
      </w:r>
      <w:r w:rsidR="000F62EA">
        <w:t xml:space="preserve">of individual access to opportunities. Following the derivation of physical, virtual, and hybrid opportunities </w:t>
      </w:r>
      <w:r w:rsidR="00FB3451">
        <w:t xml:space="preserve">discussed in the previous two case studies, the </w:t>
      </w:r>
      <w:r w:rsidR="0038765A">
        <w:t>function</w:t>
      </w:r>
      <w:r w:rsidR="00FB3451">
        <w:t xml:space="preserve"> </w:t>
      </w:r>
      <w:r w:rsidR="00386768">
        <w:t xml:space="preserve">creates </w:t>
      </w:r>
      <w:r w:rsidR="00FC270C">
        <w:t xml:space="preserve">nodes for all individuals and stores and </w:t>
      </w:r>
      <w:r w:rsidR="00386768">
        <w:t>edges indicating the type of interaction between individual-individual and individual-store.</w:t>
      </w:r>
      <w:r w:rsidR="00FC270C">
        <w:t xml:space="preserve"> The total number of connections to stores, by modality, for </w:t>
      </w:r>
      <w:proofErr w:type="gramStart"/>
      <w:r w:rsidR="00FC270C">
        <w:t>each individual</w:t>
      </w:r>
      <w:proofErr w:type="gramEnd"/>
      <w:r w:rsidR="00FC270C">
        <w:t xml:space="preserve"> is calculated and stored as attributes displayed in the accessible opportunities counter.</w:t>
      </w:r>
      <w:r w:rsidR="00493A19">
        <w:t xml:space="preserve"> This is another back-end </w:t>
      </w:r>
      <w:r w:rsidR="003E3A76">
        <w:t>process</w:t>
      </w:r>
      <w:r w:rsidR="00493A19">
        <w:t xml:space="preserve"> whereby </w:t>
      </w:r>
      <w:r w:rsidR="005F3D80">
        <w:t xml:space="preserve">any user interaction such as queries on store </w:t>
      </w:r>
      <w:r w:rsidR="00DE56BE">
        <w:t>attributes or individual characteristics and/or hiding/displaying individuals in the 3D Space-Time Paths panel</w:t>
      </w:r>
      <w:r w:rsidR="003E3A76">
        <w:t xml:space="preserve"> while prompt the function to run in the background and update the results and visualizations in the GIS once complete.</w:t>
      </w:r>
      <w:r w:rsidR="00EC670C">
        <w:t xml:space="preserve"> </w:t>
      </w:r>
      <w:r w:rsidR="0019370E">
        <w:t xml:space="preserve">As described next, having this food network can </w:t>
      </w:r>
      <w:r w:rsidR="007870FF">
        <w:t xml:space="preserve">provide a different perspective into how people may procure food. In additional to considering geographic proximity, the network enables analysis of </w:t>
      </w:r>
      <w:r w:rsidR="009920EC">
        <w:t>topological proximity and a relational space approach to access</w:t>
      </w:r>
      <w:r w:rsidR="00C92318">
        <w:t xml:space="preserve"> whereby relationships and interactions between people and other people</w:t>
      </w:r>
      <w:r w:rsidR="00710FE8">
        <w:t xml:space="preserve"> are brought to the forefront</w:t>
      </w:r>
      <w:r w:rsidR="00D0098C">
        <w:t xml:space="preserve">. This new capability to investigate food access can unearth new opportunities </w:t>
      </w:r>
      <w:r w:rsidR="00073B60">
        <w:t>accessible to people by virtue of their relations to others.</w:t>
      </w:r>
    </w:p>
    <w:p w14:paraId="58359DE9" w14:textId="60D9127F" w:rsidR="00940E97" w:rsidRDefault="00940E97" w:rsidP="00156BEA">
      <w:pPr>
        <w:spacing w:line="480" w:lineRule="auto"/>
        <w:ind w:firstLine="720"/>
      </w:pPr>
      <w:r>
        <w:t xml:space="preserve">Person </w:t>
      </w:r>
      <w:r>
        <w:rPr>
          <w:i/>
          <w:iCs/>
        </w:rPr>
        <w:t>E</w:t>
      </w:r>
      <w:r>
        <w:t xml:space="preserve"> is a </w:t>
      </w:r>
      <w:proofErr w:type="gramStart"/>
      <w:r>
        <w:t>41 year-old</w:t>
      </w:r>
      <w:proofErr w:type="gramEnd"/>
      <w:r>
        <w:t xml:space="preserve"> wheelchair-bound Hispanic woman who drives her own car to get around the county. During the week, she works as a cashier at a Goodwill in Hardin Valley and earns roughly $17,000 a year. </w:t>
      </w:r>
      <w:r w:rsidR="003C463F">
        <w:t xml:space="preserve">These characteristics suggest that </w:t>
      </w:r>
      <w:r w:rsidR="00A01969">
        <w:rPr>
          <w:i/>
          <w:iCs/>
        </w:rPr>
        <w:t xml:space="preserve">E </w:t>
      </w:r>
      <w:r w:rsidR="00A01969">
        <w:t xml:space="preserve">likely experiences different barriers </w:t>
      </w:r>
      <w:r w:rsidR="006668F5">
        <w:t xml:space="preserve">than Persons </w:t>
      </w:r>
      <w:r w:rsidR="006668F5">
        <w:rPr>
          <w:i/>
          <w:iCs/>
        </w:rPr>
        <w:t>A</w:t>
      </w:r>
      <w:r w:rsidR="00D864C1">
        <w:t>,</w:t>
      </w:r>
      <w:r w:rsidR="006668F5">
        <w:rPr>
          <w:i/>
          <w:iCs/>
        </w:rPr>
        <w:t xml:space="preserve"> B</w:t>
      </w:r>
      <w:r w:rsidR="00D864C1">
        <w:t>,</w:t>
      </w:r>
      <w:r w:rsidR="006668F5">
        <w:rPr>
          <w:i/>
          <w:iCs/>
        </w:rPr>
        <w:t xml:space="preserve"> C</w:t>
      </w:r>
      <w:r w:rsidR="00D864C1">
        <w:t>,</w:t>
      </w:r>
      <w:r w:rsidR="00981EB1">
        <w:t xml:space="preserve"> and</w:t>
      </w:r>
      <w:r w:rsidR="006668F5">
        <w:rPr>
          <w:i/>
          <w:iCs/>
        </w:rPr>
        <w:t xml:space="preserve"> D</w:t>
      </w:r>
      <w:r w:rsidR="00981EB1">
        <w:rPr>
          <w:i/>
          <w:iCs/>
        </w:rPr>
        <w:t xml:space="preserve"> </w:t>
      </w:r>
      <w:r w:rsidR="004971C8">
        <w:t xml:space="preserve">owing to her wheelchair reliance and thus need for </w:t>
      </w:r>
      <w:r w:rsidR="0040479C">
        <w:t>stores that have wheelchair accommodations</w:t>
      </w:r>
      <w:r w:rsidR="006668F5">
        <w:t>.</w:t>
      </w:r>
      <w:r w:rsidR="00C5073C">
        <w:t xml:space="preserve"> Understanding access for </w:t>
      </w:r>
      <w:r w:rsidR="00C5073C">
        <w:rPr>
          <w:i/>
          <w:iCs/>
        </w:rPr>
        <w:t xml:space="preserve">E </w:t>
      </w:r>
      <w:r w:rsidR="00C5073C">
        <w:t xml:space="preserve">consequently requires considering accommodation from an absolute and mental space perspective: </w:t>
      </w:r>
      <w:r w:rsidR="00BE0DC9">
        <w:t xml:space="preserve">which stores have wheelchair </w:t>
      </w:r>
      <w:r w:rsidR="003D737D">
        <w:t xml:space="preserve">entrances that will </w:t>
      </w:r>
      <w:r w:rsidR="00554FAB">
        <w:t xml:space="preserve">accommodate </w:t>
      </w:r>
      <w:r w:rsidR="00554FAB">
        <w:rPr>
          <w:i/>
          <w:iCs/>
        </w:rPr>
        <w:t>E</w:t>
      </w:r>
      <w:r w:rsidR="003D737D">
        <w:t>?</w:t>
      </w:r>
      <w:r w:rsidR="006668F5">
        <w:t xml:space="preserve"> </w:t>
      </w:r>
      <w:r w:rsidR="00A01969" w:rsidRPr="006668F5">
        <w:t>On</w:t>
      </w:r>
      <w:r w:rsidR="00A01969">
        <w:t xml:space="preserve"> the other hand, d</w:t>
      </w:r>
      <w:r>
        <w:t>espite her physical limitation</w:t>
      </w:r>
      <w:r w:rsidR="00554FAB">
        <w:t xml:space="preserve"> that restricts her opportunity set to only the stores with wheelchair accommodations</w:t>
      </w:r>
      <w:r>
        <w:t xml:space="preserve">, </w:t>
      </w:r>
      <w:r>
        <w:rPr>
          <w:i/>
          <w:iCs/>
        </w:rPr>
        <w:t>E</w:t>
      </w:r>
      <w:r>
        <w:t xml:space="preserve"> </w:t>
      </w:r>
      <w:r>
        <w:lastRenderedPageBreak/>
        <w:t xml:space="preserve">is well-connected with other Hispanic immigrants in the county who can offer to help </w:t>
      </w:r>
      <w:r>
        <w:rPr>
          <w:i/>
          <w:iCs/>
        </w:rPr>
        <w:t>E</w:t>
      </w:r>
      <w:r>
        <w:t xml:space="preserve"> by dropping off groceries at the apartment she rents. </w:t>
      </w:r>
      <w:r w:rsidR="00A01969">
        <w:t xml:space="preserve">This means that her social network expands her abilities to access food </w:t>
      </w:r>
      <w:r w:rsidR="006668F5">
        <w:t xml:space="preserve">even </w:t>
      </w:r>
      <w:r w:rsidR="005C041D">
        <w:t>considering</w:t>
      </w:r>
      <w:r w:rsidR="006668F5">
        <w:t xml:space="preserve"> her physical disability</w:t>
      </w:r>
      <w:r w:rsidR="00554FAB">
        <w:t xml:space="preserve">; </w:t>
      </w:r>
      <w:r w:rsidR="00611547">
        <w:t xml:space="preserve">her accessibility from a relational space perspective is greatly expanded </w:t>
      </w:r>
      <w:r w:rsidR="000573C0">
        <w:t xml:space="preserve">as her friends can help </w:t>
      </w:r>
      <w:r w:rsidR="005C041D">
        <w:t xml:space="preserve">her obtain the food she needs. </w:t>
      </w:r>
      <w:r w:rsidR="00FD2C75">
        <w:t>The previous case study described how the food network could be used to identify the relationships between individuals with food opportunities</w:t>
      </w:r>
      <w:r w:rsidR="00463094">
        <w:t xml:space="preserve"> and this case study additionally </w:t>
      </w:r>
      <w:r w:rsidR="00DF1A0A">
        <w:t>demonstrates how the network can be expanded to also model relationships between individuals</w:t>
      </w:r>
      <w:r w:rsidR="006146DD">
        <w:t xml:space="preserve"> and subsequently the opportunities they potentially have access to</w:t>
      </w:r>
      <w:r w:rsidR="003F3E62">
        <w:t>.</w:t>
      </w:r>
      <w:r w:rsidR="005C041D">
        <w:t xml:space="preserve"> </w:t>
      </w:r>
      <w:r>
        <w:rPr>
          <w:i/>
          <w:iCs/>
        </w:rPr>
        <w:t>E</w:t>
      </w:r>
      <w:r>
        <w:t xml:space="preserve"> is familiar with Person </w:t>
      </w:r>
      <w:r>
        <w:rPr>
          <w:i/>
          <w:iCs/>
        </w:rPr>
        <w:t>A</w:t>
      </w:r>
      <w:r>
        <w:t xml:space="preserve"> as well as </w:t>
      </w:r>
      <w:r w:rsidRPr="005F42CC">
        <w:t>Person</w:t>
      </w:r>
      <w:r>
        <w:rPr>
          <w:i/>
          <w:iCs/>
        </w:rPr>
        <w:t xml:space="preserve"> F</w:t>
      </w:r>
      <w:r>
        <w:t xml:space="preserve"> (</w:t>
      </w:r>
      <w:r w:rsidR="005D3AEE">
        <w:t xml:space="preserve">ID = </w:t>
      </w:r>
      <w:r>
        <w:t xml:space="preserve">19) while both </w:t>
      </w:r>
      <w:r>
        <w:rPr>
          <w:i/>
          <w:iCs/>
        </w:rPr>
        <w:t xml:space="preserve">A </w:t>
      </w:r>
      <w:r>
        <w:t xml:space="preserve">and </w:t>
      </w:r>
      <w:r>
        <w:rPr>
          <w:i/>
          <w:iCs/>
        </w:rPr>
        <w:t>F</w:t>
      </w:r>
      <w:r>
        <w:t xml:space="preserve"> are friends with Person </w:t>
      </w:r>
      <w:r>
        <w:rPr>
          <w:i/>
          <w:iCs/>
        </w:rPr>
        <w:t>G</w:t>
      </w:r>
      <w:r>
        <w:t xml:space="preserve"> (</w:t>
      </w:r>
      <w:r w:rsidR="00F23F24">
        <w:t xml:space="preserve">ID = </w:t>
      </w:r>
      <w:r>
        <w:t xml:space="preserve">44). These relationships can be conceived of as a social network whereby </w:t>
      </w:r>
      <w:r w:rsidRPr="00025C80">
        <w:rPr>
          <w:i/>
          <w:iCs/>
        </w:rPr>
        <w:t>E</w:t>
      </w:r>
      <w:r>
        <w:t xml:space="preserve"> has social ties with </w:t>
      </w:r>
      <w:r>
        <w:rPr>
          <w:i/>
          <w:iCs/>
        </w:rPr>
        <w:t xml:space="preserve">A </w:t>
      </w:r>
      <w:r>
        <w:t xml:space="preserve">and </w:t>
      </w:r>
      <w:r>
        <w:rPr>
          <w:i/>
          <w:iCs/>
        </w:rPr>
        <w:t>F</w:t>
      </w:r>
      <w:r>
        <w:t xml:space="preserve"> who also have social ties with </w:t>
      </w:r>
      <w:r>
        <w:rPr>
          <w:i/>
          <w:iCs/>
        </w:rPr>
        <w:t>G</w:t>
      </w:r>
      <w:r>
        <w:t xml:space="preserve">. This case study will incrementally show first-, second-, and third-order food opportunities accessible to </w:t>
      </w:r>
      <w:r>
        <w:rPr>
          <w:i/>
          <w:iCs/>
        </w:rPr>
        <w:t>G</w:t>
      </w:r>
      <w:r w:rsidR="005064E6">
        <w:rPr>
          <w:i/>
          <w:iCs/>
        </w:rPr>
        <w:t xml:space="preserve"> </w:t>
      </w:r>
      <w:r w:rsidR="005064E6">
        <w:t xml:space="preserve">and how </w:t>
      </w:r>
      <w:r w:rsidR="001A30E6">
        <w:t xml:space="preserve">potential access to </w:t>
      </w:r>
      <w:r w:rsidR="005064E6">
        <w:t xml:space="preserve">food opportunities can be </w:t>
      </w:r>
      <w:r w:rsidR="001A30E6">
        <w:t>incrementally measured by</w:t>
      </w:r>
      <w:r w:rsidR="00123E77">
        <w:t xml:space="preserve"> </w:t>
      </w:r>
      <w:r w:rsidR="00056E35">
        <w:t xml:space="preserve">additionally </w:t>
      </w:r>
      <w:r w:rsidR="00123E77">
        <w:t xml:space="preserve">considering </w:t>
      </w:r>
      <w:r w:rsidR="00056E35">
        <w:t>the social contacts of individuals</w:t>
      </w:r>
      <w:r>
        <w:t>.</w:t>
      </w:r>
    </w:p>
    <w:p w14:paraId="1ABEFDA2" w14:textId="4C24D253" w:rsidR="00256E46" w:rsidRDefault="00940E97" w:rsidP="00156BEA">
      <w:pPr>
        <w:spacing w:line="480" w:lineRule="auto"/>
      </w:pPr>
      <w:r>
        <w:tab/>
        <w:t xml:space="preserve">Figure </w:t>
      </w:r>
      <w:r w:rsidR="00C776C3">
        <w:t>20</w:t>
      </w:r>
      <w:r>
        <w:t xml:space="preserve"> is a screenshot of the first-order opportunities accessible to </w:t>
      </w:r>
      <w:r>
        <w:rPr>
          <w:i/>
          <w:iCs/>
        </w:rPr>
        <w:t xml:space="preserve">E </w:t>
      </w:r>
      <w:r>
        <w:t>without considering wheelchair accessibility.</w:t>
      </w:r>
      <w:r w:rsidR="0070659F">
        <w:t xml:space="preserve"> </w:t>
      </w:r>
      <w:r>
        <w:t xml:space="preserve">Despite her handicap and work obligation, </w:t>
      </w:r>
      <w:r>
        <w:rPr>
          <w:i/>
          <w:iCs/>
        </w:rPr>
        <w:t>E</w:t>
      </w:r>
      <w:r>
        <w:t xml:space="preserve"> still has time before and after work to shop for food at stores. The top-left map indicates that there are no food stores near her </w:t>
      </w:r>
      <w:r w:rsidR="006F65CF">
        <w:t>workplace,</w:t>
      </w:r>
      <w:r>
        <w:t xml:space="preserve"> but the bottom-left food network reveals that </w:t>
      </w:r>
      <w:r>
        <w:rPr>
          <w:i/>
          <w:iCs/>
        </w:rPr>
        <w:t xml:space="preserve">E </w:t>
      </w:r>
      <w:r>
        <w:t xml:space="preserve">has access to a total of 130 different stores. </w:t>
      </w:r>
      <w:r w:rsidR="006F65CF">
        <w:t>However,</w:t>
      </w:r>
      <w:r>
        <w:t xml:space="preserve"> this figure is not accurate as it considers all opportunities to be </w:t>
      </w:r>
      <w:r w:rsidR="00674E59">
        <w:t xml:space="preserve">accessible without </w:t>
      </w:r>
      <w:r w:rsidR="00C86B94">
        <w:t xml:space="preserve">accounting for wheelchair accommodations that individuals like </w:t>
      </w:r>
      <w:r w:rsidR="00C86B94">
        <w:rPr>
          <w:i/>
          <w:iCs/>
        </w:rPr>
        <w:t>E</w:t>
      </w:r>
      <w:r w:rsidR="00C86B94">
        <w:t xml:space="preserve"> require.</w:t>
      </w:r>
      <w:r w:rsidR="00B26217">
        <w:t xml:space="preserve"> This current </w:t>
      </w:r>
      <w:r w:rsidR="00FE7F01">
        <w:t>approach only considers her relative accessibility to stores and accommodation from a relative space approach, or how</w:t>
      </w:r>
      <w:r w:rsidR="00255464">
        <w:t xml:space="preserve"> her periods of discretionary time</w:t>
      </w:r>
      <w:r w:rsidR="00FE4DE6">
        <w:t xml:space="preserve"> throughout the two-day period</w:t>
      </w:r>
      <w:r w:rsidR="00255464">
        <w:t xml:space="preserve"> align with when stores are open.</w:t>
      </w:r>
      <w:r w:rsidR="00C86B94">
        <w:t xml:space="preserve"> A simple query to </w:t>
      </w:r>
      <w:r w:rsidR="00AB09A3">
        <w:t xml:space="preserve">only show </w:t>
      </w:r>
      <w:r w:rsidR="00C86B94">
        <w:t xml:space="preserve">stores </w:t>
      </w:r>
      <w:r w:rsidR="00AB09A3">
        <w:t xml:space="preserve">with wheelchair </w:t>
      </w:r>
      <w:r w:rsidR="00FE4DE6">
        <w:lastRenderedPageBreak/>
        <w:t>infrastructure additionally captures accommodation from an absolute and mental space perspective</w:t>
      </w:r>
      <w:r w:rsidR="00AB518A">
        <w:t>.</w:t>
      </w:r>
    </w:p>
    <w:p w14:paraId="5D4D44DD" w14:textId="394D8793" w:rsidR="00D74352" w:rsidRDefault="00D74352" w:rsidP="00D74352">
      <w:pPr>
        <w:spacing w:line="480" w:lineRule="auto"/>
        <w:ind w:firstLine="720"/>
      </w:pPr>
      <w:r>
        <w:t xml:space="preserve">As shown in the bottom-right table in Figure 21, the addition of the query reduces the opportunity set by 8 stores to a total of 122. Without sufficient technological capabilities that enable access to virtual-based food services, </w:t>
      </w:r>
      <w:r>
        <w:rPr>
          <w:i/>
          <w:iCs/>
        </w:rPr>
        <w:t>E</w:t>
      </w:r>
      <w:r>
        <w:t xml:space="preserve"> still has a sizable number of food stores she can visit and buy food from, and these can be considered as the first-order opportunities accessible to her. But considering social networks in addition to technological capabilities provides a more complete understanding of how interactions and relationships </w:t>
      </w:r>
      <w:proofErr w:type="gramStart"/>
      <w:r>
        <w:t>are able to</w:t>
      </w:r>
      <w:proofErr w:type="gramEnd"/>
      <w:r>
        <w:t xml:space="preserve"> increase the ease to which individuals can reach opportunities. In other words, having both sources of information can enhance understanding of accessibility from a relational space perspective than just either alone, </w:t>
      </w:r>
      <w:proofErr w:type="gramStart"/>
      <w:r>
        <w:t>and</w:t>
      </w:r>
      <w:proofErr w:type="gramEnd"/>
      <w:r>
        <w:t xml:space="preserve"> can help further identify additional opportunities that can be accessed by people.</w:t>
      </w:r>
    </w:p>
    <w:p w14:paraId="16F140DD" w14:textId="77777777" w:rsidR="00AC308E" w:rsidRDefault="00AC308E" w:rsidP="00AC308E">
      <w:pPr>
        <w:spacing w:line="480" w:lineRule="auto"/>
        <w:ind w:firstLine="720"/>
      </w:pPr>
      <w:r>
        <w:t xml:space="preserve">Since it is known that </w:t>
      </w:r>
      <w:r>
        <w:rPr>
          <w:i/>
          <w:iCs/>
        </w:rPr>
        <w:t>E</w:t>
      </w:r>
      <w:r>
        <w:t xml:space="preserve"> is also connected to </w:t>
      </w:r>
      <w:r>
        <w:rPr>
          <w:i/>
          <w:iCs/>
        </w:rPr>
        <w:t>A</w:t>
      </w:r>
      <w:r>
        <w:t xml:space="preserve"> and </w:t>
      </w:r>
      <w:r>
        <w:rPr>
          <w:i/>
          <w:iCs/>
        </w:rPr>
        <w:t>F</w:t>
      </w:r>
      <w:r>
        <w:t xml:space="preserve">, their food networks can also be expanded to visually show the opportunities available to each individual and this is depicted in Figure 22. The yellow lines connecting </w:t>
      </w:r>
      <w:r>
        <w:rPr>
          <w:i/>
          <w:iCs/>
        </w:rPr>
        <w:t xml:space="preserve">E </w:t>
      </w:r>
      <w:r>
        <w:t xml:space="preserve">with </w:t>
      </w:r>
      <w:r>
        <w:rPr>
          <w:i/>
          <w:iCs/>
        </w:rPr>
        <w:t xml:space="preserve">A </w:t>
      </w:r>
      <w:r>
        <w:t xml:space="preserve">and </w:t>
      </w:r>
      <w:r>
        <w:rPr>
          <w:i/>
          <w:iCs/>
        </w:rPr>
        <w:t>F</w:t>
      </w:r>
      <w:r>
        <w:t xml:space="preserve"> indicate a hybrid connection because they can communicate via phone and text or meet in-person. Because </w:t>
      </w:r>
      <w:r>
        <w:rPr>
          <w:i/>
          <w:iCs/>
        </w:rPr>
        <w:t>A</w:t>
      </w:r>
      <w:r>
        <w:t xml:space="preserve"> and </w:t>
      </w:r>
      <w:r>
        <w:rPr>
          <w:i/>
          <w:iCs/>
        </w:rPr>
        <w:t>F</w:t>
      </w:r>
      <w:r>
        <w:t xml:space="preserve"> do not require wheelchair accommodations, the query in Figure 21 can be removed to enlarge the opportunity set to all food stores. Neither </w:t>
      </w:r>
      <w:r>
        <w:rPr>
          <w:i/>
          <w:iCs/>
        </w:rPr>
        <w:t>A</w:t>
      </w:r>
      <w:r>
        <w:t xml:space="preserve"> nor </w:t>
      </w:r>
      <w:r>
        <w:rPr>
          <w:i/>
          <w:iCs/>
        </w:rPr>
        <w:t>F</w:t>
      </w:r>
      <w:r>
        <w:t xml:space="preserve"> possess sufficient technological capabilities to order food </w:t>
      </w:r>
      <w:proofErr w:type="gramStart"/>
      <w:r>
        <w:t>online</w:t>
      </w:r>
      <w:proofErr w:type="gramEnd"/>
      <w:r>
        <w:t xml:space="preserve"> so the feasible opportunity set is still limited to the union of accessible physical stores amongst the three individuals, totaling 181. That means that </w:t>
      </w:r>
      <w:r>
        <w:rPr>
          <w:i/>
          <w:iCs/>
        </w:rPr>
        <w:t xml:space="preserve">E </w:t>
      </w:r>
      <w:r>
        <w:t xml:space="preserve">has greater accessibility to </w:t>
      </w:r>
      <w:r w:rsidRPr="00366ECF">
        <w:t>59</w:t>
      </w:r>
      <w:r>
        <w:t xml:space="preserve"> or 48.3% additional opportunities by virtue of her social ties to </w:t>
      </w:r>
      <w:r>
        <w:rPr>
          <w:i/>
          <w:iCs/>
        </w:rPr>
        <w:t xml:space="preserve">A </w:t>
      </w:r>
      <w:r>
        <w:t xml:space="preserve">and </w:t>
      </w:r>
      <w:r>
        <w:rPr>
          <w:i/>
          <w:iCs/>
        </w:rPr>
        <w:t>F</w:t>
      </w:r>
      <w:r>
        <w:t>. These additional food sources can be considered as second-order opportunities.</w:t>
      </w:r>
    </w:p>
    <w:p w14:paraId="5880581A" w14:textId="405218F4" w:rsidR="00D74352" w:rsidRDefault="00D74352"/>
    <w:p w14:paraId="6988B173" w14:textId="4A63249C" w:rsidR="001E314E" w:rsidRPr="00D74352" w:rsidRDefault="001E314E" w:rsidP="001E314E">
      <w:pPr>
        <w:keepNext/>
        <w:spacing w:line="480" w:lineRule="auto"/>
        <w:jc w:val="center"/>
      </w:pPr>
      <w:r w:rsidRPr="00D74352">
        <w:rPr>
          <w:noProof/>
        </w:rPr>
        <w:lastRenderedPageBreak/>
        <w:drawing>
          <wp:inline distT="0" distB="0" distL="0" distR="0" wp14:anchorId="46BF2490" wp14:editId="2DEA908A">
            <wp:extent cx="5943600" cy="21551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2155190"/>
                    </a:xfrm>
                    <a:prstGeom prst="rect">
                      <a:avLst/>
                    </a:prstGeom>
                  </pic:spPr>
                </pic:pic>
              </a:graphicData>
            </a:graphic>
          </wp:inline>
        </w:drawing>
      </w:r>
      <w:r w:rsidRPr="00D74352">
        <w:br/>
      </w:r>
      <w:r w:rsidRPr="00D74352">
        <w:rPr>
          <w:noProof/>
        </w:rPr>
        <w:drawing>
          <wp:inline distT="0" distB="0" distL="0" distR="0" wp14:anchorId="1AB7CB03" wp14:editId="17F3F381">
            <wp:extent cx="5943600" cy="16732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1673225"/>
                    </a:xfrm>
                    <a:prstGeom prst="rect">
                      <a:avLst/>
                    </a:prstGeom>
                  </pic:spPr>
                </pic:pic>
              </a:graphicData>
            </a:graphic>
          </wp:inline>
        </w:drawing>
      </w:r>
    </w:p>
    <w:p w14:paraId="5722B50E" w14:textId="3FA41490" w:rsidR="001E314E" w:rsidRPr="00AC308E" w:rsidRDefault="001E314E" w:rsidP="001E314E">
      <w:pPr>
        <w:pStyle w:val="Caption"/>
        <w:spacing w:line="480" w:lineRule="auto"/>
        <w:jc w:val="center"/>
        <w:rPr>
          <w:color w:val="auto"/>
        </w:rPr>
      </w:pPr>
      <w:bookmarkStart w:id="141" w:name="_Toc114258118"/>
      <w:r w:rsidRPr="00AC308E">
        <w:rPr>
          <w:color w:val="auto"/>
        </w:rPr>
        <w:t xml:space="preserve">Figure </w:t>
      </w:r>
      <w:r w:rsidR="00435025" w:rsidRPr="00AC308E">
        <w:rPr>
          <w:color w:val="auto"/>
        </w:rPr>
        <w:fldChar w:fldCharType="begin"/>
      </w:r>
      <w:r w:rsidR="00435025" w:rsidRPr="00AC308E">
        <w:rPr>
          <w:color w:val="auto"/>
        </w:rPr>
        <w:instrText xml:space="preserve"> SEQ Figure \* ARABIC </w:instrText>
      </w:r>
      <w:r w:rsidR="00435025" w:rsidRPr="00AC308E">
        <w:rPr>
          <w:color w:val="auto"/>
        </w:rPr>
        <w:fldChar w:fldCharType="separate"/>
      </w:r>
      <w:r w:rsidR="00C42D79">
        <w:rPr>
          <w:noProof/>
          <w:color w:val="auto"/>
        </w:rPr>
        <w:t>20</w:t>
      </w:r>
      <w:r w:rsidR="00435025" w:rsidRPr="00AC308E">
        <w:rPr>
          <w:noProof/>
          <w:color w:val="auto"/>
        </w:rPr>
        <w:fldChar w:fldCharType="end"/>
      </w:r>
      <w:r w:rsidRPr="00AC308E">
        <w:rPr>
          <w:color w:val="auto"/>
        </w:rPr>
        <w:t>. Opportunities near Person E's (18) Workplace without considering wheelchair accessibility</w:t>
      </w:r>
      <w:bookmarkEnd w:id="141"/>
    </w:p>
    <w:p w14:paraId="69958F7E" w14:textId="77777777" w:rsidR="001E314E" w:rsidRPr="00AC308E" w:rsidRDefault="001E314E" w:rsidP="001E314E">
      <w:pPr>
        <w:keepNext/>
        <w:spacing w:line="480" w:lineRule="auto"/>
        <w:jc w:val="center"/>
      </w:pPr>
      <w:r>
        <w:rPr>
          <w:noProof/>
        </w:rPr>
        <w:lastRenderedPageBreak/>
        <w:drawing>
          <wp:inline distT="0" distB="0" distL="0" distR="0" wp14:anchorId="33752943" wp14:editId="30BCAE6E">
            <wp:extent cx="5943600" cy="21786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178685"/>
                    </a:xfrm>
                    <a:prstGeom prst="rect">
                      <a:avLst/>
                    </a:prstGeom>
                  </pic:spPr>
                </pic:pic>
              </a:graphicData>
            </a:graphic>
          </wp:inline>
        </w:drawing>
      </w:r>
      <w:r>
        <w:br/>
      </w:r>
      <w:r w:rsidRPr="00AC308E">
        <w:rPr>
          <w:noProof/>
        </w:rPr>
        <w:drawing>
          <wp:inline distT="0" distB="0" distL="0" distR="0" wp14:anchorId="517C898D" wp14:editId="31B5CD07">
            <wp:extent cx="5943600" cy="1663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663700"/>
                    </a:xfrm>
                    <a:prstGeom prst="rect">
                      <a:avLst/>
                    </a:prstGeom>
                  </pic:spPr>
                </pic:pic>
              </a:graphicData>
            </a:graphic>
          </wp:inline>
        </w:drawing>
      </w:r>
    </w:p>
    <w:p w14:paraId="6197FEED" w14:textId="41BBB4F3" w:rsidR="00C534C6" w:rsidRPr="00AC308E" w:rsidRDefault="001E314E" w:rsidP="00AC308E">
      <w:pPr>
        <w:pStyle w:val="Caption"/>
        <w:spacing w:line="480" w:lineRule="auto"/>
        <w:jc w:val="center"/>
        <w:rPr>
          <w:color w:val="auto"/>
        </w:rPr>
      </w:pPr>
      <w:bookmarkStart w:id="142" w:name="_Toc114258119"/>
      <w:r w:rsidRPr="00AC308E">
        <w:rPr>
          <w:color w:val="auto"/>
        </w:rPr>
        <w:t xml:space="preserve">Figure </w:t>
      </w:r>
      <w:r w:rsidR="00435025" w:rsidRPr="00AC308E">
        <w:rPr>
          <w:color w:val="auto"/>
        </w:rPr>
        <w:fldChar w:fldCharType="begin"/>
      </w:r>
      <w:r w:rsidR="00435025" w:rsidRPr="00AC308E">
        <w:rPr>
          <w:color w:val="auto"/>
        </w:rPr>
        <w:instrText xml:space="preserve"> SEQ Figure \* ARABIC </w:instrText>
      </w:r>
      <w:r w:rsidR="00435025" w:rsidRPr="00AC308E">
        <w:rPr>
          <w:color w:val="auto"/>
        </w:rPr>
        <w:fldChar w:fldCharType="separate"/>
      </w:r>
      <w:r w:rsidR="00C42D79">
        <w:rPr>
          <w:noProof/>
          <w:color w:val="auto"/>
        </w:rPr>
        <w:t>21</w:t>
      </w:r>
      <w:r w:rsidR="00435025" w:rsidRPr="00AC308E">
        <w:rPr>
          <w:noProof/>
          <w:color w:val="auto"/>
        </w:rPr>
        <w:fldChar w:fldCharType="end"/>
      </w:r>
      <w:r w:rsidRPr="00AC308E">
        <w:rPr>
          <w:color w:val="auto"/>
        </w:rPr>
        <w:t>. Opportunities accessible to Person E (18) considering wheelchair accessibility</w:t>
      </w:r>
      <w:bookmarkEnd w:id="142"/>
    </w:p>
    <w:p w14:paraId="6DE27261" w14:textId="77777777" w:rsidR="001E314E" w:rsidRPr="00AC308E" w:rsidRDefault="001E314E" w:rsidP="001E314E">
      <w:pPr>
        <w:keepNext/>
        <w:spacing w:line="480" w:lineRule="auto"/>
        <w:jc w:val="center"/>
      </w:pPr>
      <w:r>
        <w:rPr>
          <w:noProof/>
        </w:rPr>
        <w:lastRenderedPageBreak/>
        <w:drawing>
          <wp:inline distT="0" distB="0" distL="0" distR="0" wp14:anchorId="0CEE6D49" wp14:editId="31E3544D">
            <wp:extent cx="5943600" cy="21672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2167255"/>
                    </a:xfrm>
                    <a:prstGeom prst="rect">
                      <a:avLst/>
                    </a:prstGeom>
                  </pic:spPr>
                </pic:pic>
              </a:graphicData>
            </a:graphic>
          </wp:inline>
        </w:drawing>
      </w:r>
      <w:r>
        <w:br/>
      </w:r>
      <w:r w:rsidRPr="00AC308E">
        <w:rPr>
          <w:noProof/>
        </w:rPr>
        <w:drawing>
          <wp:inline distT="0" distB="0" distL="0" distR="0" wp14:anchorId="7925CC16" wp14:editId="3A135816">
            <wp:extent cx="5943600" cy="16833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1683385"/>
                    </a:xfrm>
                    <a:prstGeom prst="rect">
                      <a:avLst/>
                    </a:prstGeom>
                  </pic:spPr>
                </pic:pic>
              </a:graphicData>
            </a:graphic>
          </wp:inline>
        </w:drawing>
      </w:r>
    </w:p>
    <w:p w14:paraId="5F1619A3" w14:textId="153BF99B" w:rsidR="001E314E" w:rsidRPr="00AC308E" w:rsidRDefault="001E314E" w:rsidP="001E314E">
      <w:pPr>
        <w:pStyle w:val="Caption"/>
        <w:spacing w:line="480" w:lineRule="auto"/>
        <w:jc w:val="center"/>
        <w:rPr>
          <w:noProof/>
          <w:color w:val="auto"/>
        </w:rPr>
      </w:pPr>
      <w:bookmarkStart w:id="143" w:name="_Toc114258120"/>
      <w:r w:rsidRPr="00AC308E">
        <w:rPr>
          <w:color w:val="auto"/>
        </w:rPr>
        <w:t xml:space="preserve">Figure </w:t>
      </w:r>
      <w:r w:rsidR="00435025" w:rsidRPr="00AC308E">
        <w:rPr>
          <w:color w:val="auto"/>
        </w:rPr>
        <w:fldChar w:fldCharType="begin"/>
      </w:r>
      <w:r w:rsidR="00435025" w:rsidRPr="00AC308E">
        <w:rPr>
          <w:color w:val="auto"/>
        </w:rPr>
        <w:instrText xml:space="preserve"> SEQ Figure \* ARABIC </w:instrText>
      </w:r>
      <w:r w:rsidR="00435025" w:rsidRPr="00AC308E">
        <w:rPr>
          <w:color w:val="auto"/>
        </w:rPr>
        <w:fldChar w:fldCharType="separate"/>
      </w:r>
      <w:r w:rsidR="00C42D79">
        <w:rPr>
          <w:noProof/>
          <w:color w:val="auto"/>
        </w:rPr>
        <w:t>22</w:t>
      </w:r>
      <w:r w:rsidR="00435025" w:rsidRPr="00AC308E">
        <w:rPr>
          <w:noProof/>
          <w:color w:val="auto"/>
        </w:rPr>
        <w:fldChar w:fldCharType="end"/>
      </w:r>
      <w:r w:rsidRPr="00AC308E">
        <w:rPr>
          <w:color w:val="auto"/>
        </w:rPr>
        <w:t>. First- and Second-order Opportunities</w:t>
      </w:r>
      <w:r w:rsidRPr="00AC308E">
        <w:rPr>
          <w:noProof/>
          <w:color w:val="auto"/>
        </w:rPr>
        <w:t xml:space="preserve"> accessible to Person E</w:t>
      </w:r>
      <w:bookmarkEnd w:id="143"/>
    </w:p>
    <w:p w14:paraId="78DE7BD0" w14:textId="77777777" w:rsidR="00AC308E" w:rsidRDefault="00AC308E" w:rsidP="00AC308E">
      <w:pPr>
        <w:spacing w:line="480" w:lineRule="auto"/>
      </w:pPr>
      <w:r>
        <w:tab/>
      </w:r>
    </w:p>
    <w:p w14:paraId="72BF7DD9" w14:textId="77777777" w:rsidR="00AC308E" w:rsidRDefault="00AC308E">
      <w:r>
        <w:br w:type="page"/>
      </w:r>
    </w:p>
    <w:p w14:paraId="57ECBC2D" w14:textId="7C81C148" w:rsidR="00452321" w:rsidRDefault="00AC308E" w:rsidP="00452321">
      <w:pPr>
        <w:spacing w:line="480" w:lineRule="auto"/>
        <w:ind w:firstLine="720"/>
      </w:pPr>
      <w:r>
        <w:lastRenderedPageBreak/>
        <w:t xml:space="preserve">This same concept can be extended to the friend of </w:t>
      </w:r>
      <w:r>
        <w:rPr>
          <w:i/>
          <w:iCs/>
        </w:rPr>
        <w:t>E</w:t>
      </w:r>
      <w:r>
        <w:t xml:space="preserve">’s friends, Person </w:t>
      </w:r>
      <w:r>
        <w:rPr>
          <w:i/>
          <w:iCs/>
        </w:rPr>
        <w:t>G</w:t>
      </w:r>
      <w:r>
        <w:t>,</w:t>
      </w:r>
      <w:r>
        <w:rPr>
          <w:i/>
          <w:iCs/>
        </w:rPr>
        <w:t xml:space="preserve"> </w:t>
      </w:r>
      <w:r>
        <w:t xml:space="preserve">as is shown in Figure 23. Expanding the food network of </w:t>
      </w:r>
      <w:r>
        <w:rPr>
          <w:i/>
          <w:iCs/>
        </w:rPr>
        <w:t>G</w:t>
      </w:r>
      <w:r>
        <w:t xml:space="preserve"> and integrating it into the total opportunity set among </w:t>
      </w:r>
      <w:r>
        <w:rPr>
          <w:i/>
          <w:iCs/>
        </w:rPr>
        <w:t>A</w:t>
      </w:r>
      <w:r>
        <w:t xml:space="preserve">, </w:t>
      </w:r>
      <w:r>
        <w:rPr>
          <w:i/>
          <w:iCs/>
        </w:rPr>
        <w:t>E</w:t>
      </w:r>
      <w:r>
        <w:t xml:space="preserve">, and </w:t>
      </w:r>
      <w:r>
        <w:rPr>
          <w:i/>
          <w:iCs/>
        </w:rPr>
        <w:t>F</w:t>
      </w:r>
      <w:r>
        <w:t xml:space="preserve"> nets two additional physical opportunities for a total of 183. These two opportunities can be considered third-order opportunities accessible to </w:t>
      </w:r>
      <w:r>
        <w:rPr>
          <w:i/>
          <w:iCs/>
        </w:rPr>
        <w:t>E</w:t>
      </w:r>
      <w:r>
        <w:t>.</w:t>
      </w:r>
      <w:r>
        <w:br/>
      </w:r>
      <w:r w:rsidR="00452321">
        <w:tab/>
        <w:t xml:space="preserve">This case study demonstrates the realities of social networks where people exchange and distribute food despite a lack of adequate mobility, financial resources, or other extenuating circumstances, and this initial foray into exploring the social networks of individuals can help expand understanding of the food opportunities accessible to people by virtue of their relationships and connections to others, or accessibility from a relational space perspective. And the concept of </w:t>
      </w:r>
      <w:r w:rsidR="00452321">
        <w:rPr>
          <w:i/>
          <w:iCs/>
        </w:rPr>
        <w:t>n</w:t>
      </w:r>
      <w:r w:rsidR="00452321">
        <w:t xml:space="preserve">-order opportunities can technically be extended into infinity, but caution should of course be used in interpreting these results, hopefully with information on social ties to support such findings as </w:t>
      </w:r>
      <w:r w:rsidR="00452321">
        <w:rPr>
          <w:i/>
          <w:iCs/>
        </w:rPr>
        <w:t>n</w:t>
      </w:r>
      <w:r w:rsidR="00452321">
        <w:t xml:space="preserve"> increases.</w:t>
      </w:r>
    </w:p>
    <w:p w14:paraId="5F4D306E" w14:textId="7640EA90" w:rsidR="00AC308E" w:rsidRDefault="00452321" w:rsidP="00452321">
      <w:pPr>
        <w:spacing w:line="480" w:lineRule="auto"/>
        <w:ind w:firstLine="720"/>
      </w:pPr>
      <w:r>
        <w:t xml:space="preserve">While this case study illustrates how people can increase their access to and obtain food from other people, the application of a network graph to discover </w:t>
      </w:r>
      <w:r>
        <w:rPr>
          <w:i/>
          <w:iCs/>
        </w:rPr>
        <w:t>n</w:t>
      </w:r>
      <w:r>
        <w:t xml:space="preserve">-order opportunities can be applied to other contexts. A popular saying with the job market goes “it’s not what you know, but who you know.” Extant scholarship affirms this sentiment on the influential role of networks of interpersonal ties in finding and obtaining employment opportunities </w:t>
      </w:r>
      <w:r>
        <w:fldChar w:fldCharType="begin"/>
      </w:r>
      <w:r>
        <w:instrText xml:space="preserve"> ADDIN ZOTERO_ITEM CSL_CITATION {"citationID":"UEignxct","properties":{"formattedCitation":"(Berg &amp; Kalleberg, 2001)","plainCitation":"(Berg &amp; Kalleberg, 2001)","noteIndex":0},"citationItems":[{"id":1929,"uris":["http://zotero.org/users/5090392/items/XIJ28L6T"],"itemData":{"id":1929,"type":"book","event-place":"Boston, MA","ISBN":"978-1-4613-5449-9","language":"en","note":"DOI: 10.1007/978-1-4615-1225-7","publisher":"Springer US","publisher-place":"Boston, MA","source":"DOI.org (Crossref)","title":"Sourcebook of Labor Markets","URL":"http://link.springer.com/10.1007/978-1-4615-1225-7","editor":[{"family":"Berg","given":"Ivar"},{"family":"Kalleberg","given":"Arne L."}],"accessed":{"date-parts":[["2022",9,1]]},"issued":{"date-parts":[["2001"]]}}}],"schema":"https://github.com/citation-style-language/schema/raw/master/csl-citation.json"} </w:instrText>
      </w:r>
      <w:r>
        <w:fldChar w:fldCharType="separate"/>
      </w:r>
      <w:r w:rsidRPr="00465226">
        <w:t>(Berg &amp; Kalleberg, 2001)</w:t>
      </w:r>
      <w:r>
        <w:fldChar w:fldCharType="end"/>
      </w:r>
      <w:r>
        <w:t>. People often use inform channels such as personal contacts to find work. For example, while an individual may not be a direct acquittance of their friend’s friend at a company, the individual may reach out to the mutual friend for an introduction between the individual job seeker and the employed friend. In this example, explicitly recognizing the important role of social networks can help identify additional (food) opportunities not captured in existing spatial accessibility approaches.</w:t>
      </w:r>
      <w:r w:rsidR="00AC308E">
        <w:br w:type="page"/>
      </w:r>
    </w:p>
    <w:p w14:paraId="26246D1A" w14:textId="404983AC" w:rsidR="001E314E" w:rsidRPr="00452321" w:rsidRDefault="001E314E" w:rsidP="00452321">
      <w:pPr>
        <w:spacing w:line="480" w:lineRule="auto"/>
      </w:pPr>
      <w:r w:rsidRPr="00452321">
        <w:rPr>
          <w:noProof/>
        </w:rPr>
        <w:lastRenderedPageBreak/>
        <w:drawing>
          <wp:inline distT="0" distB="0" distL="0" distR="0" wp14:anchorId="10FF5ABA" wp14:editId="2F485BC0">
            <wp:extent cx="5943600" cy="21672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167255"/>
                    </a:xfrm>
                    <a:prstGeom prst="rect">
                      <a:avLst/>
                    </a:prstGeom>
                  </pic:spPr>
                </pic:pic>
              </a:graphicData>
            </a:graphic>
          </wp:inline>
        </w:drawing>
      </w:r>
      <w:r w:rsidRPr="00452321">
        <w:br/>
      </w:r>
      <w:r w:rsidRPr="00452321">
        <w:rPr>
          <w:noProof/>
        </w:rPr>
        <w:drawing>
          <wp:inline distT="0" distB="0" distL="0" distR="0" wp14:anchorId="05F4A7D9" wp14:editId="15D7F42B">
            <wp:extent cx="5943600" cy="16497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1649730"/>
                    </a:xfrm>
                    <a:prstGeom prst="rect">
                      <a:avLst/>
                    </a:prstGeom>
                  </pic:spPr>
                </pic:pic>
              </a:graphicData>
            </a:graphic>
          </wp:inline>
        </w:drawing>
      </w:r>
    </w:p>
    <w:p w14:paraId="5E7A32E5" w14:textId="5E25B1A3" w:rsidR="001E314E" w:rsidRPr="00452321" w:rsidRDefault="001E314E" w:rsidP="001E314E">
      <w:pPr>
        <w:pStyle w:val="Caption"/>
        <w:spacing w:line="480" w:lineRule="auto"/>
        <w:jc w:val="center"/>
        <w:rPr>
          <w:color w:val="auto"/>
        </w:rPr>
      </w:pPr>
      <w:bookmarkStart w:id="144" w:name="_Toc114258121"/>
      <w:r w:rsidRPr="00452321">
        <w:rPr>
          <w:color w:val="auto"/>
        </w:rPr>
        <w:t xml:space="preserve">Figure </w:t>
      </w:r>
      <w:r w:rsidR="00435025" w:rsidRPr="00452321">
        <w:rPr>
          <w:color w:val="auto"/>
        </w:rPr>
        <w:fldChar w:fldCharType="begin"/>
      </w:r>
      <w:r w:rsidR="00435025" w:rsidRPr="00452321">
        <w:rPr>
          <w:color w:val="auto"/>
        </w:rPr>
        <w:instrText xml:space="preserve"> SEQ Figure \* ARABIC </w:instrText>
      </w:r>
      <w:r w:rsidR="00435025" w:rsidRPr="00452321">
        <w:rPr>
          <w:color w:val="auto"/>
        </w:rPr>
        <w:fldChar w:fldCharType="separate"/>
      </w:r>
      <w:r w:rsidR="00C42D79">
        <w:rPr>
          <w:noProof/>
          <w:color w:val="auto"/>
        </w:rPr>
        <w:t>23</w:t>
      </w:r>
      <w:r w:rsidR="00435025" w:rsidRPr="00452321">
        <w:rPr>
          <w:noProof/>
          <w:color w:val="auto"/>
        </w:rPr>
        <w:fldChar w:fldCharType="end"/>
      </w:r>
      <w:r w:rsidRPr="00452321">
        <w:rPr>
          <w:color w:val="auto"/>
        </w:rPr>
        <w:t>. First-, Second-, and Third-order Opportunities accessible to Person E</w:t>
      </w:r>
      <w:bookmarkEnd w:id="144"/>
    </w:p>
    <w:p w14:paraId="665A5FBC" w14:textId="77777777" w:rsidR="00452321" w:rsidRDefault="00452321">
      <w:pPr>
        <w:rPr>
          <w:rFonts w:eastAsiaTheme="majorEastAsia"/>
          <w:b/>
          <w:bCs/>
          <w:sz w:val="26"/>
          <w:szCs w:val="26"/>
        </w:rPr>
      </w:pPr>
      <w:r>
        <w:rPr>
          <w:b/>
          <w:bCs/>
        </w:rPr>
        <w:br w:type="page"/>
      </w:r>
    </w:p>
    <w:p w14:paraId="007ED2A7" w14:textId="6C21C39D" w:rsidR="005A679B" w:rsidRPr="003B51B6" w:rsidRDefault="00831145" w:rsidP="003B51B6">
      <w:pPr>
        <w:pStyle w:val="Heading2"/>
        <w:spacing w:after="240"/>
        <w:jc w:val="center"/>
        <w:rPr>
          <w:rFonts w:ascii="Times New Roman" w:hAnsi="Times New Roman" w:cs="Times New Roman"/>
          <w:b/>
          <w:bCs/>
          <w:color w:val="auto"/>
        </w:rPr>
      </w:pPr>
      <w:bookmarkStart w:id="145" w:name="_Toc114258064"/>
      <w:r w:rsidRPr="003B51B6">
        <w:rPr>
          <w:rFonts w:ascii="Times New Roman" w:hAnsi="Times New Roman" w:cs="Times New Roman"/>
          <w:b/>
          <w:bCs/>
          <w:color w:val="auto"/>
        </w:rPr>
        <w:lastRenderedPageBreak/>
        <w:t>5</w:t>
      </w:r>
      <w:r w:rsidR="005A679B" w:rsidRPr="003B51B6">
        <w:rPr>
          <w:rFonts w:ascii="Times New Roman" w:hAnsi="Times New Roman" w:cs="Times New Roman"/>
          <w:b/>
          <w:bCs/>
          <w:color w:val="auto"/>
        </w:rPr>
        <w:t xml:space="preserve">.4. </w:t>
      </w:r>
      <w:r w:rsidR="003B51B6" w:rsidRPr="003B51B6">
        <w:rPr>
          <w:rFonts w:ascii="Times New Roman" w:hAnsi="Times New Roman" w:cs="Times New Roman"/>
          <w:b/>
          <w:bCs/>
          <w:color w:val="auto"/>
        </w:rPr>
        <w:t>CASE STUDY</w:t>
      </w:r>
      <w:r w:rsidR="005A679B" w:rsidRPr="003B51B6">
        <w:rPr>
          <w:rFonts w:ascii="Times New Roman" w:hAnsi="Times New Roman" w:cs="Times New Roman"/>
          <w:b/>
          <w:bCs/>
          <w:color w:val="auto"/>
        </w:rPr>
        <w:t xml:space="preserve"> 4:</w:t>
      </w:r>
      <w:r w:rsidR="000D76B9" w:rsidRPr="003B51B6">
        <w:rPr>
          <w:rFonts w:ascii="Times New Roman" w:hAnsi="Times New Roman" w:cs="Times New Roman"/>
          <w:b/>
          <w:bCs/>
          <w:color w:val="auto"/>
        </w:rPr>
        <w:t xml:space="preserve"> What opportunities are accessible based on an individual’s physical needs and mental preferences?</w:t>
      </w:r>
      <w:bookmarkEnd w:id="145"/>
    </w:p>
    <w:p w14:paraId="7964CBCD" w14:textId="5E60BC2C" w:rsidR="00971CE0" w:rsidRDefault="00971CE0" w:rsidP="00156BEA">
      <w:pPr>
        <w:spacing w:line="480" w:lineRule="auto"/>
      </w:pPr>
      <w:r>
        <w:rPr>
          <w:b/>
          <w:bCs/>
        </w:rPr>
        <w:tab/>
      </w:r>
      <w:r w:rsidR="00947B21">
        <w:t xml:space="preserve">The previous case study introduced the table query feature to filter </w:t>
      </w:r>
      <w:r w:rsidR="00627155">
        <w:t>results based on specific characteristics</w:t>
      </w:r>
      <w:r w:rsidR="001D0FFF">
        <w:t xml:space="preserve">, such as </w:t>
      </w:r>
      <w:r w:rsidR="00D5565A">
        <w:t xml:space="preserve">the establishment of </w:t>
      </w:r>
      <w:r w:rsidR="001D0FFF">
        <w:t>wheelchair accommodation</w:t>
      </w:r>
      <w:r w:rsidR="00D5565A">
        <w:t>s</w:t>
      </w:r>
      <w:r w:rsidR="001D0FFF">
        <w:t xml:space="preserve"> by stores</w:t>
      </w:r>
      <w:r w:rsidR="00627155">
        <w:t xml:space="preserve">. Despite its simplicity, such table </w:t>
      </w:r>
      <w:r w:rsidR="00F14568">
        <w:t xml:space="preserve">queries are powerful tools to help understand accessible food opportunities that </w:t>
      </w:r>
      <w:r w:rsidR="00D96B39">
        <w:t>accommodate</w:t>
      </w:r>
      <w:r w:rsidR="00F14568">
        <w:t xml:space="preserve"> the physical needs and mental preferences of individuals</w:t>
      </w:r>
      <w:r w:rsidR="00FD6360">
        <w:t>. M</w:t>
      </w:r>
      <w:r w:rsidR="00B56AC7">
        <w:t>ore broadly</w:t>
      </w:r>
      <w:r w:rsidR="00F5326F">
        <w:t>,</w:t>
      </w:r>
      <w:r w:rsidR="00B56AC7">
        <w:t xml:space="preserve"> table queries are a simple and effective </w:t>
      </w:r>
      <w:r w:rsidR="00F22B75">
        <w:t xml:space="preserve">analytical tool to </w:t>
      </w:r>
      <w:r w:rsidR="00154A7F">
        <w:t>explicitly consider different dimensions of access from different dimensions of space</w:t>
      </w:r>
      <w:r w:rsidR="00F14568">
        <w:t xml:space="preserve">. The </w:t>
      </w:r>
      <w:r w:rsidR="00B80C9B">
        <w:t xml:space="preserve">growth in objective and subjective data about store characteristics </w:t>
      </w:r>
      <w:r w:rsidR="00AC2818">
        <w:t xml:space="preserve">can be used to </w:t>
      </w:r>
      <w:r w:rsidR="00C31D55">
        <w:t>identify appropriate food opportunities more accurately</w:t>
      </w:r>
      <w:r w:rsidR="001D0FFF">
        <w:t xml:space="preserve"> beyond what can be understood from</w:t>
      </w:r>
      <w:r w:rsidR="00F5326F">
        <w:t xml:space="preserve"> conventional</w:t>
      </w:r>
      <w:r w:rsidR="001D0FFF">
        <w:t xml:space="preserve"> spatial proximity metrics</w:t>
      </w:r>
      <w:r w:rsidR="00F5326F">
        <w:t xml:space="preserve"> based in absolute space logic</w:t>
      </w:r>
      <w:r w:rsidR="001D0FFF">
        <w:t>.</w:t>
      </w:r>
      <w:r w:rsidR="006C5E68">
        <w:t xml:space="preserve"> The population is </w:t>
      </w:r>
      <w:r w:rsidR="006C0D0A">
        <w:t>heterogeneous,</w:t>
      </w:r>
      <w:r w:rsidR="006C5E68">
        <w:t xml:space="preserve"> and this fact must be reflected in accessibility measures </w:t>
      </w:r>
      <w:proofErr w:type="gramStart"/>
      <w:r w:rsidR="006C5E68">
        <w:t>so as to</w:t>
      </w:r>
      <w:proofErr w:type="gramEnd"/>
      <w:r w:rsidR="006C5E68">
        <w:t xml:space="preserve"> better understand </w:t>
      </w:r>
      <w:r w:rsidR="00AA442A">
        <w:t>the situations of different disadvantaged peoples.</w:t>
      </w:r>
    </w:p>
    <w:p w14:paraId="498FA574" w14:textId="21EA2C78" w:rsidR="0082215A" w:rsidRPr="00DF51F1" w:rsidRDefault="0082215A" w:rsidP="00156BEA">
      <w:pPr>
        <w:spacing w:line="480" w:lineRule="auto"/>
        <w:ind w:firstLine="720"/>
      </w:pPr>
      <w:r>
        <w:t xml:space="preserve">One example is Person </w:t>
      </w:r>
      <w:r>
        <w:rPr>
          <w:i/>
          <w:iCs/>
        </w:rPr>
        <w:t xml:space="preserve">H </w:t>
      </w:r>
      <w:r>
        <w:t>who is a d</w:t>
      </w:r>
      <w:r w:rsidRPr="0082215A">
        <w:t>ivorced</w:t>
      </w:r>
      <w:r>
        <w:t xml:space="preserve"> mother of two and military veteran who finished her Bachelor’s in history and education at UTK but is struggling to find full-time work</w:t>
      </w:r>
      <w:r w:rsidR="00C25594">
        <w:t>. E</w:t>
      </w:r>
      <w:r>
        <w:t>very day</w:t>
      </w:r>
      <w:r w:rsidR="00C25594">
        <w:t>,</w:t>
      </w:r>
      <w:r>
        <w:t xml:space="preserve"> she does not know if she</w:t>
      </w:r>
      <w:r w:rsidR="00FD6360">
        <w:t xml:space="preserve"> wi</w:t>
      </w:r>
      <w:r>
        <w:t>ll be teaching the following day and is always ready to take any substitute roles at schools in need. So</w:t>
      </w:r>
      <w:r w:rsidR="00C25594">
        <w:t>,</w:t>
      </w:r>
      <w:r>
        <w:t xml:space="preserve"> her schedule is restricted on the weekdays. She earns </w:t>
      </w:r>
      <w:r w:rsidR="006C0D0A">
        <w:t>around $15,000</w:t>
      </w:r>
      <w:r>
        <w:t xml:space="preserve"> a year and receives $400 in SNAP benefits each month</w:t>
      </w:r>
      <w:r w:rsidR="00C25594">
        <w:t xml:space="preserve"> while l</w:t>
      </w:r>
      <w:r>
        <w:t>iv</w:t>
      </w:r>
      <w:r w:rsidR="00DF51F1">
        <w:t>ing</w:t>
      </w:r>
      <w:r>
        <w:t xml:space="preserve"> with her elderly mother </w:t>
      </w:r>
      <w:r w:rsidR="00DF51F1">
        <w:t xml:space="preserve">and kids </w:t>
      </w:r>
      <w:r>
        <w:t xml:space="preserve">in a small home in South Knoxville. </w:t>
      </w:r>
      <w:r w:rsidR="00DF51F1">
        <w:t>Her c</w:t>
      </w:r>
      <w:r>
        <w:t>ar was totaled in a recent car crash, so she currently relies on public transit to get around the county.</w:t>
      </w:r>
      <w:r w:rsidR="00DF51F1">
        <w:t xml:space="preserve"> </w:t>
      </w:r>
      <w:r w:rsidR="00DF51F1">
        <w:rPr>
          <w:i/>
          <w:iCs/>
        </w:rPr>
        <w:t>H</w:t>
      </w:r>
      <w:r w:rsidR="00DF51F1">
        <w:t xml:space="preserve"> </w:t>
      </w:r>
      <w:r w:rsidR="008869A1">
        <w:t>necessarily requires shopping at stores that accept SNAP benefits but tries to still purchase quality food for her growing toddlers and aging mother despite her meager income.</w:t>
      </w:r>
      <w:r w:rsidR="001E2E06">
        <w:t xml:space="preserve"> This specific requirement necessitates </w:t>
      </w:r>
      <w:r w:rsidR="00B75A75">
        <w:t>understanding of affordability from a relative</w:t>
      </w:r>
      <w:r w:rsidR="004331D3">
        <w:t xml:space="preserve">, </w:t>
      </w:r>
      <w:r w:rsidR="00B75A75">
        <w:t>relational</w:t>
      </w:r>
      <w:r w:rsidR="004331D3">
        <w:t>, and mental</w:t>
      </w:r>
      <w:r w:rsidR="00B75A75">
        <w:t xml:space="preserve"> </w:t>
      </w:r>
      <w:r w:rsidR="004331D3">
        <w:t xml:space="preserve">space </w:t>
      </w:r>
      <w:r w:rsidR="00B75A75">
        <w:t xml:space="preserve">perspective </w:t>
      </w:r>
      <w:r w:rsidR="004331D3">
        <w:t>as her income is dictated by broader institutional forces (the local education system)</w:t>
      </w:r>
      <w:r w:rsidR="006735CE">
        <w:t xml:space="preserve">, </w:t>
      </w:r>
      <w:r w:rsidR="006735CE">
        <w:lastRenderedPageBreak/>
        <w:t>food subsidies are provided by a governmental agency (</w:t>
      </w:r>
      <w:r w:rsidR="00A23DEC">
        <w:t xml:space="preserve">USDA), and her </w:t>
      </w:r>
      <w:r w:rsidR="0076730C">
        <w:t xml:space="preserve">price </w:t>
      </w:r>
      <w:r w:rsidR="00A23DEC">
        <w:t>preference</w:t>
      </w:r>
      <w:r w:rsidR="0076730C">
        <w:t xml:space="preserve"> </w:t>
      </w:r>
      <w:r w:rsidR="00A23DEC">
        <w:t xml:space="preserve">is dictated by her </w:t>
      </w:r>
      <w:r w:rsidR="0076730C">
        <w:t>own familial situation and values.</w:t>
      </w:r>
    </w:p>
    <w:p w14:paraId="0EEE1234" w14:textId="5A19574F" w:rsidR="00452321" w:rsidRDefault="00947686" w:rsidP="00452321">
      <w:pPr>
        <w:spacing w:line="480" w:lineRule="auto"/>
      </w:pPr>
      <w:r>
        <w:tab/>
        <w:t xml:space="preserve">Figure </w:t>
      </w:r>
      <w:r w:rsidR="001E2346">
        <w:t>2</w:t>
      </w:r>
      <w:r w:rsidR="00A40242">
        <w:t>4</w:t>
      </w:r>
      <w:r>
        <w:t xml:space="preserve"> shows </w:t>
      </w:r>
      <w:r w:rsidR="00F64521">
        <w:t xml:space="preserve">a snapshot of the opportunities accessible to </w:t>
      </w:r>
      <w:r w:rsidR="00F64521">
        <w:rPr>
          <w:i/>
          <w:iCs/>
        </w:rPr>
        <w:t>H</w:t>
      </w:r>
      <w:r w:rsidR="00F64521">
        <w:t xml:space="preserve"> </w:t>
      </w:r>
      <w:r w:rsidR="0031265E">
        <w:t xml:space="preserve">based on her rigid schedule and </w:t>
      </w:r>
      <w:r w:rsidR="00F64521">
        <w:t>without</w:t>
      </w:r>
      <w:r w:rsidR="008551F5">
        <w:t xml:space="preserve"> </w:t>
      </w:r>
      <w:r w:rsidR="001E632E">
        <w:t>any queries.</w:t>
      </w:r>
      <w:r w:rsidR="00051AD5">
        <w:t xml:space="preserve"> Her limited means of transportation to just public transit and walking coupled with her childcare and teaching obligations means she is constrained in time throughout the two-day period</w:t>
      </w:r>
      <w:r w:rsidR="00A43F49">
        <w:t xml:space="preserve">. </w:t>
      </w:r>
      <w:r w:rsidR="00906567">
        <w:t xml:space="preserve">Thus, the ease to which she can reach stores </w:t>
      </w:r>
      <w:r w:rsidR="002878D3">
        <w:t xml:space="preserve">at many points in time </w:t>
      </w:r>
      <w:r w:rsidR="00906567">
        <w:t xml:space="preserve">is greatly limited </w:t>
      </w:r>
      <w:r w:rsidR="004D0C93">
        <w:t xml:space="preserve">by her myriad obligations and lack </w:t>
      </w:r>
      <w:r w:rsidR="002878D3">
        <w:t>of a personal vehicle in car-centric Knox County; her accessibility to stores from a relative space perspective is quite restricted.</w:t>
      </w:r>
      <w:r w:rsidR="00C55E05">
        <w:t xml:space="preserve"> But </w:t>
      </w:r>
      <w:r w:rsidR="00E2683B">
        <w:t xml:space="preserve">we find that </w:t>
      </w:r>
      <w:r w:rsidR="00A43F49">
        <w:t xml:space="preserve">she </w:t>
      </w:r>
      <w:r w:rsidR="00E2683B">
        <w:t xml:space="preserve">fortunately </w:t>
      </w:r>
      <w:r w:rsidR="00A43F49">
        <w:t>lives near two grocery stores and a discount store</w:t>
      </w:r>
      <w:r w:rsidR="00021AF6">
        <w:t>, as shown in the top-left panel</w:t>
      </w:r>
      <w:r w:rsidR="0031265E">
        <w:t xml:space="preserve">, which indicates that the availability of stores </w:t>
      </w:r>
      <w:r w:rsidR="00324AE9">
        <w:t>from a relative space perspective is not quite as lacking</w:t>
      </w:r>
      <w:r w:rsidR="00021AF6">
        <w:t>.</w:t>
      </w:r>
      <w:r w:rsidR="00452321">
        <w:t xml:space="preserve"> So while she lacks the mobility to reach many stores physically, the close proximity of three stores to her home means that the availability of stores at a major location in </w:t>
      </w:r>
      <w:proofErr w:type="gramStart"/>
      <w:r w:rsidR="00452321">
        <w:rPr>
          <w:i/>
          <w:iCs/>
        </w:rPr>
        <w:t>H</w:t>
      </w:r>
      <w:r w:rsidR="00452321">
        <w:t>‘</w:t>
      </w:r>
      <w:proofErr w:type="gramEnd"/>
      <w:r w:rsidR="00452321">
        <w:t xml:space="preserve">s daily life is decent. Additionally, she is able and willing to order groceries online which further enhances the ease to which she can reach stores online. Despite time limitations, her accessibility to virtual-based food services (one component of accessibility from a relational space perspective) essentially reconciles her poor accessibility from a relative space perspective. In total, this view in Figure 24 finds that </w:t>
      </w:r>
      <w:r w:rsidR="00452321">
        <w:rPr>
          <w:i/>
          <w:iCs/>
        </w:rPr>
        <w:t xml:space="preserve">H </w:t>
      </w:r>
      <w:r w:rsidR="00452321">
        <w:t>has physical access to 32 food opportunities, virtual access to 70 food opportunities, and hybrid access to 15 food opportunities.</w:t>
      </w:r>
    </w:p>
    <w:p w14:paraId="11F2A487" w14:textId="6EC00878" w:rsidR="00452321" w:rsidRDefault="00452321" w:rsidP="00452321">
      <w:pPr>
        <w:spacing w:line="480" w:lineRule="auto"/>
        <w:ind w:firstLine="720"/>
      </w:pPr>
      <w:r>
        <w:t xml:space="preserve">But if her preferences are taken into consideration, her opportunities are far more limited. Figure 25 shows a sizable reduction in the opportunities accessible to </w:t>
      </w:r>
      <w:r>
        <w:rPr>
          <w:i/>
          <w:iCs/>
        </w:rPr>
        <w:t>H</w:t>
      </w:r>
      <w:r>
        <w:t xml:space="preserve"> when a query to extract only stores accepting of SNAP benefits is made. She has physical, virtual, and hybrid access to, respectively, 25 (-22%), 62 (-11%), and 13 (-13%) food opportunities.</w:t>
      </w:r>
    </w:p>
    <w:p w14:paraId="354E10FA" w14:textId="77777777" w:rsidR="00452321" w:rsidRDefault="00452321" w:rsidP="00156BEA">
      <w:pPr>
        <w:spacing w:line="480" w:lineRule="auto"/>
      </w:pPr>
    </w:p>
    <w:p w14:paraId="76B61E31" w14:textId="77777777" w:rsidR="001E314E" w:rsidRDefault="001E314E" w:rsidP="001E314E">
      <w:pPr>
        <w:keepNext/>
        <w:spacing w:line="480" w:lineRule="auto"/>
        <w:jc w:val="center"/>
      </w:pPr>
      <w:r>
        <w:rPr>
          <w:noProof/>
        </w:rPr>
        <w:lastRenderedPageBreak/>
        <w:drawing>
          <wp:inline distT="0" distB="0" distL="0" distR="0" wp14:anchorId="7FFB113F" wp14:editId="5DD1A0B6">
            <wp:extent cx="5943600" cy="21913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2191385"/>
                    </a:xfrm>
                    <a:prstGeom prst="rect">
                      <a:avLst/>
                    </a:prstGeom>
                  </pic:spPr>
                </pic:pic>
              </a:graphicData>
            </a:graphic>
          </wp:inline>
        </w:drawing>
      </w:r>
      <w:r>
        <w:rPr>
          <w:b/>
          <w:bCs/>
        </w:rPr>
        <w:br/>
      </w:r>
      <w:r>
        <w:rPr>
          <w:noProof/>
        </w:rPr>
        <w:drawing>
          <wp:inline distT="0" distB="0" distL="0" distR="0" wp14:anchorId="4E0F45A6" wp14:editId="3AEFE1D9">
            <wp:extent cx="5943600" cy="168143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1681434"/>
                    </a:xfrm>
                    <a:prstGeom prst="rect">
                      <a:avLst/>
                    </a:prstGeom>
                  </pic:spPr>
                </pic:pic>
              </a:graphicData>
            </a:graphic>
          </wp:inline>
        </w:drawing>
      </w:r>
    </w:p>
    <w:p w14:paraId="6F6E54BF" w14:textId="354B9E19" w:rsidR="001E314E" w:rsidRPr="00BF1E87" w:rsidRDefault="001E314E" w:rsidP="001E314E">
      <w:pPr>
        <w:pStyle w:val="Caption"/>
        <w:spacing w:line="480" w:lineRule="auto"/>
        <w:jc w:val="center"/>
        <w:rPr>
          <w:b/>
          <w:bCs/>
          <w:color w:val="auto"/>
        </w:rPr>
      </w:pPr>
      <w:bookmarkStart w:id="146" w:name="_Toc114258122"/>
      <w:r w:rsidRPr="00BF1E87">
        <w:rPr>
          <w:color w:val="auto"/>
        </w:rPr>
        <w:t xml:space="preserve">Figure </w:t>
      </w:r>
      <w:r w:rsidR="00435025" w:rsidRPr="00BF1E87">
        <w:rPr>
          <w:color w:val="auto"/>
        </w:rPr>
        <w:fldChar w:fldCharType="begin"/>
      </w:r>
      <w:r w:rsidR="00435025" w:rsidRPr="00BF1E87">
        <w:rPr>
          <w:color w:val="auto"/>
        </w:rPr>
        <w:instrText xml:space="preserve"> SEQ Figure \* ARABIC </w:instrText>
      </w:r>
      <w:r w:rsidR="00435025" w:rsidRPr="00BF1E87">
        <w:rPr>
          <w:color w:val="auto"/>
        </w:rPr>
        <w:fldChar w:fldCharType="separate"/>
      </w:r>
      <w:r w:rsidR="00C42D79">
        <w:rPr>
          <w:noProof/>
          <w:color w:val="auto"/>
        </w:rPr>
        <w:t>24</w:t>
      </w:r>
      <w:r w:rsidR="00435025" w:rsidRPr="00BF1E87">
        <w:rPr>
          <w:noProof/>
          <w:color w:val="auto"/>
        </w:rPr>
        <w:fldChar w:fldCharType="end"/>
      </w:r>
      <w:r w:rsidRPr="00BF1E87">
        <w:rPr>
          <w:color w:val="auto"/>
        </w:rPr>
        <w:t>. Opportunities accessible to Person H (6)</w:t>
      </w:r>
      <w:bookmarkEnd w:id="146"/>
    </w:p>
    <w:p w14:paraId="3F7D2982" w14:textId="77777777" w:rsidR="001E314E" w:rsidRDefault="001E314E" w:rsidP="001E314E">
      <w:pPr>
        <w:keepNext/>
        <w:spacing w:line="480" w:lineRule="auto"/>
        <w:jc w:val="center"/>
      </w:pPr>
      <w:r>
        <w:rPr>
          <w:noProof/>
        </w:rPr>
        <w:lastRenderedPageBreak/>
        <w:drawing>
          <wp:inline distT="0" distB="0" distL="0" distR="0" wp14:anchorId="1A132E8F" wp14:editId="6CEDD420">
            <wp:extent cx="5943600" cy="21710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171065"/>
                    </a:xfrm>
                    <a:prstGeom prst="rect">
                      <a:avLst/>
                    </a:prstGeom>
                  </pic:spPr>
                </pic:pic>
              </a:graphicData>
            </a:graphic>
          </wp:inline>
        </w:drawing>
      </w:r>
      <w:r>
        <w:rPr>
          <w:noProof/>
        </w:rPr>
        <w:drawing>
          <wp:inline distT="0" distB="0" distL="0" distR="0" wp14:anchorId="7AEFC7F5" wp14:editId="5BD6F76A">
            <wp:extent cx="5943600" cy="16846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1684655"/>
                    </a:xfrm>
                    <a:prstGeom prst="rect">
                      <a:avLst/>
                    </a:prstGeom>
                  </pic:spPr>
                </pic:pic>
              </a:graphicData>
            </a:graphic>
          </wp:inline>
        </w:drawing>
      </w:r>
    </w:p>
    <w:p w14:paraId="7FE2EBCE" w14:textId="557430CA" w:rsidR="001E314E" w:rsidRPr="00BF1E87" w:rsidRDefault="001E314E" w:rsidP="001E314E">
      <w:pPr>
        <w:pStyle w:val="Caption"/>
        <w:spacing w:line="480" w:lineRule="auto"/>
        <w:jc w:val="center"/>
        <w:rPr>
          <w:b/>
          <w:bCs/>
          <w:color w:val="auto"/>
        </w:rPr>
      </w:pPr>
      <w:bookmarkStart w:id="147" w:name="_Toc114258123"/>
      <w:r w:rsidRPr="00BF1E87">
        <w:rPr>
          <w:color w:val="auto"/>
        </w:rPr>
        <w:t xml:space="preserve">Figure </w:t>
      </w:r>
      <w:r w:rsidR="00435025" w:rsidRPr="00BF1E87">
        <w:rPr>
          <w:color w:val="auto"/>
        </w:rPr>
        <w:fldChar w:fldCharType="begin"/>
      </w:r>
      <w:r w:rsidR="00435025" w:rsidRPr="00BF1E87">
        <w:rPr>
          <w:color w:val="auto"/>
        </w:rPr>
        <w:instrText xml:space="preserve"> SEQ Figure \* ARABIC </w:instrText>
      </w:r>
      <w:r w:rsidR="00435025" w:rsidRPr="00BF1E87">
        <w:rPr>
          <w:color w:val="auto"/>
        </w:rPr>
        <w:fldChar w:fldCharType="separate"/>
      </w:r>
      <w:r w:rsidR="00C42D79">
        <w:rPr>
          <w:noProof/>
          <w:color w:val="auto"/>
        </w:rPr>
        <w:t>25</w:t>
      </w:r>
      <w:r w:rsidR="00435025" w:rsidRPr="00BF1E87">
        <w:rPr>
          <w:noProof/>
          <w:color w:val="auto"/>
        </w:rPr>
        <w:fldChar w:fldCharType="end"/>
      </w:r>
      <w:r w:rsidRPr="00BF1E87">
        <w:rPr>
          <w:color w:val="auto"/>
        </w:rPr>
        <w:t>. Opportunities that accept SNAP benefits accessible to Person H</w:t>
      </w:r>
      <w:bookmarkEnd w:id="147"/>
    </w:p>
    <w:p w14:paraId="721AD8A7" w14:textId="77777777" w:rsidR="005E492B" w:rsidRDefault="005E492B">
      <w:r>
        <w:br w:type="page"/>
      </w:r>
    </w:p>
    <w:p w14:paraId="4D4C353A" w14:textId="25A7FCD1" w:rsidR="00934F1C" w:rsidRDefault="00846220" w:rsidP="00EC33D3">
      <w:pPr>
        <w:spacing w:line="480" w:lineRule="auto"/>
        <w:ind w:firstLine="720"/>
      </w:pPr>
      <w:r>
        <w:lastRenderedPageBreak/>
        <w:t xml:space="preserve">The top-left map </w:t>
      </w:r>
      <w:r w:rsidR="0073510F">
        <w:t>contains one fewer grocery store n</w:t>
      </w:r>
      <w:r>
        <w:t xml:space="preserve">ear her home, </w:t>
      </w:r>
      <w:r w:rsidR="0073510F">
        <w:t>which means that the store does not accept SNAP benefits and was subsequently filtered out.</w:t>
      </w:r>
      <w:r w:rsidR="0092444F">
        <w:t xml:space="preserve"> Conside</w:t>
      </w:r>
      <w:r w:rsidR="0021008E">
        <w:t xml:space="preserve">ring affordability from a relational space perspective </w:t>
      </w:r>
      <w:r w:rsidR="00002C87">
        <w:t xml:space="preserve">suggests the need to look at </w:t>
      </w:r>
      <w:r w:rsidR="0092444F">
        <w:t>the</w:t>
      </w:r>
      <w:r w:rsidR="0021008E">
        <w:t xml:space="preserve"> </w:t>
      </w:r>
      <w:r w:rsidR="00DD4644">
        <w:t xml:space="preserve">acceptable </w:t>
      </w:r>
      <w:r w:rsidR="0092444F">
        <w:t xml:space="preserve">payment options </w:t>
      </w:r>
      <w:r w:rsidR="00002C87">
        <w:t xml:space="preserve">which </w:t>
      </w:r>
      <w:r w:rsidR="001D09ED">
        <w:t>reduce</w:t>
      </w:r>
      <w:r w:rsidR="00002C87">
        <w:t>s</w:t>
      </w:r>
      <w:r w:rsidR="001D09ED">
        <w:t xml:space="preserve"> the</w:t>
      </w:r>
      <w:r w:rsidR="00DD4644">
        <w:t xml:space="preserve"> availability </w:t>
      </w:r>
      <w:r w:rsidR="001D09ED">
        <w:t xml:space="preserve">of stores that meets the needs of </w:t>
      </w:r>
      <w:r w:rsidR="001D09ED">
        <w:rPr>
          <w:i/>
          <w:iCs/>
        </w:rPr>
        <w:t xml:space="preserve">H </w:t>
      </w:r>
      <w:r w:rsidR="001D09ED">
        <w:t>close to her home.</w:t>
      </w:r>
      <w:r w:rsidR="0073510F">
        <w:t xml:space="preserve"> </w:t>
      </w:r>
      <w:r w:rsidR="00C00814">
        <w:t xml:space="preserve">For individuals in situations like </w:t>
      </w:r>
      <w:r w:rsidR="00C00814">
        <w:rPr>
          <w:i/>
          <w:iCs/>
        </w:rPr>
        <w:t>H</w:t>
      </w:r>
      <w:r w:rsidR="00C00814">
        <w:t xml:space="preserve"> and who are reliant on public subsidies, it is very important to</w:t>
      </w:r>
      <w:r w:rsidR="00E66B53">
        <w:t xml:space="preserve"> consider how subsidies such as SNAP benefits </w:t>
      </w:r>
      <w:r w:rsidR="00EE5CBC">
        <w:t>limit the number of opportunities</w:t>
      </w:r>
      <w:r w:rsidR="00DD4644">
        <w:t xml:space="preserve"> that can be accessed</w:t>
      </w:r>
      <w:r w:rsidR="00C612FF">
        <w:t xml:space="preserve">, as is recognized too in the USDA’s Food Access Research Atlas. </w:t>
      </w:r>
      <w:r w:rsidR="00DF2830">
        <w:t>However, not all stores offer the same quality of products with convenience stores</w:t>
      </w:r>
      <w:r w:rsidR="00222641">
        <w:t xml:space="preserve">, gas stations, corner stores, </w:t>
      </w:r>
      <w:r w:rsidR="00DF2830">
        <w:t>dollar stores</w:t>
      </w:r>
      <w:r w:rsidR="00222641">
        <w:t>, etc.</w:t>
      </w:r>
      <w:r w:rsidR="00DF2830">
        <w:t xml:space="preserve"> often lacking in diversity</w:t>
      </w:r>
      <w:r w:rsidR="00AD063D">
        <w:t xml:space="preserve"> and availability of fresh and healthy foods, despite their cheap prices</w:t>
      </w:r>
      <w:r w:rsidR="00222641">
        <w:t xml:space="preserve"> </w:t>
      </w:r>
      <w:r w:rsidR="00222641">
        <w:fldChar w:fldCharType="begin"/>
      </w:r>
      <w:r w:rsidR="00222641">
        <w:instrText xml:space="preserve"> ADDIN ZOTERO_ITEM CSL_CITATION {"citationID":"qcJKOaPP","properties":{"formattedCitation":"(Shannon, 2021)","plainCitation":"(Shannon, 2021)","noteIndex":0},"citationItems":[{"id":1866,"uris":["http://zotero.org/users/5090392/items/AK3FD3RM"],"itemData":{"id":1866,"type":"article-journal","container-title":"Annals of the American Association of Geographers","DOI":"10.1080/24694452.2020.1775544","ISSN":"2469-4452, 2469-4460","issue":"4","journalAbbreviation":"Annals of the American Association of Geographers","language":"en","page":"1200-1218","source":"DOI.org (Crossref)","title":"Dollar Stores, Retailer Redlining, and the Metropolitan Geographies of Precarious Consumption","URL":"https://www.tandfonline.com/doi/full/10.1080/24694452.2020.1775544","volume":"111","author":[{"family":"Shannon","given":"Jerry"}],"accessed":{"date-parts":[["2022",7,29]]},"issued":{"date-parts":[["2021",6,7]]}}}],"schema":"https://github.com/citation-style-language/schema/raw/master/csl-citation.json"} </w:instrText>
      </w:r>
      <w:r w:rsidR="00222641">
        <w:fldChar w:fldCharType="separate"/>
      </w:r>
      <w:r w:rsidR="00967900" w:rsidRPr="00967900">
        <w:t>(Shannon, 2021)</w:t>
      </w:r>
      <w:r w:rsidR="00222641">
        <w:fldChar w:fldCharType="end"/>
      </w:r>
      <w:r w:rsidR="00AD063D">
        <w:t>.</w:t>
      </w:r>
      <w:r w:rsidR="00C8433E">
        <w:t xml:space="preserve"> </w:t>
      </w:r>
      <w:r w:rsidR="006943AD">
        <w:t xml:space="preserve">Review of the </w:t>
      </w:r>
      <w:r w:rsidR="00C8433E">
        <w:t xml:space="preserve">price attribution provided by Google </w:t>
      </w:r>
      <w:r w:rsidR="006943AD">
        <w:t>for all food stores in Knox County finds that those with a</w:t>
      </w:r>
      <w:r w:rsidR="00302113">
        <w:t xml:space="preserve"> single</w:t>
      </w:r>
      <w:r w:rsidR="006943AD">
        <w:t xml:space="preserve"> dollar sign are given to </w:t>
      </w:r>
      <w:r w:rsidR="00302113">
        <w:t xml:space="preserve">the </w:t>
      </w:r>
      <w:proofErr w:type="gramStart"/>
      <w:r w:rsidR="00302113">
        <w:t>aforementioned store</w:t>
      </w:r>
      <w:proofErr w:type="gramEnd"/>
      <w:r w:rsidR="00302113">
        <w:t xml:space="preserve"> types and minimalist, small, and budget friendly grocery stores such as Aldi. In the case of </w:t>
      </w:r>
      <w:r w:rsidR="00302113">
        <w:rPr>
          <w:i/>
          <w:iCs/>
        </w:rPr>
        <w:t>H</w:t>
      </w:r>
      <w:r w:rsidR="00302113">
        <w:t xml:space="preserve">, stores at this price point do not offer the quality of foods she desired for her and her </w:t>
      </w:r>
      <w:r w:rsidR="00910F08">
        <w:t>family,</w:t>
      </w:r>
      <w:r w:rsidR="00EE65BC">
        <w:t xml:space="preserve"> but she also cannot afford foods that are expensive</w:t>
      </w:r>
      <w:r w:rsidR="00827E1C">
        <w:t xml:space="preserve"> (e.g., expensive - $$$ and very expensive - $$$$)</w:t>
      </w:r>
      <w:r w:rsidR="00EE65BC">
        <w:t>.</w:t>
      </w:r>
    </w:p>
    <w:p w14:paraId="389AA8DB" w14:textId="47BEEEA2" w:rsidR="005E492B" w:rsidRDefault="005E492B" w:rsidP="005E492B">
      <w:pPr>
        <w:spacing w:line="480" w:lineRule="auto"/>
        <w:ind w:firstLine="720"/>
      </w:pPr>
      <w:r>
        <w:t xml:space="preserve">This preference can be conceived as an additional query to filter stores that are moderately </w:t>
      </w:r>
      <w:proofErr w:type="gramStart"/>
      <w:r>
        <w:t>priced, or</w:t>
      </w:r>
      <w:proofErr w:type="gramEnd"/>
      <w:r>
        <w:t xml:space="preserve"> attributed with two dollar ($$) signs, as is demonstrated in Figure 26. The figure shows a far smaller potential opportunity set with 0 physical opportunities, 30 virtual opportunities, and 7 hybrid opportunities accessible to </w:t>
      </w:r>
      <w:r>
        <w:rPr>
          <w:i/>
          <w:iCs/>
        </w:rPr>
        <w:t>H</w:t>
      </w:r>
      <w:r>
        <w:t>. The discount store near her home is no longer shown in the top-left map after the query. Actively including the preferences and financial circumstances of individuals as queries almost always reduces the opportunity set but helps to produce more accurate accessibility metrics and results that reflect the realities of people from all backgrounds. Here, a query can identify stores that individuals may perceive as affordable.</w:t>
      </w:r>
    </w:p>
    <w:p w14:paraId="3B6B777A" w14:textId="77777777" w:rsidR="00934F1C" w:rsidRDefault="00934F1C" w:rsidP="00934F1C">
      <w:pPr>
        <w:keepNext/>
        <w:spacing w:line="480" w:lineRule="auto"/>
        <w:jc w:val="center"/>
      </w:pPr>
      <w:r>
        <w:rPr>
          <w:noProof/>
        </w:rPr>
        <w:lastRenderedPageBreak/>
        <w:drawing>
          <wp:inline distT="0" distB="0" distL="0" distR="0" wp14:anchorId="5AFA6774" wp14:editId="535FBBBC">
            <wp:extent cx="5943600" cy="21723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2172335"/>
                    </a:xfrm>
                    <a:prstGeom prst="rect">
                      <a:avLst/>
                    </a:prstGeom>
                  </pic:spPr>
                </pic:pic>
              </a:graphicData>
            </a:graphic>
          </wp:inline>
        </w:drawing>
      </w:r>
      <w:r>
        <w:rPr>
          <w:noProof/>
        </w:rPr>
        <w:drawing>
          <wp:inline distT="0" distB="0" distL="0" distR="0" wp14:anchorId="1AB1F909" wp14:editId="38AB8AAA">
            <wp:extent cx="5943600" cy="16960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1696085"/>
                    </a:xfrm>
                    <a:prstGeom prst="rect">
                      <a:avLst/>
                    </a:prstGeom>
                  </pic:spPr>
                </pic:pic>
              </a:graphicData>
            </a:graphic>
          </wp:inline>
        </w:drawing>
      </w:r>
    </w:p>
    <w:p w14:paraId="25C2C0CE" w14:textId="378CBCD8" w:rsidR="00934F1C" w:rsidRPr="00BF1E87" w:rsidRDefault="00934F1C" w:rsidP="00934F1C">
      <w:pPr>
        <w:pStyle w:val="Caption"/>
        <w:spacing w:line="480" w:lineRule="auto"/>
        <w:jc w:val="center"/>
        <w:rPr>
          <w:color w:val="auto"/>
        </w:rPr>
      </w:pPr>
      <w:bookmarkStart w:id="148" w:name="_Toc114258124"/>
      <w:r w:rsidRPr="00BF1E87">
        <w:rPr>
          <w:color w:val="auto"/>
        </w:rPr>
        <w:t xml:space="preserve">Figure </w:t>
      </w:r>
      <w:r w:rsidR="00435025" w:rsidRPr="00BF1E87">
        <w:rPr>
          <w:color w:val="auto"/>
        </w:rPr>
        <w:fldChar w:fldCharType="begin"/>
      </w:r>
      <w:r w:rsidR="00435025" w:rsidRPr="00BF1E87">
        <w:rPr>
          <w:color w:val="auto"/>
        </w:rPr>
        <w:instrText xml:space="preserve"> SEQ Figure \* ARABIC </w:instrText>
      </w:r>
      <w:r w:rsidR="00435025" w:rsidRPr="00BF1E87">
        <w:rPr>
          <w:color w:val="auto"/>
        </w:rPr>
        <w:fldChar w:fldCharType="separate"/>
      </w:r>
      <w:r w:rsidR="00C42D79">
        <w:rPr>
          <w:noProof/>
          <w:color w:val="auto"/>
        </w:rPr>
        <w:t>26</w:t>
      </w:r>
      <w:r w:rsidR="00435025" w:rsidRPr="00BF1E87">
        <w:rPr>
          <w:noProof/>
          <w:color w:val="auto"/>
        </w:rPr>
        <w:fldChar w:fldCharType="end"/>
      </w:r>
      <w:r w:rsidRPr="00BF1E87">
        <w:rPr>
          <w:color w:val="auto"/>
        </w:rPr>
        <w:t>. Opportunities that both accept SNAP benefits and are moderately priced accessible to person H</w:t>
      </w:r>
      <w:bookmarkEnd w:id="148"/>
    </w:p>
    <w:p w14:paraId="59449BFA" w14:textId="77777777" w:rsidR="005E492B" w:rsidRDefault="00AD2EA3" w:rsidP="002D5C4A">
      <w:pPr>
        <w:spacing w:line="480" w:lineRule="auto"/>
      </w:pPr>
      <w:r>
        <w:tab/>
      </w:r>
    </w:p>
    <w:p w14:paraId="58E184D1" w14:textId="77777777" w:rsidR="005E492B" w:rsidRDefault="005E492B">
      <w:r>
        <w:br w:type="page"/>
      </w:r>
    </w:p>
    <w:p w14:paraId="42E77CB2" w14:textId="3820AEDF" w:rsidR="00AD2EA3" w:rsidRPr="00AD2EA3" w:rsidRDefault="00AD2EA3" w:rsidP="005E492B">
      <w:pPr>
        <w:spacing w:line="480" w:lineRule="auto"/>
        <w:ind w:firstLine="720"/>
      </w:pPr>
      <w:r>
        <w:lastRenderedPageBreak/>
        <w:t xml:space="preserve">How people value and perceive </w:t>
      </w:r>
      <w:r w:rsidR="002D5C4A">
        <w:t>various attributes of different establishments and businesses is often neglected in conventional spatial accessibility approaches</w:t>
      </w:r>
      <w:r w:rsidR="001C3E87">
        <w:t xml:space="preserve">. At best, they consider locational attractiveness as store size (e.g., </w:t>
      </w:r>
      <w:r w:rsidR="00D8519C">
        <w:t xml:space="preserve">Huff Model) </w:t>
      </w:r>
      <w:r w:rsidR="0097793D">
        <w:t xml:space="preserve">or some other one-dimensional feature. </w:t>
      </w:r>
      <w:proofErr w:type="gramStart"/>
      <w:r w:rsidR="00F03F67">
        <w:t>In reality, humans</w:t>
      </w:r>
      <w:proofErr w:type="gramEnd"/>
      <w:r w:rsidR="00F03F67">
        <w:t xml:space="preserve"> are complex and can possess widely varying </w:t>
      </w:r>
      <w:r w:rsidR="00095441">
        <w:t xml:space="preserve">beliefs. </w:t>
      </w:r>
      <w:r w:rsidR="001D4089">
        <w:t xml:space="preserve">This case study contributes to the literature by </w:t>
      </w:r>
      <w:r w:rsidR="00CE507A">
        <w:t xml:space="preserve">proposing that access is a multidimensional construct which can be analyzed with simple but effective querying functions on the attributes of potential opportunities. </w:t>
      </w:r>
      <w:r w:rsidR="008A7155">
        <w:t>While this</w:t>
      </w:r>
      <w:r w:rsidR="00095441">
        <w:t xml:space="preserve"> case study discussed the </w:t>
      </w:r>
      <w:r w:rsidR="00040E0A">
        <w:t xml:space="preserve">importance of the </w:t>
      </w:r>
      <w:r w:rsidR="00095441">
        <w:t xml:space="preserve">perceived price level </w:t>
      </w:r>
      <w:r w:rsidR="008A7155">
        <w:t>of stores</w:t>
      </w:r>
      <w:r w:rsidR="00095441">
        <w:t xml:space="preserve">, </w:t>
      </w:r>
      <w:r w:rsidR="00E37197">
        <w:t>acceptable payment option</w:t>
      </w:r>
      <w:r w:rsidR="00040E0A">
        <w:t xml:space="preserve">s, </w:t>
      </w:r>
      <w:r w:rsidR="008A7155">
        <w:t xml:space="preserve">and virtual capabilities of individuals, </w:t>
      </w:r>
      <w:r w:rsidR="002334E8">
        <w:t>these and many other characteristics are also applicable to access to other human needs.</w:t>
      </w:r>
      <w:r w:rsidR="00CD5F45">
        <w:t xml:space="preserve"> </w:t>
      </w:r>
      <w:r w:rsidR="00EE5439">
        <w:t>For example, a</w:t>
      </w:r>
      <w:r w:rsidR="00CD5F45">
        <w:t xml:space="preserve">ccess to educational opportunities is a </w:t>
      </w:r>
      <w:r w:rsidR="000D7780">
        <w:t xml:space="preserve">contentious topic, </w:t>
      </w:r>
      <w:r w:rsidR="00DF19BD">
        <w:t>exemplified with</w:t>
      </w:r>
      <w:r w:rsidR="000D7780">
        <w:t xml:space="preserve"> important </w:t>
      </w:r>
      <w:r w:rsidR="006E227D">
        <w:t>policies relating to</w:t>
      </w:r>
      <w:r w:rsidR="000D7780">
        <w:t xml:space="preserve"> affirmative action</w:t>
      </w:r>
      <w:r w:rsidR="00E30EED">
        <w:t xml:space="preserve"> in college admissions</w:t>
      </w:r>
      <w:r w:rsidR="009C5EA9">
        <w:t>, the development of charter schools,</w:t>
      </w:r>
      <w:r w:rsidR="000D7780">
        <w:t xml:space="preserve"> </w:t>
      </w:r>
      <w:r w:rsidR="001F45F9">
        <w:t xml:space="preserve">and lottery-based </w:t>
      </w:r>
      <w:r w:rsidR="006E227D">
        <w:t xml:space="preserve">(in lieu of standardized testing) </w:t>
      </w:r>
      <w:r w:rsidR="001F45F9">
        <w:t>admissions to specialized high schools</w:t>
      </w:r>
      <w:r w:rsidR="00DF19BD">
        <w:t>.</w:t>
      </w:r>
      <w:r w:rsidR="00E30EED">
        <w:t xml:space="preserve"> </w:t>
      </w:r>
      <w:r w:rsidR="006441EB">
        <w:t xml:space="preserve">What </w:t>
      </w:r>
      <w:r w:rsidR="00720CDB">
        <w:t xml:space="preserve">potential students consider in deciding </w:t>
      </w:r>
      <w:r w:rsidR="006F7A17">
        <w:t xml:space="preserve">which </w:t>
      </w:r>
      <w:r w:rsidR="001960D2">
        <w:t xml:space="preserve">school </w:t>
      </w:r>
      <w:r w:rsidR="00720CDB">
        <w:t xml:space="preserve">they should study </w:t>
      </w:r>
      <w:r w:rsidR="006F7A17">
        <w:t xml:space="preserve">at </w:t>
      </w:r>
      <w:r w:rsidR="00720CDB">
        <w:t>i</w:t>
      </w:r>
      <w:r w:rsidR="006F7A17">
        <w:t xml:space="preserve">nvolves myriad factors </w:t>
      </w:r>
      <w:r w:rsidR="00DE3D6F">
        <w:t xml:space="preserve">that may widely differ across the student (and if applicable, their guardians) population. </w:t>
      </w:r>
      <w:r w:rsidR="001960D2">
        <w:t xml:space="preserve">School quality is important but </w:t>
      </w:r>
      <w:r w:rsidR="000466D5">
        <w:t xml:space="preserve">what students and oftentimes their parents </w:t>
      </w:r>
      <w:r w:rsidR="00694C22">
        <w:t>care about may differ based on their socioeconomic background and cultural upbringing. A</w:t>
      </w:r>
      <w:r w:rsidR="00726B51">
        <w:t xml:space="preserve"> teenager with two high-income parents </w:t>
      </w:r>
      <w:r w:rsidR="004C2BFA">
        <w:t>is</w:t>
      </w:r>
      <w:r w:rsidR="00726B51">
        <w:t xml:space="preserve"> more able to afford private </w:t>
      </w:r>
      <w:r w:rsidR="007A7DAA">
        <w:t xml:space="preserve">high </w:t>
      </w:r>
      <w:r w:rsidR="00726B51">
        <w:t>school tuition than another teenager living in a housing project in the inner city</w:t>
      </w:r>
      <w:r w:rsidR="009002A6">
        <w:t xml:space="preserve">. A </w:t>
      </w:r>
      <w:r w:rsidR="007A7DAA">
        <w:t xml:space="preserve">college-bound adult </w:t>
      </w:r>
      <w:proofErr w:type="spellStart"/>
      <w:r w:rsidR="007A7DAA">
        <w:t>may</w:t>
      </w:r>
      <w:proofErr w:type="spellEnd"/>
      <w:r w:rsidR="007A7DAA">
        <w:t xml:space="preserve"> care</w:t>
      </w:r>
      <w:r w:rsidR="00B340CF">
        <w:t xml:space="preserve"> more</w:t>
      </w:r>
      <w:r w:rsidR="007A7DAA">
        <w:t xml:space="preserve"> about the reputation of a particular program</w:t>
      </w:r>
      <w:r w:rsidR="004C2BFA">
        <w:t xml:space="preserve"> at universities</w:t>
      </w:r>
      <w:r w:rsidR="00B340CF">
        <w:t xml:space="preserve"> than </w:t>
      </w:r>
      <w:r w:rsidR="0020090D">
        <w:t xml:space="preserve">the </w:t>
      </w:r>
      <w:r w:rsidR="00B340CF">
        <w:t>physical infrastructure throughout the overall campus (e.g., parking lots</w:t>
      </w:r>
      <w:r w:rsidR="001D4089">
        <w:t xml:space="preserve">, </w:t>
      </w:r>
      <w:r w:rsidR="00AF64FB">
        <w:t>etc.).</w:t>
      </w:r>
      <w:r w:rsidR="007A7DAA">
        <w:t xml:space="preserve"> </w:t>
      </w:r>
      <w:r w:rsidR="00AF64FB">
        <w:t>While not exhaustive, h</w:t>
      </w:r>
      <w:r w:rsidR="009002A6">
        <w:t>ow these capabilities</w:t>
      </w:r>
      <w:r w:rsidR="009D7D64">
        <w:t xml:space="preserve"> </w:t>
      </w:r>
      <w:r w:rsidR="00AF64FB">
        <w:t xml:space="preserve">and preferences are captured can be conceived as queries on attributes of potential opportunities (schools, healthcare facilities, </w:t>
      </w:r>
      <w:r w:rsidR="00EE5439">
        <w:t>greenspaces, employers, etc.)</w:t>
      </w:r>
      <w:r w:rsidR="0020090D">
        <w:t xml:space="preserve"> </w:t>
      </w:r>
      <w:r w:rsidR="00BF4366">
        <w:t>It is then easy to compare the opportunities that can potentially be accessed between individuals</w:t>
      </w:r>
      <w:r w:rsidR="000D2154">
        <w:t xml:space="preserve"> or between people of different characteristics.</w:t>
      </w:r>
    </w:p>
    <w:p w14:paraId="230EC1D9" w14:textId="6A265A23" w:rsidR="00802AE3" w:rsidRPr="003B51B6" w:rsidRDefault="00802AE3" w:rsidP="003B51B6">
      <w:pPr>
        <w:pStyle w:val="Heading2"/>
        <w:spacing w:after="240"/>
        <w:jc w:val="center"/>
        <w:rPr>
          <w:rFonts w:ascii="Times New Roman" w:hAnsi="Times New Roman" w:cs="Times New Roman"/>
          <w:b/>
          <w:bCs/>
          <w:color w:val="auto"/>
        </w:rPr>
      </w:pPr>
      <w:bookmarkStart w:id="149" w:name="_Toc114258065"/>
      <w:r w:rsidRPr="003B51B6">
        <w:rPr>
          <w:rFonts w:ascii="Times New Roman" w:hAnsi="Times New Roman" w:cs="Times New Roman"/>
          <w:b/>
          <w:bCs/>
          <w:color w:val="auto"/>
        </w:rPr>
        <w:lastRenderedPageBreak/>
        <w:t xml:space="preserve">5.5. </w:t>
      </w:r>
      <w:r w:rsidR="003B51B6" w:rsidRPr="003B51B6">
        <w:rPr>
          <w:rFonts w:ascii="Times New Roman" w:hAnsi="Times New Roman" w:cs="Times New Roman"/>
          <w:b/>
          <w:bCs/>
          <w:color w:val="auto"/>
        </w:rPr>
        <w:t>NOTE ABOUT TOTAL OPPORTUNITIES</w:t>
      </w:r>
      <w:bookmarkEnd w:id="149"/>
    </w:p>
    <w:p w14:paraId="27A21007" w14:textId="152FB30E" w:rsidR="0046370E" w:rsidRDefault="0046370E" w:rsidP="00156BEA">
      <w:pPr>
        <w:spacing w:line="480" w:lineRule="auto"/>
        <w:ind w:firstLine="720"/>
      </w:pPr>
      <w:r>
        <w:t xml:space="preserve">It is important to clarify the scope of this dissertation when it comes to measuring opportunities. </w:t>
      </w:r>
      <w:r w:rsidR="00EB7349">
        <w:t xml:space="preserve">As opposed to </w:t>
      </w:r>
      <w:r w:rsidR="001E5B04">
        <w:t xml:space="preserve">realized opportunities that reflect the true decisions made by individuals to </w:t>
      </w:r>
      <w:r w:rsidR="005760CB">
        <w:t>engage with a location and/or participate in an activity, this dissertation squarely focuses</w:t>
      </w:r>
      <w:r w:rsidR="00955B45">
        <w:t xml:space="preserve"> on potential opportunities – solely those in </w:t>
      </w:r>
      <w:r w:rsidR="00B04EFE">
        <w:t xml:space="preserve">the opportunity space of an individual based on their different preferences and situations. </w:t>
      </w:r>
      <w:r w:rsidR="00422697">
        <w:t xml:space="preserve">People make </w:t>
      </w:r>
      <w:proofErr w:type="gramStart"/>
      <w:r w:rsidR="00422697">
        <w:t>particular decisions</w:t>
      </w:r>
      <w:proofErr w:type="gramEnd"/>
      <w:r w:rsidR="00422697">
        <w:t xml:space="preserve"> and choose specific alternatives afterwards based on this set of potential opportunities</w:t>
      </w:r>
      <w:r w:rsidR="002507B3">
        <w:t xml:space="preserve">. Distinguishing between potential and realized opportunities also introduces </w:t>
      </w:r>
      <w:r w:rsidR="00DA7F54">
        <w:t>another important division between</w:t>
      </w:r>
      <w:r w:rsidR="00A20A83">
        <w:t xml:space="preserve"> the objective and subjective choice set of opportunities for individuals. </w:t>
      </w:r>
      <w:r w:rsidR="009C2E1F">
        <w:t xml:space="preserve">The objective choice set is comprised of opportunities that can </w:t>
      </w:r>
      <w:r w:rsidR="00BC6E80">
        <w:t xml:space="preserve">potentially </w:t>
      </w:r>
      <w:r w:rsidR="009C2E1F">
        <w:t xml:space="preserve">be </w:t>
      </w:r>
      <w:r w:rsidR="00BC6E80">
        <w:t>access</w:t>
      </w:r>
      <w:r w:rsidR="009C2E1F">
        <w:t xml:space="preserve">ed given physical and virtual </w:t>
      </w:r>
      <w:r w:rsidR="00BC6E80">
        <w:t xml:space="preserve">abilities and limitations, </w:t>
      </w:r>
      <w:r w:rsidR="00480613">
        <w:t xml:space="preserve">without including the subjective attitudes and perceptions of individuals (i.e., </w:t>
      </w:r>
      <w:r w:rsidR="004433B9">
        <w:t xml:space="preserve">without considering a </w:t>
      </w:r>
      <w:r w:rsidR="00480613">
        <w:t>mental space approach</w:t>
      </w:r>
      <w:r w:rsidR="004433B9">
        <w:t xml:space="preserve">.) While the objective choice set is likely to differ between individuals, it is derived from objective characteristics of individuals, including but not limited to their available means of transportation, temporal fixity </w:t>
      </w:r>
      <w:r w:rsidR="00A123E2">
        <w:t>of their schedules,</w:t>
      </w:r>
      <w:r w:rsidR="00B24507">
        <w:t xml:space="preserve"> technological capabilities, and more. Conversely, the subjective choice set is delimited based on the </w:t>
      </w:r>
      <w:r w:rsidR="0012349B">
        <w:t>mental faculties of individuals: what people feel, think, and reason about.</w:t>
      </w:r>
      <w:r w:rsidR="006967DB">
        <w:t xml:space="preserve"> The </w:t>
      </w:r>
      <w:r w:rsidR="000C14E2">
        <w:t xml:space="preserve">GIS </w:t>
      </w:r>
      <w:r w:rsidR="006967DB">
        <w:t>approach in this dissertat</w:t>
      </w:r>
      <w:r w:rsidR="000C14E2">
        <w:t xml:space="preserve">ion starts with deriving an objective choice set based on the unique travel itineraries and schedules of individuals as well as their ICT capabilities and then </w:t>
      </w:r>
      <w:r w:rsidR="00AC5E85">
        <w:t>introduces how a subjective choice set can be derived with a mental space approach to understanding access.</w:t>
      </w:r>
      <w:r w:rsidR="00126E06">
        <w:t xml:space="preserve"> Unless there is a specific reference to </w:t>
      </w:r>
      <w:r w:rsidR="003F4855">
        <w:t xml:space="preserve">the inclusion of </w:t>
      </w:r>
      <w:r w:rsidR="00126E06">
        <w:t>mental space</w:t>
      </w:r>
      <w:r w:rsidR="003F4855">
        <w:t xml:space="preserve"> in access, opportunities are to be synonymous with potential objective opportunities – those that can potentially be accessed physically or virtually without considering the subjective nature of individuals.</w:t>
      </w:r>
    </w:p>
    <w:p w14:paraId="16708C52" w14:textId="49F3C38F" w:rsidR="004C1D4A" w:rsidRDefault="00802AE3" w:rsidP="00156BEA">
      <w:pPr>
        <w:spacing w:line="480" w:lineRule="auto"/>
        <w:ind w:firstLine="720"/>
      </w:pPr>
      <w:r>
        <w:lastRenderedPageBreak/>
        <w:t xml:space="preserve">The numbers and statistics mentioned throughout the section and shown in the numerical counter at the top of the GIS platform should not be taken at face value as not every opportunity is truly accessible. The algorithm used to determine access merely calculates whether people have enough discretionary time to both visit and participate in the act of food shopping at every food opportunity. Despite being included in the opportunity set, not every opportunity may </w:t>
      </w:r>
      <w:r w:rsidR="002A367A">
        <w:t>be</w:t>
      </w:r>
      <w:r>
        <w:t xml:space="preserve"> accessible given individual preferences. However, this does not mean that the results should not be trusted. For example, the third and fourth case studies illustrated how the physical capabilities, financial circumstances, and preferences of individuals can be conceived as table queries to reduce the opportunity set. </w:t>
      </w:r>
      <w:r w:rsidR="00E06DD7">
        <w:t xml:space="preserve">These characteristics </w:t>
      </w:r>
      <w:r w:rsidR="00F37217">
        <w:t>represent the</w:t>
      </w:r>
      <w:r w:rsidR="00E06DD7">
        <w:t xml:space="preserve"> different dimensions important to access</w:t>
      </w:r>
      <w:r w:rsidR="00F37217">
        <w:t xml:space="preserve">. </w:t>
      </w:r>
      <w:r w:rsidR="002A367A">
        <w:t>Every</w:t>
      </w:r>
      <w:r>
        <w:t xml:space="preserve"> person has their own set of mental preferences, physical capabilities, and skills. Given the idiosyncratic nature of humans</w:t>
      </w:r>
      <w:r w:rsidR="00F37217">
        <w:t xml:space="preserve"> whereby some may weigh some dimensions of access more heavily than others</w:t>
      </w:r>
      <w:r>
        <w:t>, these characteristics should manually be added as user queries to ultimately arrive at the true feasible opportunity set.</w:t>
      </w:r>
    </w:p>
    <w:p w14:paraId="46461691" w14:textId="472A5AAF" w:rsidR="004E6D7F" w:rsidRPr="009E7E74" w:rsidRDefault="004C1D4A" w:rsidP="009E7E74">
      <w:pPr>
        <w:spacing w:line="480" w:lineRule="auto"/>
        <w:ind w:firstLine="720"/>
        <w:rPr>
          <w:i/>
          <w:iCs/>
        </w:rPr>
      </w:pPr>
      <w:r>
        <w:t xml:space="preserve">Throughout the four case studies, the total number of physical, virtual, and hybrid opportunities was derived for </w:t>
      </w:r>
      <w:proofErr w:type="gramStart"/>
      <w:r>
        <w:t>each individual</w:t>
      </w:r>
      <w:proofErr w:type="gramEnd"/>
      <w:r>
        <w:t xml:space="preserve"> based on their unique life circumstances. Opportunities for each modality can be viewed and compared in isolation or together. For example, after considering the time constraints and unique spatiotemporal behavior of Person </w:t>
      </w:r>
      <w:r>
        <w:rPr>
          <w:i/>
          <w:iCs/>
        </w:rPr>
        <w:t>H</w:t>
      </w:r>
      <w:r>
        <w:t>, her requirement for SNAP payment option, and her preference for moderately priced stores, the GIS found her to have access to a total of 0 physical, 30 virtual, and 7 hybrid food opportunities. There is a huge disparity in the number of virtual-based options in contrast to physical-based options. We could also compare the opportunities between individuals, as in the first and second case studies.</w:t>
      </w:r>
      <w:r>
        <w:rPr>
          <w:i/>
          <w:iCs/>
        </w:rPr>
        <w:t xml:space="preserve"> </w:t>
      </w:r>
      <w:proofErr w:type="gramStart"/>
      <w:r w:rsidR="00802AE3">
        <w:t>As long as</w:t>
      </w:r>
      <w:proofErr w:type="gramEnd"/>
      <w:r w:rsidR="00802AE3">
        <w:t xml:space="preserve"> th</w:t>
      </w:r>
      <w:r>
        <w:t>ese caveats are</w:t>
      </w:r>
      <w:r w:rsidR="00802AE3">
        <w:t xml:space="preserve"> understood and carried out, the GIS can accurately identify opportunities.</w:t>
      </w:r>
      <w:r w:rsidR="004E6D7F">
        <w:rPr>
          <w:b/>
          <w:bCs/>
        </w:rPr>
        <w:br w:type="page"/>
      </w:r>
    </w:p>
    <w:p w14:paraId="62297F94" w14:textId="5EC94365" w:rsidR="00471605" w:rsidRDefault="00EC36AE" w:rsidP="003B51B6">
      <w:pPr>
        <w:pStyle w:val="Heading1"/>
        <w:spacing w:after="240"/>
        <w:jc w:val="center"/>
        <w:rPr>
          <w:rFonts w:ascii="Times New Roman" w:hAnsi="Times New Roman" w:cs="Times New Roman"/>
          <w:b/>
          <w:bCs/>
          <w:color w:val="auto"/>
        </w:rPr>
      </w:pPr>
      <w:bookmarkStart w:id="150" w:name="_Toc114258066"/>
      <w:commentRangeStart w:id="151"/>
      <w:commentRangeStart w:id="152"/>
      <w:r>
        <w:rPr>
          <w:rFonts w:ascii="Times New Roman" w:hAnsi="Times New Roman" w:cs="Times New Roman"/>
          <w:b/>
          <w:bCs/>
          <w:color w:val="auto"/>
        </w:rPr>
        <w:lastRenderedPageBreak/>
        <w:t xml:space="preserve">CHAPTER </w:t>
      </w:r>
      <w:r w:rsidR="003B51B6" w:rsidRPr="003B51B6">
        <w:rPr>
          <w:rFonts w:ascii="Times New Roman" w:hAnsi="Times New Roman" w:cs="Times New Roman"/>
          <w:b/>
          <w:bCs/>
          <w:color w:val="auto"/>
        </w:rPr>
        <w:t>6. DISCUSSION AND CONCLUSION</w:t>
      </w:r>
      <w:commentRangeEnd w:id="151"/>
      <w:r w:rsidR="00F545AF">
        <w:rPr>
          <w:rStyle w:val="CommentReference"/>
          <w:rFonts w:ascii="Times New Roman" w:eastAsiaTheme="minorEastAsia" w:hAnsi="Times New Roman" w:cs="Times New Roman"/>
          <w:color w:val="auto"/>
        </w:rPr>
        <w:commentReference w:id="151"/>
      </w:r>
      <w:commentRangeEnd w:id="152"/>
      <w:r w:rsidR="00997180">
        <w:rPr>
          <w:rStyle w:val="CommentReference"/>
          <w:rFonts w:ascii="Times New Roman" w:eastAsiaTheme="minorEastAsia" w:hAnsi="Times New Roman" w:cs="Times New Roman"/>
          <w:color w:val="auto"/>
        </w:rPr>
        <w:commentReference w:id="152"/>
      </w:r>
      <w:bookmarkEnd w:id="150"/>
    </w:p>
    <w:p w14:paraId="6A2B740C" w14:textId="315E14B9" w:rsidR="00985B59" w:rsidRPr="00985B59" w:rsidRDefault="00985B59" w:rsidP="00985B59">
      <w:pPr>
        <w:pStyle w:val="Heading2"/>
        <w:spacing w:after="240"/>
        <w:jc w:val="center"/>
        <w:rPr>
          <w:rFonts w:ascii="Times New Roman" w:hAnsi="Times New Roman" w:cs="Times New Roman"/>
          <w:b/>
          <w:bCs/>
          <w:color w:val="auto"/>
        </w:rPr>
      </w:pPr>
      <w:bookmarkStart w:id="153" w:name="_Toc114258067"/>
      <w:r w:rsidRPr="00985B59">
        <w:rPr>
          <w:rFonts w:ascii="Times New Roman" w:hAnsi="Times New Roman" w:cs="Times New Roman"/>
          <w:b/>
          <w:bCs/>
          <w:color w:val="auto"/>
        </w:rPr>
        <w:t>6.1. Research Summary</w:t>
      </w:r>
      <w:bookmarkEnd w:id="153"/>
    </w:p>
    <w:p w14:paraId="7FAC13C7" w14:textId="6634A4B8" w:rsidR="00806BBA" w:rsidRDefault="00806BBA" w:rsidP="00156BEA">
      <w:pPr>
        <w:spacing w:line="480" w:lineRule="auto"/>
        <w:ind w:firstLine="720"/>
      </w:pPr>
      <w:r>
        <w:t xml:space="preserve">Access to human needs of food, healthcare, jobs, etc. are pervasive social inequalities many researchers and practitioners have worked to understand and resolve. Modern ICT developments including the Internet and Web engender a virtual space that revolutionizes contemporary human dynamics. </w:t>
      </w:r>
      <w:proofErr w:type="spellStart"/>
      <w:r>
        <w:t>Teleactivities</w:t>
      </w:r>
      <w:proofErr w:type="spellEnd"/>
      <w:r>
        <w:t xml:space="preserve"> are increasingly commonplace and replace or complement traditional activities and interactions in physical space. Today’s world exists in a hybrid physical-virtual </w:t>
      </w:r>
      <w:r w:rsidR="002B6207">
        <w:t>world</w:t>
      </w:r>
      <w:r>
        <w:t xml:space="preserve">, yet existing approaches </w:t>
      </w:r>
      <w:r w:rsidR="000F4FEB">
        <w:t xml:space="preserve">that seek to understand and measure the causal factors influencing the ability of people to obtain the opportunities they need </w:t>
      </w:r>
      <w:r>
        <w:t xml:space="preserve">fail to account for this reality. </w:t>
      </w:r>
      <w:r w:rsidR="000B54B5">
        <w:t>People</w:t>
      </w:r>
      <w:r w:rsidR="00DB04E4">
        <w:t xml:space="preserve"> consider more than just </w:t>
      </w:r>
      <w:r w:rsidR="003F6B1F">
        <w:t>how far they live or are located from the locations of opportunities</w:t>
      </w:r>
      <w:r w:rsidR="008D1FB7">
        <w:t xml:space="preserve"> especially with the advent of virtual-based services and activities</w:t>
      </w:r>
      <w:r w:rsidR="003F6B1F">
        <w:t xml:space="preserve">. </w:t>
      </w:r>
      <w:r>
        <w:t xml:space="preserve">Traditional approaches to access involving spatial accessibility measures (e.g., </w:t>
      </w:r>
      <w:r w:rsidR="00E1783C">
        <w:t xml:space="preserve">physical </w:t>
      </w:r>
      <w:r>
        <w:t xml:space="preserve">proximity analyses) based on static spatial frameworks and fixed physical locations inadequately capture </w:t>
      </w:r>
      <w:r w:rsidR="009C3F2E">
        <w:t>the</w:t>
      </w:r>
      <w:r>
        <w:t xml:space="preserve"> new context</w:t>
      </w:r>
      <w:r w:rsidR="009C3F2E">
        <w:t xml:space="preserve"> of society</w:t>
      </w:r>
      <w:r>
        <w:t xml:space="preserve">. This </w:t>
      </w:r>
      <w:r w:rsidR="008845C5">
        <w:t xml:space="preserve">narrow </w:t>
      </w:r>
      <w:r>
        <w:t xml:space="preserve">logic has persisted into the </w:t>
      </w:r>
      <w:r w:rsidR="00F30C70">
        <w:t xml:space="preserve">popular contemporary </w:t>
      </w:r>
      <w:r>
        <w:t xml:space="preserve">concept of </w:t>
      </w:r>
      <w:r w:rsidR="00951A21">
        <w:t>‘</w:t>
      </w:r>
      <w:r>
        <w:t>food deserts</w:t>
      </w:r>
      <w:r w:rsidR="00951A21">
        <w:t>,’</w:t>
      </w:r>
      <w:r>
        <w:t xml:space="preserve"> or barren wastelands where people are devoid of access to healthy and nutritious foods. </w:t>
      </w:r>
      <w:r w:rsidR="007A789A">
        <w:t xml:space="preserve">The concept of deserts </w:t>
      </w:r>
      <w:r w:rsidR="001045E9">
        <w:t xml:space="preserve">is hyper-focused </w:t>
      </w:r>
      <w:r w:rsidR="00BD34B2">
        <w:t xml:space="preserve">on </w:t>
      </w:r>
      <w:r w:rsidR="0014265C">
        <w:t xml:space="preserve">poor geographic accessibility, or </w:t>
      </w:r>
      <w:r w:rsidR="00450F2A">
        <w:t>long distances between where people live and locations of opportunities</w:t>
      </w:r>
      <w:r w:rsidR="001045E9">
        <w:t xml:space="preserve"> and</w:t>
      </w:r>
      <w:r w:rsidR="00450F2A">
        <w:t xml:space="preserve"> </w:t>
      </w:r>
      <w:r w:rsidR="007A789A">
        <w:t xml:space="preserve">has persisted into other contexts </w:t>
      </w:r>
      <w:r w:rsidR="00BD34B2">
        <w:t>including</w:t>
      </w:r>
      <w:r w:rsidR="007A789A">
        <w:t xml:space="preserve"> health</w:t>
      </w:r>
      <w:r w:rsidR="00BD34B2">
        <w:t xml:space="preserve">care </w:t>
      </w:r>
      <w:r w:rsidR="00BD34B2">
        <w:fldChar w:fldCharType="begin"/>
      </w:r>
      <w:r w:rsidR="002F3F74">
        <w:instrText xml:space="preserve"> ADDIN ZOTERO_ITEM CSL_CITATION {"citationID":"FcFkckAc","properties":{"formattedCitation":"(Statz &amp; Evers, 2020; Ying et al., 2022)","plainCitation":"(Statz &amp; Evers, 2020; Ying et al., 2022)","noteIndex":0},"citationItems":[{"id":1932,"uris":["http://zotero.org/users/5090392/items/PEI5QPJ3"],"itemData":{"id":1932,"type":"article-journal","abstract":"Policy attention to growing rural “health care deserts” tends to identify rural distance as a primary spatial barrier to accessing care. This paper brings together geography, health policy, and ethnographic methods to instead theorize distance as an expansive and illuminating concept that highlights place-based expertise. It specifically engages rural women's interpretations of rural distance as a multifaceted dimension of accessing health care, which includes but is not limited to women's health services and maternity care. Presenting qualitative research with 51 women in a rural region of the U.S., thematic findings reveal an interpretation of barriers to rural health care as moral failings rather than as purely spatial or operational challenges, along with wide communication of negative health care experiences owing to spatially-disparate but trusted social networks. Amid or owing to the rural crisis context, medical mistrust here emerges as a meaningful but largely unrecognized barrier to rural women's ability—and willingness—to obtain health care. This underscores how a novel interpretation of distance may inform policy efforts to address rural medical deserts., \n          \n            \n              •\n              As a conceptual tool, “rural distance” reveals overlooked experiences of healthcare environments.\n            \n            \n              •\n              Barriers to rural healthcare are viewed as moral failings, not spatial or structural challenges.\n            \n            \n              •\n              Policy efforts to address rural health care deserts must consider the role of medical mistrust.\n            \n            \n              •\n              Policies must address barriers to rural women's ability and willingness to access health care.","container-title":"Health &amp; Place","DOI":"10.1016/j.healthplace.2020.102396","ISSN":"1353-8292","journalAbbreviation":"Health Place","note":"PMID: 32739783\nPMCID: PMC7391386","page":"102396","source":"PubMed Central","title":"Spatial barriers as moral failings: What rural distance can teach us about women's health and medical mistrust author names and affiliations","title-short":"Spatial barriers as moral failings","URL":"https://www.ncbi.nlm.nih.gov/pmc/articles/PMC7391386/","volume":"64","author":[{"family":"Statz","given":"Michele"},{"family":"Evers","given":"Kaylie"}],"accessed":{"date-parts":[["2022",9,2]]},"issued":{"date-parts":[["2020",7]]}}},{"id":1935,"uris":["http://zotero.org/users/5090392/items/Y3IEUXJM"],"itemData":{"id":1935,"type":"article-journal","abstract":"Background\nIn the United States, geographic access is a major driver of health care disparities. Studies have shown that pharmacy deserts are prevalent in the United States, even in major metropolitan areas. However, one limitation often cited by these studies is the use of distance rather than travel time to define pharmacy deserts.\nObjective\nThe aim of this study was to assess pharmacy deserts using travel time and to provide a more holistic approach by incorporating analysis of private vehicles and public transportation.\nMethods\nPharmacy details were collected from the National Provider Identifier database and neighborhood characteristics from collected census data for the four largest U.S. cities. Pharmacy access was evaluated using open-source routing engines. We determined neighborhoods in pharmacy deserts using both distance and travel time analyses. Sensitivity analysis was performed to determine changes to pharmacy deserts based on small changes in travel time.\nResults\nOf 4654 neighborhoods identified in the four cities of interest, 670 (14.4%) neighborhoods were in pharmacy deserts based on distance. Despite accounting for 28.9% of all neighborhoods, predominantly White neighborhoods only accounted for 4.3% of pharmacy deserts. When evaluating pharmacy deserts by car and public transportation, predominantly White neighborhoods accounted for 2.3% and 1.7% of total pharmacy deserts, respectively. Finally, by reducing travel time from 15 minutes to 10 minutes, pharmacy deserts by car and public transportation increased by 105% and 199%, respectively. All but 3 of the new pharmacy deserts found in the sensitivity analysis were found in nonpredominantly White neighborhoods.\nConclusion\nUsing travel time and incorporating modes of transportation, we found that disparities in pharmacy access are more than just where pharmacies are located geographically. There are additional layers of disparities, such as access to public transportation, that need to be addressed to reduce the number of pharmacy deserts.","container-title":"Journal of the American Pharmacists Association","DOI":"10.1016/j.japh.2022.06.016","ISSN":"1544-3191","journalAbbreviation":"Journal of the American Pharmacists Association","language":"en","source":"ScienceDirect","title":"Pharmacy deserts: More than where pharmacies are","title-short":"Pharmacy deserts","URL":"https://www.sciencedirect.com/science/article/pii/S1544319122002308","author":[{"family":"Ying","given":"Xiaohan"},{"family":"Kahn","given":"Peter"},{"family":"Mathis","given":"Walter S."}],"accessed":{"date-parts":[["2022",9,2]]},"issued":{"date-parts":[["2022",7,5]]}}}],"schema":"https://github.com/citation-style-language/schema/raw/master/csl-citation.json"} </w:instrText>
      </w:r>
      <w:r w:rsidR="00BD34B2">
        <w:fldChar w:fldCharType="separate"/>
      </w:r>
      <w:r w:rsidR="002F3F74" w:rsidRPr="002F3F74">
        <w:t>(Statz &amp; Evers, 2020; Ying et al., 2022)</w:t>
      </w:r>
      <w:r w:rsidR="00BD34B2">
        <w:fldChar w:fldCharType="end"/>
      </w:r>
      <w:r w:rsidR="00792B0C">
        <w:t xml:space="preserve">, education </w:t>
      </w:r>
      <w:r w:rsidR="00792B0C">
        <w:fldChar w:fldCharType="begin"/>
      </w:r>
      <w:r w:rsidR="00DC4F9A">
        <w:instrText xml:space="preserve"> ADDIN ZOTERO_ITEM CSL_CITATION {"citationID":"p8Y5HbY8","properties":{"formattedCitation":"(Alexander &amp; Massaro, 2020; Hillman, 2019)","plainCitation":"(Alexander &amp; Massaro, 2020; Hillman, 2019)","noteIndex":0},"citationItems":[{"id":1939,"uris":["http://zotero.org/users/5090392/items/QQJ3AEVH"],"itemData":{"id":1939,"type":"article-journal","abstract":"The purported purpose of school choice policies is to increase students’ access to “good schools.” There is little discussion, however, of where those good schools are located, nor of the ways in which the distribution of good schools mirrors broader patterns of uneven development in the United States. Given that schools are neighborhood assets and that the distance which students travel to get to school affects their success, the locations of schools matter tremendously and are inextricable from questions of social and spatial justice. We introduce and argue for the explicit use of the term “school desert” as a way for scholars to understand and describe the spatial injustice of school closures and for activists to argue the importance of effective local schools. Spatial visualization and rendering of social problems is an invaluable strategy for effecting policy change. As cities move increasingly to a “de-spatialized” geography of schooling where catchment zones are less determinate of where a student attends school, it is important to consider where the desirable schools are and where they are not. A more nuanced visualization of school locations than neighborhood demographics offers a new lens through which to examine the (un)intended effects of school closures on students, communities, and development. Using Pennsylvania as a case study, we use a geographic information system (GIS) to evaluate the broader reverberations of school choice policies and determine who, demographically, has access to high-quality schools. In light of this research, we also propose an innovative analytic and methodology that describes the educational inequity which is caused by spatial relationships between students’ homes and high-quality schooling. Through the concept of a school desert we explore the (un)intended spatial implications of school closures. School deserts occur as a result of school choice policies that justify school closures. Closures and the location of good schools are geographically uneven, tempered by the federal and local policies that ensure income and racial segregation in US housing. Our analysis of Pennsylvania reveals the uneven distribution of access to good schools in the same way that mapping food deserts displays how market forces have failed to evenly distribute quality food. We find that areas with high-quality schools are significantly wealthier and whiter than school deserts, a conclusion which mirrors those concerning other low-quality neighborhood assets. School deserts as a methodology demonstrate that if students do not have geographic access to good schools, then school choice policies do not, in fact, offer choice.","container-title":"Policy Futures in Education","DOI":"10.1177/1478210320951063","ISSN":"1478-2103","issue":"6","journalAbbreviation":"Policy Futures in Education","language":"en","note":"publisher: SAGE Publications","page":"787-805","source":"SAGE Journals","title":"School deserts: Visualizing the death of the neighborhood school","title-short":"School deserts","URL":"https://doi.org/10.1177/1478210320951063","volume":"18","author":[{"family":"Alexander","given":"Monique"},{"family":"Massaro","given":"Vanessa A"}],"accessed":{"date-parts":[["2022",9,2]]},"issued":{"date-parts":[["2020",9,1]]}}},{"id":1937,"uris":["http://zotero.org/users/5090392/items/JGJ5R86K"],"itemData":{"id":1937,"type":"report","publisher":"Third Way","source":"JSTOR","title":"Place Matters: A Closer Look at Education Deserts","title-short":"Place Matters","URL":"https://www.jstor.org/stable/resrep41709","author":[{"family":"Hillman","given":"Nick"}],"accessed":{"date-parts":[["2022",9,2]]},"issued":{"date-parts":[["2019"]]}}}],"schema":"https://github.com/citation-style-language/schema/raw/master/csl-citation.json"} </w:instrText>
      </w:r>
      <w:r w:rsidR="00792B0C">
        <w:fldChar w:fldCharType="separate"/>
      </w:r>
      <w:r w:rsidR="00DC4F9A" w:rsidRPr="00DC4F9A">
        <w:t>(Alexander &amp; Massaro, 2020; Hillman, 2019)</w:t>
      </w:r>
      <w:r w:rsidR="00792B0C">
        <w:fldChar w:fldCharType="end"/>
      </w:r>
      <w:r w:rsidR="00DC4F9A">
        <w:t xml:space="preserve">, and greenspace </w:t>
      </w:r>
      <w:r w:rsidR="00DC4F9A">
        <w:fldChar w:fldCharType="begin"/>
      </w:r>
      <w:r w:rsidR="00DC4F9A">
        <w:instrText xml:space="preserve"> ADDIN ZOTERO_ITEM CSL_CITATION {"citationID":"BB1A2lkn","properties":{"formattedCitation":"(Cohen et al., 2016)","plainCitation":"(Cohen et al., 2016)","noteIndex":0},"citationItems":[{"id":1940,"uris":["http://zotero.org/users/5090392/items/JV8ECQPZ"],"itemData":{"id":1940,"type":"article-journal","abstract":"Although food deserts are areas that lack easy access to food outlets and considered a barrier to a healthy diet and a healthy weight among residents, food deserts typically comprise older urban areas which may have many parks and street configurations that could facilitate more physical activity. However, other conditions may limit the use of available facilities in these areas. This paper assesses the use of parks in two Pittsburgh food desert neighborhoods by using systematic observation. We found that while the local parks were accessible, they were largely underutilized. We surveyed local residents and found that only a minority considered the parks unsafe for use during the day, but a substantial proportion suffered from health limitations that interfered with physical activity. Residents also felt that parks lacked programming and other amenities that could potentially draw more park users. Parks programming and equipment in food desert areas should be addressed to account for local preferences and adjusted to meet the needs and limitations of local residents, especially seniors.","container-title":"Journal of Urban Health : Bulletin of the New York Academy of Medicine","DOI":"10.1007/s11524-015-0024-7","ISSN":"1099-3460","issue":"2","journalAbbreviation":"J Urban Health","note":"PMID: 27033184\nPMCID: PMC4835352","page":"235-243","source":"PubMed Central","title":"Are Food Deserts Also Play Deserts?","URL":"https://www.ncbi.nlm.nih.gov/pmc/articles/PMC4835352/","volume":"93","author":[{"family":"Cohen","given":"Deborah A."},{"family":"Hunter","given":"Gerald"},{"family":"Williamson","given":"Stephanie"},{"family":"Dubowitz","given":"Tamara"}],"accessed":{"date-parts":[["2022",9,2]]},"issued":{"date-parts":[["2016",4]]}}}],"schema":"https://github.com/citation-style-language/schema/raw/master/csl-citation.json"} </w:instrText>
      </w:r>
      <w:r w:rsidR="00DC4F9A">
        <w:fldChar w:fldCharType="separate"/>
      </w:r>
      <w:r w:rsidR="00DC4F9A" w:rsidRPr="00DC4F9A">
        <w:t>(Cohen et al., 2016)</w:t>
      </w:r>
      <w:r w:rsidR="00DC4F9A">
        <w:fldChar w:fldCharType="end"/>
      </w:r>
      <w:r w:rsidR="00DC4F9A">
        <w:t>.</w:t>
      </w:r>
      <w:r w:rsidR="00DF7545">
        <w:t xml:space="preserve"> </w:t>
      </w:r>
      <w:r w:rsidR="00D64D8B">
        <w:t>Consequently, existing GIS</w:t>
      </w:r>
      <w:r w:rsidR="00EF401F">
        <w:t xml:space="preserve"> </w:t>
      </w:r>
      <w:r w:rsidR="004402DF">
        <w:t xml:space="preserve">approaches </w:t>
      </w:r>
      <w:r w:rsidR="00614CB3">
        <w:t>to measure access for different groups of people</w:t>
      </w:r>
      <w:r w:rsidR="00D64D8B">
        <w:t xml:space="preserve"> are based on the same faulty logic. </w:t>
      </w:r>
      <w:r>
        <w:t xml:space="preserve">Literature emerging in the last decade raises concerns about the oversimplification of </w:t>
      </w:r>
      <w:r w:rsidR="00467CBF">
        <w:t>food</w:t>
      </w:r>
      <w:r w:rsidR="00614CB3">
        <w:t xml:space="preserve"> </w:t>
      </w:r>
      <w:r w:rsidR="00467CBF">
        <w:t xml:space="preserve">access </w:t>
      </w:r>
      <w:r>
        <w:t xml:space="preserve">to physical proximity </w:t>
      </w:r>
      <w:r w:rsidR="00467CBF">
        <w:t xml:space="preserve">as </w:t>
      </w:r>
      <w:r>
        <w:t xml:space="preserve">that ignores the agency of people beyond spatial characteristics and reductionist perspective that fails to capture how food </w:t>
      </w:r>
      <w:r>
        <w:lastRenderedPageBreak/>
        <w:t>procurement is mediated</w:t>
      </w:r>
      <w:r w:rsidR="00EF401F">
        <w:t xml:space="preserve"> also</w:t>
      </w:r>
      <w:r>
        <w:t xml:space="preserve"> by factors</w:t>
      </w:r>
      <w:r w:rsidR="004402DF">
        <w:t xml:space="preserve"> </w:t>
      </w:r>
      <w:r w:rsidR="007C693C">
        <w:t xml:space="preserve">not solely explainable by physical proximity </w:t>
      </w:r>
      <w:r w:rsidR="00994C97">
        <w:fldChar w:fldCharType="begin"/>
      </w:r>
      <w:r w:rsidR="00994C97">
        <w:instrText xml:space="preserve"> ADDIN ZOTERO_ITEM CSL_CITATION {"citationID":"ug2jltWl","properties":{"formattedCitation":"(Widener, 2018)","plainCitation":"(Widener, 2018)","noteIndex":0},"citationItems":[{"id":684,"uris":["http://zotero.org/users/5090392/items/G23ENZGI"],"itemData":{"id":684,"type":"article-journal","abstract":"The food desert metaphor has been widely used over the past few decades as a way to identify regions as being at risk for having little or no access to healthy food. While the simplicity of the metaphor is attractive, this article argues that its usefulness to researchers interested in understanding the relationship between the geography of healthy food opportunities and dietary behaviours is limited. More nuanced approaches to incorporating geography into food access studies, like including transportation, economic factors, and time use, in addition to considering other dimensions of accessibility, are warranted.","collection-title":"The Pace of Life and Feeding: Health Implications","container-title":"Physiology &amp; Behavior","DOI":"10.1016/j.physbeh.2018.02.032","ISSN":"0031-9384","journalAbbreviation":"Physiology &amp; Behavior","language":"en","page":"257-260","source":"ScienceDirect","title":"Spatial access to food: Retiring the food desert metaphor","title-short":"Spatial access to food","URL":"http://www.sciencedirect.com/science/article/pii/S003193841830091X","volume":"193","author":[{"family":"Widener","given":"Michael J."}],"accessed":{"date-parts":[["2020",11,27]]},"issued":{"date-parts":[["2018",9,1]]}}}],"schema":"https://github.com/citation-style-language/schema/raw/master/csl-citation.json"} </w:instrText>
      </w:r>
      <w:r w:rsidR="00994C97">
        <w:fldChar w:fldCharType="separate"/>
      </w:r>
      <w:r w:rsidR="00994C97" w:rsidRPr="00994C97">
        <w:t>(Widener, 2018)</w:t>
      </w:r>
      <w:r w:rsidR="00994C97">
        <w:fldChar w:fldCharType="end"/>
      </w:r>
      <w:r>
        <w:t>.</w:t>
      </w:r>
    </w:p>
    <w:p w14:paraId="0BD5841E" w14:textId="35402B43" w:rsidR="00406154" w:rsidRDefault="00CD5F92" w:rsidP="00CB3294">
      <w:pPr>
        <w:spacing w:line="480" w:lineRule="auto"/>
        <w:ind w:firstLine="720"/>
      </w:pPr>
      <w:r>
        <w:t>In response to these critiques</w:t>
      </w:r>
      <w:r w:rsidR="00A50FAE">
        <w:t xml:space="preserve"> on the conceptualization and measurement of potential access</w:t>
      </w:r>
      <w:r>
        <w:t>, t</w:t>
      </w:r>
      <w:r w:rsidR="00667C42">
        <w:t>he objectives of this dissertation were to</w:t>
      </w:r>
      <w:r w:rsidR="00A50FAE">
        <w:t>: (1)</w:t>
      </w:r>
      <w:r w:rsidR="00667C42">
        <w:t xml:space="preserve"> </w:t>
      </w:r>
      <w:r w:rsidR="00272DF6">
        <w:t xml:space="preserve">articulate a </w:t>
      </w:r>
      <w:proofErr w:type="spellStart"/>
      <w:r w:rsidR="00272DF6">
        <w:t>multispace</w:t>
      </w:r>
      <w:proofErr w:type="spellEnd"/>
      <w:r w:rsidR="00272DF6">
        <w:t xml:space="preserve"> multidimensional conceptual framework of access in the context of society in a contemporary hybrid physical-virtual space, </w:t>
      </w:r>
      <w:r w:rsidR="00A50FAE">
        <w:t xml:space="preserve">(2) </w:t>
      </w:r>
      <w:r w:rsidR="00272DF6">
        <w:t xml:space="preserve">identify appropriate small and big data reflecting upon numerous dimensions </w:t>
      </w:r>
      <w:r w:rsidR="00BE77A5">
        <w:t>and how humans experience space that are important to access, and</w:t>
      </w:r>
      <w:r w:rsidR="00A50FAE">
        <w:t xml:space="preserve"> (3)</w:t>
      </w:r>
      <w:r w:rsidR="00BE77A5">
        <w:t xml:space="preserve"> develop a GIS web application that can implement the proposed concepts with the identified data and improve understanding of potential access to different opportunities.</w:t>
      </w:r>
      <w:r w:rsidR="00CB3294">
        <w:t xml:space="preserve"> </w:t>
      </w:r>
      <w:commentRangeStart w:id="154"/>
      <w:commentRangeStart w:id="155"/>
      <w:r w:rsidR="004E0C7E">
        <w:t>Overall, t</w:t>
      </w:r>
      <w:r w:rsidR="00423BA1">
        <w:t xml:space="preserve">his dissertation </w:t>
      </w:r>
      <w:r w:rsidR="00B4669F">
        <w:t xml:space="preserve">contributes to </w:t>
      </w:r>
      <w:r w:rsidR="00CF19FF">
        <w:t>academic knowledge</w:t>
      </w:r>
      <w:r w:rsidR="00D14699">
        <w:t xml:space="preserve"> </w:t>
      </w:r>
      <w:r w:rsidR="00B4669F">
        <w:t>o</w:t>
      </w:r>
      <w:r w:rsidR="002B19E1">
        <w:t xml:space="preserve">n the </w:t>
      </w:r>
      <w:r w:rsidR="0018269E">
        <w:t>c</w:t>
      </w:r>
      <w:r w:rsidR="00630096">
        <w:t xml:space="preserve">oncept of access </w:t>
      </w:r>
      <w:r w:rsidR="00E84C3D">
        <w:t>to human needs</w:t>
      </w:r>
      <w:r w:rsidR="00A50FAE">
        <w:t xml:space="preserve"> and </w:t>
      </w:r>
      <w:r w:rsidR="00063C41">
        <w:t>with a novel GIS-based approach to measure</w:t>
      </w:r>
      <w:r w:rsidR="007A1391">
        <w:t xml:space="preserve"> potential</w:t>
      </w:r>
      <w:r w:rsidR="00063C41">
        <w:t xml:space="preserve"> access</w:t>
      </w:r>
      <w:r w:rsidR="007A1391">
        <w:t xml:space="preserve"> to opportunities</w:t>
      </w:r>
      <w:r w:rsidR="00042BCF">
        <w:t>. Specifically, understanding access needs to be contextualized</w:t>
      </w:r>
      <w:r w:rsidR="00E84C3D">
        <w:t xml:space="preserve"> </w:t>
      </w:r>
      <w:r w:rsidR="00D14699">
        <w:t>in a hybrid physical-virtual space</w:t>
      </w:r>
      <w:r w:rsidR="00042BCF">
        <w:t xml:space="preserve"> and metrics must take this into consideration as well as aspects of the local environment, relationships and interactions, and mental perceptions</w:t>
      </w:r>
      <w:r w:rsidR="00CF19FF">
        <w:t>.</w:t>
      </w:r>
      <w:r w:rsidR="00C4589E">
        <w:t xml:space="preserve"> </w:t>
      </w:r>
      <w:proofErr w:type="gramStart"/>
      <w:r w:rsidR="00C4589E" w:rsidRPr="00C4589E">
        <w:t>In order to</w:t>
      </w:r>
      <w:proofErr w:type="gramEnd"/>
      <w:r w:rsidR="00C4589E" w:rsidRPr="00C4589E">
        <w:t xml:space="preserve"> draw the most accurate conclusions, we must integrate a range of qualitative and quantitative data that can illuminate upon the varied experiences of people and their access.</w:t>
      </w:r>
      <w:r w:rsidR="00C4589E">
        <w:t xml:space="preserve"> This dissertation</w:t>
      </w:r>
      <w:r w:rsidR="00D96203">
        <w:t xml:space="preserve"> additionally </w:t>
      </w:r>
      <w:r w:rsidR="00051EBC">
        <w:t>adds a</w:t>
      </w:r>
      <w:r w:rsidR="00CC513A">
        <w:t xml:space="preserve"> methodological approach specific to</w:t>
      </w:r>
      <w:r w:rsidR="00051EBC">
        <w:t xml:space="preserve"> literature on </w:t>
      </w:r>
      <w:r w:rsidR="00CC513A">
        <w:t xml:space="preserve">food access with the demonstration of four related case studies on the </w:t>
      </w:r>
      <w:r w:rsidR="00866901">
        <w:t>relevance and application of the proposed</w:t>
      </w:r>
      <w:r w:rsidR="00AC08D2">
        <w:t xml:space="preserve"> </w:t>
      </w:r>
      <w:proofErr w:type="spellStart"/>
      <w:r w:rsidR="00AC08D2">
        <w:t>multispace</w:t>
      </w:r>
      <w:proofErr w:type="spellEnd"/>
      <w:r w:rsidR="00AC08D2">
        <w:t xml:space="preserve"> multidimensional</w:t>
      </w:r>
      <w:r w:rsidR="00866901">
        <w:t xml:space="preserve"> conceptual framework </w:t>
      </w:r>
      <w:r w:rsidR="00063C41">
        <w:t xml:space="preserve">to </w:t>
      </w:r>
      <w:proofErr w:type="gramStart"/>
      <w:r w:rsidR="00063C41">
        <w:t>more accurately measure access</w:t>
      </w:r>
      <w:proofErr w:type="gramEnd"/>
      <w:r w:rsidR="00063C41">
        <w:t xml:space="preserve"> to food opportunities</w:t>
      </w:r>
      <w:r w:rsidR="00051EBC">
        <w:t xml:space="preserve">. </w:t>
      </w:r>
      <w:r w:rsidR="00BD7B00">
        <w:t>Altogether, t</w:t>
      </w:r>
      <w:r w:rsidR="00C97714">
        <w:t xml:space="preserve">hese </w:t>
      </w:r>
      <w:r w:rsidR="00AD1DE6">
        <w:t>developments have important policy implications</w:t>
      </w:r>
      <w:r w:rsidR="00FC50D3">
        <w:t xml:space="preserve"> for access to food and </w:t>
      </w:r>
      <w:r w:rsidR="00EF46FE">
        <w:t>other human needs and aids in understandi</w:t>
      </w:r>
      <w:r w:rsidR="00BA280A">
        <w:t xml:space="preserve">ng the </w:t>
      </w:r>
      <w:r w:rsidR="00994C97">
        <w:t>equitability of</w:t>
      </w:r>
      <w:r w:rsidR="00BA280A">
        <w:t xml:space="preserve"> access for different groups of people</w:t>
      </w:r>
      <w:r w:rsidR="00860AB1">
        <w:t xml:space="preserve"> based on </w:t>
      </w:r>
      <w:r w:rsidR="004E0C7E">
        <w:t>specific concepts in the proposed framework</w:t>
      </w:r>
      <w:r w:rsidR="00BA280A">
        <w:t>.</w:t>
      </w:r>
      <w:commentRangeEnd w:id="154"/>
      <w:r w:rsidR="004E0C7E">
        <w:rPr>
          <w:rStyle w:val="CommentReference"/>
        </w:rPr>
        <w:commentReference w:id="154"/>
      </w:r>
      <w:commentRangeEnd w:id="155"/>
      <w:r w:rsidR="00997FBF">
        <w:rPr>
          <w:rStyle w:val="CommentReference"/>
        </w:rPr>
        <w:commentReference w:id="155"/>
      </w:r>
    </w:p>
    <w:p w14:paraId="7636A992" w14:textId="69FA6E06" w:rsidR="0018269E" w:rsidRDefault="00225CCF" w:rsidP="00394A33">
      <w:pPr>
        <w:spacing w:line="480" w:lineRule="auto"/>
        <w:ind w:firstLine="720"/>
      </w:pPr>
      <w:r>
        <w:lastRenderedPageBreak/>
        <w:t xml:space="preserve">Specifically, to reconcile shortcomings in extant research on </w:t>
      </w:r>
      <w:r w:rsidR="00874083">
        <w:t xml:space="preserve">the dimensions of </w:t>
      </w:r>
      <w:r>
        <w:t>access</w:t>
      </w:r>
      <w:r w:rsidR="00874083">
        <w:t xml:space="preserve"> in a physical space</w:t>
      </w:r>
      <w:r>
        <w:t xml:space="preserve">, </w:t>
      </w:r>
      <w:commentRangeStart w:id="156"/>
      <w:commentRangeStart w:id="157"/>
      <w:r>
        <w:t xml:space="preserve">this dissertation situates access in the context of an increasingly physical-virtual </w:t>
      </w:r>
      <w:r w:rsidR="00975712">
        <w:t>space</w:t>
      </w:r>
      <w:r w:rsidR="008A7E33">
        <w:t xml:space="preserve"> which is articulated in the</w:t>
      </w:r>
      <w:r w:rsidR="0030095C">
        <w:t xml:space="preserve"> proposed</w:t>
      </w:r>
      <w:commentRangeEnd w:id="156"/>
      <w:r>
        <w:rPr>
          <w:rStyle w:val="CommentReference"/>
        </w:rPr>
        <w:commentReference w:id="156"/>
      </w:r>
      <w:commentRangeEnd w:id="157"/>
      <w:r>
        <w:rPr>
          <w:rStyle w:val="CommentReference"/>
        </w:rPr>
        <w:commentReference w:id="157"/>
      </w:r>
      <w:r>
        <w:t xml:space="preserve"> </w:t>
      </w:r>
      <w:proofErr w:type="spellStart"/>
      <w:r>
        <w:t>multispace</w:t>
      </w:r>
      <w:proofErr w:type="spellEnd"/>
      <w:r>
        <w:t xml:space="preserve"> multidimensional conceptual framework</w:t>
      </w:r>
      <w:r w:rsidR="0030095C">
        <w:t xml:space="preserve">. The framework </w:t>
      </w:r>
      <w:r>
        <w:t>acknowledges the relationships between five overarching dimensions (availability, accessibility, accommodation, affordability, and acceptability) important to people</w:t>
      </w:r>
      <w:r>
        <w:rPr>
          <w:b/>
          <w:bCs/>
        </w:rPr>
        <w:t xml:space="preserve"> </w:t>
      </w:r>
      <w:r>
        <w:t xml:space="preserve">and four constructs of space (absolute, relative, relational, and mental) that capture different ways people intuit and experience the world (Chapter 3). </w:t>
      </w:r>
      <w:r w:rsidR="00F74E69">
        <w:t xml:space="preserve">This framework attempts to </w:t>
      </w:r>
      <w:r w:rsidR="00E03EBC">
        <w:t xml:space="preserve">unite disparate schools of thought and analytical approaches to access </w:t>
      </w:r>
      <w:r w:rsidR="00F672F6">
        <w:t xml:space="preserve">that explicitly </w:t>
      </w:r>
      <w:r w:rsidR="006C7E28">
        <w:t xml:space="preserve">recognizes </w:t>
      </w:r>
      <w:r w:rsidR="00F672F6">
        <w:t>the importance of</w:t>
      </w:r>
      <w:r w:rsidR="00F308E5">
        <w:t xml:space="preserve"> </w:t>
      </w:r>
      <w:r w:rsidR="00142F9A">
        <w:t xml:space="preserve">considering together </w:t>
      </w:r>
      <w:proofErr w:type="gramStart"/>
      <w:r w:rsidR="00F308E5">
        <w:t>a number of</w:t>
      </w:r>
      <w:proofErr w:type="gramEnd"/>
      <w:r w:rsidR="00F672F6">
        <w:t xml:space="preserve"> </w:t>
      </w:r>
      <w:r w:rsidR="00030174">
        <w:t>factors</w:t>
      </w:r>
      <w:r w:rsidR="00221624">
        <w:t xml:space="preserve">, including the diversity and quantity of opportunities, </w:t>
      </w:r>
      <w:r w:rsidR="00454308">
        <w:t xml:space="preserve">proximity to opportunities, </w:t>
      </w:r>
      <w:r w:rsidR="006C7F48">
        <w:t xml:space="preserve">financial considerations, physical, virtual, and social infrastructure of </w:t>
      </w:r>
      <w:r w:rsidR="000714F2">
        <w:t>opportunities, and</w:t>
      </w:r>
      <w:r w:rsidR="0055302A">
        <w:t xml:space="preserve"> </w:t>
      </w:r>
      <w:r w:rsidR="00597B72">
        <w:t xml:space="preserve">attitudes about the subjective characteristics of </w:t>
      </w:r>
      <w:r w:rsidR="0055302A">
        <w:t>opportunities</w:t>
      </w:r>
      <w:r w:rsidR="00F308E5">
        <w:t>.</w:t>
      </w:r>
      <w:r w:rsidR="0059448C">
        <w:t xml:space="preserve"> </w:t>
      </w:r>
      <w:proofErr w:type="gramStart"/>
      <w:r w:rsidR="0027374C">
        <w:t>A number of</w:t>
      </w:r>
      <w:proofErr w:type="gramEnd"/>
      <w:r w:rsidR="006C2094">
        <w:t xml:space="preserve"> isolated perspectives </w:t>
      </w:r>
      <w:r w:rsidR="00030BB6">
        <w:t>permeate</w:t>
      </w:r>
      <w:r w:rsidR="006C2094">
        <w:t xml:space="preserve"> </w:t>
      </w:r>
      <w:r w:rsidR="000C2EE4">
        <w:t xml:space="preserve">the </w:t>
      </w:r>
      <w:r w:rsidR="00E805A3">
        <w:t xml:space="preserve">litany of quantitative and qualitative approaches, such as a prevailing absolute space logic </w:t>
      </w:r>
      <w:r w:rsidR="00C25F05">
        <w:t>with location-based accessibility measures</w:t>
      </w:r>
      <w:r w:rsidR="000C2EE4">
        <w:t>, relative space logic with space-time accessibility measures,</w:t>
      </w:r>
      <w:r w:rsidR="00C25F05">
        <w:t xml:space="preserve"> relational </w:t>
      </w:r>
      <w:r w:rsidR="009427BE">
        <w:t xml:space="preserve">space logic with many </w:t>
      </w:r>
      <w:r w:rsidR="00AF19E4">
        <w:t xml:space="preserve">critical </w:t>
      </w:r>
      <w:r w:rsidR="00FB75CB">
        <w:t>geographers</w:t>
      </w:r>
      <w:r w:rsidR="00C11CF3">
        <w:t xml:space="preserve">, </w:t>
      </w:r>
      <w:r w:rsidR="000C2EE4">
        <w:t xml:space="preserve">and mental space logic </w:t>
      </w:r>
      <w:r w:rsidR="00601D9A">
        <w:t xml:space="preserve">captured in research on the cognitive processes </w:t>
      </w:r>
      <w:r w:rsidR="00240062">
        <w:t xml:space="preserve">related to decision making and behavior. This dissertation agrees with these different schools of thought and </w:t>
      </w:r>
      <w:r w:rsidR="00B93FBF">
        <w:t xml:space="preserve">argues that access is inherently a </w:t>
      </w:r>
      <w:proofErr w:type="spellStart"/>
      <w:r w:rsidR="00831D56">
        <w:t>multi</w:t>
      </w:r>
      <w:r w:rsidR="00B93FBF">
        <w:t>spatial</w:t>
      </w:r>
      <w:proofErr w:type="spellEnd"/>
      <w:r w:rsidR="00B93FBF">
        <w:t xml:space="preserve"> phenomenon rooted beyond </w:t>
      </w:r>
      <w:r w:rsidR="00240062">
        <w:t>a</w:t>
      </w:r>
      <w:r w:rsidR="00776EC0">
        <w:t xml:space="preserve"> single approach</w:t>
      </w:r>
      <w:r w:rsidR="008862A5">
        <w:t>.</w:t>
      </w:r>
      <w:r w:rsidR="00BF03D4">
        <w:t xml:space="preserve"> </w:t>
      </w:r>
      <w:r w:rsidR="00776EC0">
        <w:t>The</w:t>
      </w:r>
      <w:r w:rsidR="00394A33">
        <w:t xml:space="preserve"> proposed framework argues that </w:t>
      </w:r>
      <w:r w:rsidR="00D1525D">
        <w:t xml:space="preserve">a simplistic understanding of access as simply the opportunities that people can reach based on their </w:t>
      </w:r>
      <w:r w:rsidR="00E250F3">
        <w:t>activity and travel pattern is not enough. In addition, understanding access also concerns</w:t>
      </w:r>
      <w:r w:rsidR="00A51E7A">
        <w:t xml:space="preserve"> local context</w:t>
      </w:r>
      <w:r w:rsidR="00692D0C">
        <w:t>,</w:t>
      </w:r>
      <w:r w:rsidR="00AF7F26">
        <w:t xml:space="preserve"> topological</w:t>
      </w:r>
      <w:r w:rsidR="00692D0C">
        <w:t xml:space="preserve"> relationships and </w:t>
      </w:r>
      <w:r w:rsidR="00AF7F26">
        <w:t>interactions</w:t>
      </w:r>
      <w:r w:rsidR="00692D0C">
        <w:t xml:space="preserve"> </w:t>
      </w:r>
      <w:r w:rsidR="00AF7F26">
        <w:t>between</w:t>
      </w:r>
      <w:r w:rsidR="00692D0C">
        <w:t xml:space="preserve"> people, entities, and institutions</w:t>
      </w:r>
      <w:r w:rsidR="00AF7F26">
        <w:t xml:space="preserve">, and </w:t>
      </w:r>
      <w:r w:rsidR="0054549D">
        <w:t>mental awareness and preference</w:t>
      </w:r>
      <w:r w:rsidR="00831D56">
        <w:t>s.</w:t>
      </w:r>
    </w:p>
    <w:p w14:paraId="3309CB7B" w14:textId="611AFF5A" w:rsidR="007B342B" w:rsidRPr="00580240" w:rsidRDefault="000975E9" w:rsidP="00156BEA">
      <w:pPr>
        <w:spacing w:line="480" w:lineRule="auto"/>
        <w:ind w:firstLine="720"/>
      </w:pPr>
      <w:r>
        <w:t xml:space="preserve">But how can these concepts be operationalized and measured? The dissertation additionally identifies </w:t>
      </w:r>
      <w:r w:rsidR="00CE2902">
        <w:t xml:space="preserve">and discusses the manipulation </w:t>
      </w:r>
      <w:r>
        <w:t xml:space="preserve">of </w:t>
      </w:r>
      <w:r w:rsidR="00CE2902">
        <w:t xml:space="preserve">small and big data </w:t>
      </w:r>
      <w:r w:rsidR="009B2BB9">
        <w:t xml:space="preserve">that </w:t>
      </w:r>
      <w:r w:rsidR="00AD64C5">
        <w:t xml:space="preserve">represent </w:t>
      </w:r>
      <w:r w:rsidR="00AD64C5">
        <w:lastRenderedPageBreak/>
        <w:t>elements of the different access dimensions.</w:t>
      </w:r>
      <w:r w:rsidR="0080203E">
        <w:t xml:space="preserve"> As no single dataset can reveal </w:t>
      </w:r>
      <w:proofErr w:type="gramStart"/>
      <w:r w:rsidR="0080203E">
        <w:t>everything</w:t>
      </w:r>
      <w:proofErr w:type="gramEnd"/>
      <w:r w:rsidR="0080203E">
        <w:t xml:space="preserve"> we need to know about the potential opportunities that </w:t>
      </w:r>
      <w:r w:rsidR="00456605">
        <w:t>meet the needs of peopl</w:t>
      </w:r>
      <w:r w:rsidR="007E5615">
        <w:t>e, it is important to include a diversity of datasets that reveal the characteristics of opportunities</w:t>
      </w:r>
      <w:r w:rsidR="0075007C">
        <w:t>, individuals, and the environments they are situated in.</w:t>
      </w:r>
      <w:r>
        <w:t xml:space="preserve"> </w:t>
      </w:r>
      <w:r w:rsidR="007B342B">
        <w:t xml:space="preserve">Operationalizing the concepts </w:t>
      </w:r>
      <w:r w:rsidR="00BD075D">
        <w:t xml:space="preserve">in the framework </w:t>
      </w:r>
      <w:r w:rsidR="007B342B">
        <w:t xml:space="preserve">required the integration of a range of data including synthetic GPS traces and travel diaries, transportation networks, social networks, </w:t>
      </w:r>
      <w:proofErr w:type="gramStart"/>
      <w:r w:rsidR="007B342B">
        <w:t>objective</w:t>
      </w:r>
      <w:proofErr w:type="gramEnd"/>
      <w:r w:rsidR="007B342B">
        <w:t xml:space="preserve"> and subjective business information scraped from public websites</w:t>
      </w:r>
      <w:r w:rsidR="00C260A9">
        <w:t>, or the ‘Social Web’</w:t>
      </w:r>
      <w:r w:rsidR="007B342B">
        <w:t>, and census reports detailing socioeconomic conditions</w:t>
      </w:r>
      <w:r w:rsidR="004918B6">
        <w:t xml:space="preserve"> (Chapter 4)</w:t>
      </w:r>
      <w:r w:rsidR="007B342B">
        <w:t xml:space="preserve">. An attempt at unifying techniques from transportation geography (transportation network analysis), sociology (social network analysis), time geography (space-time constructs), and </w:t>
      </w:r>
      <w:proofErr w:type="spellStart"/>
      <w:r w:rsidR="007B342B">
        <w:t>GIScience</w:t>
      </w:r>
      <w:proofErr w:type="spellEnd"/>
      <w:r w:rsidR="007B342B">
        <w:t xml:space="preserve"> (spatial analysis, map visualization) resulted in a prototype web GIS platform to study food access</w:t>
      </w:r>
      <w:r w:rsidR="004918B6">
        <w:t xml:space="preserve"> (Chapters 4 and 5)</w:t>
      </w:r>
      <w:r w:rsidR="007B342B">
        <w:t>. This GIS is developed to realize the concepts in the framework and improve understanding of the equitability of individual food access by holistically considering the interrelationships between absolute locations, local context, time, mobility, travel and communication, social networks, and perceptions.</w:t>
      </w:r>
      <w:r w:rsidR="009B7EBE">
        <w:t xml:space="preserve"> </w:t>
      </w:r>
      <w:r w:rsidR="00751BD5">
        <w:t>Back-end a</w:t>
      </w:r>
      <w:r w:rsidR="00BC332B">
        <w:t xml:space="preserve">nalytical functions were developed to </w:t>
      </w:r>
      <w:r w:rsidR="00B009E0">
        <w:t xml:space="preserve">differentiate and quantify the total number of potential physical, virtual, and hybrid-based opportunities that could be accessed by individuals. </w:t>
      </w:r>
      <w:r w:rsidR="00751BD5">
        <w:t xml:space="preserve">A four-panel </w:t>
      </w:r>
      <w:r w:rsidR="007754DA">
        <w:t xml:space="preserve">interactive visualization tool to </w:t>
      </w:r>
      <w:r w:rsidR="00D127B1">
        <w:t>display</w:t>
      </w:r>
      <w:r w:rsidR="007754DA">
        <w:t xml:space="preserve"> and contextualize opportunities in the local environment of an individual, </w:t>
      </w:r>
      <w:r w:rsidR="00580240">
        <w:t xml:space="preserve">reveal </w:t>
      </w:r>
      <w:r w:rsidR="00580240">
        <w:rPr>
          <w:i/>
          <w:iCs/>
        </w:rPr>
        <w:t>n-</w:t>
      </w:r>
      <w:proofErr w:type="spellStart"/>
      <w:r w:rsidR="00580240">
        <w:rPr>
          <w:i/>
          <w:iCs/>
        </w:rPr>
        <w:t>th</w:t>
      </w:r>
      <w:proofErr w:type="spellEnd"/>
      <w:r w:rsidR="00580240">
        <w:rPr>
          <w:i/>
          <w:iCs/>
        </w:rPr>
        <w:t xml:space="preserve"> </w:t>
      </w:r>
      <w:r w:rsidR="00580240">
        <w:t xml:space="preserve">order opportunities based on social contacts, and </w:t>
      </w:r>
      <w:r w:rsidR="00C5312C">
        <w:t xml:space="preserve">explicitly include individual preferences and attitudes was </w:t>
      </w:r>
      <w:r w:rsidR="00D127B1">
        <w:t xml:space="preserve">developed to reveal additional opportunities </w:t>
      </w:r>
      <w:r w:rsidR="002A0CCA">
        <w:t>not readily captured and quantified in conventional approaches.</w:t>
      </w:r>
    </w:p>
    <w:p w14:paraId="00CBA71D" w14:textId="77777777" w:rsidR="004C7C6B" w:rsidRDefault="00806BBA" w:rsidP="00156BEA">
      <w:pPr>
        <w:spacing w:line="480" w:lineRule="auto"/>
        <w:ind w:firstLine="720"/>
      </w:pPr>
      <w:r>
        <w:t xml:space="preserve">Humans are defined beyond their residential location and additionally shaped by their mobilities and local environment, social networks, and mental faculties. </w:t>
      </w:r>
      <w:commentRangeStart w:id="158"/>
      <w:commentRangeStart w:id="159"/>
      <w:r>
        <w:t xml:space="preserve">Despite their synthetic nature, the case studies in this dissertation reflect plausible realities for many peoples living in </w:t>
      </w:r>
      <w:r>
        <w:lastRenderedPageBreak/>
        <w:t>Knox County, Tennessee</w:t>
      </w:r>
      <w:r w:rsidR="00EC381E">
        <w:t xml:space="preserve"> (Chapter 5)</w:t>
      </w:r>
      <w:r>
        <w:t>.</w:t>
      </w:r>
      <w:commentRangeEnd w:id="158"/>
      <w:r w:rsidR="00593A8C">
        <w:rPr>
          <w:rStyle w:val="CommentReference"/>
        </w:rPr>
        <w:commentReference w:id="158"/>
      </w:r>
      <w:commentRangeEnd w:id="159"/>
      <w:r w:rsidR="006B57CF">
        <w:rPr>
          <w:rStyle w:val="CommentReference"/>
        </w:rPr>
        <w:commentReference w:id="159"/>
      </w:r>
      <w:r>
        <w:t xml:space="preserve"> </w:t>
      </w:r>
      <w:r w:rsidR="00E50C91">
        <w:t xml:space="preserve">These four case studies illuminate upon </w:t>
      </w:r>
      <w:r w:rsidR="00865837">
        <w:t xml:space="preserve">some of the most vulnerable </w:t>
      </w:r>
      <w:r w:rsidR="00C44C81">
        <w:t xml:space="preserve">and food insecure </w:t>
      </w:r>
      <w:r w:rsidR="00865837">
        <w:t>populations that exist today</w:t>
      </w:r>
      <w:r w:rsidR="00C17164">
        <w:t xml:space="preserve">; </w:t>
      </w:r>
      <w:r w:rsidR="00FA4B99">
        <w:t xml:space="preserve">households with </w:t>
      </w:r>
      <w:r w:rsidR="00C17164">
        <w:t>rural residents</w:t>
      </w:r>
      <w:r w:rsidR="00A62F54">
        <w:t xml:space="preserve"> (Case Study #2)</w:t>
      </w:r>
      <w:r w:rsidR="00C17164">
        <w:t>,</w:t>
      </w:r>
      <w:r w:rsidR="00FB782F">
        <w:t xml:space="preserve"> </w:t>
      </w:r>
      <w:r w:rsidR="00A62F54">
        <w:t>digitally illiterate persons (Case Study #1 and #2),</w:t>
      </w:r>
      <w:r w:rsidR="00C17164">
        <w:t xml:space="preserve"> </w:t>
      </w:r>
      <w:r w:rsidR="0055131D">
        <w:t>low-income single mothers</w:t>
      </w:r>
      <w:r w:rsidR="00EC63D4">
        <w:t xml:space="preserve"> (Case Study #1 and #4)</w:t>
      </w:r>
      <w:r w:rsidR="0055131D">
        <w:t xml:space="preserve">, </w:t>
      </w:r>
      <w:r w:rsidR="00C44C81">
        <w:t xml:space="preserve">racial and ethnic </w:t>
      </w:r>
      <w:r w:rsidR="00762E9D">
        <w:t>minorit</w:t>
      </w:r>
      <w:r w:rsidR="00C44C81">
        <w:t>ies</w:t>
      </w:r>
      <w:r w:rsidR="00EC63D4">
        <w:t xml:space="preserve"> (Case Study #1 and #3)</w:t>
      </w:r>
      <w:r w:rsidR="00A76CC9">
        <w:t xml:space="preserve">, </w:t>
      </w:r>
      <w:r w:rsidR="00AB24A5">
        <w:t xml:space="preserve">and </w:t>
      </w:r>
      <w:r w:rsidR="00A76CC9">
        <w:t xml:space="preserve">disabled </w:t>
      </w:r>
      <w:r w:rsidR="00AB24A5">
        <w:t>persons</w:t>
      </w:r>
      <w:r w:rsidR="00EC63D4">
        <w:t xml:space="preserve"> (Case Study #3)</w:t>
      </w:r>
      <w:r w:rsidR="00557241">
        <w:t xml:space="preserve"> </w:t>
      </w:r>
      <w:r w:rsidR="00B11AB8">
        <w:fldChar w:fldCharType="begin"/>
      </w:r>
      <w:r w:rsidR="003A1DDB">
        <w:instrText xml:space="preserve"> ADDIN ZOTERO_ITEM CSL_CITATION {"citationID":"xYridVGy","properties":{"formattedCitation":"(Klesges et al., 2001; Morland et al., 2002; Zenk et al., 2005)","plainCitation":"(Klesges et al., 2001; Morland et al., 2002; Zenk et al., 2005)","noteIndex":0},"citationItems":[{"id":1959,"uris":["http://zotero.org/users/5090392/items/FLQSRBWT"],"itemData":{"id":1959,"type":"article-journal","abstract":"OBJECTIVES: This study described the prevalence and characteristics of financial difficulty acquiring food and its relation to nutritional biomarkers in older disabled women. METHODS: Baseline data were analyzed from the Women's Health and Aging Study, a population-based survey of 1002 community-dwelling, disabled women 65 years and older from Baltimore, Md. RESULTS: Minority women (49.5%) were more likely than White women (13.4%) to report financial difficulty acquiring food (odds ratio [OR] = 6.2, 95% confidence interval [CI] = 4.5, 8.6). Of the women reporting financial difficulty acquiring food, only 19.3% received food stamps and fewer than 7% participated in food assistance programs. Women reporting financial difficulty acquiring food had higher levels of psychologic depression than women not reporting such difficulty. Greater likelihood of financial difficulty acquiring food was associated with poorer quality of life and physical performance among White women and with more medical conditions among minority women. Finally, anemia (hemoglobin &lt; 120 g/L) was associated with financial difficulty acquiring food (age-adjusted OR = 2.9, 95% CI = 1.9, 4.3). CONCLUSIONS: Financial difficulty acquiring food was common, and receipt of nutritional services was rare, in community-dwelling, older disabled women. Nutrition assistance programs for the elderly should reexamine their effectiveness in preventing nutritional deficits in older disabled women.","container-title":"American Journal of Public Health","ISSN":"0090-0036","issue":"1","journalAbbreviation":"Am J Public Health","note":"PMID: 11189828\nPMCID: PMC1446516","page":"68-75","source":"PubMed Central","title":"Financial difficulty in acquiring food among elderly disabled women: results from the Women's Health and Aging Study.","title-short":"Financial difficulty in acquiring food among elderly disabled women","URL":"https://www.ncbi.nlm.nih.gov/pmc/articles/PMC1446516/","volume":"91","author":[{"family":"Klesges","given":"L M"},{"family":"Pahor","given":"M"},{"family":"Shorr","given":"R I"},{"family":"Wan","given":"J Y"},{"family":"Williamson","given":"J D"},{"family":"Guralnik","given":"J M"}],"accessed":{"date-parts":[["2022",9,2]]},"issued":{"date-parts":[["2001",1]]}}},{"id":1956,"uris":["http://zotero.org/users/5090392/items/SIZY4RQY"],"itemData":{"id":1956,"type":"article-journal","abstract":"Background: Although the relationship between diet and disease is well established, sustainable dietary changes that would affect risk for disease have been difficult to achieve. Whereas individual factors are traditional explanations for the inability of some people to change dietary habits, little research has investigated how the physical availability of healthy foods affects individuals’ diets. This study examines the distribution of food stores and food service places by neighborhood wealth and racial segregation. Methods: Names and addresses of places to buy food in Mississippi, North Carolina, Maryland, and Minnesota were obtained from respective departments of health and agriculture. Addresses were geocoded to census tracts. Median house values were used to estimate neighborhood wealth, while the proportion of black residents was used to measure neighborhood racial segregation. Results: Compared to the poorest neighborhoods, large numbers of supermarkets and gas stations with convenience stores are located in wealthier neighborhoods. There are 3 times fewer places to consume alcoholic beverages in the wealthiest compared to the poorest neighborhoods (prevalence ratio [PR]=0.3, 95% confidence interval [CI]=0.1–0.6). Regarding neighborhood segregation, there are 4 times more supermarkets located in white neighborhoods compared to black neighborhoods (PR=4.3, 95% CI=1.5–12.5). Conclusions: Without access to supermarkets, which offer a wide variety of foods at lower prices, poor and minority communities may not have equal access to the variety of healthy food choices available to nonminority and wealthy communities.","container-title":"American Journal of Preventive Medicine","DOI":"10.1016/S0749-3797(01)00403-2","ISSN":"0749-3797","issue":"1","journalAbbreviation":"American Journal of Preventive Medicine","language":"en","page":"23-29","source":"ScienceDirect","title":"Neighborhood characteristics associated with the location of food stores and food service places","URL":"https://www.sciencedirect.com/science/article/pii/S0749379701004032","volume":"22","author":[{"family":"Morland","given":"Kimberly"},{"family":"Wing","given":"Steve"},{"family":"Diez Roux","given":"Ana"},{"family":"Poole","given":"Charles"}],"accessed":{"date-parts":[["2022",9,2]]},"issued":{"date-parts":[["2002",1,1]]}}},{"id":1955,"uris":["http://zotero.org/users/5090392/items/6JFXD9K8"],"itemData":{"id":1955,"type":"article-journal","abstract":"Objectives. We evaluated the spatial accessibility of large “chain” supermarkets in relation to neighborhood racial composition and poverty.\nMethods. We used a geographic information system to measure Manhattan block distance to the nearest supermarket for 869 neighborhoods (census tracts) in metropolitan Detroit. We constructed moving average spatial regression models to adjust for spatial autocorrelation and to test for the effect of modification of percentage African American and percentage poor on distance to the nearest supermarket.\nResults. Distance to the nearest supermarket was similar among the least impoverished neighborhoods, regardless of racial composition. Among the most impoverished neighborhoods, however, neighborhoods in which African Americans resided were, on average, 1.1 miles further from the nearest supermarket than were White neighborhoods.\nConclusions. Racial residential segregation disproportionately places African Americans in more-impoverished neighborhoods in Detroit and consequently reduces access to supermarkets. However, supermarkets have opened or remained open close to middle-income neighborhoods that have transitioned from White to African American. Development of economically disadvantaged African American neighborhoods is critical to effectively prevent diet-related diseases among this population. (Am J Public Health. 2005;95:660–667. doi:10.2105/AJPH.2004.042150)","container-title":"American Journal of Public Health","DOI":"10.2105/AJPH.2004.042150","ISSN":"0090-0036, 1541-0048","issue":"4","journalAbbreviation":"Am J Public Health","language":"en","page":"660-667","source":"DOI.org (Crossref)","title":"Neighborhood Racial Composition, Neighborhood Poverty, and the Spatial Accessibility of Supermarkets in Metropolitan Detroit","URL":"https://ajph.aphapublications.org/doi/full/10.2105/AJPH.2004.042150","volume":"95","author":[{"family":"Zenk","given":"Shannon N."},{"family":"Schulz","given":"Amy J."},{"family":"Israel","given":"Barbara A."},{"family":"James","given":"Sherman A."},{"family":"Bao","given":"Shuming"},{"family":"Wilson","given":"Mark L."}],"accessed":{"date-parts":[["2022",9,2]]},"issued":{"date-parts":[["2005",4]]}}}],"schema":"https://github.com/citation-style-language/schema/raw/master/csl-citation.json"} </w:instrText>
      </w:r>
      <w:r w:rsidR="00B11AB8">
        <w:fldChar w:fldCharType="separate"/>
      </w:r>
      <w:r w:rsidR="003A1DDB" w:rsidRPr="003A1DDB">
        <w:t>(Klesges et al., 2001; Morland et al., 2002; Zenk et al., 2005)</w:t>
      </w:r>
      <w:r w:rsidR="00B11AB8">
        <w:fldChar w:fldCharType="end"/>
      </w:r>
      <w:r w:rsidR="00865837">
        <w:t xml:space="preserve">. </w:t>
      </w:r>
      <w:r w:rsidR="007771CF">
        <w:t xml:space="preserve">Each case study additionally demonstrates the </w:t>
      </w:r>
      <w:r w:rsidR="003E5EBE">
        <w:t>advantages of the prototype GIS system to overcome specific shortcomings in extant approaches to analyzing access.</w:t>
      </w:r>
    </w:p>
    <w:p w14:paraId="2BF5D7B7" w14:textId="5DFC04BB" w:rsidR="00820E90" w:rsidRDefault="00096E64" w:rsidP="00156BEA">
      <w:pPr>
        <w:spacing w:line="480" w:lineRule="auto"/>
        <w:ind w:firstLine="720"/>
      </w:pPr>
      <w:proofErr w:type="gramStart"/>
      <w:r>
        <w:t>Similar to</w:t>
      </w:r>
      <w:proofErr w:type="gramEnd"/>
      <w:r>
        <w:t xml:space="preserve"> person-based space-time measures of accessibility</w:t>
      </w:r>
      <w:r w:rsidR="00E04A27">
        <w:t xml:space="preserve"> that explicitly </w:t>
      </w:r>
      <w:r w:rsidR="006A2E49">
        <w:t xml:space="preserve">consider temporal variability in </w:t>
      </w:r>
      <w:r w:rsidR="00BD0796">
        <w:t xml:space="preserve">the activity and travel schedules of </w:t>
      </w:r>
      <w:r w:rsidR="00685577">
        <w:t xml:space="preserve">individuals with respect to the operational hours of opportunities, </w:t>
      </w:r>
      <w:r w:rsidR="00E86CE9">
        <w:t xml:space="preserve">the first case study illustrated how the availability and diversity of stores in the local environment </w:t>
      </w:r>
      <w:r w:rsidR="00E966A1">
        <w:t>varied throughout a two-day period for a single Hispanic immigrant mother.</w:t>
      </w:r>
      <w:r w:rsidR="00CE2CE2">
        <w:t xml:space="preserve"> </w:t>
      </w:r>
      <w:r w:rsidR="00BF1B34">
        <w:t>The</w:t>
      </w:r>
      <w:r w:rsidR="0068194C">
        <w:t xml:space="preserve"> case study </w:t>
      </w:r>
      <w:r w:rsidR="00BF1B34">
        <w:t xml:space="preserve">overcomes the limitation imposed by an assumption by many approaches that only consider one store type, such as supermarkets or large retail grocery stores. For </w:t>
      </w:r>
      <w:r w:rsidR="00C2257E">
        <w:t xml:space="preserve">approaches that go beyond and consider multiple store types, this case study also describes </w:t>
      </w:r>
      <w:r w:rsidR="00447AB6">
        <w:t>additional</w:t>
      </w:r>
      <w:r w:rsidR="00B444F6">
        <w:t xml:space="preserve"> mapping</w:t>
      </w:r>
      <w:r w:rsidR="00447AB6">
        <w:t xml:space="preserve"> features to identify nearby opportunities </w:t>
      </w:r>
      <w:r w:rsidR="00C2257E">
        <w:t xml:space="preserve">of different types </w:t>
      </w:r>
      <w:r w:rsidR="00447AB6">
        <w:t>at any point throughout the</w:t>
      </w:r>
      <w:r w:rsidR="00C2257E">
        <w:t xml:space="preserve"> </w:t>
      </w:r>
      <w:r w:rsidR="00447AB6">
        <w:t>schedules</w:t>
      </w:r>
      <w:r w:rsidR="00097BE3">
        <w:t xml:space="preserve"> </w:t>
      </w:r>
      <w:r w:rsidR="00C2257E">
        <w:t xml:space="preserve">of individuals </w:t>
      </w:r>
      <w:r w:rsidR="00097BE3">
        <w:t xml:space="preserve">and </w:t>
      </w:r>
      <w:r w:rsidR="00C2257E">
        <w:t xml:space="preserve">to </w:t>
      </w:r>
      <w:r w:rsidR="00097BE3">
        <w:t xml:space="preserve">visually overlay relevant contextual layers </w:t>
      </w:r>
      <w:r w:rsidR="00C2257E">
        <w:t>that aid in understanding the local environments where stores are located and where possible roads are taken.</w:t>
      </w:r>
      <w:r w:rsidR="0068399D">
        <w:t xml:space="preserve"> This also contrasts </w:t>
      </w:r>
      <w:r w:rsidR="00D16203">
        <w:t xml:space="preserve">extant approaches that typically </w:t>
      </w:r>
      <w:r w:rsidR="003C4D6B">
        <w:t xml:space="preserve">only </w:t>
      </w:r>
      <w:r w:rsidR="00D16203">
        <w:t xml:space="preserve">provide the total opportunity set for individuals but not necessarily specific </w:t>
      </w:r>
      <w:r w:rsidR="00D96515">
        <w:t>opportunitie</w:t>
      </w:r>
      <w:r w:rsidR="003C4D6B">
        <w:t>s at any given point in space-time.</w:t>
      </w:r>
      <w:r w:rsidR="00B444F6">
        <w:t xml:space="preserve"> Overall, </w:t>
      </w:r>
      <w:r w:rsidR="007E0045">
        <w:t>this case study illustrates a</w:t>
      </w:r>
      <w:r w:rsidR="00B444F6">
        <w:t xml:space="preserve"> more localized</w:t>
      </w:r>
      <w:r w:rsidR="00BB24E6">
        <w:t xml:space="preserve"> space-time</w:t>
      </w:r>
      <w:r w:rsidR="00B444F6">
        <w:t xml:space="preserve"> approach t</w:t>
      </w:r>
      <w:r w:rsidR="0054645D">
        <w:t xml:space="preserve">hat can reveal more detailed </w:t>
      </w:r>
      <w:r w:rsidR="007E0045">
        <w:t>characteristics</w:t>
      </w:r>
      <w:r w:rsidR="0054645D">
        <w:t xml:space="preserve"> of the </w:t>
      </w:r>
      <w:r w:rsidR="007E0045">
        <w:t xml:space="preserve">local environment as well as the </w:t>
      </w:r>
      <w:r w:rsidR="0054645D">
        <w:t xml:space="preserve">different opportunities </w:t>
      </w:r>
      <w:r w:rsidR="004D34FC">
        <w:t xml:space="preserve">that can </w:t>
      </w:r>
      <w:r w:rsidR="0054645D">
        <w:t xml:space="preserve">potentially </w:t>
      </w:r>
      <w:r w:rsidR="004D34FC">
        <w:t>be accessed by</w:t>
      </w:r>
      <w:r w:rsidR="0054645D">
        <w:t xml:space="preserve"> peopl</w:t>
      </w:r>
      <w:r w:rsidR="004D34FC">
        <w:t>e.</w:t>
      </w:r>
    </w:p>
    <w:p w14:paraId="135E56B6" w14:textId="6BB8A79F" w:rsidR="006F3ACA" w:rsidRDefault="006F3ACA" w:rsidP="00156BEA">
      <w:pPr>
        <w:spacing w:line="480" w:lineRule="auto"/>
        <w:ind w:firstLine="720"/>
      </w:pPr>
      <w:r>
        <w:lastRenderedPageBreak/>
        <w:t xml:space="preserve">The second case study </w:t>
      </w:r>
      <w:r w:rsidR="0078683A">
        <w:t xml:space="preserve">extends the notion of space-time access </w:t>
      </w:r>
      <w:r w:rsidR="00C22CBD">
        <w:t xml:space="preserve">in physical space to a hybrid physical-virtual space, wherein </w:t>
      </w:r>
      <w:r w:rsidR="001624C9">
        <w:t xml:space="preserve">access to the internet and computing devices enlarges the potential opportunity set and enables </w:t>
      </w:r>
      <w:r w:rsidR="002C7EAF">
        <w:t xml:space="preserve">those capable of using these technologies to </w:t>
      </w:r>
      <w:proofErr w:type="gramStart"/>
      <w:r w:rsidR="002C7EAF">
        <w:t>more easily attain the opportunities</w:t>
      </w:r>
      <w:proofErr w:type="gramEnd"/>
      <w:r w:rsidR="002C7EAF">
        <w:t xml:space="preserve"> they desire.</w:t>
      </w:r>
      <w:r w:rsidR="00D72297">
        <w:t xml:space="preserve"> Accessibility to opportunities </w:t>
      </w:r>
      <w:r w:rsidR="00044782">
        <w:t xml:space="preserve">is no longer just a question about where </w:t>
      </w:r>
      <w:r w:rsidR="00D70DC9">
        <w:t xml:space="preserve">they </w:t>
      </w:r>
      <w:proofErr w:type="gramStart"/>
      <w:r w:rsidR="00D70DC9">
        <w:t>are located in</w:t>
      </w:r>
      <w:proofErr w:type="gramEnd"/>
      <w:r w:rsidR="00D70DC9">
        <w:t xml:space="preserve"> physical space and how far they are from the locations of people</w:t>
      </w:r>
      <w:r w:rsidR="00760D72">
        <w:t xml:space="preserve"> (e.g., an absolute space approach to accessibility</w:t>
      </w:r>
      <w:r w:rsidR="003F0978">
        <w:t>).</w:t>
      </w:r>
      <w:r w:rsidR="006D4FB7">
        <w:t xml:space="preserve"> </w:t>
      </w:r>
      <w:r w:rsidR="003F0978">
        <w:t>R</w:t>
      </w:r>
      <w:r w:rsidR="0095301D">
        <w:t xml:space="preserve">ather, we must also consider how opportunities may be reached in virtual space and how people </w:t>
      </w:r>
      <w:r w:rsidR="00277343">
        <w:t xml:space="preserve">are </w:t>
      </w:r>
      <w:r w:rsidR="0095301D">
        <w:t>able to reach them</w:t>
      </w:r>
      <w:r w:rsidR="00760D72">
        <w:t xml:space="preserve"> with new technologies (e.g., a relational space approach to accessibility)</w:t>
      </w:r>
      <w:r w:rsidR="00277343">
        <w:t>.</w:t>
      </w:r>
      <w:r w:rsidR="002C7EAF">
        <w:t xml:space="preserve"> </w:t>
      </w:r>
      <w:r w:rsidR="00BD09F3">
        <w:t>Two examples of individuals on either side of the digital divide illustrate the</w:t>
      </w:r>
      <w:r w:rsidR="0034249C">
        <w:t xml:space="preserve"> disparities </w:t>
      </w:r>
      <w:r w:rsidR="00AB5983">
        <w:t>that manifest from this new environment in which society takes place</w:t>
      </w:r>
      <w:r w:rsidR="00476899">
        <w:t>:</w:t>
      </w:r>
      <w:r w:rsidR="00AB5983">
        <w:t xml:space="preserve"> an international </w:t>
      </w:r>
      <w:r w:rsidR="00D63553">
        <w:t>tech-savvy college student with poor physical mobility and a rural farmer with poor virtual mobility.</w:t>
      </w:r>
      <w:r w:rsidR="00476899">
        <w:t xml:space="preserve"> Moreover, </w:t>
      </w:r>
      <w:r w:rsidR="003962E9">
        <w:t>these examples</w:t>
      </w:r>
      <w:r w:rsidR="00476899">
        <w:t xml:space="preserve"> detail how </w:t>
      </w:r>
      <w:r w:rsidR="00414CD5">
        <w:t>poor accessibility in physical space c</w:t>
      </w:r>
      <w:r w:rsidR="003962E9">
        <w:t>an</w:t>
      </w:r>
      <w:r w:rsidR="00414CD5">
        <w:t xml:space="preserve"> be ameliorated </w:t>
      </w:r>
      <w:r w:rsidR="006B2067">
        <w:t>with good accessibility in virtual space</w:t>
      </w:r>
      <w:r w:rsidR="005712A4">
        <w:t xml:space="preserve">, and </w:t>
      </w:r>
      <w:r w:rsidR="00E17560">
        <w:t>why different areas may have more opportunities than others</w:t>
      </w:r>
      <w:r w:rsidR="006B2067">
        <w:t>.</w:t>
      </w:r>
      <w:r w:rsidR="00D63553">
        <w:t xml:space="preserve"> </w:t>
      </w:r>
      <w:r w:rsidR="00A95931">
        <w:t>In contrast to existing approaches that solely account for physical behaviors</w:t>
      </w:r>
      <w:r w:rsidR="001D574B">
        <w:t>, the case study discusse</w:t>
      </w:r>
      <w:r w:rsidR="002F171D">
        <w:t>s</w:t>
      </w:r>
      <w:r w:rsidR="001D574B">
        <w:t xml:space="preserve"> how including </w:t>
      </w:r>
      <w:r w:rsidR="0012022A">
        <w:t xml:space="preserve">a </w:t>
      </w:r>
      <w:r w:rsidR="001D574B">
        <w:t xml:space="preserve">behavioral indicator for </w:t>
      </w:r>
      <w:r w:rsidR="0012022A">
        <w:t>technological ownership, aptitude, and willingness (i.e., ability to connect virtually</w:t>
      </w:r>
      <w:r w:rsidR="006B71D6">
        <w:t>) could be used to identify opportunities emerging in virtual space</w:t>
      </w:r>
      <w:r w:rsidR="00694D9B">
        <w:t xml:space="preserve"> when combined with </w:t>
      </w:r>
      <w:r w:rsidR="00621CAF">
        <w:t xml:space="preserve">information about </w:t>
      </w:r>
      <w:r w:rsidR="00694D9B">
        <w:t>virtual</w:t>
      </w:r>
      <w:r w:rsidR="00621CAF">
        <w:t xml:space="preserve">-based options </w:t>
      </w:r>
      <w:r w:rsidR="00344267">
        <w:t>offered</w:t>
      </w:r>
      <w:r w:rsidR="00621CAF">
        <w:t xml:space="preserve"> by providers of opportunities</w:t>
      </w:r>
      <w:r w:rsidR="006B71D6">
        <w:t>.</w:t>
      </w:r>
      <w:r w:rsidR="00DE602E">
        <w:t xml:space="preserve"> </w:t>
      </w:r>
      <w:r w:rsidR="00916188">
        <w:t xml:space="preserve">Specifically, </w:t>
      </w:r>
      <w:r w:rsidR="00DE602E">
        <w:t xml:space="preserve">a back-end function </w:t>
      </w:r>
      <w:r w:rsidR="004C7BAB">
        <w:t>i</w:t>
      </w:r>
      <w:r w:rsidR="00500FDC">
        <w:t xml:space="preserve">s developed </w:t>
      </w:r>
      <w:r w:rsidR="00DE602E">
        <w:t xml:space="preserve">to determine </w:t>
      </w:r>
      <w:r w:rsidR="00244842">
        <w:t>whether an individual c</w:t>
      </w:r>
      <w:r w:rsidR="004C7BAB">
        <w:t>an</w:t>
      </w:r>
      <w:r w:rsidR="00244842">
        <w:t xml:space="preserve"> reach opportunities virtually</w:t>
      </w:r>
      <w:r w:rsidR="00500FDC">
        <w:t xml:space="preserve">, distinguish between physical-, virtual-, and hybrid-based opportunities, and quantify </w:t>
      </w:r>
      <w:r w:rsidR="00893136">
        <w:t xml:space="preserve">the </w:t>
      </w:r>
      <w:r w:rsidR="00CA2905">
        <w:t xml:space="preserve">total number of </w:t>
      </w:r>
      <w:r w:rsidR="00244842">
        <w:t>these opportunities.</w:t>
      </w:r>
      <w:r w:rsidR="005F4E86">
        <w:t xml:space="preserve"> This effectively captures accessibility from a relational space perspective in addition to accessibility from a conventional absolute space perspective.</w:t>
      </w:r>
      <w:r w:rsidR="00244842">
        <w:t xml:space="preserve"> Overall, this case study </w:t>
      </w:r>
      <w:r w:rsidR="001903FB">
        <w:t xml:space="preserve">provides an approach to identify and </w:t>
      </w:r>
      <w:r w:rsidR="00CA2905">
        <w:t>measure</w:t>
      </w:r>
      <w:r w:rsidR="001903FB">
        <w:t xml:space="preserve"> opportunities emerging in a hybrid physical-virtual space </w:t>
      </w:r>
      <w:r w:rsidR="00940832">
        <w:t>context.</w:t>
      </w:r>
    </w:p>
    <w:p w14:paraId="770727DF" w14:textId="1E0BF034" w:rsidR="00F44E78" w:rsidRDefault="00077C2C" w:rsidP="00156BEA">
      <w:pPr>
        <w:spacing w:line="480" w:lineRule="auto"/>
        <w:ind w:firstLine="720"/>
      </w:pPr>
      <w:r>
        <w:lastRenderedPageBreak/>
        <w:t>T</w:t>
      </w:r>
      <w:r w:rsidR="00245081">
        <w:t xml:space="preserve">he third case study </w:t>
      </w:r>
      <w:r w:rsidR="001B116C">
        <w:t>further delves into a relational space approach to accessibility</w:t>
      </w:r>
      <w:r>
        <w:t xml:space="preserve"> (although not limited to </w:t>
      </w:r>
      <w:r w:rsidR="00D31DDB">
        <w:t>just this specific dimension)</w:t>
      </w:r>
      <w:r w:rsidR="001B116C">
        <w:t xml:space="preserve"> b</w:t>
      </w:r>
      <w:r>
        <w:t>y considering how individuals can also reach opportunities through individuals in their social networks</w:t>
      </w:r>
      <w:r w:rsidR="00D31DDB">
        <w:t xml:space="preserve">. By incorporating the social ties </w:t>
      </w:r>
      <w:r w:rsidR="002F35BB">
        <w:t>o</w:t>
      </w:r>
      <w:r w:rsidR="00D31DDB">
        <w:t xml:space="preserve">f individuals, social networks can be constructed to uncover </w:t>
      </w:r>
      <w:r w:rsidR="00D31DDB">
        <w:rPr>
          <w:i/>
          <w:iCs/>
        </w:rPr>
        <w:t>n</w:t>
      </w:r>
      <w:r w:rsidR="00D31DDB">
        <w:t>-</w:t>
      </w:r>
      <w:proofErr w:type="spellStart"/>
      <w:r w:rsidR="00D31DDB">
        <w:t>th</w:t>
      </w:r>
      <w:proofErr w:type="spellEnd"/>
      <w:r w:rsidR="00D31DDB">
        <w:t xml:space="preserve"> order opportunities that can potentially be accessed by individuals</w:t>
      </w:r>
      <w:r w:rsidR="00573E21">
        <w:t xml:space="preserve">. </w:t>
      </w:r>
      <w:r w:rsidR="00845E78">
        <w:t>Despite</w:t>
      </w:r>
      <w:r w:rsidR="00573E21">
        <w:t xml:space="preserve"> poor access </w:t>
      </w:r>
      <w:r w:rsidR="00980C54">
        <w:t>when considered from an</w:t>
      </w:r>
      <w:r w:rsidR="00573E21">
        <w:t xml:space="preserve"> absolute and relative space </w:t>
      </w:r>
      <w:r w:rsidR="00375180">
        <w:t xml:space="preserve">perspective </w:t>
      </w:r>
      <w:r w:rsidR="00573E21">
        <w:t xml:space="preserve">(e.g., few grocery stores </w:t>
      </w:r>
      <w:r w:rsidR="00845E78">
        <w:t>near the home</w:t>
      </w:r>
      <w:r w:rsidR="00375180">
        <w:t xml:space="preserve"> of, </w:t>
      </w:r>
      <w:r w:rsidR="00845E78">
        <w:t>workplace</w:t>
      </w:r>
      <w:r w:rsidR="00375180">
        <w:t xml:space="preserve"> of, and any other location visited by</w:t>
      </w:r>
      <w:r w:rsidR="00845E78">
        <w:t xml:space="preserve"> an individual)</w:t>
      </w:r>
      <w:r w:rsidR="00980C54">
        <w:t xml:space="preserve"> or also from one angle of a relational space perspective (e.g., technological inaptitude)</w:t>
      </w:r>
      <w:r w:rsidR="00CD55BD">
        <w:t xml:space="preserve">, people can overcome their relatively poor accessibility by relying on those close to them to reach and obtain the opportunities they desire. </w:t>
      </w:r>
      <w:r w:rsidR="002F35BB">
        <w:t xml:space="preserve">While this is qualitatively understood in the literature, </w:t>
      </w:r>
      <w:r w:rsidR="002A7443">
        <w:t>the case study proposes a novel</w:t>
      </w:r>
      <w:r w:rsidR="00D33EE0">
        <w:t xml:space="preserve"> approach that can model</w:t>
      </w:r>
      <w:r w:rsidR="002A7443">
        <w:t>,</w:t>
      </w:r>
      <w:r w:rsidR="00D33EE0">
        <w:t xml:space="preserve"> quantify</w:t>
      </w:r>
      <w:r w:rsidR="002A7443">
        <w:t>, and visualize</w:t>
      </w:r>
      <w:r w:rsidR="00D33EE0">
        <w:t xml:space="preserve"> </w:t>
      </w:r>
      <w:proofErr w:type="gramStart"/>
      <w:r w:rsidR="00B5087D">
        <w:t>all of</w:t>
      </w:r>
      <w:proofErr w:type="gramEnd"/>
      <w:r w:rsidR="00B5087D">
        <w:t xml:space="preserve"> </w:t>
      </w:r>
      <w:r w:rsidR="00D33EE0">
        <w:t>these latent opportunities based on social networks.</w:t>
      </w:r>
      <w:r w:rsidR="0087638C">
        <w:t xml:space="preserve"> </w:t>
      </w:r>
      <w:r w:rsidR="00457D28">
        <w:t xml:space="preserve">Social relationships </w:t>
      </w:r>
      <w:r w:rsidR="00A063D8">
        <w:t xml:space="preserve">can entirely nullify the constraint of individual physical limitations and enlarge the opportunity set accessible to </w:t>
      </w:r>
      <w:r w:rsidR="00A3516F">
        <w:t>disadvantaged people</w:t>
      </w:r>
      <w:r w:rsidR="00A063D8">
        <w:t>.</w:t>
      </w:r>
      <w:r w:rsidR="008243F9">
        <w:t xml:space="preserve"> Specifically, in this case study, a</w:t>
      </w:r>
      <w:r w:rsidR="000C6E63">
        <w:t xml:space="preserve"> </w:t>
      </w:r>
      <w:r w:rsidR="00563033">
        <w:t xml:space="preserve">Hispanic </w:t>
      </w:r>
      <w:r w:rsidR="000C6E63">
        <w:t>wheelchair-bound woman ha</w:t>
      </w:r>
      <w:r w:rsidR="00CA4473">
        <w:t>s</w:t>
      </w:r>
      <w:r w:rsidR="000C6E63">
        <w:t xml:space="preserve"> access to numerous opportunities beyond those she </w:t>
      </w:r>
      <w:r w:rsidR="00CA4473">
        <w:t>can</w:t>
      </w:r>
      <w:r w:rsidR="00704152">
        <w:t xml:space="preserve"> </w:t>
      </w:r>
      <w:r w:rsidR="000C6E63">
        <w:t xml:space="preserve">physically reach herself </w:t>
      </w:r>
      <w:r w:rsidR="00563033">
        <w:t xml:space="preserve">because of her ties to other Hispanic </w:t>
      </w:r>
      <w:r w:rsidR="00CF0FE9">
        <w:t>individuals living in the area</w:t>
      </w:r>
      <w:r w:rsidR="008243F9">
        <w:t xml:space="preserve"> who are not themselves physically impaired</w:t>
      </w:r>
      <w:r w:rsidR="00CF0FE9">
        <w:t>.</w:t>
      </w:r>
      <w:r w:rsidR="008243F9">
        <w:t xml:space="preserve"> Rather, the</w:t>
      </w:r>
      <w:r w:rsidR="009B127A">
        <w:t>ir potential access to other stores</w:t>
      </w:r>
      <w:r w:rsidR="00CF0FE9">
        <w:t xml:space="preserve"> </w:t>
      </w:r>
      <w:r w:rsidR="00CA4473">
        <w:t>i</w:t>
      </w:r>
      <w:r w:rsidR="009B127A">
        <w:t xml:space="preserve">s merely dictated by their own circumstances and space-time </w:t>
      </w:r>
      <w:r w:rsidR="000134D2">
        <w:t>flexibility</w:t>
      </w:r>
      <w:r w:rsidR="00D37A41">
        <w:t>; and altogether, this equate</w:t>
      </w:r>
      <w:r w:rsidR="00CA4473">
        <w:t>s</w:t>
      </w:r>
      <w:r w:rsidR="00D37A41">
        <w:t xml:space="preserve"> to more potential opportunities for the protagonist</w:t>
      </w:r>
      <w:r w:rsidR="000134D2">
        <w:t>.</w:t>
      </w:r>
    </w:p>
    <w:p w14:paraId="02527C23" w14:textId="2ABEBB42" w:rsidR="00D37A41" w:rsidRPr="00D31DDB" w:rsidRDefault="000875EF" w:rsidP="00156BEA">
      <w:pPr>
        <w:spacing w:line="480" w:lineRule="auto"/>
        <w:ind w:firstLine="720"/>
      </w:pPr>
      <w:r>
        <w:t>Considering both the physical needs and mental preferences of individuals is the theme for the fourth case study a</w:t>
      </w:r>
      <w:r w:rsidR="00CD3A5F">
        <w:t xml:space="preserve">s the population is heterogeneous </w:t>
      </w:r>
      <w:r w:rsidR="00851B77">
        <w:t xml:space="preserve">with different perceptions and behaviors. For example, </w:t>
      </w:r>
      <w:r w:rsidR="00474243">
        <w:t xml:space="preserve">what a poor single mother </w:t>
      </w:r>
      <w:r w:rsidR="007056CC">
        <w:t xml:space="preserve">with a volatile job situation </w:t>
      </w:r>
      <w:r w:rsidR="00474243">
        <w:t>considers</w:t>
      </w:r>
      <w:r w:rsidR="00476477">
        <w:t xml:space="preserve"> important when shopping for groceries</w:t>
      </w:r>
      <w:r w:rsidR="00474243">
        <w:t xml:space="preserve"> may vastly contrast </w:t>
      </w:r>
      <w:r w:rsidR="00476477">
        <w:t>that of a gainfully employed and</w:t>
      </w:r>
      <w:r w:rsidR="00474243">
        <w:t xml:space="preserve"> affluent young </w:t>
      </w:r>
      <w:r w:rsidR="00476477">
        <w:t xml:space="preserve">adult. </w:t>
      </w:r>
      <w:r w:rsidR="00180312">
        <w:t>To this end, a case study of the example single mother demonstrate</w:t>
      </w:r>
      <w:r w:rsidR="003A66AC">
        <w:t>s</w:t>
      </w:r>
      <w:r w:rsidR="00180312">
        <w:t xml:space="preserve"> how </w:t>
      </w:r>
      <w:r w:rsidR="00180312">
        <w:lastRenderedPageBreak/>
        <w:t>queries c</w:t>
      </w:r>
      <w:r w:rsidR="003A66AC">
        <w:t>an</w:t>
      </w:r>
      <w:r w:rsidR="00180312">
        <w:t xml:space="preserve"> be u</w:t>
      </w:r>
      <w:r w:rsidR="009F5FFE">
        <w:t xml:space="preserve">sed to </w:t>
      </w:r>
      <w:proofErr w:type="gramStart"/>
      <w:r w:rsidR="009F5FFE">
        <w:t>more accurately identify opportunities appropriate</w:t>
      </w:r>
      <w:proofErr w:type="gramEnd"/>
      <w:r w:rsidR="009F5FFE">
        <w:t xml:space="preserve"> to her life circumstances and perceptions. In the case of food shopping, acceptance of SNAP benefits</w:t>
      </w:r>
      <w:r w:rsidR="00AD6C2C">
        <w:t xml:space="preserve">, preferences for store type and </w:t>
      </w:r>
      <w:r w:rsidR="0086535B">
        <w:t xml:space="preserve">affordability, and more can be </w:t>
      </w:r>
      <w:r w:rsidR="00EC733E">
        <w:t>analyzed</w:t>
      </w:r>
      <w:r w:rsidR="003334D3">
        <w:t xml:space="preserve"> </w:t>
      </w:r>
      <w:r w:rsidR="00C5679C">
        <w:t xml:space="preserve">in addition to </w:t>
      </w:r>
      <w:r w:rsidR="00000776">
        <w:t xml:space="preserve">considering </w:t>
      </w:r>
      <w:r w:rsidR="0098673C">
        <w:t>acti</w:t>
      </w:r>
      <w:r w:rsidR="00CA28FA">
        <w:t xml:space="preserve">vity and travel behaviors over time. </w:t>
      </w:r>
      <w:r w:rsidR="00CD2DFA">
        <w:t>While quer</w:t>
      </w:r>
      <w:r w:rsidR="00EC733E">
        <w:t>ying functions</w:t>
      </w:r>
      <w:r w:rsidR="00CD2DFA">
        <w:t xml:space="preserve"> are not new, their implementation </w:t>
      </w:r>
      <w:r w:rsidR="00BA3B16">
        <w:t xml:space="preserve">in the GIS </w:t>
      </w:r>
      <w:r w:rsidR="00451A8D">
        <w:t xml:space="preserve">as queries on attributes of opportunities and </w:t>
      </w:r>
      <w:r w:rsidR="00D568A1">
        <w:t>people</w:t>
      </w:r>
      <w:r w:rsidR="00451A8D">
        <w:t xml:space="preserve"> is a </w:t>
      </w:r>
      <w:r w:rsidR="00D568A1">
        <w:t>useful contribution to modeling individual characteristics.</w:t>
      </w:r>
      <w:r w:rsidR="00BA3B16">
        <w:t xml:space="preserve"> What people have in mind and </w:t>
      </w:r>
      <w:r w:rsidR="003E2F26">
        <w:t xml:space="preserve">how their body </w:t>
      </w:r>
      <w:r w:rsidR="000E7832">
        <w:t xml:space="preserve">impacts their physical abilities </w:t>
      </w:r>
      <w:r w:rsidR="00151037">
        <w:t xml:space="preserve">is critically important to acknowledge, especially as those who are most disadvantaged often </w:t>
      </w:r>
      <w:r w:rsidR="002F4796">
        <w:t>require the most assistance and aid</w:t>
      </w:r>
      <w:r w:rsidR="003C460D">
        <w:t>.</w:t>
      </w:r>
    </w:p>
    <w:p w14:paraId="644B505E" w14:textId="66CEF6D5" w:rsidR="00F706EA" w:rsidRDefault="00806BBA" w:rsidP="00F75894">
      <w:pPr>
        <w:spacing w:line="480" w:lineRule="auto"/>
        <w:ind w:firstLine="720"/>
      </w:pPr>
      <w:proofErr w:type="gramStart"/>
      <w:r>
        <w:t>Each individual</w:t>
      </w:r>
      <w:proofErr w:type="gramEnd"/>
      <w:r>
        <w:t xml:space="preserve"> presented lived unique lives and faced different but challenging circumstances that resulted in widely varying accessibilities to food. While this is not meant to be an exhaustive exercise into the perilous situations of all residents in the county, the presentation of these case studies is designed to illuminate upon the varied accessibilities to food for individuals of different backgrounds in today’s hybrid physical-virtual world, which existing research does not account for. Accompanying these case studies are demonstrations on how the web GIS platform can be used to answer increasingly complex questions surrounding access.</w:t>
      </w:r>
      <w:r w:rsidR="00F75894">
        <w:t xml:space="preserve"> </w:t>
      </w:r>
      <w:r w:rsidR="00F706EA">
        <w:t xml:space="preserve">The proposed GIS in the dissertation can be used to demarcate food environments mediated by </w:t>
      </w:r>
      <w:r w:rsidR="007C693C">
        <w:t xml:space="preserve">a myriad of </w:t>
      </w:r>
      <w:r w:rsidR="00F706EA">
        <w:t>factors</w:t>
      </w:r>
      <w:r w:rsidR="007C693C">
        <w:t xml:space="preserve">, including and beyond physical proximity, </w:t>
      </w:r>
      <w:r w:rsidR="00F706EA">
        <w:t>for individuals with different socioeconomic characteristics. It can additionally distinguish opportunities between population groups in the ‘right’ and ‘wrong’ side of the digital divide.  In addition to the growing recognition for including time use and mobility</w:t>
      </w:r>
      <w:r w:rsidR="00EF09CB">
        <w:t xml:space="preserve"> </w:t>
      </w:r>
      <w:r w:rsidR="00636D2B">
        <w:t>evoked in person-based space-time measures</w:t>
      </w:r>
      <w:r w:rsidR="00F706EA">
        <w:t xml:space="preserve">, explicitly modeling the local context, social networks, and perceptions of people is important in understanding the differing accessibilities for different groups of people. </w:t>
      </w:r>
      <w:commentRangeStart w:id="160"/>
      <w:commentRangeStart w:id="161"/>
      <w:r w:rsidR="00F706EA">
        <w:t xml:space="preserve">More broadly, the proposed conceptual framework of access and GIS prototype can be usefully applied to other </w:t>
      </w:r>
      <w:r w:rsidR="00F706EA">
        <w:lastRenderedPageBreak/>
        <w:t xml:space="preserve">human needs including healthcare, education, jobs, greenspaces, and more. </w:t>
      </w:r>
      <w:r w:rsidR="00222579">
        <w:t xml:space="preserve">People generally care about the same components: availability and diversity of opportunities, the ease to which they can be reached in-person, online, or through other people, how the infrastructure established by opportunity providers accommodates the physical abilities and mental preferences, cost, and cultural and social values. </w:t>
      </w:r>
      <w:r w:rsidR="00F706EA">
        <w:t>While certain qualities relating to the different dimensions may be</w:t>
      </w:r>
      <w:r w:rsidR="00222579">
        <w:t xml:space="preserve"> slightly</w:t>
      </w:r>
      <w:r w:rsidR="00F706EA">
        <w:t xml:space="preserve"> different (e.g., store type in food access vs. facility type in healthcare access) for each specific human need, the overarching framework to holistically consider access as a multidimensional construct is a useful approach to identify potential access for people. </w:t>
      </w:r>
      <w:commentRangeEnd w:id="160"/>
      <w:r w:rsidR="00480832">
        <w:rPr>
          <w:rStyle w:val="CommentReference"/>
        </w:rPr>
        <w:commentReference w:id="160"/>
      </w:r>
      <w:commentRangeEnd w:id="161"/>
      <w:r w:rsidR="00480832">
        <w:rPr>
          <w:rStyle w:val="CommentReference"/>
        </w:rPr>
        <w:commentReference w:id="161"/>
      </w:r>
      <w:r w:rsidR="00222579">
        <w:t xml:space="preserve"> </w:t>
      </w:r>
    </w:p>
    <w:p w14:paraId="79FE5B5F" w14:textId="7EE5D390" w:rsidR="00E06CD8" w:rsidRDefault="00EC381E" w:rsidP="00884E6E">
      <w:pPr>
        <w:spacing w:line="480" w:lineRule="auto"/>
        <w:ind w:firstLine="720"/>
      </w:pPr>
      <w:commentRangeStart w:id="162"/>
      <w:commentRangeStart w:id="163"/>
      <w:r>
        <w:t xml:space="preserve">An important contribution for </w:t>
      </w:r>
      <w:r w:rsidR="003452CE">
        <w:t xml:space="preserve">equitable </w:t>
      </w:r>
      <w:r>
        <w:t xml:space="preserve">research </w:t>
      </w:r>
      <w:r w:rsidR="00230D89">
        <w:t xml:space="preserve">on access </w:t>
      </w:r>
      <w:r>
        <w:t xml:space="preserve">and food </w:t>
      </w:r>
      <w:r w:rsidR="002C6D3C">
        <w:t>policies i</w:t>
      </w:r>
      <w:r w:rsidR="00D1400A">
        <w:t xml:space="preserve">s in the development of targeted and individualized approaches that </w:t>
      </w:r>
      <w:r w:rsidR="003452CE">
        <w:t xml:space="preserve">go beyond simply identifying areas </w:t>
      </w:r>
      <w:r w:rsidR="00473796">
        <w:t>far away from food retail store</w:t>
      </w:r>
      <w:r w:rsidR="009E3850">
        <w:t>s</w:t>
      </w:r>
      <w:r w:rsidR="00473796">
        <w:t xml:space="preserve"> (e.g., USDA’s Food Access Research Atlas)</w:t>
      </w:r>
      <w:r w:rsidR="00F247F1">
        <w:t>.</w:t>
      </w:r>
      <w:r w:rsidR="009E3850">
        <w:t xml:space="preserve"> </w:t>
      </w:r>
      <w:r w:rsidR="00F37C37">
        <w:t xml:space="preserve">It recognizes </w:t>
      </w:r>
      <w:r w:rsidR="002A4F8B">
        <w:t>the body of literature on the geography of unequal spaces where</w:t>
      </w:r>
      <w:r w:rsidR="00D20FDF">
        <w:t>in the deprivation of food access experienced in specific a</w:t>
      </w:r>
      <w:r w:rsidR="0017008C">
        <w:t xml:space="preserve">reas and </w:t>
      </w:r>
      <w:r w:rsidR="00D20FDF">
        <w:t xml:space="preserve">by specific </w:t>
      </w:r>
      <w:r w:rsidR="0017008C">
        <w:t xml:space="preserve">individuals </w:t>
      </w:r>
      <w:r w:rsidR="00AF2C01">
        <w:t xml:space="preserve">occur </w:t>
      </w:r>
      <w:r w:rsidR="00B96271">
        <w:t xml:space="preserve">because of </w:t>
      </w:r>
      <w:r w:rsidR="00AF2C01">
        <w:t xml:space="preserve">past </w:t>
      </w:r>
      <w:r w:rsidR="00B96271">
        <w:t xml:space="preserve">segregationist policies including </w:t>
      </w:r>
      <w:r w:rsidR="005F7506">
        <w:t>supermarket</w:t>
      </w:r>
      <w:r w:rsidR="00AF2C01">
        <w:t xml:space="preserve"> and residential</w:t>
      </w:r>
      <w:r w:rsidR="005F7506">
        <w:t xml:space="preserve"> redlining</w:t>
      </w:r>
      <w:r w:rsidR="00AF2C01">
        <w:t xml:space="preserve"> </w:t>
      </w:r>
      <w:r w:rsidR="00AF2C01">
        <w:fldChar w:fldCharType="begin"/>
      </w:r>
      <w:r w:rsidR="00AF2C01">
        <w:instrText xml:space="preserve"> ADDIN ZOTERO_ITEM CSL_CITATION {"citationID":"ZI1GIPLj","properties":{"formattedCitation":"(Eisenhauer, 2001; Shannon, 2021; Zhang &amp; Debarchana, 2016)","plainCitation":"(Eisenhauer, 2001; Shannon, 2021; Zhang &amp; Debarchana, 2016)","noteIndex":0},"citationItems":[{"id":1927,"uris":["http://zotero.org/users/5090392/items/WR2LAGYK"],"itemData":{"id":1927,"type":"article-journal","abstract":"Over the past 100 years, ethnic minorities and the poor have become increasingly concentrated and isolated in low-income urban neighborhoods. While the demographic changes in cities are well documented, the parallel history of urban retailing is less well known. Little research has been done on changes in urban food retailing, particularly as they concern the urban poor. As the residential character of urban neighborhoods changed during the 20th century, so did the amenities available in those neighborhoods. The low point for urban retailing was in the 1980s, when cities experienced a net loss of supermarkets even as, nationally, store openings exceeded closings. The trend toward fewer, bigger stores located outside cities has continued to the present. Some critics have referred to this disinclination of large chains to locate in cities as ‘supermarket redlining’. Changes in food availability are a key element in the changing social conditions of the urban poor and, as good nutrition is critical for good health, a contributing factor in the decline of urban health. This paper will examine changes in urban retail food availability, the impact these changes have had on the health status of the urban poor, strategies utilized by the urban poor to address inadequate access to quality food sources, and the role of supermarkets in distressed communities.","container-title":"GeoJournal","language":"en","page":"125-133","source":"Zotero","title":"In poor health: Supermarket redlining and urban nutrition","volume":"53","author":[{"family":"Eisenhauer","given":"Elizabeth"}],"issued":{"date-parts":[["2001",12,10]]}}},{"id":1866,"uris":["http://zotero.org/users/5090392/items/AK3FD3RM"],"itemData":{"id":1866,"type":"article-journal","container-title":"Annals of the American Association of Geographers","DOI":"10.1080/24694452.2020.1775544","ISSN":"2469-4452, 2469-4460","issue":"4","journalAbbreviation":"Annals of the American Association of Geographers","language":"en","page":"1200-1218","source":"DOI.org (Crossref)","title":"Dollar Stores, Retailer Redlining, and the Metropolitan Geographies of Precarious Consumption","URL":"https://www.tandfonline.com/doi/full/10.1080/24694452.2020.1775544","volume":"111","author":[{"family":"Shannon","given":"Jerry"}],"accessed":{"date-parts":[["2022",7,29]]},"issued":{"date-parts":[["2021",6,7]]}}},{"id":1943,"uris":["http://zotero.org/users/5090392/items/7WBLNCFS"],"itemData":{"id":1943,"type":"article-journal","abstract":"The disinclination of chain supermarkets to locate or pull out existing\nstores from impoverished neighborhoods is termed as “supermarket\nredlining”. This paper attempts to map and understand the spatial\neffects of potential supermarket redlining on food vulnerability in urban\ndisadvantaged neighborhoods of Hartford, Connecticut. Using a combination of\nstatistical and spatial analysis functions, we first, built a Supermarket\nRedlining Index (SuRI) from five indicators such as sales volume, employee\ncount, accepts food coupons from federally assisted programs, and size and\npopulation density of the service area to rank supermarkets in the order of\ntheir importance. Second, to understand the effect of redlining, a Supermarket\nRedlining Impact Model (SuRIM) was built with eleven indicators describing both\nthe socioeconomic and food access vulnerabilities. The interaction of these\nvulnerabilities would identify the final outcome: neighborhoods where the impact\nof supermarket redlining would be critical. Results mapped critical areas in the\ninner-city of Hartford where if a nearby supermarket closes or relocates to a\nsuburb with limited mitigation efforts to gill the grocery gap, a large number\nof minority, poor, and disadvantaged residents will experience difficulties to\naccess healthy food leading to food insecurity or perhaps a food desert. We also\nsuggest mitigation efforts to reduce the impact of large supermarket\nclosures.","container-title":"Transactions in GIS : TG","DOI":"10.1111/tgis.12142","ISSN":"1361-1682","issue":"1","journalAbbreviation":"Trans GIS","note":"PMID: 27034615\nPMCID: PMC4810442","page":"79-100","source":"PubMed Central","title":"Spatial Supermarket Redlining and Neighborhood Vulnerability: A Case Study of Hartford, Connecticut","title-short":"Spatial Supermarket Redlining and Neighborhood Vulnerability","URL":"https://www.ncbi.nlm.nih.gov/pmc/articles/PMC4810442/","volume":"20","author":[{"family":"Zhang","given":"Mengyao"},{"family":"Debarchana","given":"Ghosh"}],"accessed":{"date-parts":[["2022",9,2]]},"issued":{"date-parts":[["2016",2]]}}}],"schema":"https://github.com/citation-style-language/schema/raw/master/csl-citation.json"} </w:instrText>
      </w:r>
      <w:r w:rsidR="00AF2C01">
        <w:fldChar w:fldCharType="separate"/>
      </w:r>
      <w:r w:rsidR="00AF2C01" w:rsidRPr="00AF2C01">
        <w:t xml:space="preserve">(Eisenhauer, 2001; Shannon, 2021; Zhang &amp; </w:t>
      </w:r>
      <w:r w:rsidR="001A3201">
        <w:t>Ghosh</w:t>
      </w:r>
      <w:r w:rsidR="00AF2C01">
        <w:fldChar w:fldCharType="end"/>
      </w:r>
      <w:r w:rsidR="00AF2C01">
        <w:t>.</w:t>
      </w:r>
      <w:r w:rsidR="005F7506">
        <w:t xml:space="preserve"> </w:t>
      </w:r>
      <w:r w:rsidR="00876F16">
        <w:t xml:space="preserve">Redlining broadly describes the discriminatory practice to remove or deprive people of service because of the racial/ethnic composition of an area </w:t>
      </w:r>
      <w:r w:rsidR="00876F16">
        <w:fldChar w:fldCharType="begin"/>
      </w:r>
      <w:r w:rsidR="00876F16">
        <w:instrText xml:space="preserve"> ADDIN ZOTERO_ITEM CSL_CITATION {"citationID":"WWHjoSRq","properties":{"formattedCitation":"(D\\uc0\\u8217{}Rozario &amp; Williams, 2005)","plainCitation":"(D’Rozario &amp; Williams, 2005)","noteIndex":0},"citationItems":[{"id":1948,"uris":["http://zotero.org/users/5090392/items/RNGZLDHC"],"itemData":{"id":1948,"type":"article-journal","abstract":"Retail redlining is a spatially discriminatory practice among retailers, of not serving certain areas, based on their ethnic-minority composition, rather than on economic criteria, such as the potential profitability of operating in those areas. Consequently, consumers in these areas often find themselves “vulnerable” because no other retailers will serve them, or they are exploited by other, often smaller, retailers who charge them higher prices and/or offer them inferior goods. What makes retail redlining worthy of scrutiny is that whereas redlining is illegal in the financial industry, retail redlining is still legal in the retailing industry. There are, however, lawsuits and lobbying efforts under way that seek to make this practice illegal. In this article, the authors define retail redlining, identify eight different commonly seen variations of it, look at both sides of the argument on this practice, and finally suggest a methodology for empirically verifying this practice.","container-title":"Journal of Macromarketing","DOI":"10.1177/0276146705280632","ISSN":"0276-1467","issue":"2","journalAbbreviation":"Journal of Macromarketing","language":"en","note":"publisher: SAGE Publications Inc","page":"175-186","source":"SAGE Journals","title":"Retail Redlining: Definition, Theory, Typology, and Measurement","title-short":"Retail Redlining","URL":"https://doi.org/10.1177/0276146705280632","volume":"25","author":[{"family":"D’Rozario","given":"Denver"},{"family":"Williams","given":"Jerome D."}],"accessed":{"date-parts":[["2022",9,2]]},"issued":{"date-parts":[["2005",12,1]]}}}],"schema":"https://github.com/citation-style-language/schema/raw/master/csl-citation.json"} </w:instrText>
      </w:r>
      <w:r w:rsidR="00876F16">
        <w:fldChar w:fldCharType="separate"/>
      </w:r>
      <w:r w:rsidR="00876F16" w:rsidRPr="00234B2B">
        <w:t>(D’Rozario &amp; Williams, 2005)</w:t>
      </w:r>
      <w:r w:rsidR="00876F16">
        <w:fldChar w:fldCharType="end"/>
      </w:r>
      <w:r w:rsidR="00876F16">
        <w:t xml:space="preserve">. </w:t>
      </w:r>
      <w:r w:rsidR="00B8633B">
        <w:t xml:space="preserve">The </w:t>
      </w:r>
      <w:r w:rsidR="009866E1">
        <w:t>removal</w:t>
      </w:r>
      <w:r w:rsidR="0087145F">
        <w:t>,</w:t>
      </w:r>
      <w:r w:rsidR="009866E1">
        <w:t xml:space="preserve"> </w:t>
      </w:r>
      <w:r w:rsidR="00690B61">
        <w:t>relocation</w:t>
      </w:r>
      <w:r w:rsidR="0087145F">
        <w:t>, and/or absence</w:t>
      </w:r>
      <w:r w:rsidR="00690B61">
        <w:t xml:space="preserve"> of </w:t>
      </w:r>
      <w:r w:rsidR="004C6833">
        <w:t xml:space="preserve">food </w:t>
      </w:r>
      <w:r w:rsidR="00690B61">
        <w:t>stores</w:t>
      </w:r>
      <w:r w:rsidR="00847A2D">
        <w:t xml:space="preserve">, other businesses, and investment </w:t>
      </w:r>
      <w:r w:rsidR="00B62558">
        <w:t>in</w:t>
      </w:r>
      <w:r w:rsidR="00690B61">
        <w:t xml:space="preserve"> minority</w:t>
      </w:r>
      <w:r w:rsidR="00762554">
        <w:t xml:space="preserve">, </w:t>
      </w:r>
      <w:r w:rsidR="00876F16">
        <w:t>low-income</w:t>
      </w:r>
      <w:r w:rsidR="00762554">
        <w:t>, and rural</w:t>
      </w:r>
      <w:r w:rsidR="00876F16">
        <w:t xml:space="preserve"> </w:t>
      </w:r>
      <w:r w:rsidR="00415C2B">
        <w:t xml:space="preserve">and inner-city </w:t>
      </w:r>
      <w:r w:rsidR="00690B61">
        <w:t>neighborhoods</w:t>
      </w:r>
      <w:r w:rsidR="00473796">
        <w:t xml:space="preserve"> </w:t>
      </w:r>
      <w:r w:rsidR="009866E1">
        <w:t xml:space="preserve">consequently </w:t>
      </w:r>
      <w:r w:rsidR="00134802">
        <w:t>impacts the availability and diversity of grocery stores</w:t>
      </w:r>
      <w:r w:rsidR="004C6833">
        <w:t xml:space="preserve"> and</w:t>
      </w:r>
      <w:r w:rsidR="00134802">
        <w:t xml:space="preserve"> quality </w:t>
      </w:r>
      <w:r w:rsidR="000A46B5">
        <w:t xml:space="preserve">and abundance </w:t>
      </w:r>
      <w:r w:rsidR="00134802">
        <w:t>of</w:t>
      </w:r>
      <w:r w:rsidR="000A46B5">
        <w:t xml:space="preserve"> </w:t>
      </w:r>
      <w:r w:rsidR="00847A2D">
        <w:t xml:space="preserve">affordable </w:t>
      </w:r>
      <w:r w:rsidR="000A46B5">
        <w:t>healthy</w:t>
      </w:r>
      <w:r w:rsidR="00134802">
        <w:t xml:space="preserve"> groceries</w:t>
      </w:r>
      <w:r w:rsidR="008759D0">
        <w:t>.</w:t>
      </w:r>
      <w:r w:rsidR="0068618E">
        <w:t xml:space="preserve"> </w:t>
      </w:r>
      <w:r w:rsidR="00F974B6">
        <w:t xml:space="preserve">Stores that remain </w:t>
      </w:r>
      <w:r w:rsidR="00990D31">
        <w:t xml:space="preserve">comparatively offer fewer fresh foods and often at </w:t>
      </w:r>
      <w:r w:rsidR="001C710D">
        <w:t xml:space="preserve">higher prices. </w:t>
      </w:r>
      <w:r w:rsidR="0068618E">
        <w:t xml:space="preserve">But, the divestment </w:t>
      </w:r>
      <w:r w:rsidR="002C7E80">
        <w:t xml:space="preserve">of grocery stores and other </w:t>
      </w:r>
      <w:r w:rsidR="005360BA">
        <w:t>resources and services</w:t>
      </w:r>
      <w:r w:rsidR="00D92A6E">
        <w:t xml:space="preserve"> in these neighborhoods</w:t>
      </w:r>
      <w:r w:rsidR="005360BA">
        <w:t xml:space="preserve"> has also </w:t>
      </w:r>
      <w:r w:rsidR="00BC42E8">
        <w:t>fomented other</w:t>
      </w:r>
      <w:r w:rsidR="005360BA">
        <w:t xml:space="preserve"> inequalities</w:t>
      </w:r>
      <w:r w:rsidR="00BC42E8">
        <w:t>, notably with the</w:t>
      </w:r>
      <w:r w:rsidR="00415C2B">
        <w:t xml:space="preserve"> </w:t>
      </w:r>
      <w:r w:rsidR="00DB714F">
        <w:t xml:space="preserve">lack of broadband service infrastructure leading to </w:t>
      </w:r>
      <w:r w:rsidR="009A55A6">
        <w:t xml:space="preserve">one manifestation of </w:t>
      </w:r>
      <w:r w:rsidR="00DB714F">
        <w:t>the</w:t>
      </w:r>
      <w:r w:rsidR="00BC42E8">
        <w:t xml:space="preserve"> digital divide</w:t>
      </w:r>
      <w:r w:rsidR="00272F80">
        <w:t xml:space="preserve"> </w:t>
      </w:r>
      <w:r w:rsidR="00272F80">
        <w:fldChar w:fldCharType="begin"/>
      </w:r>
      <w:r w:rsidR="00272F80">
        <w:instrText xml:space="preserve"> ADDIN ZOTERO_ITEM CSL_CITATION {"citationID":"dWqm3e4P","properties":{"formattedCitation":"(Skinner et al., 2021)","plainCitation":"(Skinner et al., 2021)","noteIndex":0},"citationItems":[{"id":1951,"uris":["http://zotero.org/users/5090392/items/RR5I6YU6"],"itemData":{"id":1951,"type":"article-journal","abstract":"Despite its increasing importance for educational practices, broadband is not equally accessible among all students. In addition to oft-noted last-mile barriers faced by rural students, there can be wide variation in in-home access between proximate urban and suburban neighborhoods ostensibly covered by the same telecommunications infrastructure. In this paper, we investigate the connection between these disparities and earlier redlining practices by spatially joining two current measures of broadband access with Depression-era residential security maps that graded neighborhoods for real estate investment risk from “Best” to “Hazardous” based in part on racist and classist beliefs. We ﬁnd evidence that despite internet service providers reporting similar technological availability across neighborhoods, access to broadband in the home generally decreases in tandem with historic neighborhood risk classiﬁcation. We further ﬁnd differences in in-home broadband access by race/ethnicity and income level, both across and within neighborhood grades. Our results demonstrate how federally developed housing policies from the prior century remain relevant to the current digital divide and should be considered in discussions of educational policies that require broadband access for success.","DOI":"10.26300/Q9AV-9C93","language":"en","note":"publisher: EdWorkingPapers.com","source":"DOI.org (Datacite)","title":"Digital redlining: the relevance of 20th century housing policy to 21st century broadband access and education","title-short":"Digital redlining","URL":"https://www.edworkingpapers.com/ai21-471","author":[{"family":"Skinner","given":"Benjamin"},{"family":"Levy","given":"Hazel"},{"family":"Burtch","given":"Taylor"}],"accessed":{"date-parts":[["2022",9,2]]},"issued":{"date-parts":[["2021"]]}}}],"schema":"https://github.com/citation-style-language/schema/raw/master/csl-citation.json"} </w:instrText>
      </w:r>
      <w:r w:rsidR="00272F80">
        <w:fldChar w:fldCharType="separate"/>
      </w:r>
      <w:r w:rsidR="00272F80" w:rsidRPr="00272F80">
        <w:t>(Skinner et al., 2021)</w:t>
      </w:r>
      <w:r w:rsidR="00272F80">
        <w:fldChar w:fldCharType="end"/>
      </w:r>
      <w:r w:rsidR="00AC286C">
        <w:t xml:space="preserve"> that persists </w:t>
      </w:r>
      <w:r w:rsidR="00AC286C">
        <w:lastRenderedPageBreak/>
        <w:t>into further inequalities in access</w:t>
      </w:r>
      <w:r w:rsidR="00DB714F">
        <w:t>ing online</w:t>
      </w:r>
      <w:r w:rsidR="00AC286C">
        <w:t xml:space="preserve"> food </w:t>
      </w:r>
      <w:r w:rsidR="00DB714F">
        <w:t xml:space="preserve">services </w:t>
      </w:r>
      <w:r w:rsidR="00CC220C">
        <w:fldChar w:fldCharType="begin"/>
      </w:r>
      <w:r w:rsidR="00CC220C">
        <w:instrText xml:space="preserve"> ADDIN ZOTERO_ITEM CSL_CITATION {"citationID":"uAZYZly1","properties":{"formattedCitation":"(George &amp; Tomer, 2022)","plainCitation":"(George &amp; Tomer, 2022)","noteIndex":0},"citationItems":[{"id":1952,"uris":["http://zotero.org/users/5090392/items/HX4ZDAA4"],"itemData":{"id":1952,"type":"report","language":"en-US","publisher":"The Brookings Institution","title":"Delivering to deserts: New data reveals the geography of digital access to food in the U.S.","title-short":"Delivering to deserts","URL":"https://www.brookings.edu/essay/delivering-to-deserts-new-data-reveals-the-geography-of-digital-access-to-food-in-the-us/","author":[{"family":"George","given":"Caroline"},{"family":"Tomer","given":"Adie"}],"accessed":{"date-parts":[["2022",9,2]]},"issued":{"date-parts":[["2022",5,11]]}}}],"schema":"https://github.com/citation-style-language/schema/raw/master/csl-citation.json"} </w:instrText>
      </w:r>
      <w:r w:rsidR="00CC220C">
        <w:fldChar w:fldCharType="separate"/>
      </w:r>
      <w:r w:rsidR="00CC220C" w:rsidRPr="00CC220C">
        <w:t>(George &amp; Tomer, 2022)</w:t>
      </w:r>
      <w:r w:rsidR="00CC220C">
        <w:fldChar w:fldCharType="end"/>
      </w:r>
      <w:r w:rsidR="00BC42E8">
        <w:t>.</w:t>
      </w:r>
      <w:r w:rsidR="00FD3370">
        <w:t xml:space="preserve"> </w:t>
      </w:r>
      <w:r w:rsidR="005F59CC">
        <w:t>The</w:t>
      </w:r>
      <w:r w:rsidR="008759D0">
        <w:t xml:space="preserve"> result is that those </w:t>
      </w:r>
      <w:r w:rsidR="00D92A6E">
        <w:t>already disadvantaged</w:t>
      </w:r>
      <w:r w:rsidR="00C5748F">
        <w:t xml:space="preserve"> often experience the greatest food insecurity, with limited access to </w:t>
      </w:r>
      <w:r w:rsidR="00D349B9">
        <w:t xml:space="preserve">affordable </w:t>
      </w:r>
      <w:r w:rsidR="00BB335E">
        <w:t xml:space="preserve">and </w:t>
      </w:r>
      <w:r w:rsidR="00C5748F">
        <w:t xml:space="preserve">healthful food for a </w:t>
      </w:r>
      <w:r w:rsidR="00777916">
        <w:t>good quality of life</w:t>
      </w:r>
      <w:r w:rsidR="00BC42E8">
        <w:t>.</w:t>
      </w:r>
      <w:r w:rsidR="005F59CC">
        <w:t xml:space="preserve"> </w:t>
      </w:r>
      <w:r w:rsidR="00E96373">
        <w:t>Ultimately</w:t>
      </w:r>
      <w:r w:rsidR="005F59CC">
        <w:t xml:space="preserve">, this perpetuates a </w:t>
      </w:r>
      <w:r w:rsidR="009B6437">
        <w:t xml:space="preserve">cycle of disadvantage and poverty </w:t>
      </w:r>
      <w:r w:rsidR="00B512F7">
        <w:t>where</w:t>
      </w:r>
      <w:r w:rsidR="008A5AE3">
        <w:t xml:space="preserve"> food insecurity</w:t>
      </w:r>
      <w:r w:rsidR="00B512F7">
        <w:t xml:space="preserve"> </w:t>
      </w:r>
      <w:r w:rsidR="004A3E09">
        <w:t>begets poor health and</w:t>
      </w:r>
      <w:r w:rsidR="008A5AE3">
        <w:t xml:space="preserve"> </w:t>
      </w:r>
      <w:r w:rsidR="004A3E09">
        <w:t>economic hardship</w:t>
      </w:r>
      <w:r w:rsidR="0015061B">
        <w:t xml:space="preserve"> </w:t>
      </w:r>
      <w:r w:rsidR="0015061B">
        <w:fldChar w:fldCharType="begin"/>
      </w:r>
      <w:r w:rsidR="0015061B">
        <w:instrText xml:space="preserve"> ADDIN ZOTERO_ITEM CSL_CITATION {"citationID":"PRLl8i6U","properties":{"formattedCitation":"(Eisenhauer, 2001)","plainCitation":"(Eisenhauer, 2001)","noteIndex":0},"citationItems":[{"id":1927,"uris":["http://zotero.org/users/5090392/items/WR2LAGYK"],"itemData":{"id":1927,"type":"article-journal","abstract":"Over the past 100 years, ethnic minorities and the poor have become increasingly concentrated and isolated in low-income urban neighborhoods. While the demographic changes in cities are well documented, the parallel history of urban retailing is less well known. Little research has been done on changes in urban food retailing, particularly as they concern the urban poor. As the residential character of urban neighborhoods changed during the 20th century, so did the amenities available in those neighborhoods. The low point for urban retailing was in the 1980s, when cities experienced a net loss of supermarkets even as, nationally, store openings exceeded closings. The trend toward fewer, bigger stores located outside cities has continued to the present. Some critics have referred to this disinclination of large chains to locate in cities as ‘supermarket redlining’. Changes in food availability are a key element in the changing social conditions of the urban poor and, as good nutrition is critical for good health, a contributing factor in the decline of urban health. This paper will examine changes in urban retail food availability, the impact these changes have had on the health status of the urban poor, strategies utilized by the urban poor to address inadequate access to quality food sources, and the role of supermarkets in distressed communities.","container-title":"GeoJournal","language":"en","page":"125-133","source":"Zotero","title":"In poor health: Supermarket redlining and urban nutrition","volume":"53","author":[{"family":"Eisenhauer","given":"Elizabeth"}],"issued":{"date-parts":[["2001",12,10]]}}}],"schema":"https://github.com/citation-style-language/schema/raw/master/csl-citation.json"} </w:instrText>
      </w:r>
      <w:r w:rsidR="0015061B">
        <w:fldChar w:fldCharType="separate"/>
      </w:r>
      <w:r w:rsidR="0015061B" w:rsidRPr="0015061B">
        <w:t>(Eisenhauer, 2001)</w:t>
      </w:r>
      <w:r w:rsidR="0015061B">
        <w:fldChar w:fldCharType="end"/>
      </w:r>
      <w:r w:rsidR="004A3E09">
        <w:t>.</w:t>
      </w:r>
      <w:r w:rsidR="00B45810">
        <w:t xml:space="preserve"> </w:t>
      </w:r>
      <w:r w:rsidR="001D4800">
        <w:t>T</w:t>
      </w:r>
      <w:r w:rsidR="00E24AE3">
        <w:t xml:space="preserve">his understanding of the relationship between </w:t>
      </w:r>
      <w:r w:rsidR="001D4800">
        <w:t xml:space="preserve">segregation and </w:t>
      </w:r>
      <w:r w:rsidR="00E24AE3">
        <w:t>food access</w:t>
      </w:r>
      <w:r w:rsidR="001D4800">
        <w:t xml:space="preserve"> sugge</w:t>
      </w:r>
      <w:r w:rsidR="00B64328">
        <w:t xml:space="preserve">sts that possible solutions to ameliorate food insecurity and poor access </w:t>
      </w:r>
      <w:r w:rsidR="005A7567">
        <w:t xml:space="preserve">requires more than </w:t>
      </w:r>
      <w:r w:rsidR="0061374A">
        <w:t xml:space="preserve">just </w:t>
      </w:r>
      <w:r w:rsidR="008801C1">
        <w:t xml:space="preserve">establishing more supermarkets in deprived areas. </w:t>
      </w:r>
      <w:r w:rsidR="00D0225B">
        <w:t>As this dissertation argues, i</w:t>
      </w:r>
      <w:r w:rsidR="008801C1">
        <w:t>t requires</w:t>
      </w:r>
      <w:r w:rsidR="00DA19DA">
        <w:t xml:space="preserve"> greater investment in </w:t>
      </w:r>
      <w:r w:rsidR="00D0225B">
        <w:t>internet (e.g., 5G)</w:t>
      </w:r>
      <w:r w:rsidR="00DA19DA">
        <w:t xml:space="preserve"> infrastructure</w:t>
      </w:r>
      <w:r w:rsidR="00A03E90">
        <w:t xml:space="preserve"> and </w:t>
      </w:r>
      <w:r w:rsidR="0090171C">
        <w:t xml:space="preserve">educational initiatives to teach </w:t>
      </w:r>
      <w:r w:rsidR="00BA4712">
        <w:t xml:space="preserve">and familiarize </w:t>
      </w:r>
      <w:r w:rsidR="0090171C">
        <w:t xml:space="preserve">the </w:t>
      </w:r>
      <w:r w:rsidR="00BA4712">
        <w:t>uninitiated</w:t>
      </w:r>
      <w:r w:rsidR="0090171C">
        <w:t xml:space="preserve"> </w:t>
      </w:r>
      <w:r w:rsidR="00BA4712">
        <w:t>with the requisite technological skills necessary for accessing a variety of services</w:t>
      </w:r>
      <w:r w:rsidR="0015399E">
        <w:t xml:space="preserve">, resources, and activities in today’s hybrid physical-virtual world. It also </w:t>
      </w:r>
      <w:r w:rsidR="003B1B9D">
        <w:t>suggests that improving food access requires understanding the myriad and diverse concerns of people –</w:t>
      </w:r>
      <w:r w:rsidR="00A30865">
        <w:t xml:space="preserve"> including</w:t>
      </w:r>
      <w:r w:rsidR="002054A8">
        <w:t>,</w:t>
      </w:r>
      <w:r w:rsidR="00A30865">
        <w:t xml:space="preserve"> but not limited to</w:t>
      </w:r>
      <w:r w:rsidR="002054A8">
        <w:t>,</w:t>
      </w:r>
      <w:r w:rsidR="003B1B9D">
        <w:t xml:space="preserve"> </w:t>
      </w:r>
      <w:r w:rsidR="003F02E8">
        <w:t xml:space="preserve">ensuring a diverse mix of </w:t>
      </w:r>
      <w:r w:rsidR="0025361A">
        <w:t>opportunity</w:t>
      </w:r>
      <w:r w:rsidR="003F02E8">
        <w:t xml:space="preserve"> types</w:t>
      </w:r>
      <w:r w:rsidR="0025361A">
        <w:t xml:space="preserve"> much as zoning </w:t>
      </w:r>
      <w:r w:rsidR="008E6048">
        <w:t xml:space="preserve">enables government to regulate </w:t>
      </w:r>
      <w:r w:rsidR="00AA1D79">
        <w:t>land use</w:t>
      </w:r>
      <w:r w:rsidR="0025361A">
        <w:t>,</w:t>
      </w:r>
      <w:r w:rsidR="00AA1D79">
        <w:t xml:space="preserve"> </w:t>
      </w:r>
      <w:r w:rsidR="005C234D">
        <w:t xml:space="preserve">establishing and </w:t>
      </w:r>
      <w:r w:rsidR="00AA1D79">
        <w:t>investing in micro mobility</w:t>
      </w:r>
      <w:r w:rsidR="005C234D">
        <w:t>, walkability,</w:t>
      </w:r>
      <w:r w:rsidR="00AA1D79">
        <w:t xml:space="preserve"> and public transit</w:t>
      </w:r>
      <w:r w:rsidR="005C234D">
        <w:t xml:space="preserve"> options, </w:t>
      </w:r>
      <w:r w:rsidR="00AD45E8">
        <w:t xml:space="preserve">creating opportunities for developing social capital, </w:t>
      </w:r>
      <w:r w:rsidR="003B1B9D">
        <w:t>enabling various financial mechanisms</w:t>
      </w:r>
      <w:r w:rsidR="003F02E8">
        <w:t xml:space="preserve"> and providing greater subsidies such as SNAP benefits</w:t>
      </w:r>
      <w:r w:rsidR="00BE1132">
        <w:t xml:space="preserve">, establishing </w:t>
      </w:r>
      <w:r w:rsidR="00C57574">
        <w:t xml:space="preserve">high standards as </w:t>
      </w:r>
      <w:r w:rsidR="00BE1132">
        <w:t>guidelines for accessible and inclusive physical</w:t>
      </w:r>
      <w:r w:rsidR="00C57574">
        <w:t>,</w:t>
      </w:r>
      <w:r w:rsidR="00BE1132">
        <w:t xml:space="preserve"> virtual</w:t>
      </w:r>
      <w:r w:rsidR="00C57574">
        <w:t>, and social</w:t>
      </w:r>
      <w:r w:rsidR="00BE1132">
        <w:t xml:space="preserve"> infrastructure</w:t>
      </w:r>
      <w:r w:rsidR="00C57574">
        <w:t xml:space="preserve">, and </w:t>
      </w:r>
      <w:r w:rsidR="00A30865">
        <w:t>responding to the different needs of people.</w:t>
      </w:r>
      <w:r w:rsidR="001C64A7">
        <w:t xml:space="preserve"> Access to food and other human needs is a complex concept that can usefully be broken </w:t>
      </w:r>
      <w:r w:rsidR="00C83852">
        <w:t xml:space="preserve">down into five dimensions and considered </w:t>
      </w:r>
      <w:proofErr w:type="gramStart"/>
      <w:r w:rsidR="00C83852">
        <w:t>in light of</w:t>
      </w:r>
      <w:proofErr w:type="gramEnd"/>
      <w:r w:rsidR="00C83852">
        <w:t xml:space="preserve"> four concepts of space that expre</w:t>
      </w:r>
      <w:r w:rsidR="001252C1">
        <w:t>ss unique aspects of the human experience.</w:t>
      </w:r>
      <w:commentRangeEnd w:id="162"/>
      <w:r w:rsidR="00DB4CE9">
        <w:rPr>
          <w:rStyle w:val="CommentReference"/>
        </w:rPr>
        <w:commentReference w:id="162"/>
      </w:r>
      <w:commentRangeEnd w:id="163"/>
      <w:r w:rsidR="00DB4CE9">
        <w:rPr>
          <w:rStyle w:val="CommentReference"/>
        </w:rPr>
        <w:commentReference w:id="163"/>
      </w:r>
    </w:p>
    <w:p w14:paraId="1891888E" w14:textId="09DDB5C5" w:rsidR="00985B59" w:rsidRDefault="00985B59" w:rsidP="00985B59">
      <w:pPr>
        <w:pStyle w:val="Heading2"/>
        <w:spacing w:after="240"/>
        <w:jc w:val="center"/>
        <w:rPr>
          <w:rFonts w:ascii="Times New Roman" w:hAnsi="Times New Roman" w:cs="Times New Roman"/>
          <w:b/>
          <w:bCs/>
          <w:color w:val="auto"/>
        </w:rPr>
      </w:pPr>
      <w:bookmarkStart w:id="164" w:name="_Toc114258068"/>
      <w:r w:rsidRPr="00985B59">
        <w:rPr>
          <w:rFonts w:ascii="Times New Roman" w:hAnsi="Times New Roman" w:cs="Times New Roman"/>
          <w:b/>
          <w:bCs/>
          <w:color w:val="auto"/>
        </w:rPr>
        <w:t>6.2. Future Directions</w:t>
      </w:r>
      <w:bookmarkEnd w:id="164"/>
    </w:p>
    <w:p w14:paraId="19930788" w14:textId="21E3CD77" w:rsidR="00985B59" w:rsidRPr="00985B59" w:rsidRDefault="00985B59" w:rsidP="00985B59">
      <w:pPr>
        <w:spacing w:line="480" w:lineRule="auto"/>
      </w:pPr>
      <w:r>
        <w:tab/>
        <w:t>The work of this dissertation can still be elaborated further and improved upon.</w:t>
      </w:r>
      <w:r w:rsidR="00BF2C29">
        <w:t xml:space="preserve"> As noted earlier, the </w:t>
      </w:r>
      <w:r w:rsidR="00567ECF">
        <w:t xml:space="preserve">proposed GIS is flexible to assess not just access to food but also to other human </w:t>
      </w:r>
      <w:r w:rsidR="00567ECF">
        <w:lastRenderedPageBreak/>
        <w:t xml:space="preserve">needs. </w:t>
      </w:r>
      <w:r w:rsidR="00B33DB1">
        <w:t xml:space="preserve">With a proposed understanding of the causal factors of access, </w:t>
      </w:r>
      <w:r w:rsidR="008A6C2C">
        <w:t xml:space="preserve">one future direction lies in the further development of </w:t>
      </w:r>
      <w:r w:rsidR="003163A6">
        <w:t>measuring access</w:t>
      </w:r>
      <w:r w:rsidR="000072AE">
        <w:t xml:space="preserve"> with a </w:t>
      </w:r>
      <w:proofErr w:type="spellStart"/>
      <w:r w:rsidR="000072AE">
        <w:t>multispace</w:t>
      </w:r>
      <w:proofErr w:type="spellEnd"/>
      <w:r w:rsidR="000072AE">
        <w:t xml:space="preserve"> GIS</w:t>
      </w:r>
      <w:r w:rsidR="003163A6">
        <w:t>.</w:t>
      </w:r>
    </w:p>
    <w:p w14:paraId="1D559A0C" w14:textId="5D6835AA" w:rsidR="0025336A" w:rsidRDefault="00802AE3" w:rsidP="0025336A">
      <w:pPr>
        <w:spacing w:line="480" w:lineRule="auto"/>
        <w:ind w:firstLine="720"/>
      </w:pPr>
      <w:commentRangeStart w:id="165"/>
      <w:commentRangeStart w:id="166"/>
      <w:r>
        <w:t xml:space="preserve">Future work could look to </w:t>
      </w:r>
      <w:r w:rsidR="00313E94">
        <w:t>further unite</w:t>
      </w:r>
      <w:r>
        <w:t xml:space="preserve"> the person- and </w:t>
      </w:r>
      <w:r w:rsidR="00E5088D">
        <w:t>location-</w:t>
      </w:r>
      <w:r>
        <w:t>based dichotomy that dominates accessibility research.</w:t>
      </w:r>
      <w:commentRangeEnd w:id="165"/>
      <w:r w:rsidR="007512B2">
        <w:rPr>
          <w:rStyle w:val="CommentReference"/>
        </w:rPr>
        <w:commentReference w:id="165"/>
      </w:r>
      <w:commentRangeEnd w:id="166"/>
      <w:r w:rsidR="00313E94">
        <w:rPr>
          <w:rStyle w:val="CommentReference"/>
        </w:rPr>
        <w:commentReference w:id="166"/>
      </w:r>
      <w:r>
        <w:t xml:space="preserve"> While it is understood that person-based approaches more accurately capture individual nuances and behaviors, their complexity means that they are limited in their use for policy and action. The current GIS prototype only enables for investigation of individual-level accessibilities, and methods (e.g., clustering algorithms) could be developed to aggregate groups of people based on common characteristics such as their local geographies, racial/ethnic backgrounds, social relationships, mental preferences, and etcetera. </w:t>
      </w:r>
      <w:r w:rsidR="004B1CBB">
        <w:t xml:space="preserve">One possibility relates to the method by </w:t>
      </w:r>
      <w:r w:rsidR="00872B22">
        <w:t xml:space="preserve">Lee and Miller </w:t>
      </w:r>
      <w:r w:rsidR="00872B22">
        <w:fldChar w:fldCharType="begin"/>
      </w:r>
      <w:r w:rsidR="00872B22">
        <w:instrText xml:space="preserve"> ADDIN ZOTERO_ITEM CSL_CITATION {"citationID":"7383xEYB","properties":{"formattedCitation":"(2019)","plainCitation":"(2019)","noteIndex":0},"citationItems":[{"id":1965,"uris":["http://zotero.org/users/5090392/items/5J2P8JVZ"],"itemData":{"id":1965,"type":"article-journal","abstract":"The space-time prism (STP) is the envelope of all possible travel paths in space and time between two anchor locations and times, measuring accessibility for an individual given a designated travel and activity episode. Although the STP provides a powerful measure of individual accessibility, transportation researchers often need to analyze accessibility at collective-levels for planning and policy analysis. Deriving a representative STP of a set of individual STPs would provide a general idea of how collective members’ accessibility is performing. However, there is no analytical time geographic method to calculate a collective-level representative STP that is consistent with individual STPs. To fill this gap, this research develops the concept of average space-time prism (ASTP). The ASTP is a representative STP of a group of individual STPs with respect to size, shape, and location. We develop methods for calculating an ASTP using analytical time geography and elliptic Fourier shape analysis techniques. The ASTP provides a geometric and visual summary of collective accessibility: it can be used to generate representative STPs for aggregate geographic units such as neighborhoods and cities based on individual-level data. A possible application of the ASTP is the spatial equity analysis of accessibility. The ASTP can be located at individuals’ anchor locations and overlaid with opportunities, enabling in-situ comparisons between individual versus collective accessibility and accessibility equity analysis considering geographic contexts. We illustrate this ASTP’s capability when measuring the impacts of new transit service on healthcare access equity in a neighborhood in Columbus, Ohio, USA.","container-title":"Transportation Research Part D: Transport and Environment","DOI":"10.1016/j.trd.2019.02.004","ISSN":"1361-9209","journalAbbreviation":"Transportation Research Part D: Transport and Environment","language":"en","page":"250-264","source":"ScienceDirect","title":"Analyzing collective accessibility using average space-time prisms","URL":"https://www.sciencedirect.com/science/article/pii/S1361920918310630","volume":"69","author":[{"family":"Lee","given":"Jinhyung"},{"family":"Miller","given":"Harvey J."}],"accessed":{"date-parts":[["2022",9,9]]},"issued":{"date-parts":[["2019",4,1]]}},"label":"page","suppress-author":true}],"schema":"https://github.com/citation-style-language/schema/raw/master/csl-citation.json"} </w:instrText>
      </w:r>
      <w:r w:rsidR="00872B22">
        <w:fldChar w:fldCharType="separate"/>
      </w:r>
      <w:r w:rsidR="00872B22" w:rsidRPr="00872B22">
        <w:t>(2019)</w:t>
      </w:r>
      <w:r w:rsidR="00872B22">
        <w:fldChar w:fldCharType="end"/>
      </w:r>
      <w:r w:rsidR="00103CAA">
        <w:t xml:space="preserve"> </w:t>
      </w:r>
      <w:r w:rsidR="004B1CBB">
        <w:t>to derive an</w:t>
      </w:r>
      <w:r w:rsidR="00103CAA">
        <w:t xml:space="preserve"> average space-time prism (ASTP) that </w:t>
      </w:r>
      <w:r w:rsidR="00583335">
        <w:t xml:space="preserve">represents a visual and geometric summary of </w:t>
      </w:r>
      <w:r w:rsidR="004B1CBB">
        <w:t>multiple individuals</w:t>
      </w:r>
      <w:r w:rsidR="00E87034">
        <w:t xml:space="preserve"> and their activity and travel patterns</w:t>
      </w:r>
      <w:r w:rsidR="004B1CBB">
        <w:t xml:space="preserve">. </w:t>
      </w:r>
      <w:r>
        <w:t xml:space="preserve">This proposal would also be an improvement upon conventional </w:t>
      </w:r>
      <w:r w:rsidR="00E5088D">
        <w:t>location</w:t>
      </w:r>
      <w:r>
        <w:t xml:space="preserve">-based approaches that typically use pre-defined </w:t>
      </w:r>
      <w:r w:rsidR="005A3FFF">
        <w:t>administrative geographic</w:t>
      </w:r>
      <w:r>
        <w:t xml:space="preserve"> units such as census block groups or tracts which overlook the heterogeneity of their populations.</w:t>
      </w:r>
      <w:r w:rsidR="00B31F96">
        <w:t xml:space="preserve"> Advancing this agenda forward would help to better conceive </w:t>
      </w:r>
      <w:r w:rsidR="00AE1C16">
        <w:t>of and visualize the similarities in different spaces amongst individuals</w:t>
      </w:r>
      <w:r w:rsidR="00C56FFD">
        <w:t>, for example understanding individuals based on the</w:t>
      </w:r>
      <w:r w:rsidR="00A33FF1">
        <w:t xml:space="preserve">ir </w:t>
      </w:r>
      <w:r w:rsidR="00556C3D">
        <w:t>common perceptions of cultural attitudes</w:t>
      </w:r>
      <w:r w:rsidR="00AE1C16">
        <w:t>.</w:t>
      </w:r>
    </w:p>
    <w:p w14:paraId="76C30A0F" w14:textId="24F8F9A6" w:rsidR="00C93BA0" w:rsidRDefault="00683AE1" w:rsidP="0025336A">
      <w:pPr>
        <w:spacing w:line="480" w:lineRule="auto"/>
        <w:ind w:firstLine="720"/>
      </w:pPr>
      <w:r w:rsidRPr="00EA5193">
        <w:t xml:space="preserve">Another promising direction for exploration lies in </w:t>
      </w:r>
      <w:commentRangeStart w:id="167"/>
      <w:commentRangeStart w:id="168"/>
      <w:r w:rsidR="00782EFC">
        <w:t>expanding the analytical approach</w:t>
      </w:r>
      <w:r w:rsidR="008C183F">
        <w:t xml:space="preserve"> and inclusion of other data sources</w:t>
      </w:r>
      <w:r w:rsidR="00782EFC">
        <w:t xml:space="preserve"> to determine v</w:t>
      </w:r>
      <w:r w:rsidR="00B71350" w:rsidRPr="00EA5193">
        <w:t>irtual and hybrid-based access opportunities.</w:t>
      </w:r>
      <w:commentRangeEnd w:id="167"/>
      <w:r w:rsidR="0059209A">
        <w:rPr>
          <w:rStyle w:val="CommentReference"/>
        </w:rPr>
        <w:commentReference w:id="167"/>
      </w:r>
      <w:commentRangeEnd w:id="168"/>
      <w:r w:rsidR="00C87811">
        <w:rPr>
          <w:rStyle w:val="CommentReference"/>
        </w:rPr>
        <w:commentReference w:id="168"/>
      </w:r>
      <w:r w:rsidR="0025336A">
        <w:t xml:space="preserve"> </w:t>
      </w:r>
      <w:r w:rsidR="00BA75AB">
        <w:t xml:space="preserve">For example, </w:t>
      </w:r>
      <w:r w:rsidR="00F0019F">
        <w:t>t</w:t>
      </w:r>
      <w:r w:rsidR="00B71350" w:rsidRPr="00EA5193">
        <w:t xml:space="preserve">he current conceptualization of opportunities by these modalities </w:t>
      </w:r>
      <w:r w:rsidR="00FF6BBC" w:rsidRPr="00EA5193">
        <w:t xml:space="preserve">is </w:t>
      </w:r>
      <w:r w:rsidR="00A73347" w:rsidRPr="00EA5193">
        <w:t>premised upon</w:t>
      </w:r>
      <w:r w:rsidR="00FF6BBC" w:rsidRPr="00EA5193">
        <w:t xml:space="preserve"> individual knowledge and willingness to use online services</w:t>
      </w:r>
      <w:r w:rsidR="00351269">
        <w:t xml:space="preserve"> theoretically retrieved from travel diaries</w:t>
      </w:r>
      <w:r w:rsidR="00A73347" w:rsidRPr="00EA5193">
        <w:t xml:space="preserve">. </w:t>
      </w:r>
      <w:r w:rsidR="00F0019F">
        <w:t xml:space="preserve">Implementing this conceptualization involved a single behavioral indicator </w:t>
      </w:r>
      <w:r w:rsidR="008C2FE8">
        <w:t xml:space="preserve">for whether individuals had access to a computing device and the </w:t>
      </w:r>
      <w:r w:rsidR="00043CE8">
        <w:t>Internet and</w:t>
      </w:r>
      <w:r w:rsidR="008C2FE8">
        <w:t xml:space="preserve"> was capable of and willing to </w:t>
      </w:r>
      <w:r w:rsidR="008C2FE8">
        <w:lastRenderedPageBreak/>
        <w:t>use online services.</w:t>
      </w:r>
      <w:r w:rsidR="005C46AC">
        <w:t xml:space="preserve"> To expand this relational space approach to assessing accessibility to opportunities,</w:t>
      </w:r>
      <w:r w:rsidR="004030C0">
        <w:t xml:space="preserve"> multiple behavioral indicators </w:t>
      </w:r>
      <w:r w:rsidR="00F11C23">
        <w:t xml:space="preserve">could be included </w:t>
      </w:r>
      <w:r w:rsidR="004030C0">
        <w:t>as some people who have access to an Internet-connected computing device and are technologically-savvy ma</w:t>
      </w:r>
      <w:r w:rsidR="00A7614C">
        <w:t xml:space="preserve">y still refuse to use online services. </w:t>
      </w:r>
      <w:r w:rsidR="00C93BA0">
        <w:t>There</w:t>
      </w:r>
      <w:r w:rsidR="00A7614C">
        <w:t xml:space="preserve"> could be four indicators for each of access to a computing device, access to the Internet, ability to use online services, and willingness to use online services, and if any of the four are lacking, that means the individual may not have direct access to virtual-based services.</w:t>
      </w:r>
      <w:r w:rsidR="00036FE6">
        <w:t xml:space="preserve"> Moreover, access to opportunities could also extend beyond </w:t>
      </w:r>
      <w:r w:rsidR="0021696B">
        <w:t>the retail landscape</w:t>
      </w:r>
      <w:r w:rsidR="000977B6">
        <w:t xml:space="preserve"> and social networks</w:t>
      </w:r>
      <w:r w:rsidR="0021696B">
        <w:t xml:space="preserve">; with food access specifically, </w:t>
      </w:r>
      <w:r w:rsidR="004A6D04">
        <w:t xml:space="preserve">pantries, food banks, </w:t>
      </w:r>
      <w:r w:rsidR="0021696B">
        <w:t>soup kitchens</w:t>
      </w:r>
      <w:r w:rsidR="00627D09">
        <w:t xml:space="preserve">, </w:t>
      </w:r>
      <w:r w:rsidR="00952E69">
        <w:t>faith</w:t>
      </w:r>
      <w:r w:rsidR="0021696B">
        <w:t>-based organizations</w:t>
      </w:r>
      <w:r w:rsidR="00627D09">
        <w:t>, and</w:t>
      </w:r>
      <w:r w:rsidR="00CF1D16">
        <w:t xml:space="preserve"> </w:t>
      </w:r>
      <w:r w:rsidR="00952E69">
        <w:t>online communities</w:t>
      </w:r>
      <w:r w:rsidR="00F229DB">
        <w:t xml:space="preserve"> (e.g., Reddit</w:t>
      </w:r>
      <w:r w:rsidR="006F5F69">
        <w:t>’s Random Acts Of</w:t>
      </w:r>
      <w:r w:rsidR="000977B6">
        <w:t xml:space="preserve"> </w:t>
      </w:r>
      <w:r w:rsidR="006F5F69">
        <w:t>subredd</w:t>
      </w:r>
      <w:r w:rsidR="00D63D6A">
        <w:t>it/community</w:t>
      </w:r>
      <w:r w:rsidR="006F5F69">
        <w:t xml:space="preserve">) </w:t>
      </w:r>
      <w:r w:rsidR="002852C9">
        <w:fldChar w:fldCharType="begin"/>
      </w:r>
      <w:r w:rsidR="002852C9">
        <w:instrText xml:space="preserve"> ADDIN ZOTERO_ITEM CSL_CITATION {"citationID":"AeZoL0Y8","properties":{"formattedCitation":"(SadBrunette1999, 2021)","plainCitation":"(SadBrunette1999, 2021)","noteIndex":0},"citationItems":[{"id":1962,"uris":["http://zotero.org/users/5090392/items/467FD9QG"],"itemData":{"id":1962,"type":"post","container-title":"r/randomactsof","genre":"Reddit Post","title":"Would anyone like to buy a hungry, sad Canadian gal food? I’ll love you forever </w:instrText>
      </w:r>
      <w:r w:rsidR="002852C9">
        <w:rPr>
          <w:rFonts w:ascii="Segoe UI Emoji" w:hAnsi="Segoe UI Emoji" w:cs="Segoe UI Emoji"/>
        </w:rPr>
        <w:instrText>🤞🏻</w:instrText>
      </w:r>
      <w:r w:rsidR="002852C9">
        <w:instrText xml:space="preserve">","title-short":"Would anyone like to buy a hungry, sad Canadian gal food?","URL":"www.reddit.com/r/randomactsof/comments/mfcb0y/would_anyone_like_to_buy_a_hungry_sad_canadian/","author":[{"family":"SadBrunette1999","given":""}],"accessed":{"date-parts":[["2022",9,8]]},"issued":{"date-parts":[["2021",3,28]]}}}],"schema":"https://github.com/citation-style-language/schema/raw/master/csl-citation.json"} </w:instrText>
      </w:r>
      <w:r w:rsidR="002852C9">
        <w:fldChar w:fldCharType="separate"/>
      </w:r>
      <w:r w:rsidR="002852C9" w:rsidRPr="002852C9">
        <w:t>(SadBrunette1999, 2021)</w:t>
      </w:r>
      <w:r w:rsidR="002852C9">
        <w:fldChar w:fldCharType="end"/>
      </w:r>
      <w:r w:rsidR="002852C9">
        <w:t xml:space="preserve"> </w:t>
      </w:r>
      <w:r w:rsidR="000977B6">
        <w:t xml:space="preserve">can </w:t>
      </w:r>
      <w:r w:rsidR="0021696B">
        <w:t>also</w:t>
      </w:r>
      <w:r w:rsidR="000977B6">
        <w:t xml:space="preserve"> provide food to those in need</w:t>
      </w:r>
      <w:r w:rsidR="002B75BC">
        <w:t xml:space="preserve">. This concept has implications for analytical functions as it requires </w:t>
      </w:r>
      <w:r w:rsidR="0035305C">
        <w:t xml:space="preserve">additional consideration of how such entities are to be included in the 2D Map </w:t>
      </w:r>
      <w:r w:rsidR="00712DF3">
        <w:t xml:space="preserve">and 3D Plot </w:t>
      </w:r>
      <w:r w:rsidR="0035305C">
        <w:t xml:space="preserve">(e.g., should </w:t>
      </w:r>
      <w:r w:rsidR="00415CED">
        <w:t xml:space="preserve">one or more </w:t>
      </w:r>
      <w:r w:rsidR="00712DF3">
        <w:t>new categor</w:t>
      </w:r>
      <w:r w:rsidR="00415CED">
        <w:t>ies</w:t>
      </w:r>
      <w:r w:rsidR="00712DF3">
        <w:t xml:space="preserve"> of food opportunities be incorporated?) and the Food Network (e.g., should </w:t>
      </w:r>
      <w:proofErr w:type="gramStart"/>
      <w:r w:rsidR="00712DF3">
        <w:t>additional</w:t>
      </w:r>
      <w:proofErr w:type="gramEnd"/>
      <w:r w:rsidR="00712DF3">
        <w:t xml:space="preserve"> set</w:t>
      </w:r>
      <w:r w:rsidR="00415CED">
        <w:t>s</w:t>
      </w:r>
      <w:r w:rsidR="00712DF3">
        <w:t xml:space="preserve"> of nodes be constructed for such opportunities that are not retail-based or other individuals?)</w:t>
      </w:r>
    </w:p>
    <w:p w14:paraId="7E8E204E" w14:textId="137718C6" w:rsidR="00E02ECA" w:rsidRDefault="00C3125D" w:rsidP="0025336A">
      <w:pPr>
        <w:spacing w:line="480" w:lineRule="auto"/>
        <w:ind w:firstLine="720"/>
      </w:pPr>
      <w:r>
        <w:t>The analytical approach to this dissertation could also be further expanded by going beyond basic quantification of the number of opportunities</w:t>
      </w:r>
      <w:r w:rsidR="00322109">
        <w:t xml:space="preserve">. To what extent can </w:t>
      </w:r>
      <w:r w:rsidR="002B4F73">
        <w:t>different indicators to measure access in a hybrid physical-virtual space be developed? Some potential indicators and pathways for research exploration were elaborated upon in Chapter 3</w:t>
      </w:r>
      <w:r w:rsidR="004B5EBA">
        <w:t xml:space="preserve">. Some questions remain: how can we calculate </w:t>
      </w:r>
      <w:r w:rsidR="001B0AF2">
        <w:t xml:space="preserve">potential access specific to each type of space? How could we </w:t>
      </w:r>
      <w:r w:rsidR="00142B27">
        <w:t xml:space="preserve">differently calculate access in relational space that provides a deeper understanding </w:t>
      </w:r>
      <w:r w:rsidR="00C93672">
        <w:t>beyond</w:t>
      </w:r>
      <w:r w:rsidR="00142B27">
        <w:t xml:space="preserve"> the current approach that measures the total number of n-</w:t>
      </w:r>
      <w:proofErr w:type="spellStart"/>
      <w:r w:rsidR="00142B27">
        <w:t>th</w:t>
      </w:r>
      <w:proofErr w:type="spellEnd"/>
      <w:r w:rsidR="00142B27">
        <w:t xml:space="preserve"> order opportunities via social networks and/or the additional number of opportunities that can potentially be accessed with ICT </w:t>
      </w:r>
      <w:r w:rsidR="00142B27">
        <w:lastRenderedPageBreak/>
        <w:t>resources and capabilities?</w:t>
      </w:r>
      <w:r w:rsidR="00C93672">
        <w:t xml:space="preserve"> Similarly, how can we </w:t>
      </w:r>
      <w:r w:rsidR="0082160E">
        <w:t>calculate access in mental space beyond queries that subset data?</w:t>
      </w:r>
    </w:p>
    <w:p w14:paraId="10FD59DF" w14:textId="4DCFE26B" w:rsidR="005F755E" w:rsidRDefault="007B5B56" w:rsidP="00B65914">
      <w:pPr>
        <w:spacing w:line="480" w:lineRule="auto"/>
        <w:ind w:firstLine="720"/>
      </w:pPr>
      <w:r>
        <w:t xml:space="preserve">Moreover, </w:t>
      </w:r>
      <w:r w:rsidR="00F056D0">
        <w:t>map overlays of contextual layers (e.g., block group socioeconomic and demographic characteristics)</w:t>
      </w:r>
      <w:r w:rsidR="00F11C23">
        <w:t xml:space="preserve"> that reveal </w:t>
      </w:r>
      <w:r w:rsidR="0027527F">
        <w:t>information about local area-based statistics</w:t>
      </w:r>
      <w:r w:rsidR="000C1F20">
        <w:t xml:space="preserve"> could extend beyond just visual purposes. </w:t>
      </w:r>
      <w:r w:rsidR="0027527F">
        <w:t>To expand on this relative space approach</w:t>
      </w:r>
      <w:r w:rsidR="00191544">
        <w:t xml:space="preserve">, </w:t>
      </w:r>
      <w:r w:rsidR="00695463">
        <w:t xml:space="preserve">additional functions could be developed to, for example, quantify and output the correlation between one or more </w:t>
      </w:r>
      <w:r w:rsidR="00B34C12">
        <w:t xml:space="preserve">area-based </w:t>
      </w:r>
      <w:r w:rsidR="00695463">
        <w:t>characteristics with the number of potential opportunities</w:t>
      </w:r>
      <w:r w:rsidR="00191544">
        <w:t>, and of different types,</w:t>
      </w:r>
      <w:r w:rsidR="00695463">
        <w:t xml:space="preserve"> in the area</w:t>
      </w:r>
      <w:r w:rsidR="00191544">
        <w:t xml:space="preserve">. </w:t>
      </w:r>
      <w:r w:rsidR="00216271">
        <w:t>In the first case study, an example was provided where</w:t>
      </w:r>
      <w:r w:rsidR="004F25AC">
        <w:t xml:space="preserve"> areas of low income in Knox County</w:t>
      </w:r>
      <w:r w:rsidR="004635CA">
        <w:t xml:space="preserve"> </w:t>
      </w:r>
      <w:r w:rsidR="00216271">
        <w:t>were visually discerned</w:t>
      </w:r>
      <w:r w:rsidR="00D6712F">
        <w:t>. S</w:t>
      </w:r>
      <w:r w:rsidR="00216271">
        <w:t xml:space="preserve">ubsequently, </w:t>
      </w:r>
      <w:r w:rsidR="00C4222F">
        <w:t>the total number of each store type in the view of 2D map panel</w:t>
      </w:r>
      <w:r w:rsidR="00D6712F">
        <w:t xml:space="preserve"> was quantified</w:t>
      </w:r>
      <w:r w:rsidR="0084724A">
        <w:t>.</w:t>
      </w:r>
      <w:r w:rsidR="0097356F">
        <w:t xml:space="preserve"> </w:t>
      </w:r>
      <w:r w:rsidR="00216271">
        <w:t>A</w:t>
      </w:r>
      <w:r w:rsidR="0097356F">
        <w:t xml:space="preserve"> simple function to calculate the correlation between </w:t>
      </w:r>
      <w:r w:rsidR="00A338FE">
        <w:t>median income</w:t>
      </w:r>
      <w:r w:rsidR="0044073F">
        <w:t xml:space="preserve"> (or any other area-based statistic)</w:t>
      </w:r>
      <w:r w:rsidR="00A338FE">
        <w:t xml:space="preserve"> and number of stores could be developed that would provide an </w:t>
      </w:r>
      <w:r w:rsidR="0084724A">
        <w:t xml:space="preserve">additional quantifiable </w:t>
      </w:r>
      <w:r w:rsidR="00A338FE">
        <w:t xml:space="preserve">indicator of the presence </w:t>
      </w:r>
      <w:r w:rsidR="00216271">
        <w:t>of specific store types</w:t>
      </w:r>
      <w:r w:rsidR="004F25AC">
        <w:t xml:space="preserve"> </w:t>
      </w:r>
      <w:r w:rsidR="0084724A">
        <w:t xml:space="preserve">in relation to </w:t>
      </w:r>
      <w:r w:rsidR="00981481">
        <w:t>the income level</w:t>
      </w:r>
      <w:r w:rsidR="0044073F">
        <w:t xml:space="preserve"> (or other demographic/socioeconomic characteristic</w:t>
      </w:r>
      <w:r w:rsidR="00981481">
        <w:t>.</w:t>
      </w:r>
      <w:r w:rsidR="0044073F">
        <w:t>)</w:t>
      </w:r>
      <w:r w:rsidR="00981481">
        <w:t xml:space="preserve"> </w:t>
      </w:r>
      <w:r w:rsidR="0011415A">
        <w:t xml:space="preserve">While not integrated in the proposed GIS due to a lack of publicly and easily available data, overlaying characteristics of the physical and social environment beyond the included Census variables in the GIS is also useful in understanding how individuals perceive their local environments and travel routes, and ultimately the ease to which they can reach destinations and activities or accessibility from a mental space approach. Future developments could additionally involve the integration of crime, noise, air quality, weather, and other conditions about the travel environment that people care about in deciding where they want to visit. Currently, most of these data are difficult to come by publicly, but not completely unimaginable, as </w:t>
      </w:r>
      <w:r w:rsidR="00E57B69">
        <w:t xml:space="preserve">major </w:t>
      </w:r>
      <w:r w:rsidR="0011415A">
        <w:t xml:space="preserve">companies </w:t>
      </w:r>
      <w:r w:rsidR="00E57B69">
        <w:t>including</w:t>
      </w:r>
      <w:r w:rsidR="0011415A">
        <w:t xml:space="preserve"> Google have already begun to incorporate emissions-friendly routing in their mapping platform and air quality and weather reporting in their weather app. Another example is crime </w:t>
      </w:r>
      <w:r w:rsidR="0011415A">
        <w:lastRenderedPageBreak/>
        <w:t xml:space="preserve">data which can inform where targeted policy interventions may be necessary to increase feelings of safety for people to reach destinations. Some people may willingly adopt longer routes to circumnavigate high-crime areas. Real-time weather and historical climate data can similarly be used to identify route segments in particular areas that experience worse natural events that people are likely to avoid (e.g., more thunderstorms). Emerging features in routing map platforms such as ‘green’ routes that suggest traveling on roads that reduce carbon emissions also exemplify the concept of mental accessibility in which some people may choose to travel longer durations to reach potential activities and destinations in turn for being more </w:t>
      </w:r>
      <w:r w:rsidR="00134FE5">
        <w:t>environmentally friendly</w:t>
      </w:r>
      <w:r w:rsidR="0011415A">
        <w:t>. Some people care about more than just travel time</w:t>
      </w:r>
      <w:r w:rsidR="00134FE5">
        <w:t xml:space="preserve"> and cost</w:t>
      </w:r>
      <w:r w:rsidR="0011415A">
        <w:t xml:space="preserve"> in deciding where to visit and carry out activities, and contextual information can help to qualitatively understand why people may visit such locations.</w:t>
      </w:r>
    </w:p>
    <w:p w14:paraId="2B08A27A" w14:textId="788B2E81" w:rsidR="00AF16C9" w:rsidRDefault="00AF16C9" w:rsidP="00B65914">
      <w:pPr>
        <w:spacing w:line="480" w:lineRule="auto"/>
        <w:ind w:firstLine="720"/>
      </w:pPr>
      <w:r>
        <w:t>One possible way of including how individuals consider the local environment could additionally involve the development of map annotation features</w:t>
      </w:r>
      <w:r w:rsidR="00120CAB">
        <w:t>. Including functions for individuals to highlight, color, label, draw</w:t>
      </w:r>
      <w:r w:rsidR="00763388">
        <w:t>,</w:t>
      </w:r>
      <w:r w:rsidR="0017327C">
        <w:t xml:space="preserve"> include graphic symbols,</w:t>
      </w:r>
      <w:r w:rsidR="00763388">
        <w:t xml:space="preserve"> and etc. could be one way to couple together existing mental mapping exercises in the qualitative GIS </w:t>
      </w:r>
      <w:r w:rsidR="0017327C">
        <w:t>realm with more traditional quantitative GIS approaches</w:t>
      </w:r>
      <w:r w:rsidR="004816C1">
        <w:t xml:space="preserve"> </w:t>
      </w:r>
      <w:r w:rsidR="004816C1">
        <w:fldChar w:fldCharType="begin"/>
      </w:r>
      <w:r w:rsidR="004816C1">
        <w:instrText xml:space="preserve"> ADDIN ZOTERO_ITEM CSL_CITATION {"citationID":"RIN3zNdM","properties":{"formattedCitation":"(Pavlovskaya, 2009)","plainCitation":"(Pavlovskaya, 2009)","noteIndex":0},"citationItems":[{"id":1963,"uris":["http://zotero.org/users/5090392/items/I3FASJ2B"],"itemData":{"id":1963,"type":"chapter","abstract":"Geographic Information Systems are an essential tool for analyzing and representing quantitative spatial data. Qualitative GIS explains the recent integration of qualitative research with Geographical Information Systems   With a detailed contextualising introduction, the text is organised in three sections:   Representation: examines how researchers are using GIS to create new types of representations; working with spatial data, maps, and othervisualizations to incorporate multiple meanings and to provide texture and context. Analysis: discusses the new techniques of analysis that are emerging at the margins between qualitative research and GIS, this in the wider context of a critical review of mixed-method</w:instrText>
      </w:r>
      <w:r w:rsidR="004816C1">
        <w:rPr>
          <w:rFonts w:hint="eastAsia"/>
        </w:rPr>
        <w:instrText xml:space="preserve">s in geographical research    Theory: questions how knowledge is produced, showing how ideas of </w:instrText>
      </w:r>
      <w:r w:rsidR="004816C1">
        <w:rPr>
          <w:rFonts w:hint="eastAsia"/>
        </w:rPr>
        <w:instrText>′</w:instrText>
      </w:r>
      <w:r w:rsidR="004816C1">
        <w:rPr>
          <w:rFonts w:hint="eastAsia"/>
        </w:rPr>
        <w:instrText>science</w:instrText>
      </w:r>
      <w:r w:rsidR="004816C1">
        <w:rPr>
          <w:rFonts w:hint="eastAsia"/>
        </w:rPr>
        <w:instrText>′</w:instrText>
      </w:r>
      <w:r w:rsidR="004816C1">
        <w:rPr>
          <w:rFonts w:hint="eastAsia"/>
        </w:rPr>
        <w:instrText xml:space="preserve"> and </w:instrText>
      </w:r>
      <w:r w:rsidR="004816C1">
        <w:rPr>
          <w:rFonts w:hint="eastAsia"/>
        </w:rPr>
        <w:instrText>′</w:instrText>
      </w:r>
      <w:r w:rsidR="004816C1">
        <w:rPr>
          <w:rFonts w:hint="eastAsia"/>
        </w:rPr>
        <w:instrText>truth</w:instrText>
      </w:r>
      <w:r w:rsidR="004816C1">
        <w:rPr>
          <w:rFonts w:hint="eastAsia"/>
        </w:rPr>
        <w:instrText>′</w:instrText>
      </w:r>
      <w:r w:rsidR="004816C1">
        <w:rPr>
          <w:rFonts w:hint="eastAsia"/>
        </w:rPr>
        <w:instrText xml:space="preserve"> inform research, and demonstrates how qualitative GIS can be used to interrogate discussions of power, community, and social action    Ma</w:instrText>
      </w:r>
      <w:r w:rsidR="004816C1">
        <w:instrText xml:space="preserve">king reference to representation, analysis, and theory throughout, the text shows how to frame questions, collect data, analyze results, and represent findings in a truly integrated way. An important addition to the mixed methods literature, Qualitative GIS will be the standard reference for upper-level students and researchers using qualitative methods and Geographic Information Systems.","container-title":"Qualitative GIS: A Mixed Methods Approach","event-place":"London","ISBN":"978-1-4462-4456-2","language":"en","note":"Google-Books-ID: vnAbJ8spyeYC","publisher":"SAGE","publisher-place":"London","source":"Google Books","title":"Non-Quantiative GIS","editor":[{"family":"Cope","given":"Meghan"},{"family":"Elwood","given":"Sarah"}],"author":[{"family":"Pavlovskaya","given":"Marianna"}],"issued":{"date-parts":[["2009",7,9]]}}}],"schema":"https://github.com/citation-style-language/schema/raw/master/csl-citation.json"} </w:instrText>
      </w:r>
      <w:r w:rsidR="004816C1">
        <w:fldChar w:fldCharType="separate"/>
      </w:r>
      <w:r w:rsidR="004816C1" w:rsidRPr="004816C1">
        <w:t>(Pavlovskaya, 2009)</w:t>
      </w:r>
      <w:r w:rsidR="004816C1">
        <w:fldChar w:fldCharType="end"/>
      </w:r>
      <w:r w:rsidR="0017327C">
        <w:t xml:space="preserve">. </w:t>
      </w:r>
      <w:r w:rsidR="00E01420">
        <w:t xml:space="preserve">The incorporation of additional interactive mapping features that are user-based </w:t>
      </w:r>
      <w:r w:rsidR="00324EF0">
        <w:t>also enables the creation of additional data for a</w:t>
      </w:r>
      <w:r w:rsidR="00D17D85">
        <w:t>spects such as perceived neighborhood</w:t>
      </w:r>
      <w:r w:rsidR="00630545">
        <w:t xml:space="preserve"> environment</w:t>
      </w:r>
      <w:r w:rsidR="00D17D85">
        <w:t xml:space="preserve"> and road safety</w:t>
      </w:r>
      <w:r w:rsidR="0088551F">
        <w:t xml:space="preserve"> which are more difficult to come across</w:t>
      </w:r>
      <w:r w:rsidR="00324EF0">
        <w:t>.</w:t>
      </w:r>
      <w:r w:rsidR="005F3F8F">
        <w:t xml:space="preserve"> </w:t>
      </w:r>
      <w:r w:rsidR="00EF5E3E">
        <w:t>For example, users could color-code road segments (e.g., red for will not travel, yellow for will travel if necessary, and green for will travel)</w:t>
      </w:r>
      <w:r w:rsidR="00F81406">
        <w:t>.</w:t>
      </w:r>
      <w:r w:rsidR="00B272EA">
        <w:t xml:space="preserve"> </w:t>
      </w:r>
      <w:r w:rsidR="00F81406">
        <w:t>T</w:t>
      </w:r>
      <w:r w:rsidR="00B272EA">
        <w:t xml:space="preserve">he </w:t>
      </w:r>
      <w:r w:rsidR="00F64C7A">
        <w:t>identification of potential opportunities in physical space that could be reached by individuals would only be based on the labelled yellow and green roads.</w:t>
      </w:r>
      <w:r w:rsidR="00324EF0">
        <w:t xml:space="preserve"> In turn, different stakeholders </w:t>
      </w:r>
      <w:r w:rsidR="005B19D8">
        <w:t xml:space="preserve">such as those who are not as well-versed with the </w:t>
      </w:r>
      <w:proofErr w:type="gramStart"/>
      <w:r w:rsidR="005B19D8">
        <w:t>particular nuances</w:t>
      </w:r>
      <w:proofErr w:type="gramEnd"/>
      <w:r w:rsidR="005B19D8">
        <w:t xml:space="preserve"> of GIS can still be involved </w:t>
      </w:r>
      <w:r w:rsidR="00047FB4">
        <w:t>and their opinions integrated</w:t>
      </w:r>
      <w:r w:rsidR="00DA3F90">
        <w:t xml:space="preserve"> to </w:t>
      </w:r>
      <w:r w:rsidR="00DA3F90">
        <w:lastRenderedPageBreak/>
        <w:t>help better understand how access for people may be hindered because of their perceptions of their local environment</w:t>
      </w:r>
      <w:r w:rsidR="00047FB4">
        <w:t xml:space="preserve">. In one respect, this </w:t>
      </w:r>
      <w:r w:rsidR="00264811">
        <w:t xml:space="preserve">potential expansion of </w:t>
      </w:r>
      <w:proofErr w:type="spellStart"/>
      <w:r w:rsidR="00264811">
        <w:t>geovisualization</w:t>
      </w:r>
      <w:proofErr w:type="spellEnd"/>
      <w:r w:rsidR="00264811">
        <w:t xml:space="preserve"> features to develop new data</w:t>
      </w:r>
      <w:r w:rsidR="00DD6478">
        <w:t xml:space="preserve"> </w:t>
      </w:r>
      <w:r w:rsidR="00047FB4">
        <w:t xml:space="preserve">can overcome </w:t>
      </w:r>
      <w:r w:rsidR="00FA0CFC">
        <w:t xml:space="preserve">some of </w:t>
      </w:r>
      <w:r w:rsidR="00047FB4">
        <w:t>the limitation</w:t>
      </w:r>
      <w:r w:rsidR="00DD6478">
        <w:t>s</w:t>
      </w:r>
      <w:r w:rsidR="00047FB4">
        <w:t xml:space="preserve"> of using online reviews that only reflect the perceptions of those who posted them</w:t>
      </w:r>
      <w:r w:rsidR="00F62335">
        <w:t xml:space="preserve"> and help to more accurately identify opportunities based on individual perceptions of the local environment</w:t>
      </w:r>
      <w:r w:rsidR="00FA0CFC">
        <w:t>.</w:t>
      </w:r>
    </w:p>
    <w:p w14:paraId="4F3053C7" w14:textId="7C8BC567" w:rsidR="007203D1" w:rsidRDefault="00043CE8" w:rsidP="00BA75AB">
      <w:pPr>
        <w:spacing w:line="480" w:lineRule="auto"/>
        <w:ind w:firstLine="720"/>
      </w:pPr>
      <w:r>
        <w:t>The</w:t>
      </w:r>
      <w:r w:rsidR="00A73347" w:rsidRPr="00EA5193">
        <w:t xml:space="preserve"> emergence o</w:t>
      </w:r>
      <w:r w:rsidR="00F53FA7" w:rsidRPr="00EA5193">
        <w:t>f non-traditional retailers like marketplaces in social media platforms and interactions online</w:t>
      </w:r>
      <w:r w:rsidR="00351269">
        <w:t xml:space="preserve"> </w:t>
      </w:r>
      <w:r w:rsidR="009B4E09">
        <w:t xml:space="preserve">can potentially provide additional insight into food access </w:t>
      </w:r>
      <w:r w:rsidR="00F03E15">
        <w:t>not currently captured in the literature. Online environments such as Facebook Marketplace</w:t>
      </w:r>
      <w:r w:rsidR="00702525">
        <w:t xml:space="preserve"> provide an additional source for people to procure food while </w:t>
      </w:r>
      <w:r w:rsidR="000E21B2">
        <w:t>social media websites</w:t>
      </w:r>
      <w:r w:rsidR="005B2A2F">
        <w:t xml:space="preserve"> can be a rich source of information to understand specific components </w:t>
      </w:r>
      <w:r w:rsidR="00317570">
        <w:t>of food procurement for different individuals</w:t>
      </w:r>
      <w:r w:rsidR="000E21B2">
        <w:t>, as demonstrated in the use of reviews from Google Maps</w:t>
      </w:r>
      <w:r w:rsidR="00317570">
        <w:t>.</w:t>
      </w:r>
      <w:r w:rsidR="00FF26A9">
        <w:t xml:space="preserve"> Relying upon reviews from a single source (Google Maps) </w:t>
      </w:r>
      <w:r w:rsidR="005F03FB">
        <w:t xml:space="preserve">could neglect the perceptions of those who do not use the platform as well as those who do not post reviews at all. Retrieving reviews from other platforms such as TripAdvisor and Yelp could potentially </w:t>
      </w:r>
      <w:r w:rsidR="00281B56">
        <w:t xml:space="preserve">provide a broader understanding of how people perceive food stores. Moreover, small-data approaches such as surveys and interviews </w:t>
      </w:r>
      <w:r w:rsidR="00D2602E">
        <w:t xml:space="preserve">to inquire upon how </w:t>
      </w:r>
      <w:proofErr w:type="gramStart"/>
      <w:r w:rsidR="00D2602E">
        <w:t>local residents</w:t>
      </w:r>
      <w:proofErr w:type="gramEnd"/>
      <w:r w:rsidR="00D2602E">
        <w:t xml:space="preserve"> may perceive the stores in the study area </w:t>
      </w:r>
      <w:r w:rsidR="00281B56">
        <w:t xml:space="preserve">are </w:t>
      </w:r>
      <w:r w:rsidR="00312600">
        <w:t>especially</w:t>
      </w:r>
      <w:r w:rsidR="00281B56">
        <w:t xml:space="preserve"> </w:t>
      </w:r>
      <w:r w:rsidR="00D2602E">
        <w:t>valuable to validate</w:t>
      </w:r>
      <w:r w:rsidR="00FF26A9">
        <w:t xml:space="preserve"> </w:t>
      </w:r>
      <w:r w:rsidR="00D2602E">
        <w:t xml:space="preserve">and/or refute the </w:t>
      </w:r>
      <w:r w:rsidR="00A819A6">
        <w:t xml:space="preserve">findings stemming from the aspect-based sentiment analysis of reviews used in this dissertation. </w:t>
      </w:r>
      <w:r w:rsidR="005611F4">
        <w:t>These sources of data also exist for other opportunities</w:t>
      </w:r>
      <w:r w:rsidR="00D45499">
        <w:t xml:space="preserve"> and should be further explored.</w:t>
      </w:r>
    </w:p>
    <w:p w14:paraId="51736A33" w14:textId="5DCB1E92" w:rsidR="00D020B3" w:rsidRDefault="00A51290" w:rsidP="00BA75AB">
      <w:pPr>
        <w:spacing w:line="480" w:lineRule="auto"/>
        <w:ind w:firstLine="720"/>
      </w:pPr>
      <w:r>
        <w:t>In the current iteration of the proposed GIS, t</w:t>
      </w:r>
      <w:r w:rsidR="00322C1C">
        <w:t xml:space="preserve">he integration of various data </w:t>
      </w:r>
      <w:r w:rsidR="002F2FFE">
        <w:t xml:space="preserve">and different visualization and analytical functions </w:t>
      </w:r>
      <w:r w:rsidR="00431CA0">
        <w:t xml:space="preserve">helps to </w:t>
      </w:r>
      <w:r w:rsidR="00322C1C">
        <w:t xml:space="preserve">illuminate upon </w:t>
      </w:r>
      <w:r w:rsidR="00431CA0">
        <w:t>many concepts in the proposed conceptual framework.</w:t>
      </w:r>
      <w:r w:rsidR="00564FB9">
        <w:t xml:space="preserve"> Specifically, availability from a relative space </w:t>
      </w:r>
      <w:r w:rsidR="00CE2592">
        <w:t>approach</w:t>
      </w:r>
      <w:r w:rsidR="00564FB9">
        <w:t xml:space="preserve"> is understood</w:t>
      </w:r>
      <w:r w:rsidR="00CC1C16">
        <w:t xml:space="preserve"> by assessing the</w:t>
      </w:r>
      <w:r w:rsidR="00F04BDE">
        <w:t xml:space="preserve"> opportunities in the surrounding environment of an individual at any point in their </w:t>
      </w:r>
      <w:r w:rsidR="00F04BDE">
        <w:lastRenderedPageBreak/>
        <w:t>trajectory throughout a day</w:t>
      </w:r>
      <w:r w:rsidR="00FB5295">
        <w:t xml:space="preserve"> with the</w:t>
      </w:r>
      <w:r w:rsidR="008001D9">
        <w:t xml:space="preserve"> zoom-in </w:t>
      </w:r>
      <w:r w:rsidR="00FB5295">
        <w:t>feature</w:t>
      </w:r>
      <w:r w:rsidR="008001D9">
        <w:t xml:space="preserve"> in the 2D Map when a point in the trajectory of an individual is clicked in the 3</w:t>
      </w:r>
      <w:r w:rsidR="00FB5295">
        <w:t>D Plot</w:t>
      </w:r>
      <w:r w:rsidR="00F04BDE">
        <w:t>.</w:t>
      </w:r>
      <w:r w:rsidR="00185A30">
        <w:t xml:space="preserve"> </w:t>
      </w:r>
      <w:r w:rsidR="007C07EC">
        <w:t>Including user queries on the t</w:t>
      </w:r>
      <w:r w:rsidR="007F2A8A">
        <w:t>ype of food stores helps to also capture individual preferences</w:t>
      </w:r>
      <w:r w:rsidR="00E56B7B">
        <w:t xml:space="preserve"> for the diversity of opportunities</w:t>
      </w:r>
      <w:r w:rsidR="007F2A8A">
        <w:t xml:space="preserve">, or a mental space approach to </w:t>
      </w:r>
      <w:r w:rsidR="00CE2592">
        <w:t xml:space="preserve">availability. The backbone of the </w:t>
      </w:r>
      <w:r w:rsidR="00A715FF">
        <w:t xml:space="preserve">backend function to determine access to opportunities </w:t>
      </w:r>
      <w:r w:rsidR="007C1ED5">
        <w:t xml:space="preserve">in physical space </w:t>
      </w:r>
      <w:r w:rsidR="00A715FF">
        <w:t xml:space="preserve">also necessarily requires the determination of the flexibility of individuals to visit different locations and areas over time, </w:t>
      </w:r>
      <w:r w:rsidR="007C1ED5">
        <w:t xml:space="preserve">and this captures a relative space approach to accessibility. </w:t>
      </w:r>
      <w:r w:rsidR="00E56B7B">
        <w:t>Recognizing</w:t>
      </w:r>
      <w:r w:rsidR="007C1ED5">
        <w:t xml:space="preserve"> the </w:t>
      </w:r>
      <w:r w:rsidR="00665658">
        <w:t>ability of individuals to use online services to reach opportunities</w:t>
      </w:r>
      <w:r w:rsidR="00EA6963">
        <w:t xml:space="preserve"> </w:t>
      </w:r>
      <w:r w:rsidR="00C66747">
        <w:t>as well as m</w:t>
      </w:r>
      <w:r w:rsidR="00EA6963">
        <w:t xml:space="preserve">odeling the social relationships between individuals </w:t>
      </w:r>
      <w:r w:rsidR="00C66747">
        <w:t xml:space="preserve">to identify opportunities based on social connections </w:t>
      </w:r>
      <w:r w:rsidR="00586413">
        <w:t xml:space="preserve">goes beyond and touches upon a relational space approach to accessibility. </w:t>
      </w:r>
      <w:r w:rsidR="00882ECA">
        <w:t xml:space="preserve">Determining which opportunities may be accessed </w:t>
      </w:r>
      <w:r w:rsidR="003F3880">
        <w:t xml:space="preserve">in space-time also involves calculating whether people have sufficient time to travel to and carry out activities </w:t>
      </w:r>
      <w:r w:rsidR="005C151A">
        <w:t>when stores are open, and this requires a relative space approach to accommodation. Moreover, people with differing physical abilities</w:t>
      </w:r>
      <w:r w:rsidR="00FB2ECB">
        <w:t xml:space="preserve"> may need</w:t>
      </w:r>
      <w:r w:rsidR="001C09E7">
        <w:t xml:space="preserve"> and desire</w:t>
      </w:r>
      <w:r w:rsidR="00FB2ECB">
        <w:t xml:space="preserve"> accommodations in the form of different physical infrastructure and this was included as </w:t>
      </w:r>
      <w:r w:rsidR="001C09E7">
        <w:t xml:space="preserve">user </w:t>
      </w:r>
      <w:r w:rsidR="00FB2ECB">
        <w:t xml:space="preserve">queries on </w:t>
      </w:r>
      <w:r w:rsidR="009E511E">
        <w:t>store characteristics (an absolute</w:t>
      </w:r>
      <w:r w:rsidR="001C09E7">
        <w:t xml:space="preserve"> and mental</w:t>
      </w:r>
      <w:r w:rsidR="009E511E">
        <w:t xml:space="preserve"> space approach to accommodation.)</w:t>
      </w:r>
      <w:r w:rsidR="00FB5295">
        <w:t xml:space="preserve"> </w:t>
      </w:r>
      <w:r w:rsidR="00A96244">
        <w:t xml:space="preserve">A mental space approach to accommodation was also </w:t>
      </w:r>
      <w:r w:rsidR="008624F2">
        <w:t>further explored in the GIS with the inclusion of user queries on the social infrastructure established by providers of opportunities, such as mask-wearing policies</w:t>
      </w:r>
      <w:r w:rsidR="005B0F62">
        <w:t xml:space="preserve">. </w:t>
      </w:r>
      <w:r w:rsidR="000B194E">
        <w:t xml:space="preserve">Recognizing that prices and wages may differ by area, </w:t>
      </w:r>
      <w:r w:rsidR="00DA0192">
        <w:t xml:space="preserve">map overlays of various socioeconomic characteristics by block-area as well as </w:t>
      </w:r>
      <w:r w:rsidR="00D66F43">
        <w:t xml:space="preserve">user queries on store </w:t>
      </w:r>
      <w:r w:rsidR="00DA0192">
        <w:t>price</w:t>
      </w:r>
      <w:r w:rsidR="00D66F43">
        <w:t xml:space="preserve"> helps to include a relative and mental space approach to affordability.</w:t>
      </w:r>
      <w:r w:rsidR="00991EBA">
        <w:t xml:space="preserve"> People not only have different perceptions of the cost of opportunities</w:t>
      </w:r>
      <w:r w:rsidR="003F00DF">
        <w:t xml:space="preserve"> based on their earnings</w:t>
      </w:r>
      <w:r w:rsidR="00991EBA">
        <w:t xml:space="preserve"> but may also require specific payment options such as SNAP benefits and mobile wallets, and this was </w:t>
      </w:r>
      <w:r w:rsidR="003F00DF">
        <w:t xml:space="preserve">also included as user queries to reflect these concepts related to a relational space approach to affordability. Lastly, </w:t>
      </w:r>
      <w:r w:rsidR="004C5FA8">
        <w:t xml:space="preserve">the inclusion of reviews to identify latent topics and their </w:t>
      </w:r>
      <w:r w:rsidR="004C5FA8">
        <w:lastRenderedPageBreak/>
        <w:t xml:space="preserve">associated sentiments by online reviewers </w:t>
      </w:r>
      <w:r w:rsidR="00B96C26">
        <w:t>as well as store atmospheric features (e.g., family-friendly, LGBTQ+ friendly)</w:t>
      </w:r>
      <w:r w:rsidR="0086317C">
        <w:t xml:space="preserve"> as store attributes that can be queried by users</w:t>
      </w:r>
      <w:r w:rsidR="00B96C26">
        <w:t xml:space="preserve"> relates to </w:t>
      </w:r>
      <w:r w:rsidR="0086317C">
        <w:t>both a relational and mental space approach to acceptability.</w:t>
      </w:r>
      <w:r w:rsidR="00917F9F">
        <w:t xml:space="preserve"> Overall, the proposed GIS captures </w:t>
      </w:r>
      <w:proofErr w:type="gramStart"/>
      <w:r w:rsidR="00917F9F">
        <w:t>a number of</w:t>
      </w:r>
      <w:proofErr w:type="gramEnd"/>
      <w:r w:rsidR="00917F9F">
        <w:t xml:space="preserve"> concepts </w:t>
      </w:r>
      <w:r w:rsidR="00E30DD3">
        <w:t>than span the five dimensions and the four spatial perspectives which can help to better inform the opportunities that can potentially be accessed by people.</w:t>
      </w:r>
      <w:r w:rsidR="00705609">
        <w:t xml:space="preserve"> </w:t>
      </w:r>
    </w:p>
    <w:p w14:paraId="726319FF" w14:textId="3C0EC0DA" w:rsidR="00935C78" w:rsidRDefault="00543B37" w:rsidP="00156BEA">
      <w:pPr>
        <w:spacing w:line="480" w:lineRule="auto"/>
        <w:ind w:firstLine="720"/>
      </w:pPr>
      <w:r>
        <w:t>Still</w:t>
      </w:r>
      <w:r w:rsidR="0086317C">
        <w:t xml:space="preserve">, </w:t>
      </w:r>
      <w:commentRangeStart w:id="169"/>
      <w:commentRangeStart w:id="170"/>
      <w:r w:rsidR="009103E2">
        <w:t xml:space="preserve">the proposed GIS only demonstrates the applicability of </w:t>
      </w:r>
      <w:r w:rsidR="00A47CF6">
        <w:t>some but not all concepts in the proposed conceptual framework.</w:t>
      </w:r>
      <w:commentRangeEnd w:id="169"/>
      <w:r w:rsidR="00AB18E3">
        <w:rPr>
          <w:rStyle w:val="CommentReference"/>
        </w:rPr>
        <w:commentReference w:id="169"/>
      </w:r>
      <w:commentRangeEnd w:id="170"/>
      <w:r w:rsidR="00C30A80">
        <w:rPr>
          <w:rStyle w:val="CommentReference"/>
        </w:rPr>
        <w:commentReference w:id="170"/>
      </w:r>
      <w:r w:rsidR="00A47CF6">
        <w:t xml:space="preserve"> This is not to say that the concepts are invalid, but that additional work could </w:t>
      </w:r>
      <w:r w:rsidR="00ED5DAC">
        <w:t>seek to include, for example, competition effects where people potentially visiting the same stores could be competing for the same food items</w:t>
      </w:r>
      <w:r w:rsidR="00DD2D71">
        <w:t xml:space="preserve"> and thus reduce the available supply for other individuals</w:t>
      </w:r>
      <w:r w:rsidR="00B22B44">
        <w:t xml:space="preserve"> (i.e., </w:t>
      </w:r>
      <w:r w:rsidR="008F79B9">
        <w:t>a re</w:t>
      </w:r>
      <w:r w:rsidR="00885E9E">
        <w:t>lational space approach to availability</w:t>
      </w:r>
      <w:r w:rsidR="00393C2C">
        <w:t>)</w:t>
      </w:r>
      <w:r w:rsidR="00DD2D71">
        <w:t>.</w:t>
      </w:r>
      <w:r w:rsidR="00393C2C">
        <w:t xml:space="preserve"> Similarly, the current GIS approach only considers opportunities as stores and not the </w:t>
      </w:r>
      <w:r w:rsidR="007975F6">
        <w:t>supply of food with</w:t>
      </w:r>
      <w:r w:rsidR="00B01E29">
        <w:t>in</w:t>
      </w:r>
      <w:r w:rsidR="007975F6">
        <w:t xml:space="preserve"> these stores</w:t>
      </w:r>
      <w:r w:rsidR="00F34AC9">
        <w:t xml:space="preserve"> </w:t>
      </w:r>
      <w:r w:rsidR="00783E21">
        <w:t xml:space="preserve">that meet the needs of people, </w:t>
      </w:r>
      <w:r w:rsidR="00F34AC9">
        <w:t xml:space="preserve">which could also fluctuate due to </w:t>
      </w:r>
      <w:proofErr w:type="gramStart"/>
      <w:r w:rsidR="00F34AC9">
        <w:t>a number of</w:t>
      </w:r>
      <w:proofErr w:type="gramEnd"/>
      <w:r w:rsidR="00F34AC9">
        <w:t xml:space="preserve"> reasons as articulated in </w:t>
      </w:r>
      <w:r w:rsidR="003568B3">
        <w:t xml:space="preserve">the third section, such as seasonality and labor shortages. Further work could elaborate upon this relative </w:t>
      </w:r>
      <w:r w:rsidR="00783E21">
        <w:t xml:space="preserve">and mental </w:t>
      </w:r>
      <w:r w:rsidR="003568B3">
        <w:t>space approach to availability by including</w:t>
      </w:r>
      <w:r w:rsidR="00F775C6">
        <w:t xml:space="preserve">, if possible, </w:t>
      </w:r>
      <w:r w:rsidR="0044617C">
        <w:t xml:space="preserve">real-time </w:t>
      </w:r>
      <w:r w:rsidR="00F775C6">
        <w:t>store inventory</w:t>
      </w:r>
      <w:r w:rsidR="0044617C">
        <w:t xml:space="preserve"> in relation to the preferences </w:t>
      </w:r>
      <w:r w:rsidR="00753693">
        <w:t xml:space="preserve">for specific food items </w:t>
      </w:r>
      <w:r w:rsidR="0044617C">
        <w:t>by ind</w:t>
      </w:r>
      <w:r w:rsidR="00753693">
        <w:t>ividuals</w:t>
      </w:r>
      <w:r w:rsidR="00F775C6">
        <w:t>.</w:t>
      </w:r>
      <w:r w:rsidR="003E184E">
        <w:t xml:space="preserve"> </w:t>
      </w:r>
      <w:r w:rsidR="00E77D33">
        <w:t>And as discussed earlier, w</w:t>
      </w:r>
      <w:r w:rsidR="00C60F16">
        <w:t>ith regards to the determination of accessibility from a</w:t>
      </w:r>
      <w:r w:rsidR="0022538B">
        <w:t xml:space="preserve"> relational space perspective, additional work could be carried out to identif</w:t>
      </w:r>
      <w:r w:rsidR="00935C78">
        <w:t>y</w:t>
      </w:r>
      <w:r w:rsidR="00AD5ACD">
        <w:t xml:space="preserve"> opportunities offered beyond</w:t>
      </w:r>
      <w:r w:rsidR="00E77D33">
        <w:t xml:space="preserve"> </w:t>
      </w:r>
      <w:r w:rsidR="00E76C2A">
        <w:t xml:space="preserve">those in the retail space, if applicable. For example, in the context of food access, community-based organizations and online communities can also provide those in need with food. </w:t>
      </w:r>
      <w:r w:rsidR="001043F7">
        <w:t>The</w:t>
      </w:r>
      <w:r w:rsidR="000E41E3">
        <w:t xml:space="preserve"> emergence of virtual</w:t>
      </w:r>
      <w:r w:rsidR="00F60F0F">
        <w:t xml:space="preserve"> only</w:t>
      </w:r>
      <w:r w:rsidR="000E41E3">
        <w:t xml:space="preserve"> services</w:t>
      </w:r>
      <w:r w:rsidR="00FF1BCA">
        <w:t xml:space="preserve">, such as </w:t>
      </w:r>
      <w:r w:rsidR="00F60F0F">
        <w:t xml:space="preserve">those that are </w:t>
      </w:r>
      <w:r w:rsidR="00FF1BCA">
        <w:t xml:space="preserve">subscription-based </w:t>
      </w:r>
      <w:r w:rsidR="002D2705">
        <w:t>(e.g., Misfits Market</w:t>
      </w:r>
      <w:r w:rsidR="00184008">
        <w:t>, HelloFresh</w:t>
      </w:r>
      <w:r w:rsidR="002D2705">
        <w:t>)</w:t>
      </w:r>
      <w:r w:rsidR="00184008">
        <w:t xml:space="preserve"> </w:t>
      </w:r>
      <w:r w:rsidR="00D1074C">
        <w:t>may also be used by a small</w:t>
      </w:r>
      <w:r w:rsidR="001043F7">
        <w:t xml:space="preserve"> proportion of the population. Similarly, </w:t>
      </w:r>
      <w:r w:rsidR="00A33332">
        <w:t xml:space="preserve">a relational space approach to affordability can both be extended further. </w:t>
      </w:r>
      <w:r w:rsidR="001B0756">
        <w:t xml:space="preserve">How individuals navigate virtual space to reduce costs </w:t>
      </w:r>
      <w:r w:rsidR="00085BB9">
        <w:t xml:space="preserve">(e.g., price comparisons or online couponing) </w:t>
      </w:r>
      <w:r w:rsidR="00D44B81">
        <w:t xml:space="preserve">is yet to be explored </w:t>
      </w:r>
      <w:r w:rsidR="00D44B81">
        <w:lastRenderedPageBreak/>
        <w:t>in the current iteration of the GIS.</w:t>
      </w:r>
      <w:r w:rsidR="001B3C8E">
        <w:t xml:space="preserve"> </w:t>
      </w:r>
      <w:r w:rsidR="008D7812">
        <w:t xml:space="preserve">More detailed information about pricing in stores and online </w:t>
      </w:r>
      <w:r w:rsidR="00531794">
        <w:t xml:space="preserve">as well as individual behaviors related to affordability </w:t>
      </w:r>
      <w:r w:rsidR="008D7812">
        <w:t xml:space="preserve">would be necessary </w:t>
      </w:r>
      <w:r w:rsidR="00531794">
        <w:t>to better understand how people may make it more possible to afford the services and resources they need.</w:t>
      </w:r>
      <w:r w:rsidR="00CD4B22">
        <w:t xml:space="preserve"> Overall, the GIS </w:t>
      </w:r>
      <w:r w:rsidR="001C3094">
        <w:t xml:space="preserve">attempts to reconcile </w:t>
      </w:r>
      <w:proofErr w:type="gramStart"/>
      <w:r w:rsidR="001C3094">
        <w:t>a number of</w:t>
      </w:r>
      <w:proofErr w:type="gramEnd"/>
      <w:r w:rsidR="001C3094">
        <w:t xml:space="preserve"> perspectives and </w:t>
      </w:r>
      <w:r w:rsidR="0031674C">
        <w:t xml:space="preserve">account for a number of dimensions important to what people consider to be important in </w:t>
      </w:r>
      <w:r w:rsidR="00C30A80">
        <w:t>their ability to obtain the opportunities they desire.</w:t>
      </w:r>
    </w:p>
    <w:p w14:paraId="34889E78" w14:textId="465307FF" w:rsidR="00EC36AE" w:rsidRDefault="001F00A1" w:rsidP="00BC1A53">
      <w:pPr>
        <w:spacing w:line="480" w:lineRule="auto"/>
        <w:ind w:firstLine="720"/>
      </w:pPr>
      <w:r>
        <w:t xml:space="preserve">Altogether, a </w:t>
      </w:r>
      <w:proofErr w:type="spellStart"/>
      <w:r>
        <w:t>multisp</w:t>
      </w:r>
      <w:r w:rsidR="00786050">
        <w:t>ace</w:t>
      </w:r>
      <w:proofErr w:type="spellEnd"/>
      <w:r w:rsidR="00786050">
        <w:t xml:space="preserve"> multidimensional approach </w:t>
      </w:r>
      <w:r w:rsidR="00907FB7">
        <w:t xml:space="preserve">to access </w:t>
      </w:r>
      <w:r w:rsidR="00E84326">
        <w:t>suggests</w:t>
      </w:r>
      <w:r w:rsidR="00543B37">
        <w:t xml:space="preserve"> acknowledging and </w:t>
      </w:r>
      <w:r w:rsidR="00317679">
        <w:t xml:space="preserve">explicitly including </w:t>
      </w:r>
      <w:r w:rsidR="00765588">
        <w:t xml:space="preserve">local context, </w:t>
      </w:r>
      <w:r w:rsidR="00317679">
        <w:t>social ties an</w:t>
      </w:r>
      <w:r w:rsidR="00765588">
        <w:t xml:space="preserve">d </w:t>
      </w:r>
      <w:r w:rsidR="00317679">
        <w:t>virtual relations</w:t>
      </w:r>
      <w:r w:rsidR="00765588">
        <w:t>, and mental perceptions</w:t>
      </w:r>
      <w:r w:rsidR="00317679">
        <w:t xml:space="preserve"> that can </w:t>
      </w:r>
      <w:r w:rsidR="00765588">
        <w:t xml:space="preserve">help </w:t>
      </w:r>
      <w:r w:rsidR="00317679">
        <w:t>ameliorate access to opportunities not captured in existing approaches.</w:t>
      </w:r>
      <w:r w:rsidR="00E84326">
        <w:t xml:space="preserve"> </w:t>
      </w:r>
      <w:r w:rsidR="00157C54">
        <w:t xml:space="preserve">To this end, </w:t>
      </w:r>
      <w:r w:rsidR="00A02B73">
        <w:t>our approach</w:t>
      </w:r>
      <w:r w:rsidR="00157C54">
        <w:t xml:space="preserve"> illuminates upon how researchers and other people involved in </w:t>
      </w:r>
      <w:r w:rsidR="009964F0">
        <w:t>devising policy</w:t>
      </w:r>
      <w:r w:rsidR="00157C54">
        <w:t xml:space="preserve"> for equitable access need to look beyond </w:t>
      </w:r>
      <w:r w:rsidR="00A02B73">
        <w:t xml:space="preserve">accessibility from </w:t>
      </w:r>
      <w:r w:rsidR="00157C54">
        <w:t xml:space="preserve">a simplistic absolute space perspective and the growing shift towards relative space approach. </w:t>
      </w:r>
      <w:r w:rsidR="00CE32F2">
        <w:t>As demonstrated in the case studies, w</w:t>
      </w:r>
      <w:r w:rsidR="00157C54">
        <w:t xml:space="preserve">e could seriously overlook and neglect other opportunities that are not necessarily rooted in physical space and based on physical proximity </w:t>
      </w:r>
      <w:r w:rsidR="00A02B73">
        <w:t xml:space="preserve">without a </w:t>
      </w:r>
      <w:proofErr w:type="spellStart"/>
      <w:r w:rsidR="00A02B73">
        <w:t>multispace</w:t>
      </w:r>
      <w:proofErr w:type="spellEnd"/>
      <w:r w:rsidR="00A02B73">
        <w:t xml:space="preserve"> multidimensional space approach</w:t>
      </w:r>
      <w:r w:rsidR="00157C54">
        <w:t>.</w:t>
      </w:r>
      <w:r w:rsidR="00BC1A53">
        <w:t xml:space="preserve"> </w:t>
      </w:r>
      <w:r w:rsidR="00B05210">
        <w:t xml:space="preserve">A </w:t>
      </w:r>
      <w:proofErr w:type="spellStart"/>
      <w:r w:rsidR="00B05210">
        <w:t>multispace</w:t>
      </w:r>
      <w:proofErr w:type="spellEnd"/>
      <w:r w:rsidR="00B05210">
        <w:t xml:space="preserve"> perspective i</w:t>
      </w:r>
      <w:r w:rsidR="00A4634A">
        <w:t>mplores</w:t>
      </w:r>
      <w:r w:rsidR="00B05210">
        <w:t xml:space="preserve"> us to ask </w:t>
      </w:r>
      <w:r w:rsidR="00697DDF">
        <w:t xml:space="preserve">not just where opportunities are located but also what is around us and how does that affect </w:t>
      </w:r>
      <w:r w:rsidR="002B43C7">
        <w:t>our ability to obtain the opportunities we desire? Additionally, what is related to us and how do our relationships to other individuals and entities potentially contribute to improve</w:t>
      </w:r>
      <w:r w:rsidR="00851303">
        <w:t>d</w:t>
      </w:r>
      <w:r w:rsidR="002B43C7">
        <w:t xml:space="preserve"> access </w:t>
      </w:r>
      <w:r w:rsidR="002C3B2C">
        <w:t>despite</w:t>
      </w:r>
      <w:r w:rsidR="002B43C7">
        <w:t xml:space="preserve"> our own limitations? </w:t>
      </w:r>
      <w:proofErr w:type="gramStart"/>
      <w:r w:rsidR="002C3B2C">
        <w:t>And,</w:t>
      </w:r>
      <w:proofErr w:type="gramEnd"/>
      <w:r w:rsidR="002C3B2C">
        <w:t xml:space="preserve"> what aspects of opportunities and their providers do we think and care about? </w:t>
      </w:r>
      <w:r w:rsidR="007E653D">
        <w:t xml:space="preserve">The causal factors </w:t>
      </w:r>
      <w:r w:rsidR="00EC495D">
        <w:t xml:space="preserve">of access are numerous and </w:t>
      </w:r>
      <w:r w:rsidR="00555862">
        <w:t>acknowledging</w:t>
      </w:r>
      <w:r w:rsidR="0015326F">
        <w:t xml:space="preserve"> how space </w:t>
      </w:r>
      <w:r w:rsidR="00555862">
        <w:t>can be</w:t>
      </w:r>
      <w:r w:rsidR="0015326F">
        <w:t xml:space="preserve"> conceptualized </w:t>
      </w:r>
      <w:r w:rsidR="00555862">
        <w:t xml:space="preserve">in multiple ways </w:t>
      </w:r>
      <w:r w:rsidR="00180EC6">
        <w:t xml:space="preserve">to capture the human experience </w:t>
      </w:r>
      <w:r w:rsidR="0015326F">
        <w:t>can provide a deeper and more nuanced</w:t>
      </w:r>
      <w:r w:rsidR="00583981">
        <w:t xml:space="preserve"> </w:t>
      </w:r>
      <w:r w:rsidR="00555862">
        <w:t>understanding into these different factors/dimensions.</w:t>
      </w:r>
      <w:r w:rsidR="002C3B2C">
        <w:t xml:space="preserve"> </w:t>
      </w:r>
      <w:r w:rsidR="00EC1ECB">
        <w:t xml:space="preserve">This thinking needs to be included in </w:t>
      </w:r>
      <w:r w:rsidR="00E828A3">
        <w:t>future developments of access measures</w:t>
      </w:r>
      <w:r w:rsidR="00C7727E">
        <w:t xml:space="preserve">, including those that are </w:t>
      </w:r>
      <w:r w:rsidR="00A20F3F">
        <w:t xml:space="preserve">and are not </w:t>
      </w:r>
      <w:r w:rsidR="00C7727E">
        <w:t xml:space="preserve">GIS-based. </w:t>
      </w:r>
      <w:r w:rsidR="00D72CE6">
        <w:t>Ultimately, th</w:t>
      </w:r>
      <w:r w:rsidR="00AB7E27">
        <w:t>e</w:t>
      </w:r>
      <w:r w:rsidR="00D72CE6">
        <w:t xml:space="preserve"> hope is</w:t>
      </w:r>
      <w:r w:rsidR="00AB7E27">
        <w:t xml:space="preserve"> that this </w:t>
      </w:r>
      <w:r w:rsidR="00D72CE6">
        <w:lastRenderedPageBreak/>
        <w:t xml:space="preserve">dissertation </w:t>
      </w:r>
      <w:r w:rsidR="00AB7E27">
        <w:t xml:space="preserve">encourages more human-centric and integrated research that can also advance </w:t>
      </w:r>
      <w:r w:rsidR="00966A8D">
        <w:t xml:space="preserve">understanding of the dimensions important to shaping the ability of people to meet their needs as well as </w:t>
      </w:r>
      <w:r w:rsidR="00AB7E27">
        <w:t>existing methods and techniques to understand the inequities in access</w:t>
      </w:r>
      <w:r w:rsidR="00D72CE6">
        <w:t>.</w:t>
      </w:r>
    </w:p>
    <w:p w14:paraId="44B921F1" w14:textId="77777777" w:rsidR="00FA3584" w:rsidRDefault="00FA3584">
      <w:pPr>
        <w:rPr>
          <w:rFonts w:eastAsiaTheme="majorEastAsia"/>
          <w:b/>
          <w:bCs/>
          <w:sz w:val="32"/>
          <w:szCs w:val="32"/>
        </w:rPr>
      </w:pPr>
      <w:r>
        <w:rPr>
          <w:b/>
          <w:bCs/>
        </w:rPr>
        <w:br w:type="page"/>
      </w:r>
    </w:p>
    <w:p w14:paraId="3180C31D" w14:textId="55449FF3" w:rsidR="00AF290D" w:rsidRPr="003B51B6" w:rsidRDefault="00AF290D" w:rsidP="000072AE">
      <w:pPr>
        <w:pStyle w:val="Heading1"/>
        <w:spacing w:after="240" w:line="240" w:lineRule="auto"/>
        <w:jc w:val="center"/>
        <w:rPr>
          <w:rFonts w:ascii="Times New Roman" w:hAnsi="Times New Roman" w:cs="Times New Roman"/>
          <w:b/>
          <w:bCs/>
          <w:color w:val="auto"/>
        </w:rPr>
      </w:pPr>
      <w:bookmarkStart w:id="171" w:name="_Toc114258069"/>
      <w:r w:rsidRPr="003B51B6">
        <w:rPr>
          <w:rFonts w:ascii="Times New Roman" w:hAnsi="Times New Roman" w:cs="Times New Roman"/>
          <w:b/>
          <w:bCs/>
          <w:color w:val="auto"/>
        </w:rPr>
        <w:lastRenderedPageBreak/>
        <w:t>R</w:t>
      </w:r>
      <w:r w:rsidR="003B51B6">
        <w:rPr>
          <w:rFonts w:ascii="Times New Roman" w:hAnsi="Times New Roman" w:cs="Times New Roman"/>
          <w:b/>
          <w:bCs/>
          <w:color w:val="auto"/>
        </w:rPr>
        <w:t>EFERENCES</w:t>
      </w:r>
      <w:bookmarkEnd w:id="171"/>
    </w:p>
    <w:p w14:paraId="255554BF" w14:textId="77777777" w:rsidR="00872B22" w:rsidRDefault="00AA5C98" w:rsidP="00A20F3F">
      <w:pPr>
        <w:pStyle w:val="Bibliography"/>
        <w:spacing w:line="240" w:lineRule="auto"/>
      </w:pPr>
      <w:r>
        <w:rPr>
          <w:b/>
          <w:bCs/>
        </w:rPr>
        <w:fldChar w:fldCharType="begin"/>
      </w:r>
      <w:r w:rsidR="00726A03">
        <w:rPr>
          <w:b/>
          <w:bCs/>
        </w:rPr>
        <w:instrText xml:space="preserve"> ADDIN ZOTERO_BIBL {"uncited":[],"omitted":[],"custom":[]} CSL_BIBLIOGRAPHY </w:instrText>
      </w:r>
      <w:r>
        <w:rPr>
          <w:b/>
          <w:bCs/>
        </w:rPr>
        <w:fldChar w:fldCharType="separate"/>
      </w:r>
      <w:r w:rsidR="00872B22">
        <w:t xml:space="preserve">Afradi, K., &amp; Nourian, F. (2020). Understanding ICT’s impacts on urban spaces: A qualitative content analysis of literature. </w:t>
      </w:r>
      <w:r w:rsidR="00872B22">
        <w:rPr>
          <w:i/>
          <w:iCs/>
        </w:rPr>
        <w:t>GeoJournal</w:t>
      </w:r>
      <w:r w:rsidR="00872B22">
        <w:t>. https://doi.org/10.1007/s10708-020-10277-2</w:t>
      </w:r>
    </w:p>
    <w:p w14:paraId="55A0E805" w14:textId="77777777" w:rsidR="00872B22" w:rsidRDefault="00872B22" w:rsidP="00A20F3F">
      <w:pPr>
        <w:pStyle w:val="Bibliography"/>
        <w:spacing w:line="240" w:lineRule="auto"/>
      </w:pPr>
      <w:r>
        <w:t xml:space="preserve">Agnew, J. (2011). Space and Place. In D. N. Livingstone (Ed.), </w:t>
      </w:r>
      <w:r>
        <w:rPr>
          <w:i/>
          <w:iCs/>
        </w:rPr>
        <w:t>The SAGE Handbook of Geographical Knowledge</w:t>
      </w:r>
      <w:r>
        <w:t>. Sage. https://www.geog.ucla.edu/sites/default/files/users/jagnew/416.pdf</w:t>
      </w:r>
    </w:p>
    <w:p w14:paraId="18F1F058" w14:textId="77777777" w:rsidR="00872B22" w:rsidRDefault="00872B22" w:rsidP="00A20F3F">
      <w:pPr>
        <w:pStyle w:val="Bibliography"/>
        <w:spacing w:line="240" w:lineRule="auto"/>
      </w:pPr>
      <w:r>
        <w:t xml:space="preserve">Alexander, M., &amp; Massaro, V. A. (2020). School deserts: Visualizing the death of the neighborhood school. </w:t>
      </w:r>
      <w:r>
        <w:rPr>
          <w:i/>
          <w:iCs/>
        </w:rPr>
        <w:t>Policy Futures in Education</w:t>
      </w:r>
      <w:r>
        <w:t xml:space="preserve">, </w:t>
      </w:r>
      <w:r>
        <w:rPr>
          <w:i/>
          <w:iCs/>
        </w:rPr>
        <w:t>18</w:t>
      </w:r>
      <w:r>
        <w:t>(6), 787–805. https://doi.org/10.1177/1478210320951063</w:t>
      </w:r>
    </w:p>
    <w:p w14:paraId="149E225C" w14:textId="77777777" w:rsidR="00872B22" w:rsidRDefault="00872B22" w:rsidP="00A20F3F">
      <w:pPr>
        <w:pStyle w:val="Bibliography"/>
        <w:spacing w:line="240" w:lineRule="auto"/>
      </w:pPr>
      <w:r>
        <w:t xml:space="preserve">Alford-Teaster, J., Wang, F., Tosteson, A. N. A., &amp; Onega, T. (2021). Incorporating broadband durability in measuring geographic access to health care in the era of telehealth: A case example of the 2-step virtual catchment area (2SVCA) Method. </w:t>
      </w:r>
      <w:r>
        <w:rPr>
          <w:i/>
          <w:iCs/>
        </w:rPr>
        <w:t>Journal of the American Medical Informatics Association</w:t>
      </w:r>
      <w:r>
        <w:t xml:space="preserve">, </w:t>
      </w:r>
      <w:r>
        <w:rPr>
          <w:i/>
          <w:iCs/>
        </w:rPr>
        <w:t>28</w:t>
      </w:r>
      <w:r>
        <w:t>(11), 2526–2530. https://doi.org/10.1093/jamia/ocab149</w:t>
      </w:r>
    </w:p>
    <w:p w14:paraId="1198D45A" w14:textId="77777777" w:rsidR="00872B22" w:rsidRDefault="00872B22" w:rsidP="00A20F3F">
      <w:pPr>
        <w:pStyle w:val="Bibliography"/>
        <w:spacing w:line="240" w:lineRule="auto"/>
      </w:pPr>
      <w:r>
        <w:t xml:space="preserve">Andris, C. (2016). Integrating social network data into GISystems. </w:t>
      </w:r>
      <w:r>
        <w:rPr>
          <w:i/>
          <w:iCs/>
        </w:rPr>
        <w:t>International Journal of Geographical Information Science</w:t>
      </w:r>
      <w:r>
        <w:t>, 1–23. https://doi.org/10.1080/13658816.2016.1153103</w:t>
      </w:r>
    </w:p>
    <w:p w14:paraId="2F174BA0" w14:textId="77777777" w:rsidR="00872B22" w:rsidRDefault="00872B22" w:rsidP="00A20F3F">
      <w:pPr>
        <w:pStyle w:val="Bibliography"/>
        <w:spacing w:line="240" w:lineRule="auto"/>
      </w:pPr>
      <w:r>
        <w:t xml:space="preserve">Anekwe, T. D., &amp; Zeballos, E. (2019). </w:t>
      </w:r>
      <w:r>
        <w:rPr>
          <w:i/>
          <w:iCs/>
        </w:rPr>
        <w:t>Food-Related Time Use: Changes and Demographic Differences</w:t>
      </w:r>
      <w:r>
        <w:t xml:space="preserve"> (p. 69). https://www.ers.usda.gov/webdocs/publications/95399/eib-213.pdf?v=3329.2</w:t>
      </w:r>
    </w:p>
    <w:p w14:paraId="2BBD052E" w14:textId="77777777" w:rsidR="00872B22" w:rsidRDefault="00872B22" w:rsidP="00A20F3F">
      <w:pPr>
        <w:pStyle w:val="Bibliography"/>
        <w:spacing w:line="240" w:lineRule="auto"/>
      </w:pPr>
      <w:r>
        <w:t xml:space="preserve">Apparicio, P., Abdelmajid, M., Riva, M., &amp; Shearmur, R. (2008). Comparing alternative approaches to measuring the geographical accessibility of urban health services: Distance types and aggregation-error issues. </w:t>
      </w:r>
      <w:r>
        <w:rPr>
          <w:i/>
          <w:iCs/>
        </w:rPr>
        <w:t>International Journal of Health Geographics</w:t>
      </w:r>
      <w:r>
        <w:t xml:space="preserve">, </w:t>
      </w:r>
      <w:r>
        <w:rPr>
          <w:i/>
          <w:iCs/>
        </w:rPr>
        <w:t>7</w:t>
      </w:r>
      <w:r>
        <w:t>(1), 7. https://doi.org/10.1186/1476-072X-7-7</w:t>
      </w:r>
    </w:p>
    <w:p w14:paraId="0D7C7734" w14:textId="77777777" w:rsidR="00872B22" w:rsidRDefault="00872B22" w:rsidP="00A20F3F">
      <w:pPr>
        <w:pStyle w:val="Bibliography"/>
        <w:spacing w:line="240" w:lineRule="auto"/>
      </w:pPr>
      <w:r>
        <w:t xml:space="preserve">Apparicio, P., Cloutier, M.-S., &amp; Shearmur, R. (2007). The case of Montréal’s missing food deserts: Evaluation of accessibility to food supermarkets. </w:t>
      </w:r>
      <w:r>
        <w:rPr>
          <w:i/>
          <w:iCs/>
        </w:rPr>
        <w:t>International Journal of Health Geographics</w:t>
      </w:r>
      <w:r>
        <w:t xml:space="preserve">, </w:t>
      </w:r>
      <w:r>
        <w:rPr>
          <w:i/>
          <w:iCs/>
        </w:rPr>
        <w:t>6</w:t>
      </w:r>
      <w:r>
        <w:t>(1), 4. https://doi.org/10.1186/1476-072X-6-4</w:t>
      </w:r>
    </w:p>
    <w:p w14:paraId="7AF5AFEC" w14:textId="77777777" w:rsidR="00872B22" w:rsidRDefault="00872B22" w:rsidP="00A20F3F">
      <w:pPr>
        <w:pStyle w:val="Bibliography"/>
        <w:spacing w:line="240" w:lineRule="auto"/>
      </w:pPr>
      <w:r>
        <w:t xml:space="preserve">Apparicio, P., Gelb, J., Dubé, A.-S., Kingham, S., Gauvin, L., &amp; Robitaille, É. (2017). The approaches to measuring the potential spatial access to urban health services revisited: Distance types and aggregation-error issues. </w:t>
      </w:r>
      <w:r>
        <w:rPr>
          <w:i/>
          <w:iCs/>
        </w:rPr>
        <w:t>International Journal of Health Geographics</w:t>
      </w:r>
      <w:r>
        <w:t xml:space="preserve">, </w:t>
      </w:r>
      <w:r>
        <w:rPr>
          <w:i/>
          <w:iCs/>
        </w:rPr>
        <w:t>16</w:t>
      </w:r>
      <w:r>
        <w:t>(1), 32. https://doi.org/10.1186/s12942-017-0105-9</w:t>
      </w:r>
    </w:p>
    <w:p w14:paraId="3E6AED1E" w14:textId="77777777" w:rsidR="00872B22" w:rsidRDefault="00872B22" w:rsidP="00A20F3F">
      <w:pPr>
        <w:pStyle w:val="Bibliography"/>
        <w:spacing w:line="240" w:lineRule="auto"/>
      </w:pPr>
      <w:r>
        <w:t xml:space="preserve">Batty, M. (2009). Accessibility: In Search of a Unified Theory. </w:t>
      </w:r>
      <w:r>
        <w:rPr>
          <w:i/>
          <w:iCs/>
        </w:rPr>
        <w:t>Environment and Planning B: Planning and Design</w:t>
      </w:r>
      <w:r>
        <w:t xml:space="preserve">, </w:t>
      </w:r>
      <w:r>
        <w:rPr>
          <w:i/>
          <w:iCs/>
        </w:rPr>
        <w:t>36</w:t>
      </w:r>
      <w:r>
        <w:t>(2), 191–194. https://doi.org/10.1068/b3602ed</w:t>
      </w:r>
    </w:p>
    <w:p w14:paraId="27175F75" w14:textId="77777777" w:rsidR="00872B22" w:rsidRDefault="00872B22" w:rsidP="00A20F3F">
      <w:pPr>
        <w:pStyle w:val="Bibliography"/>
        <w:spacing w:line="240" w:lineRule="auto"/>
      </w:pPr>
      <w:r>
        <w:t xml:space="preserve">Ben-Akiva, M., &amp; Lerman, S. R. (1985). </w:t>
      </w:r>
      <w:r>
        <w:rPr>
          <w:i/>
          <w:iCs/>
        </w:rPr>
        <w:t>Discrete Choice Analysis: Theory and Application to Travel Demand</w:t>
      </w:r>
      <w:r>
        <w:t>. MIT Press.</w:t>
      </w:r>
    </w:p>
    <w:p w14:paraId="46B5D0E3" w14:textId="77777777" w:rsidR="00872B22" w:rsidRDefault="00872B22" w:rsidP="00A20F3F">
      <w:pPr>
        <w:pStyle w:val="Bibliography"/>
        <w:spacing w:line="240" w:lineRule="auto"/>
      </w:pPr>
      <w:r>
        <w:t xml:space="preserve">Berg, I., &amp; Kalleberg, A. L. (Eds.). (2001). </w:t>
      </w:r>
      <w:r>
        <w:rPr>
          <w:i/>
          <w:iCs/>
        </w:rPr>
        <w:t>Sourcebook of Labor Markets</w:t>
      </w:r>
      <w:r>
        <w:t>. Springer US. https://doi.org/10.1007/978-1-4615-1225-7</w:t>
      </w:r>
    </w:p>
    <w:p w14:paraId="481B75F2" w14:textId="77777777" w:rsidR="00872B22" w:rsidRDefault="00872B22" w:rsidP="00A20F3F">
      <w:pPr>
        <w:pStyle w:val="Bibliography"/>
        <w:spacing w:line="240" w:lineRule="auto"/>
      </w:pPr>
      <w:r>
        <w:t xml:space="preserve">Blanchard, S. D., &amp; Waddell, P. (2017). UrbanAccess: Generalized Methodology for Measuring Regional Accessibility with an Integrated Pedestrian and Transit Network. </w:t>
      </w:r>
      <w:r>
        <w:rPr>
          <w:i/>
          <w:iCs/>
        </w:rPr>
        <w:t>Transportation Research Record</w:t>
      </w:r>
      <w:r>
        <w:t xml:space="preserve">, </w:t>
      </w:r>
      <w:r>
        <w:rPr>
          <w:i/>
          <w:iCs/>
        </w:rPr>
        <w:t>2653</w:t>
      </w:r>
      <w:r>
        <w:t>(1), 35–44. https://doi.org/10.3141/2653-05</w:t>
      </w:r>
    </w:p>
    <w:p w14:paraId="6088AAD1" w14:textId="77777777" w:rsidR="00872B22" w:rsidRDefault="00872B22" w:rsidP="00A20F3F">
      <w:pPr>
        <w:pStyle w:val="Bibliography"/>
        <w:spacing w:line="240" w:lineRule="auto"/>
      </w:pPr>
      <w:r>
        <w:t xml:space="preserve">Blei, D. M., Ng, A. Y., &amp; Jordan, M. I. (2003). Latent Dirichlet Allocation. </w:t>
      </w:r>
      <w:r>
        <w:rPr>
          <w:i/>
          <w:iCs/>
        </w:rPr>
        <w:t>Journal of Machine Learning Research</w:t>
      </w:r>
      <w:r>
        <w:t xml:space="preserve">, </w:t>
      </w:r>
      <w:r>
        <w:rPr>
          <w:i/>
          <w:iCs/>
        </w:rPr>
        <w:t>3</w:t>
      </w:r>
      <w:r>
        <w:t>, 993–1022. https://jmlr.org/papers/volume3/blei03a/blei03a.pdf</w:t>
      </w:r>
    </w:p>
    <w:p w14:paraId="760DEEF6" w14:textId="77777777" w:rsidR="00872B22" w:rsidRDefault="00872B22" w:rsidP="00A20F3F">
      <w:pPr>
        <w:pStyle w:val="Bibliography"/>
        <w:spacing w:line="240" w:lineRule="auto"/>
      </w:pPr>
      <w:r>
        <w:t xml:space="preserve">Block, D., &amp; Kouba, J. (2006). A comparison of the availability and affordability of a market basket in two communities in the Chicago area. </w:t>
      </w:r>
      <w:r>
        <w:rPr>
          <w:i/>
          <w:iCs/>
        </w:rPr>
        <w:t>Public Health Nutrition</w:t>
      </w:r>
      <w:r>
        <w:t xml:space="preserve">, </w:t>
      </w:r>
      <w:r>
        <w:rPr>
          <w:i/>
          <w:iCs/>
        </w:rPr>
        <w:t>9</w:t>
      </w:r>
      <w:r>
        <w:t>(7), 837–845. https://doi.org/10.1017/PHN2005924</w:t>
      </w:r>
    </w:p>
    <w:p w14:paraId="0F9547CF" w14:textId="77777777" w:rsidR="00872B22" w:rsidRDefault="00872B22" w:rsidP="00A20F3F">
      <w:pPr>
        <w:pStyle w:val="Bibliography"/>
        <w:spacing w:line="240" w:lineRule="auto"/>
      </w:pPr>
      <w:r>
        <w:lastRenderedPageBreak/>
        <w:t xml:space="preserve">Boeing, G. (2017). OSMnx: New methods for acquiring, constructing, analyzing, and visualizing complex street networks. </w:t>
      </w:r>
      <w:r>
        <w:rPr>
          <w:i/>
          <w:iCs/>
        </w:rPr>
        <w:t>Computers, Environment and Urban Systems</w:t>
      </w:r>
      <w:r>
        <w:t xml:space="preserve">, </w:t>
      </w:r>
      <w:r>
        <w:rPr>
          <w:i/>
          <w:iCs/>
        </w:rPr>
        <w:t>65</w:t>
      </w:r>
      <w:r>
        <w:t>, 126–139. https://doi.org/10.1016/j.compenvurbsys.2017.05.004</w:t>
      </w:r>
    </w:p>
    <w:p w14:paraId="6CF08E2A" w14:textId="77777777" w:rsidR="00872B22" w:rsidRDefault="00872B22" w:rsidP="00A20F3F">
      <w:pPr>
        <w:pStyle w:val="Bibliography"/>
        <w:spacing w:line="240" w:lineRule="auto"/>
      </w:pPr>
      <w:r>
        <w:t xml:space="preserve">Bohannon, R. W., &amp; Williams Andrews, A. (2011). Normal walking speed: A descriptive meta-analysis. </w:t>
      </w:r>
      <w:r>
        <w:rPr>
          <w:i/>
          <w:iCs/>
        </w:rPr>
        <w:t>Physiotherapy</w:t>
      </w:r>
      <w:r>
        <w:t xml:space="preserve">, </w:t>
      </w:r>
      <w:r>
        <w:rPr>
          <w:i/>
          <w:iCs/>
        </w:rPr>
        <w:t>97</w:t>
      </w:r>
      <w:r>
        <w:t>(3), 182–189. https://doi.org/10.1016/j.physio.2010.12.004</w:t>
      </w:r>
    </w:p>
    <w:p w14:paraId="638AC369" w14:textId="77777777" w:rsidR="00872B22" w:rsidRDefault="00872B22" w:rsidP="00A20F3F">
      <w:pPr>
        <w:pStyle w:val="Bibliography"/>
        <w:spacing w:line="240" w:lineRule="auto"/>
      </w:pPr>
      <w:r>
        <w:t xml:space="preserve">Bosanac, E. M., Parkinson, R. C., &amp; Hall, D. S. (1976). Geographic Access to Hospital Care: A 30-Minute Travel Time Standard. </w:t>
      </w:r>
      <w:r>
        <w:rPr>
          <w:i/>
          <w:iCs/>
        </w:rPr>
        <w:t>Medical Care</w:t>
      </w:r>
      <w:r>
        <w:t xml:space="preserve">, </w:t>
      </w:r>
      <w:r>
        <w:rPr>
          <w:i/>
          <w:iCs/>
        </w:rPr>
        <w:t>14</w:t>
      </w:r>
      <w:r>
        <w:t>(7), 616–623. https://journals.lww.com/lww-medicalcare/Abstract/1976/07000/Geographic_Access_to_Hospital_Care__A_30_Minute.6.aspx</w:t>
      </w:r>
    </w:p>
    <w:p w14:paraId="5D77918C" w14:textId="77777777" w:rsidR="00872B22" w:rsidRDefault="00872B22" w:rsidP="00A20F3F">
      <w:pPr>
        <w:pStyle w:val="Bibliography"/>
        <w:spacing w:line="240" w:lineRule="auto"/>
      </w:pPr>
      <w:r>
        <w:t xml:space="preserve">Busby, J., Tanberk, J., &amp; Cooper, T. (2021, October 21). BroadbandNow Estimates Availability for all 50 States; Confirms that More than 42 Million Americans Do Not Have Access to Broadband. </w:t>
      </w:r>
      <w:r>
        <w:rPr>
          <w:i/>
          <w:iCs/>
        </w:rPr>
        <w:t>BroadbandNow</w:t>
      </w:r>
      <w:r>
        <w:t>. https://broadbandnow.com/research/fcc-broadband-overreporting-by-state</w:t>
      </w:r>
    </w:p>
    <w:p w14:paraId="4F17921B" w14:textId="77777777" w:rsidR="00872B22" w:rsidRDefault="00872B22" w:rsidP="00A20F3F">
      <w:pPr>
        <w:pStyle w:val="Bibliography"/>
        <w:spacing w:line="240" w:lineRule="auto"/>
      </w:pPr>
      <w:r>
        <w:t xml:space="preserve">Cannuscio, C. C., Hillier, A., Karpyn, A., &amp; Glanz, K. (2014). The social dynamics of healthy food shopping and store choice in an urban environment. </w:t>
      </w:r>
      <w:r>
        <w:rPr>
          <w:i/>
          <w:iCs/>
        </w:rPr>
        <w:t>Social Science &amp; Medicine</w:t>
      </w:r>
      <w:r>
        <w:t xml:space="preserve">, </w:t>
      </w:r>
      <w:r>
        <w:rPr>
          <w:i/>
          <w:iCs/>
        </w:rPr>
        <w:t>122</w:t>
      </w:r>
      <w:r>
        <w:t>, 13–20. https://doi.org/10.1016/j.socscimed.2014.10.005</w:t>
      </w:r>
    </w:p>
    <w:p w14:paraId="564D0560" w14:textId="77777777" w:rsidR="00872B22" w:rsidRDefault="00872B22" w:rsidP="00A20F3F">
      <w:pPr>
        <w:pStyle w:val="Bibliography"/>
        <w:spacing w:line="240" w:lineRule="auto"/>
      </w:pPr>
      <w:r>
        <w:t xml:space="preserve">Cao, X., Handy, S. L., &amp; Mokhtarian, P. L. (2006). The Influences of the Built Environment and Residential Self-Selection on Pedestrian Behavior: Evidence from Austin, TX. </w:t>
      </w:r>
      <w:r>
        <w:rPr>
          <w:i/>
          <w:iCs/>
        </w:rPr>
        <w:t>Transportation</w:t>
      </w:r>
      <w:r>
        <w:t xml:space="preserve">, </w:t>
      </w:r>
      <w:r>
        <w:rPr>
          <w:i/>
          <w:iCs/>
        </w:rPr>
        <w:t>33</w:t>
      </w:r>
      <w:r>
        <w:t>(1), 1–20. https://doi.org/10.1007/s11116-005-7027-2</w:t>
      </w:r>
    </w:p>
    <w:p w14:paraId="63D41F78" w14:textId="77777777" w:rsidR="00872B22" w:rsidRDefault="00872B22" w:rsidP="00A20F3F">
      <w:pPr>
        <w:pStyle w:val="Bibliography"/>
        <w:spacing w:line="240" w:lineRule="auto"/>
      </w:pPr>
      <w:r>
        <w:t xml:space="preserve">Carolan, M. (2021). Putting food access in its topological place: Thinking in terms of relational becomings when mapping space. </w:t>
      </w:r>
      <w:r>
        <w:rPr>
          <w:i/>
          <w:iCs/>
        </w:rPr>
        <w:t>Agriculture and Human Values</w:t>
      </w:r>
      <w:r>
        <w:t xml:space="preserve">, </w:t>
      </w:r>
      <w:r>
        <w:rPr>
          <w:i/>
          <w:iCs/>
        </w:rPr>
        <w:t>38</w:t>
      </w:r>
      <w:r>
        <w:t>(1), 243–256. https://doi.org/10.1007/s10460-020-10149-y</w:t>
      </w:r>
    </w:p>
    <w:p w14:paraId="5BC83880" w14:textId="77777777" w:rsidR="00872B22" w:rsidRDefault="00872B22" w:rsidP="00A20F3F">
      <w:pPr>
        <w:pStyle w:val="Bibliography"/>
        <w:spacing w:line="240" w:lineRule="auto"/>
      </w:pPr>
      <w:r>
        <w:t xml:space="preserve">Cascetta, E., Cartenì, A., &amp; Montanino, M. (2013). A New Measure of Accessibility based on Perceived Opportunities. </w:t>
      </w:r>
      <w:r>
        <w:rPr>
          <w:i/>
          <w:iCs/>
        </w:rPr>
        <w:t>Procedia - Social and Behavioral Sciences</w:t>
      </w:r>
      <w:r>
        <w:t xml:space="preserve">, </w:t>
      </w:r>
      <w:r>
        <w:rPr>
          <w:i/>
          <w:iCs/>
        </w:rPr>
        <w:t>87</w:t>
      </w:r>
      <w:r>
        <w:t>, 117–132. https://doi.org/10.1016/j.sbspro.2013.10.598</w:t>
      </w:r>
    </w:p>
    <w:p w14:paraId="2B2C74A5" w14:textId="77777777" w:rsidR="00872B22" w:rsidRDefault="00872B22" w:rsidP="00A20F3F">
      <w:pPr>
        <w:pStyle w:val="Bibliography"/>
        <w:spacing w:line="240" w:lineRule="auto"/>
      </w:pPr>
      <w:r>
        <w:t xml:space="preserve">Caspi, C. E., Kawachi, I., Subramanian, S. V., Adamkiewicz, G., &amp; Sorensen, G. (2012). The relationship between diet and perceived and objective access to supermarkets among low-income housing residents. </w:t>
      </w:r>
      <w:r>
        <w:rPr>
          <w:i/>
          <w:iCs/>
        </w:rPr>
        <w:t>Social Science &amp; Medicine</w:t>
      </w:r>
      <w:r>
        <w:t xml:space="preserve">, </w:t>
      </w:r>
      <w:r>
        <w:rPr>
          <w:i/>
          <w:iCs/>
        </w:rPr>
        <w:t>75</w:t>
      </w:r>
      <w:r>
        <w:t>(7), 1254–1262. https://doi.org/10.1016/j.socscimed.2012.05.014</w:t>
      </w:r>
    </w:p>
    <w:p w14:paraId="6383B83A" w14:textId="77777777" w:rsidR="00872B22" w:rsidRDefault="00872B22" w:rsidP="00A20F3F">
      <w:pPr>
        <w:pStyle w:val="Bibliography"/>
        <w:spacing w:line="240" w:lineRule="auto"/>
      </w:pPr>
      <w:r>
        <w:t xml:space="preserve">Caspi, C. E., Sorensen, G., Subramanian, S. V., &amp; Kawachi, I. (2012). The local food environment and diet: A systematic review. </w:t>
      </w:r>
      <w:r>
        <w:rPr>
          <w:i/>
          <w:iCs/>
        </w:rPr>
        <w:t>Health &amp; Place</w:t>
      </w:r>
      <w:r>
        <w:t xml:space="preserve">, </w:t>
      </w:r>
      <w:r>
        <w:rPr>
          <w:i/>
          <w:iCs/>
        </w:rPr>
        <w:t>18</w:t>
      </w:r>
      <w:r>
        <w:t>(5), 1172–1187. https://doi.org/10.1016/j.healthplace.2012.05.006</w:t>
      </w:r>
    </w:p>
    <w:p w14:paraId="4F3F848D" w14:textId="77777777" w:rsidR="00872B22" w:rsidRDefault="00872B22" w:rsidP="00A20F3F">
      <w:pPr>
        <w:pStyle w:val="Bibliography"/>
        <w:spacing w:line="240" w:lineRule="auto"/>
      </w:pPr>
      <w:r>
        <w:t xml:space="preserve">Cass, N., Shove, E., &amp; Urry, J. (2005). Social Exclusion, Mobility and Access. </w:t>
      </w:r>
      <w:r>
        <w:rPr>
          <w:i/>
          <w:iCs/>
        </w:rPr>
        <w:t>The Sociological Review</w:t>
      </w:r>
      <w:r>
        <w:t xml:space="preserve">, </w:t>
      </w:r>
      <w:r>
        <w:rPr>
          <w:i/>
          <w:iCs/>
        </w:rPr>
        <w:t>53</w:t>
      </w:r>
      <w:r>
        <w:t>(3), 539–555. https://doi.org/10.1111/j.1467-954X.2005.00565.x</w:t>
      </w:r>
    </w:p>
    <w:p w14:paraId="52CCFC40" w14:textId="77777777" w:rsidR="00872B22" w:rsidRDefault="00872B22" w:rsidP="00A20F3F">
      <w:pPr>
        <w:pStyle w:val="Bibliography"/>
        <w:spacing w:line="240" w:lineRule="auto"/>
      </w:pPr>
      <w:r>
        <w:t xml:space="preserve">Centers for Disease Control and Prevention. (2021, August 30). </w:t>
      </w:r>
      <w:r>
        <w:rPr>
          <w:i/>
          <w:iCs/>
        </w:rPr>
        <w:t>SVI At A Glance</w:t>
      </w:r>
      <w:r>
        <w:t>. Place and Health. https://www.atsdr.cdc.gov/placeandhealth/svi/at-a-glance_svi.html</w:t>
      </w:r>
    </w:p>
    <w:p w14:paraId="1CF5F3BA" w14:textId="77777777" w:rsidR="00872B22" w:rsidRDefault="00872B22" w:rsidP="00A20F3F">
      <w:pPr>
        <w:pStyle w:val="Bibliography"/>
        <w:spacing w:line="240" w:lineRule="auto"/>
      </w:pPr>
      <w:r>
        <w:t xml:space="preserve">Chakravorti, B. (2021, July 20). How to Close the Digital Divide in the U.S. </w:t>
      </w:r>
      <w:r>
        <w:rPr>
          <w:i/>
          <w:iCs/>
        </w:rPr>
        <w:t>Harvard Business Review</w:t>
      </w:r>
      <w:r>
        <w:t>. https://hbr.org/2021/07/how-to-close-the-digital-divide-in-the-u-s</w:t>
      </w:r>
    </w:p>
    <w:p w14:paraId="2293DD32" w14:textId="77777777" w:rsidR="00872B22" w:rsidRDefault="00872B22" w:rsidP="00A20F3F">
      <w:pPr>
        <w:pStyle w:val="Bibliography"/>
        <w:spacing w:line="240" w:lineRule="auto"/>
      </w:pPr>
      <w:r>
        <w:t xml:space="preserve">Chen, B. Y., Li, Q., Wang, D., Shaw, S.-L., Lam, W. H. K., Yuan, H., &amp; Fang, Z. (2013). Reliable Space–Time Prisms Under Travel Time Uncertainty. </w:t>
      </w:r>
      <w:r>
        <w:rPr>
          <w:i/>
          <w:iCs/>
        </w:rPr>
        <w:t>Annals of the Association of American Geographers</w:t>
      </w:r>
      <w:r>
        <w:t xml:space="preserve">, </w:t>
      </w:r>
      <w:r>
        <w:rPr>
          <w:i/>
          <w:iCs/>
        </w:rPr>
        <w:t>103</w:t>
      </w:r>
      <w:r>
        <w:t>(6), 1502–1521. https://doi.org/10.1080/00045608.2013.834236</w:t>
      </w:r>
    </w:p>
    <w:p w14:paraId="1D998A9A" w14:textId="77777777" w:rsidR="00872B22" w:rsidRDefault="00872B22" w:rsidP="00A20F3F">
      <w:pPr>
        <w:pStyle w:val="Bibliography"/>
        <w:spacing w:line="240" w:lineRule="auto"/>
      </w:pPr>
      <w:r>
        <w:t xml:space="preserve">Chen, C., Dietz, T., Fefferman, N. H., Greig, J., Cetin, K., Robinson, C., Arpan, L., Schweiker, M., Dong, B., Wu, W., Li, Y., Zhou, H., Wu, J., Wen, J., Fu, J. S., Hong, T., Yan, D., Nelson, H., Zhu, Y., … Fu, R. (2022). Extreme events, energy security and equality </w:t>
      </w:r>
      <w:r>
        <w:lastRenderedPageBreak/>
        <w:t xml:space="preserve">through micro- and macro-levels: Concepts, challenges and methods. </w:t>
      </w:r>
      <w:r>
        <w:rPr>
          <w:i/>
          <w:iCs/>
        </w:rPr>
        <w:t>Energy Research &amp; Social Science</w:t>
      </w:r>
      <w:r>
        <w:t xml:space="preserve">, </w:t>
      </w:r>
      <w:r>
        <w:rPr>
          <w:i/>
          <w:iCs/>
        </w:rPr>
        <w:t>85</w:t>
      </w:r>
      <w:r>
        <w:t>, 102401. https://doi.org/10.1016/j.erss.2021.102401</w:t>
      </w:r>
    </w:p>
    <w:p w14:paraId="2666FBB5" w14:textId="77777777" w:rsidR="00872B22" w:rsidRDefault="00872B22" w:rsidP="00A20F3F">
      <w:pPr>
        <w:pStyle w:val="Bibliography"/>
        <w:spacing w:line="240" w:lineRule="auto"/>
      </w:pPr>
      <w:r>
        <w:t xml:space="preserve">Chen, X. (2017). Take the edge off: A hybrid geographic food access measure. </w:t>
      </w:r>
      <w:r>
        <w:rPr>
          <w:i/>
          <w:iCs/>
        </w:rPr>
        <w:t>Applied Geography</w:t>
      </w:r>
      <w:r>
        <w:t xml:space="preserve">, </w:t>
      </w:r>
      <w:r>
        <w:rPr>
          <w:i/>
          <w:iCs/>
        </w:rPr>
        <w:t>87</w:t>
      </w:r>
      <w:r>
        <w:t>, 149–159. https://doi.org/10.1016/j.apgeog.2017.07.013</w:t>
      </w:r>
    </w:p>
    <w:p w14:paraId="57D30659" w14:textId="77777777" w:rsidR="00872B22" w:rsidRDefault="00872B22" w:rsidP="00A20F3F">
      <w:pPr>
        <w:pStyle w:val="Bibliography"/>
        <w:spacing w:line="240" w:lineRule="auto"/>
      </w:pPr>
      <w:r>
        <w:t xml:space="preserve">Chen, X., &amp; Clark, J. (2013). Interactive three-dimensional geovisualization of space–time access to food. </w:t>
      </w:r>
      <w:r>
        <w:rPr>
          <w:i/>
          <w:iCs/>
        </w:rPr>
        <w:t>Applied Geography</w:t>
      </w:r>
      <w:r>
        <w:t xml:space="preserve">, </w:t>
      </w:r>
      <w:r>
        <w:rPr>
          <w:i/>
          <w:iCs/>
        </w:rPr>
        <w:t>43</w:t>
      </w:r>
      <w:r>
        <w:t>, 81–86. https://doi.org/10.1016/j.apgeog.2013.05.012</w:t>
      </w:r>
    </w:p>
    <w:p w14:paraId="55A77BFE" w14:textId="77777777" w:rsidR="00872B22" w:rsidRDefault="00872B22" w:rsidP="00A20F3F">
      <w:pPr>
        <w:pStyle w:val="Bibliography"/>
        <w:spacing w:line="240" w:lineRule="auto"/>
      </w:pPr>
      <w:r>
        <w:t xml:space="preserve">Chen, X., &amp; Kwan, M.-P. (2012). Choice set formation with multiple flexible activities under space–time constraints. </w:t>
      </w:r>
      <w:r>
        <w:rPr>
          <w:i/>
          <w:iCs/>
        </w:rPr>
        <w:t>International Journal of Geographical Information Science</w:t>
      </w:r>
      <w:r>
        <w:t xml:space="preserve">, </w:t>
      </w:r>
      <w:r>
        <w:rPr>
          <w:i/>
          <w:iCs/>
        </w:rPr>
        <w:t>26</w:t>
      </w:r>
      <w:r>
        <w:t>(5), 941–961. https://doi.org/10.1080/13658816.2011.624520</w:t>
      </w:r>
    </w:p>
    <w:p w14:paraId="154C9C30" w14:textId="77777777" w:rsidR="00872B22" w:rsidRDefault="00872B22" w:rsidP="00A20F3F">
      <w:pPr>
        <w:pStyle w:val="Bibliography"/>
        <w:spacing w:line="240" w:lineRule="auto"/>
      </w:pPr>
      <w:r>
        <w:t xml:space="preserve">Chen, X., &amp; Kwan, M.-P. (2015). Contextual Uncertainties, Human Mobility, and Perceived Food Environment: The Uncertain Geographic Context Problem in Food Access Research. </w:t>
      </w:r>
      <w:r>
        <w:rPr>
          <w:i/>
          <w:iCs/>
        </w:rPr>
        <w:t>American Journal of Public Health</w:t>
      </w:r>
      <w:r>
        <w:t xml:space="preserve">, </w:t>
      </w:r>
      <w:r>
        <w:rPr>
          <w:i/>
          <w:iCs/>
        </w:rPr>
        <w:t>105</w:t>
      </w:r>
      <w:r>
        <w:t>(9), 1734–1737. https://doi.org/10.2105/AJPH.2015.302792</w:t>
      </w:r>
    </w:p>
    <w:p w14:paraId="371099E8" w14:textId="77777777" w:rsidR="00872B22" w:rsidRDefault="00872B22" w:rsidP="00A20F3F">
      <w:pPr>
        <w:pStyle w:val="Bibliography"/>
        <w:spacing w:line="240" w:lineRule="auto"/>
      </w:pPr>
      <w:r>
        <w:t xml:space="preserve">Cheng, J., &amp; Bertolini, L. (2013). Measuring urban job accessibility with distance decay, competition and diversity. </w:t>
      </w:r>
      <w:r>
        <w:rPr>
          <w:i/>
          <w:iCs/>
        </w:rPr>
        <w:t>Journal of Transport Geography</w:t>
      </w:r>
      <w:r>
        <w:t xml:space="preserve">, </w:t>
      </w:r>
      <w:r>
        <w:rPr>
          <w:i/>
          <w:iCs/>
        </w:rPr>
        <w:t>30</w:t>
      </w:r>
      <w:r>
        <w:t>, 100–109. https://doi.org/10.1016/j.jtrangeo.2013.03.005</w:t>
      </w:r>
    </w:p>
    <w:p w14:paraId="12ED232A" w14:textId="77777777" w:rsidR="00872B22" w:rsidRDefault="00872B22" w:rsidP="00A20F3F">
      <w:pPr>
        <w:pStyle w:val="Bibliography"/>
        <w:spacing w:line="240" w:lineRule="auto"/>
      </w:pPr>
      <w:r>
        <w:t xml:space="preserve">Clifton, K. J. (2004). Mobility Strategies and Food Shopping for Low-Income Families: A Case Study. </w:t>
      </w:r>
      <w:r>
        <w:rPr>
          <w:i/>
          <w:iCs/>
        </w:rPr>
        <w:t>Journal of Planning Education and Research</w:t>
      </w:r>
      <w:r>
        <w:t xml:space="preserve">, </w:t>
      </w:r>
      <w:r>
        <w:rPr>
          <w:i/>
          <w:iCs/>
        </w:rPr>
        <w:t>23</w:t>
      </w:r>
      <w:r>
        <w:t>(4), 402–413. https://doi.org/10.1177/0739456X04264919</w:t>
      </w:r>
    </w:p>
    <w:p w14:paraId="2E6AB97B" w14:textId="77777777" w:rsidR="00872B22" w:rsidRDefault="00872B22" w:rsidP="00A20F3F">
      <w:pPr>
        <w:pStyle w:val="Bibliography"/>
        <w:spacing w:line="240" w:lineRule="auto"/>
      </w:pPr>
      <w:r>
        <w:t xml:space="preserve">Cohen, D. A., Hunter, G., Williamson, S., &amp; Dubowitz, T. (2016). Are Food Deserts Also Play Deserts? </w:t>
      </w:r>
      <w:r>
        <w:rPr>
          <w:i/>
          <w:iCs/>
        </w:rPr>
        <w:t>Journal of Urban Health : Bulletin of the New York Academy of Medicine</w:t>
      </w:r>
      <w:r>
        <w:t xml:space="preserve">, </w:t>
      </w:r>
      <w:r>
        <w:rPr>
          <w:i/>
          <w:iCs/>
        </w:rPr>
        <w:t>93</w:t>
      </w:r>
      <w:r>
        <w:t>(2), 235–243. https://doi.org/10.1007/s11524-015-0024-7</w:t>
      </w:r>
    </w:p>
    <w:p w14:paraId="4F5A7880" w14:textId="77777777" w:rsidR="00872B22" w:rsidRDefault="00872B22" w:rsidP="00A20F3F">
      <w:pPr>
        <w:pStyle w:val="Bibliography"/>
        <w:spacing w:line="240" w:lineRule="auto"/>
      </w:pPr>
      <w:r>
        <w:t xml:space="preserve">Couclelis, H., &amp; Getis, A. (2000). Conceptualizing and Measuring Accessibility within Physical and Virtual Spaces. In D. G. Janelle &amp; D. C. Hodge (Eds.), </w:t>
      </w:r>
      <w:r>
        <w:rPr>
          <w:i/>
          <w:iCs/>
        </w:rPr>
        <w:t>Information, Place, and Cyberspace: Issues in Accessibility</w:t>
      </w:r>
      <w:r>
        <w:t xml:space="preserve"> (pp. 15–20). Springer. https://doi.org/10.1007/978-3-662-04027-0_2</w:t>
      </w:r>
    </w:p>
    <w:p w14:paraId="5CCDB804" w14:textId="77777777" w:rsidR="00872B22" w:rsidRDefault="00872B22" w:rsidP="00A20F3F">
      <w:pPr>
        <w:pStyle w:val="Bibliography"/>
        <w:spacing w:line="240" w:lineRule="auto"/>
      </w:pPr>
      <w:r>
        <w:t xml:space="preserve">Cummins, S., &amp; Macintyre, S. (2002). “Food deserts”—Evidence and assumption in health policy making. </w:t>
      </w:r>
      <w:r>
        <w:rPr>
          <w:i/>
          <w:iCs/>
        </w:rPr>
        <w:t>BMJ : British Medical Journal</w:t>
      </w:r>
      <w:r>
        <w:t xml:space="preserve">, </w:t>
      </w:r>
      <w:r>
        <w:rPr>
          <w:i/>
          <w:iCs/>
        </w:rPr>
        <w:t>325</w:t>
      </w:r>
      <w:r>
        <w:t>(7361), 436–438. https://www.ncbi.nlm.nih.gov/pmc/articles/PMC1123946/</w:t>
      </w:r>
    </w:p>
    <w:p w14:paraId="5B195269" w14:textId="77777777" w:rsidR="00872B22" w:rsidRDefault="00872B22" w:rsidP="00A20F3F">
      <w:pPr>
        <w:pStyle w:val="Bibliography"/>
        <w:spacing w:line="240" w:lineRule="auto"/>
      </w:pPr>
      <w:r>
        <w:t xml:space="preserve">Dalvi, M. Q., &amp; Martin, K. M. (1976). The measurement of accessibility: Some preliminary results. </w:t>
      </w:r>
      <w:r>
        <w:rPr>
          <w:i/>
          <w:iCs/>
        </w:rPr>
        <w:t>Transportation</w:t>
      </w:r>
      <w:r>
        <w:t xml:space="preserve">, </w:t>
      </w:r>
      <w:r>
        <w:rPr>
          <w:i/>
          <w:iCs/>
        </w:rPr>
        <w:t>5</w:t>
      </w:r>
      <w:r>
        <w:t>(1), 17–42. https://doi.org/10.1007/BF00165245</w:t>
      </w:r>
    </w:p>
    <w:p w14:paraId="757B61A1" w14:textId="77777777" w:rsidR="00872B22" w:rsidRDefault="00872B22" w:rsidP="00A20F3F">
      <w:pPr>
        <w:pStyle w:val="Bibliography"/>
        <w:spacing w:line="240" w:lineRule="auto"/>
      </w:pPr>
      <w:r>
        <w:rPr>
          <w:i/>
          <w:iCs/>
        </w:rPr>
        <w:t>Dash Documentation &amp; User Guide | Plotly</w:t>
      </w:r>
      <w:r>
        <w:t>. (2022). Plotly. https://dash.plotly.com/</w:t>
      </w:r>
    </w:p>
    <w:p w14:paraId="195D5560" w14:textId="77777777" w:rsidR="00872B22" w:rsidRDefault="00872B22" w:rsidP="00A20F3F">
      <w:pPr>
        <w:pStyle w:val="Bibliography"/>
        <w:spacing w:line="240" w:lineRule="auto"/>
      </w:pPr>
      <w:r>
        <w:t xml:space="preserve">Delafontaine, M., Neutens, T., Schwanen, T., &amp; Weghe, N. V. de. (2011). The impact of opening hours on the equity of individual space–time accessibility. </w:t>
      </w:r>
      <w:r>
        <w:rPr>
          <w:i/>
          <w:iCs/>
        </w:rPr>
        <w:t>Computers, Environment and Urban Systems</w:t>
      </w:r>
      <w:r>
        <w:t xml:space="preserve">, </w:t>
      </w:r>
      <w:r>
        <w:rPr>
          <w:i/>
          <w:iCs/>
        </w:rPr>
        <w:t>35</w:t>
      </w:r>
      <w:r>
        <w:t>(4), 276–288. https://doi.org/10.1016/j.compenvurbsys.2011.02.005</w:t>
      </w:r>
    </w:p>
    <w:p w14:paraId="2CA10F54" w14:textId="77777777" w:rsidR="00872B22" w:rsidRDefault="00872B22" w:rsidP="00A20F3F">
      <w:pPr>
        <w:pStyle w:val="Bibliography"/>
        <w:spacing w:line="240" w:lineRule="auto"/>
      </w:pPr>
      <w:r>
        <w:t xml:space="preserve">Dijst, M. (2004). ICTs and Accessibility: An Action Space Perspective on the Impact of New Information and Communication Technologies. In M. Beuthe, V. Himanen, A. Reggiani, &amp; L. Zamparini (Eds.), </w:t>
      </w:r>
      <w:r>
        <w:rPr>
          <w:i/>
          <w:iCs/>
        </w:rPr>
        <w:t>Transport Developments and Innovations in an Evolving World</w:t>
      </w:r>
      <w:r>
        <w:t xml:space="preserve"> (pp. 27–46). Springer. https://doi.org/10.1007/978-3-540-24827-9_3</w:t>
      </w:r>
    </w:p>
    <w:p w14:paraId="39D5DFFC" w14:textId="77777777" w:rsidR="00872B22" w:rsidRDefault="00872B22" w:rsidP="00A20F3F">
      <w:pPr>
        <w:pStyle w:val="Bibliography"/>
        <w:spacing w:line="240" w:lineRule="auto"/>
      </w:pPr>
      <w:r>
        <w:t xml:space="preserve">Diniz, E. H., Porto de Albuquerque, J., &amp; Cernev, A. K. (2011). Mobile Money and Payment: A literature review based on academic and practitioner-oriented publications (2001-2011). </w:t>
      </w:r>
      <w:r>
        <w:rPr>
          <w:i/>
          <w:iCs/>
        </w:rPr>
        <w:t>Proceedings of SIG GlobDev Fourth Annual Workshop</w:t>
      </w:r>
      <w:r>
        <w:t>. https://citeseerx.ist.psu.edu/viewdoc/download?doi=10.1.1.688.4520&amp;rep=rep1&amp;type=pdf</w:t>
      </w:r>
    </w:p>
    <w:p w14:paraId="5CFE918C" w14:textId="77777777" w:rsidR="00872B22" w:rsidRDefault="00872B22" w:rsidP="00A20F3F">
      <w:pPr>
        <w:pStyle w:val="Bibliography"/>
        <w:spacing w:line="240" w:lineRule="auto"/>
      </w:pPr>
      <w:r>
        <w:lastRenderedPageBreak/>
        <w:t xml:space="preserve">dos Anjos Luis, A., &amp; Cabral, P. (2016). Geographic accessibility to primary healthcare centers in Mozambique. </w:t>
      </w:r>
      <w:r>
        <w:rPr>
          <w:i/>
          <w:iCs/>
        </w:rPr>
        <w:t>International Journal for Equity in Health</w:t>
      </w:r>
      <w:r>
        <w:t xml:space="preserve">, </w:t>
      </w:r>
      <w:r>
        <w:rPr>
          <w:i/>
          <w:iCs/>
        </w:rPr>
        <w:t>15</w:t>
      </w:r>
      <w:r>
        <w:t>(1), 173. https://doi.org/10.1186/s12939-016-0455-0</w:t>
      </w:r>
    </w:p>
    <w:p w14:paraId="2D22A13F" w14:textId="77777777" w:rsidR="00872B22" w:rsidRDefault="00872B22" w:rsidP="00A20F3F">
      <w:pPr>
        <w:pStyle w:val="Bibliography"/>
        <w:spacing w:line="240" w:lineRule="auto"/>
      </w:pPr>
      <w:r>
        <w:t xml:space="preserve">D’Rozario, D., &amp; Williams, J. D. (2005). Retail Redlining: Definition, Theory, Typology, and Measurement. </w:t>
      </w:r>
      <w:r>
        <w:rPr>
          <w:i/>
          <w:iCs/>
        </w:rPr>
        <w:t>Journal of Macromarketing</w:t>
      </w:r>
      <w:r>
        <w:t xml:space="preserve">, </w:t>
      </w:r>
      <w:r>
        <w:rPr>
          <w:i/>
          <w:iCs/>
        </w:rPr>
        <w:t>25</w:t>
      </w:r>
      <w:r>
        <w:t>(2), 175–186. https://doi.org/10.1177/0276146705280632</w:t>
      </w:r>
    </w:p>
    <w:p w14:paraId="2490AB41" w14:textId="77777777" w:rsidR="00872B22" w:rsidRDefault="00872B22" w:rsidP="00A20F3F">
      <w:pPr>
        <w:pStyle w:val="Bibliography"/>
        <w:spacing w:line="240" w:lineRule="auto"/>
      </w:pPr>
      <w:r>
        <w:t xml:space="preserve">Egenhofer, M. J., &amp; Mark, D. M. (1995). Naive Geography. In A. U. Frank &amp; W. Kuhn (Eds.), </w:t>
      </w:r>
      <w:r>
        <w:rPr>
          <w:i/>
          <w:iCs/>
        </w:rPr>
        <w:t>Spatial Information Theory A Theoretical Basis for GIS</w:t>
      </w:r>
      <w:r>
        <w:t xml:space="preserve"> (pp. 1–15). Springer. https://doi.org/10.1007/3-540-60392-1_1</w:t>
      </w:r>
    </w:p>
    <w:p w14:paraId="5D06AD62" w14:textId="77777777" w:rsidR="00872B22" w:rsidRDefault="00872B22" w:rsidP="00A20F3F">
      <w:pPr>
        <w:pStyle w:val="Bibliography"/>
        <w:spacing w:line="240" w:lineRule="auto"/>
      </w:pPr>
      <w:r>
        <w:t xml:space="preserve">Eisenhauer, E. (2001). In poor health: Supermarket redlining and urban nutrition. </w:t>
      </w:r>
      <w:r>
        <w:rPr>
          <w:i/>
          <w:iCs/>
        </w:rPr>
        <w:t>GeoJournal</w:t>
      </w:r>
      <w:r>
        <w:t xml:space="preserve">, </w:t>
      </w:r>
      <w:r>
        <w:rPr>
          <w:i/>
          <w:iCs/>
        </w:rPr>
        <w:t>53</w:t>
      </w:r>
      <w:r>
        <w:t>, 125–133.</w:t>
      </w:r>
    </w:p>
    <w:p w14:paraId="64368176" w14:textId="77777777" w:rsidR="00872B22" w:rsidRDefault="00872B22" w:rsidP="00A20F3F">
      <w:pPr>
        <w:pStyle w:val="Bibliography"/>
        <w:spacing w:line="240" w:lineRule="auto"/>
      </w:pPr>
      <w:r>
        <w:t xml:space="preserve">El-Geneidy, A., &amp; Levinson, D. (2011). Place Rank: Valuing Spatial Interactions. </w:t>
      </w:r>
      <w:r>
        <w:rPr>
          <w:i/>
          <w:iCs/>
        </w:rPr>
        <w:t>Networks and Spatial Economics</w:t>
      </w:r>
      <w:r>
        <w:t xml:space="preserve">, </w:t>
      </w:r>
      <w:r>
        <w:rPr>
          <w:i/>
          <w:iCs/>
        </w:rPr>
        <w:t>11</w:t>
      </w:r>
      <w:r>
        <w:t>(4), 643–659. https://doi.org/10.1007/s11067-011-9153-z</w:t>
      </w:r>
    </w:p>
    <w:p w14:paraId="1A11652F" w14:textId="77777777" w:rsidR="00872B22" w:rsidRDefault="00872B22" w:rsidP="00A20F3F">
      <w:pPr>
        <w:pStyle w:val="Bibliography"/>
        <w:spacing w:line="240" w:lineRule="auto"/>
      </w:pPr>
      <w:r>
        <w:t xml:space="preserve">Elwood, S. (2008). Volunteered geographic information: Future research directions motivated by critical, participatory, and feminist GIS. </w:t>
      </w:r>
      <w:r>
        <w:rPr>
          <w:i/>
          <w:iCs/>
        </w:rPr>
        <w:t>GeoJournal</w:t>
      </w:r>
      <w:r>
        <w:t xml:space="preserve">, </w:t>
      </w:r>
      <w:r>
        <w:rPr>
          <w:i/>
          <w:iCs/>
        </w:rPr>
        <w:t>72</w:t>
      </w:r>
      <w:r>
        <w:t>(3–4), 173–183. https://doi.org/10.1007/s10708-008-9186-0</w:t>
      </w:r>
    </w:p>
    <w:p w14:paraId="28638355" w14:textId="77777777" w:rsidR="00872B22" w:rsidRDefault="00872B22" w:rsidP="00A20F3F">
      <w:pPr>
        <w:pStyle w:val="Bibliography"/>
        <w:spacing w:line="240" w:lineRule="auto"/>
      </w:pPr>
      <w:r>
        <w:t xml:space="preserve">F Bromley, R. D., Matthews, D. L., &amp; Thomas, C. J. (2007). City centre accessibility for wheelchair users: The consumer perspective and the planning implications. </w:t>
      </w:r>
      <w:r>
        <w:rPr>
          <w:i/>
          <w:iCs/>
        </w:rPr>
        <w:t>Cities</w:t>
      </w:r>
      <w:r>
        <w:t xml:space="preserve">, </w:t>
      </w:r>
      <w:r>
        <w:rPr>
          <w:i/>
          <w:iCs/>
        </w:rPr>
        <w:t>24</w:t>
      </w:r>
      <w:r>
        <w:t>(3), 229–241. https://doi.org/10.1016/j.cities.2007.01.009</w:t>
      </w:r>
    </w:p>
    <w:p w14:paraId="0CB223C2" w14:textId="77777777" w:rsidR="00872B22" w:rsidRDefault="00872B22" w:rsidP="00A20F3F">
      <w:pPr>
        <w:pStyle w:val="Bibliography"/>
        <w:spacing w:line="240" w:lineRule="auto"/>
      </w:pPr>
      <w:r>
        <w:t xml:space="preserve">Farber, S., Morang, M. Z., &amp; Widener, M. J. (2014). Temporal variability in transit-based accessibility to supermarkets. </w:t>
      </w:r>
      <w:r>
        <w:rPr>
          <w:i/>
          <w:iCs/>
        </w:rPr>
        <w:t>Applied Geography</w:t>
      </w:r>
      <w:r>
        <w:t xml:space="preserve">, </w:t>
      </w:r>
      <w:r>
        <w:rPr>
          <w:i/>
          <w:iCs/>
        </w:rPr>
        <w:t>53</w:t>
      </w:r>
      <w:r>
        <w:t>, 149–159. https://doi.org/10.1016/j.apgeog.2014.06.012</w:t>
      </w:r>
    </w:p>
    <w:p w14:paraId="29126EB8" w14:textId="77777777" w:rsidR="00872B22" w:rsidRDefault="00872B22" w:rsidP="00A20F3F">
      <w:pPr>
        <w:pStyle w:val="Bibliography"/>
        <w:spacing w:line="240" w:lineRule="auto"/>
      </w:pPr>
      <w:r>
        <w:t xml:space="preserve">Farivar, C. (2021, June 17). </w:t>
      </w:r>
      <w:r>
        <w:rPr>
          <w:i/>
          <w:iCs/>
        </w:rPr>
        <w:t>New federal broadband maps show stark differences in access, affordability</w:t>
      </w:r>
      <w:r>
        <w:t>. NBC News. https://www.nbcnews.com/tech/tech-news/new-federal-broadband-maps-show-stark-differences-access-affordability-rcna1220</w:t>
      </w:r>
    </w:p>
    <w:p w14:paraId="432E46E2" w14:textId="77777777" w:rsidR="00872B22" w:rsidRDefault="00872B22" w:rsidP="00A20F3F">
      <w:pPr>
        <w:pStyle w:val="Bibliography"/>
        <w:spacing w:line="240" w:lineRule="auto"/>
      </w:pPr>
      <w:r>
        <w:t xml:space="preserve">Federal Communications Commission. (2012). </w:t>
      </w:r>
      <w:r>
        <w:rPr>
          <w:i/>
          <w:iCs/>
        </w:rPr>
        <w:t>Eighth Broadband Progress Report</w:t>
      </w:r>
      <w:r>
        <w:t>. https://www.fcc.gov/reports-research/reports/broadband-progress-reports/eighth-broadband-progress-report</w:t>
      </w:r>
    </w:p>
    <w:p w14:paraId="61623539" w14:textId="77777777" w:rsidR="00872B22" w:rsidRDefault="00872B22" w:rsidP="00A20F3F">
      <w:pPr>
        <w:pStyle w:val="Bibliography"/>
        <w:spacing w:line="240" w:lineRule="auto"/>
      </w:pPr>
      <w:r>
        <w:t xml:space="preserve">Federal Communications Commission. (2015). </w:t>
      </w:r>
      <w:r>
        <w:rPr>
          <w:i/>
          <w:iCs/>
        </w:rPr>
        <w:t>2015 Broadband Progress Report</w:t>
      </w:r>
      <w:r>
        <w:t>. https://www.fcc.gov/reports-research/reports/broadband-progress-reports/2015-broadband-progress-report</w:t>
      </w:r>
    </w:p>
    <w:p w14:paraId="0FA0C5D8" w14:textId="77777777" w:rsidR="00872B22" w:rsidRDefault="00872B22" w:rsidP="00A20F3F">
      <w:pPr>
        <w:pStyle w:val="Bibliography"/>
        <w:spacing w:line="240" w:lineRule="auto"/>
      </w:pPr>
      <w:r>
        <w:t xml:space="preserve">Federal Communications Commission. (2020). </w:t>
      </w:r>
      <w:r>
        <w:rPr>
          <w:i/>
          <w:iCs/>
        </w:rPr>
        <w:t>2020 Broadband Deployment Report</w:t>
      </w:r>
      <w:r>
        <w:t xml:space="preserve"> (No. 20–50). https://www.fcc.gov/reports-research/reports/broadband-progress-reports/2020-broadband-deployment-report</w:t>
      </w:r>
    </w:p>
    <w:p w14:paraId="25D2A5CB" w14:textId="77777777" w:rsidR="00872B22" w:rsidRDefault="00872B22" w:rsidP="00A20F3F">
      <w:pPr>
        <w:pStyle w:val="Bibliography"/>
        <w:spacing w:line="240" w:lineRule="auto"/>
      </w:pPr>
      <w:r>
        <w:t xml:space="preserve">Food and Agriculture Organization of the United Nations. (2021). </w:t>
      </w:r>
      <w:r>
        <w:rPr>
          <w:i/>
          <w:iCs/>
        </w:rPr>
        <w:t>The State of Food Security and Nutrition in the World 2021</w:t>
      </w:r>
      <w:r>
        <w:t>. Www.Fao.Org. https://doi.org/10.4060/CB4474EN</w:t>
      </w:r>
    </w:p>
    <w:p w14:paraId="1D2F2AAD" w14:textId="77777777" w:rsidR="00872B22" w:rsidRDefault="00872B22" w:rsidP="00A20F3F">
      <w:pPr>
        <w:pStyle w:val="Bibliography"/>
        <w:spacing w:line="240" w:lineRule="auto"/>
      </w:pPr>
      <w:r>
        <w:t xml:space="preserve">Foti, F., Waddell, P., &amp; Luxen, D. (2012). </w:t>
      </w:r>
      <w:r>
        <w:rPr>
          <w:i/>
          <w:iCs/>
        </w:rPr>
        <w:t>A Generalized Computational Framework for Accessibility: From the Pedestrian to the Metropolitan Scale</w:t>
      </w:r>
      <w:r>
        <w:t>. 14.</w:t>
      </w:r>
    </w:p>
    <w:p w14:paraId="3584DEBA" w14:textId="77777777" w:rsidR="00872B22" w:rsidRDefault="00872B22" w:rsidP="00A20F3F">
      <w:pPr>
        <w:pStyle w:val="Bibliography"/>
        <w:spacing w:line="240" w:lineRule="auto"/>
      </w:pPr>
      <w:r>
        <w:t xml:space="preserve">Friman, M., Lättman, K., &amp; Olsson, L. E. (2020). Public Transport Quality, Safety, and Perceived Accessibility. </w:t>
      </w:r>
      <w:r>
        <w:rPr>
          <w:i/>
          <w:iCs/>
        </w:rPr>
        <w:t>Sustainability</w:t>
      </w:r>
      <w:r>
        <w:t xml:space="preserve">, </w:t>
      </w:r>
      <w:r>
        <w:rPr>
          <w:i/>
          <w:iCs/>
        </w:rPr>
        <w:t>12</w:t>
      </w:r>
      <w:r>
        <w:t>(9), 3563. https://doi.org/10.3390/su12093563</w:t>
      </w:r>
    </w:p>
    <w:p w14:paraId="45616208" w14:textId="77777777" w:rsidR="00872B22" w:rsidRDefault="00872B22" w:rsidP="00A20F3F">
      <w:pPr>
        <w:pStyle w:val="Bibliography"/>
        <w:spacing w:line="240" w:lineRule="auto"/>
      </w:pPr>
      <w:r>
        <w:t xml:space="preserve">Fritz, J., &amp; Littmann, D. (2021). </w:t>
      </w:r>
      <w:r>
        <w:rPr>
          <w:i/>
          <w:iCs/>
        </w:rPr>
        <w:t>Broadband for all: Charting a path to economic growth</w:t>
      </w:r>
      <w:r>
        <w:t>. Deloitte. https://www2.deloitte.com/us/en/pages/consulting/articles/bridging-the-digital-divide-with-broadband-for-all.html</w:t>
      </w:r>
    </w:p>
    <w:p w14:paraId="43FAAC4A" w14:textId="77777777" w:rsidR="00872B22" w:rsidRDefault="00872B22" w:rsidP="00A20F3F">
      <w:pPr>
        <w:pStyle w:val="Bibliography"/>
        <w:spacing w:line="240" w:lineRule="auto"/>
      </w:pPr>
      <w:r>
        <w:t xml:space="preserve">Furey, S., Strugnell, C., &amp; McIlveen, Ms. H. (2001). An investigation of the potential existence of ``food deserts’’ in rural and urban areas of Northern Ireland. </w:t>
      </w:r>
      <w:r>
        <w:rPr>
          <w:i/>
          <w:iCs/>
        </w:rPr>
        <w:t>Agriculture and Human Values</w:t>
      </w:r>
      <w:r>
        <w:t xml:space="preserve">, </w:t>
      </w:r>
      <w:r>
        <w:rPr>
          <w:i/>
          <w:iCs/>
        </w:rPr>
        <w:t>18</w:t>
      </w:r>
      <w:r>
        <w:t>(4), 447–457. https://doi.org/10.1023/A:1015218502547</w:t>
      </w:r>
    </w:p>
    <w:p w14:paraId="02B0757E" w14:textId="77777777" w:rsidR="00872B22" w:rsidRDefault="00872B22" w:rsidP="00A20F3F">
      <w:pPr>
        <w:pStyle w:val="Bibliography"/>
        <w:spacing w:line="240" w:lineRule="auto"/>
      </w:pPr>
      <w:r>
        <w:lastRenderedPageBreak/>
        <w:t xml:space="preserve">Galesic, M., Bruine de Bruin, W., Dalege, J., Feld, S. L., Kreuter, F., Olsson, H., Prelec, D., Stein, D. L., &amp; van der Does, T. (2021). Human social sensing is an untapped resource for computational social science. </w:t>
      </w:r>
      <w:r>
        <w:rPr>
          <w:i/>
          <w:iCs/>
        </w:rPr>
        <w:t>Nature</w:t>
      </w:r>
      <w:r>
        <w:t xml:space="preserve">, </w:t>
      </w:r>
      <w:r>
        <w:rPr>
          <w:i/>
          <w:iCs/>
        </w:rPr>
        <w:t>595</w:t>
      </w:r>
      <w:r>
        <w:t>(7866), 214–222. https://doi.org/10.1038/s41586-021-03649-2</w:t>
      </w:r>
    </w:p>
    <w:p w14:paraId="469817BF" w14:textId="77777777" w:rsidR="00872B22" w:rsidRDefault="00872B22" w:rsidP="00A20F3F">
      <w:pPr>
        <w:pStyle w:val="Bibliography"/>
        <w:spacing w:line="240" w:lineRule="auto"/>
      </w:pPr>
      <w:r>
        <w:t xml:space="preserve">Garrett, J. J. (2010). </w:t>
      </w:r>
      <w:r>
        <w:rPr>
          <w:i/>
          <w:iCs/>
        </w:rPr>
        <w:t>The Elements of User Experience: User-Centered Design for the Web and Beyond</w:t>
      </w:r>
      <w:r>
        <w:t>. Pearson Education.</w:t>
      </w:r>
    </w:p>
    <w:p w14:paraId="53D3E456" w14:textId="77777777" w:rsidR="00872B22" w:rsidRDefault="00872B22" w:rsidP="00A20F3F">
      <w:pPr>
        <w:pStyle w:val="Bibliography"/>
        <w:spacing w:line="240" w:lineRule="auto"/>
      </w:pPr>
      <w:r>
        <w:t xml:space="preserve">Geisberger, R., Sanders, P., Schultes, D., &amp; Vetter, C. (2012). Exact Routing in Large Road Networks Using Contraction Hierarchies. </w:t>
      </w:r>
      <w:r>
        <w:rPr>
          <w:i/>
          <w:iCs/>
        </w:rPr>
        <w:t>Transportation Science</w:t>
      </w:r>
      <w:r>
        <w:t xml:space="preserve">, </w:t>
      </w:r>
      <w:r>
        <w:rPr>
          <w:i/>
          <w:iCs/>
        </w:rPr>
        <w:t>46</w:t>
      </w:r>
      <w:r>
        <w:t>(3), 388–404. https://doi.org/10.1287/trsc.1110.0401</w:t>
      </w:r>
    </w:p>
    <w:p w14:paraId="02EBA1F2" w14:textId="77777777" w:rsidR="00872B22" w:rsidRDefault="00872B22" w:rsidP="00A20F3F">
      <w:pPr>
        <w:pStyle w:val="Bibliography"/>
        <w:spacing w:line="240" w:lineRule="auto"/>
      </w:pPr>
      <w:r>
        <w:t xml:space="preserve">George, C., &amp; Tomer, A. (2021, August 17). Beyond ‘food deserts’: America needs a new approach to mapping food insecurity. </w:t>
      </w:r>
      <w:r>
        <w:rPr>
          <w:i/>
          <w:iCs/>
        </w:rPr>
        <w:t>Brookings</w:t>
      </w:r>
      <w:r>
        <w:t>. https://www.brookings.edu/research/beyond-food-deserts-america-needs-a-new-approach-to-mapping-food-insecurity/</w:t>
      </w:r>
    </w:p>
    <w:p w14:paraId="24B06734" w14:textId="77777777" w:rsidR="00872B22" w:rsidRDefault="00872B22" w:rsidP="00A20F3F">
      <w:pPr>
        <w:pStyle w:val="Bibliography"/>
        <w:spacing w:line="240" w:lineRule="auto"/>
      </w:pPr>
      <w:r>
        <w:t xml:space="preserve">George, C., &amp; Tomer, A. (2022). </w:t>
      </w:r>
      <w:r>
        <w:rPr>
          <w:i/>
          <w:iCs/>
        </w:rPr>
        <w:t>Delivering to deserts: New data reveals the geography of digital access to food in the U.S.</w:t>
      </w:r>
      <w:r>
        <w:t xml:space="preserve"> The Brookings Institution. https://www.brookings.edu/essay/delivering-to-deserts-new-data-reveals-the-geography-of-digital-access-to-food-in-the-us/</w:t>
      </w:r>
    </w:p>
    <w:p w14:paraId="1E7408C4" w14:textId="77777777" w:rsidR="00872B22" w:rsidRDefault="00872B22" w:rsidP="00A20F3F">
      <w:pPr>
        <w:pStyle w:val="Bibliography"/>
        <w:spacing w:line="240" w:lineRule="auto"/>
      </w:pPr>
      <w:r>
        <w:t xml:space="preserve">Geurs, K. T., &amp; van Wee, B. (2004). Accessibility evaluation of land-use and transport strategies: Review and research directions. </w:t>
      </w:r>
      <w:r>
        <w:rPr>
          <w:i/>
          <w:iCs/>
        </w:rPr>
        <w:t>Journal of Transport Geography</w:t>
      </w:r>
      <w:r>
        <w:t xml:space="preserve">, </w:t>
      </w:r>
      <w:r>
        <w:rPr>
          <w:i/>
          <w:iCs/>
        </w:rPr>
        <w:t>12</w:t>
      </w:r>
      <w:r>
        <w:t>(2), 127–140. https://doi.org/10.1016/j.jtrangeo.2003.10.005</w:t>
      </w:r>
    </w:p>
    <w:p w14:paraId="64810DA2" w14:textId="77777777" w:rsidR="00872B22" w:rsidRDefault="00872B22" w:rsidP="00A20F3F">
      <w:pPr>
        <w:pStyle w:val="Bibliography"/>
        <w:spacing w:line="240" w:lineRule="auto"/>
      </w:pPr>
      <w:r>
        <w:t xml:space="preserve">Golob, T. F., &amp; Regan, A. C. (2001). Impacts of information technology on personal travel and commercial vehicle operations: Research challenges and opportunities. </w:t>
      </w:r>
      <w:r>
        <w:rPr>
          <w:i/>
          <w:iCs/>
        </w:rPr>
        <w:t>Transportation Research Part C: Emerging Technologies</w:t>
      </w:r>
      <w:r>
        <w:t xml:space="preserve">, </w:t>
      </w:r>
      <w:r>
        <w:rPr>
          <w:i/>
          <w:iCs/>
        </w:rPr>
        <w:t>9</w:t>
      </w:r>
      <w:r>
        <w:t>(2), 87–121. https://doi.org/10.1016/S0968-090X(00)00042-5</w:t>
      </w:r>
    </w:p>
    <w:p w14:paraId="45F4F62A" w14:textId="77777777" w:rsidR="00872B22" w:rsidRDefault="00872B22" w:rsidP="00A20F3F">
      <w:pPr>
        <w:pStyle w:val="Bibliography"/>
        <w:spacing w:line="240" w:lineRule="auto"/>
      </w:pPr>
      <w:r>
        <w:t xml:space="preserve">Goodchild, M. F. (2007). Citizens as sensors: The world of volunteered geography. </w:t>
      </w:r>
      <w:r>
        <w:rPr>
          <w:i/>
          <w:iCs/>
        </w:rPr>
        <w:t>GeoJournal</w:t>
      </w:r>
      <w:r>
        <w:t xml:space="preserve">, </w:t>
      </w:r>
      <w:r>
        <w:rPr>
          <w:i/>
          <w:iCs/>
        </w:rPr>
        <w:t>69</w:t>
      </w:r>
      <w:r>
        <w:t>(4), 211–221. https://doi.org/10.1007/s10708-007-9111-y</w:t>
      </w:r>
    </w:p>
    <w:p w14:paraId="61947BD4" w14:textId="77777777" w:rsidR="00872B22" w:rsidRDefault="00872B22" w:rsidP="00A20F3F">
      <w:pPr>
        <w:pStyle w:val="Bibliography"/>
        <w:spacing w:line="240" w:lineRule="auto"/>
      </w:pPr>
      <w:r>
        <w:t xml:space="preserve">Goodchild, M. F., &amp; Sheppard, E. (2000). Foreword. In D. G. Janelle &amp; D. C. Hodge (Eds.), </w:t>
      </w:r>
      <w:r>
        <w:rPr>
          <w:i/>
          <w:iCs/>
        </w:rPr>
        <w:t>Information, Place, and Cyberspace: Issues in Accessibility</w:t>
      </w:r>
      <w:r>
        <w:t xml:space="preserve"> (pp. v–vi). Springer-Verlag. https://doi.org/10.1007/978-3-662-04027-0</w:t>
      </w:r>
    </w:p>
    <w:p w14:paraId="185F544D" w14:textId="77777777" w:rsidR="00872B22" w:rsidRDefault="00872B22" w:rsidP="00A20F3F">
      <w:pPr>
        <w:pStyle w:val="Bibliography"/>
        <w:spacing w:line="240" w:lineRule="auto"/>
      </w:pPr>
      <w:r>
        <w:t xml:space="preserve">Google Maps. (2022). </w:t>
      </w:r>
      <w:r>
        <w:rPr>
          <w:i/>
          <w:iCs/>
        </w:rPr>
        <w:t>Directions API</w:t>
      </w:r>
      <w:r>
        <w:t>. Google. https://developers.google.com/maps/documentation/directions/overview</w:t>
      </w:r>
    </w:p>
    <w:p w14:paraId="1C31D11C" w14:textId="77777777" w:rsidR="00872B22" w:rsidRDefault="00872B22" w:rsidP="00A20F3F">
      <w:pPr>
        <w:pStyle w:val="Bibliography"/>
        <w:spacing w:line="240" w:lineRule="auto"/>
      </w:pPr>
      <w:r>
        <w:t xml:space="preserve">Gould, P. R. (1969). </w:t>
      </w:r>
      <w:r>
        <w:rPr>
          <w:i/>
          <w:iCs/>
        </w:rPr>
        <w:t>Spatial Diffusion, Resource Paper No. 4</w:t>
      </w:r>
      <w:r>
        <w:t>. https://eric.ed.gov/?id=ED120029</w:t>
      </w:r>
    </w:p>
    <w:p w14:paraId="3E2FEF6C" w14:textId="77777777" w:rsidR="00872B22" w:rsidRDefault="00872B22" w:rsidP="00A20F3F">
      <w:pPr>
        <w:pStyle w:val="Bibliography"/>
        <w:spacing w:line="240" w:lineRule="auto"/>
      </w:pPr>
      <w:r>
        <w:t xml:space="preserve">Graham, M. (2014). Internet Geographies: Data Shadows and Digital Divisions of Labour. In </w:t>
      </w:r>
      <w:r>
        <w:rPr>
          <w:i/>
          <w:iCs/>
        </w:rPr>
        <w:t>Society and the Internet: How Networks of Information and Communication are Changing our Lives</w:t>
      </w:r>
      <w:r>
        <w:t xml:space="preserve"> (pp. 99–116). Oxford University Press. https://doi.org/10.2139/ssrn.2448222</w:t>
      </w:r>
    </w:p>
    <w:p w14:paraId="5000CA51" w14:textId="77777777" w:rsidR="00872B22" w:rsidRDefault="00872B22" w:rsidP="00A20F3F">
      <w:pPr>
        <w:pStyle w:val="Bibliography"/>
        <w:spacing w:line="240" w:lineRule="auto"/>
      </w:pPr>
      <w:r>
        <w:t xml:space="preserve">Grisé, E., Boisjoly, G., Maguire, M., &amp; El-Geneidy, A. (2019). Elevating access: Comparing accessibility to jobs by public transport for individuals with and without a physical disability. </w:t>
      </w:r>
      <w:r>
        <w:rPr>
          <w:i/>
          <w:iCs/>
        </w:rPr>
        <w:t>Transportation Research Part A: Policy and Practice</w:t>
      </w:r>
      <w:r>
        <w:t xml:space="preserve">, </w:t>
      </w:r>
      <w:r>
        <w:rPr>
          <w:i/>
          <w:iCs/>
        </w:rPr>
        <w:t>125</w:t>
      </w:r>
      <w:r>
        <w:t>, 280–293. https://doi.org/10.1016/j.tra.2018.02.017</w:t>
      </w:r>
    </w:p>
    <w:p w14:paraId="495E5539" w14:textId="77777777" w:rsidR="00872B22" w:rsidRDefault="00872B22" w:rsidP="00A20F3F">
      <w:pPr>
        <w:pStyle w:val="Bibliography"/>
        <w:spacing w:line="240" w:lineRule="auto"/>
      </w:pPr>
      <w:r>
        <w:t xml:space="preserve">Guan, D., Wang, D., Hallegatte, S., Davis, S. J., Huo, J., Li, S., Bai, Y., Lei, T., Xue, Q., Coffman, D., Cheng, D., Chen, P., Liang, X., Xu, B., Lu, X., Wang, S., Hubacek, K., &amp; Gong, P. (2020). Global supply-chain effects of COVID-19 control measures. </w:t>
      </w:r>
      <w:r>
        <w:rPr>
          <w:i/>
          <w:iCs/>
        </w:rPr>
        <w:t>Nature Human Behaviour</w:t>
      </w:r>
      <w:r>
        <w:t xml:space="preserve">, </w:t>
      </w:r>
      <w:r>
        <w:rPr>
          <w:i/>
          <w:iCs/>
        </w:rPr>
        <w:t>4</w:t>
      </w:r>
      <w:r>
        <w:t>(6), 577–587. https://doi.org/10.1038/s41562-020-0896-8</w:t>
      </w:r>
    </w:p>
    <w:p w14:paraId="42F856B4" w14:textId="77777777" w:rsidR="00872B22" w:rsidRDefault="00872B22" w:rsidP="00A20F3F">
      <w:pPr>
        <w:pStyle w:val="Bibliography"/>
        <w:spacing w:line="240" w:lineRule="auto"/>
      </w:pPr>
      <w:r>
        <w:t xml:space="preserve">Hägerstrand, T. (1970). What about people in regional science? </w:t>
      </w:r>
      <w:r>
        <w:rPr>
          <w:i/>
          <w:iCs/>
        </w:rPr>
        <w:t>Papers in Regional Science</w:t>
      </w:r>
      <w:r>
        <w:t xml:space="preserve">, </w:t>
      </w:r>
      <w:r>
        <w:rPr>
          <w:i/>
          <w:iCs/>
        </w:rPr>
        <w:t>24</w:t>
      </w:r>
      <w:r>
        <w:t>(1), 6–21. https://onlinelibrary.wiley.com/doi/abs/10.1111/j.1435-5597.1970.tb01464.x</w:t>
      </w:r>
    </w:p>
    <w:p w14:paraId="4C231FEA" w14:textId="77777777" w:rsidR="00872B22" w:rsidRDefault="00872B22" w:rsidP="00A20F3F">
      <w:pPr>
        <w:pStyle w:val="Bibliography"/>
        <w:spacing w:line="240" w:lineRule="auto"/>
      </w:pPr>
      <w:r>
        <w:lastRenderedPageBreak/>
        <w:t xml:space="preserve">Hägerstrand, T. (1982). Diorama, Path and Project. </w:t>
      </w:r>
      <w:r>
        <w:rPr>
          <w:i/>
          <w:iCs/>
        </w:rPr>
        <w:t>Tijdschrift Voor Economische En Sociale Geografie</w:t>
      </w:r>
      <w:r>
        <w:t xml:space="preserve">, </w:t>
      </w:r>
      <w:r>
        <w:rPr>
          <w:i/>
          <w:iCs/>
        </w:rPr>
        <w:t>73</w:t>
      </w:r>
      <w:r>
        <w:t>(6), 323–339. https://doi.org/10.1111/j.1467-9663.1982.tb01647.x</w:t>
      </w:r>
    </w:p>
    <w:p w14:paraId="7A8C3CC1" w14:textId="77777777" w:rsidR="00872B22" w:rsidRDefault="00872B22" w:rsidP="00A20F3F">
      <w:pPr>
        <w:pStyle w:val="Bibliography"/>
        <w:spacing w:line="240" w:lineRule="auto"/>
      </w:pPr>
      <w:r>
        <w:t xml:space="preserve">Hagg, M., &amp; El-Geneidy, A. M. (2010). </w:t>
      </w:r>
      <w:r>
        <w:rPr>
          <w:i/>
          <w:iCs/>
        </w:rPr>
        <w:t>Making the Montreal indoor city accessible to people with disabilities</w:t>
      </w:r>
      <w:r>
        <w:t>. Transportation Research Board Annual Meeting, Washington D.C., USA. https://tram.mcgill.ca/Research/Publications/Indoor_city_accessible.pdf</w:t>
      </w:r>
    </w:p>
    <w:p w14:paraId="7103B5C4" w14:textId="77777777" w:rsidR="00872B22" w:rsidRDefault="00872B22" w:rsidP="00A20F3F">
      <w:pPr>
        <w:pStyle w:val="Bibliography"/>
        <w:spacing w:line="240" w:lineRule="auto"/>
      </w:pPr>
      <w:r>
        <w:t xml:space="preserve">Hamrick, K. S., &amp; Hopkins, D. (2012). The time cost of access to food—Distance to the grocery store as measured in minutes. </w:t>
      </w:r>
      <w:r>
        <w:rPr>
          <w:i/>
          <w:iCs/>
        </w:rPr>
        <w:t>International Journal of Time Use Research</w:t>
      </w:r>
      <w:r>
        <w:t xml:space="preserve">, </w:t>
      </w:r>
      <w:r>
        <w:rPr>
          <w:i/>
          <w:iCs/>
        </w:rPr>
        <w:t>9</w:t>
      </w:r>
      <w:r>
        <w:t>(1), 28–58. https://doi.org/10.13085/eIJTUR.9.1.28-58</w:t>
      </w:r>
    </w:p>
    <w:p w14:paraId="36611192" w14:textId="77777777" w:rsidR="00872B22" w:rsidRDefault="00872B22" w:rsidP="00A20F3F">
      <w:pPr>
        <w:pStyle w:val="Bibliography"/>
        <w:spacing w:line="240" w:lineRule="auto"/>
      </w:pPr>
      <w:r>
        <w:t xml:space="preserve">Handy, S., &amp; Niemeier, D. A. (1997). Measuring Accessibility: An Exploration of Issues and Alternatives. </w:t>
      </w:r>
      <w:r>
        <w:rPr>
          <w:i/>
          <w:iCs/>
        </w:rPr>
        <w:t>Environment and Planning A: Economy and Space</w:t>
      </w:r>
      <w:r>
        <w:t xml:space="preserve">, </w:t>
      </w:r>
      <w:r>
        <w:rPr>
          <w:i/>
          <w:iCs/>
        </w:rPr>
        <w:t>29</w:t>
      </w:r>
      <w:r>
        <w:t>(7), 1175–1194. https://doi.org/10.1068/a291175</w:t>
      </w:r>
    </w:p>
    <w:p w14:paraId="44EBE122" w14:textId="77777777" w:rsidR="00872B22" w:rsidRDefault="00872B22" w:rsidP="00A20F3F">
      <w:pPr>
        <w:pStyle w:val="Bibliography"/>
        <w:spacing w:line="240" w:lineRule="auto"/>
      </w:pPr>
      <w:r>
        <w:t xml:space="preserve">Hansen, W. G. (1959). How Accessibility Shapes Land Use. </w:t>
      </w:r>
      <w:r>
        <w:rPr>
          <w:i/>
          <w:iCs/>
        </w:rPr>
        <w:t>Journal of the American Institute of Planners</w:t>
      </w:r>
      <w:r>
        <w:t xml:space="preserve">, </w:t>
      </w:r>
      <w:r>
        <w:rPr>
          <w:i/>
          <w:iCs/>
        </w:rPr>
        <w:t>25</w:t>
      </w:r>
      <w:r>
        <w:t>(2), 73–76. https://doi.org/10.1080/01944365908978307</w:t>
      </w:r>
    </w:p>
    <w:p w14:paraId="2828C00D" w14:textId="77777777" w:rsidR="00872B22" w:rsidRDefault="00872B22" w:rsidP="00A20F3F">
      <w:pPr>
        <w:pStyle w:val="Bibliography"/>
        <w:spacing w:line="240" w:lineRule="auto"/>
      </w:pPr>
      <w:r>
        <w:t xml:space="preserve">Hewko, J., Smoyer-Tomic, K. E., &amp; Hodgson, M. J. (2002). Measuring Neighbourhood Spatial Accessibility to Urban Amenities: Does Aggregation Error Matter? </w:t>
      </w:r>
      <w:r>
        <w:rPr>
          <w:i/>
          <w:iCs/>
        </w:rPr>
        <w:t>Environment and Planning A: Economy and Space</w:t>
      </w:r>
      <w:r>
        <w:t xml:space="preserve">, </w:t>
      </w:r>
      <w:r>
        <w:rPr>
          <w:i/>
          <w:iCs/>
        </w:rPr>
        <w:t>34</w:t>
      </w:r>
      <w:r>
        <w:t>(7), 1185–1206. https://doi.org/10.1068/a34171</w:t>
      </w:r>
    </w:p>
    <w:p w14:paraId="3E5C7F60" w14:textId="77777777" w:rsidR="00872B22" w:rsidRDefault="00872B22" w:rsidP="00A20F3F">
      <w:pPr>
        <w:pStyle w:val="Bibliography"/>
        <w:spacing w:line="240" w:lineRule="auto"/>
      </w:pPr>
      <w:r>
        <w:t xml:space="preserve">Hillier, A., Smith, T., Cannuscio, C. C., Karpyn, A., &amp; Glanz, K. (2015). A Discrete Choice Approach to Modeling Food Store Access. </w:t>
      </w:r>
      <w:r>
        <w:rPr>
          <w:i/>
          <w:iCs/>
        </w:rPr>
        <w:t>Environment and Planning B: Planning and Design</w:t>
      </w:r>
      <w:r>
        <w:t xml:space="preserve">, </w:t>
      </w:r>
      <w:r>
        <w:rPr>
          <w:i/>
          <w:iCs/>
        </w:rPr>
        <w:t>42</w:t>
      </w:r>
      <w:r>
        <w:t>(2), 263–278. https://doi.org/10.1068/b39136</w:t>
      </w:r>
    </w:p>
    <w:p w14:paraId="7D8F58BE" w14:textId="77777777" w:rsidR="00872B22" w:rsidRDefault="00872B22" w:rsidP="00A20F3F">
      <w:pPr>
        <w:pStyle w:val="Bibliography"/>
        <w:spacing w:line="240" w:lineRule="auto"/>
      </w:pPr>
      <w:r>
        <w:t xml:space="preserve">Hillier, B., &amp; Hanson, J. (1984). </w:t>
      </w:r>
      <w:r>
        <w:rPr>
          <w:i/>
          <w:iCs/>
        </w:rPr>
        <w:t>The Social Logic of Space</w:t>
      </w:r>
      <w:r>
        <w:t>. Cambridge University Press. https://www.cambridge.org/core/books/social-logic-of-space/6B0A078C79A74F0CC615ACD8B250A985</w:t>
      </w:r>
    </w:p>
    <w:p w14:paraId="7F4C6D2D" w14:textId="77777777" w:rsidR="00872B22" w:rsidRDefault="00872B22" w:rsidP="00A20F3F">
      <w:pPr>
        <w:pStyle w:val="Bibliography"/>
        <w:spacing w:line="240" w:lineRule="auto"/>
      </w:pPr>
      <w:r>
        <w:t xml:space="preserve">Hillman, N. (2019). </w:t>
      </w:r>
      <w:r>
        <w:rPr>
          <w:i/>
          <w:iCs/>
        </w:rPr>
        <w:t>Place Matters: A Closer Look at Education Deserts</w:t>
      </w:r>
      <w:r>
        <w:t>. Third Way. https://www.jstor.org/stable/resrep41709</w:t>
      </w:r>
    </w:p>
    <w:p w14:paraId="320556CD" w14:textId="77777777" w:rsidR="00872B22" w:rsidRDefault="00872B22" w:rsidP="00A20F3F">
      <w:pPr>
        <w:pStyle w:val="Bibliography"/>
        <w:spacing w:line="240" w:lineRule="auto"/>
      </w:pPr>
      <w:r>
        <w:t xml:space="preserve">HLPE. (2017). </w:t>
      </w:r>
      <w:r>
        <w:rPr>
          <w:i/>
          <w:iCs/>
        </w:rPr>
        <w:t>Nutrition and food systems</w:t>
      </w:r>
      <w:r>
        <w:t xml:space="preserve"> (p. 152). The High Level Panel of Experts on Food Security and Nutrition.</w:t>
      </w:r>
    </w:p>
    <w:p w14:paraId="11DFCF44" w14:textId="77777777" w:rsidR="00872B22" w:rsidRDefault="00872B22" w:rsidP="00A20F3F">
      <w:pPr>
        <w:pStyle w:val="Bibliography"/>
        <w:spacing w:line="240" w:lineRule="auto"/>
      </w:pPr>
      <w:r>
        <w:t xml:space="preserve">Hong, Y.-R., Lawrence, J., Williams, D., &amp; Mainous III, A. (2020). Population-Level Interest and Telehealth Capacity of US Hospitals in Response to COVID-19: Cross-Sectional Analysis of Google Search and National Hospital Survey Data. </w:t>
      </w:r>
      <w:r>
        <w:rPr>
          <w:i/>
          <w:iCs/>
        </w:rPr>
        <w:t>JMIR Public Health and Surveillance</w:t>
      </w:r>
      <w:r>
        <w:t xml:space="preserve">, </w:t>
      </w:r>
      <w:r>
        <w:rPr>
          <w:i/>
          <w:iCs/>
        </w:rPr>
        <w:t>6</w:t>
      </w:r>
      <w:r>
        <w:t>(2), e18961. https://doi.org/10.2196/18961</w:t>
      </w:r>
    </w:p>
    <w:p w14:paraId="521F208B" w14:textId="77777777" w:rsidR="00872B22" w:rsidRDefault="00872B22" w:rsidP="00A20F3F">
      <w:pPr>
        <w:pStyle w:val="Bibliography"/>
        <w:spacing w:line="240" w:lineRule="auto"/>
      </w:pPr>
      <w:r>
        <w:t xml:space="preserve">Horner, M. W., &amp; Wood, B. S. (2014). Capturing individuals’ food environments using flexible space-time accessibility measures. </w:t>
      </w:r>
      <w:r>
        <w:rPr>
          <w:i/>
          <w:iCs/>
        </w:rPr>
        <w:t>Applied Geography</w:t>
      </w:r>
      <w:r>
        <w:t xml:space="preserve">, </w:t>
      </w:r>
      <w:r>
        <w:rPr>
          <w:i/>
          <w:iCs/>
        </w:rPr>
        <w:t>51</w:t>
      </w:r>
      <w:r>
        <w:t>, 99–107. https://doi.org/10.1016/j.apgeog.2014.03.007</w:t>
      </w:r>
    </w:p>
    <w:p w14:paraId="0F306138" w14:textId="77777777" w:rsidR="00872B22" w:rsidRDefault="00872B22" w:rsidP="00A20F3F">
      <w:pPr>
        <w:pStyle w:val="Bibliography"/>
        <w:spacing w:line="240" w:lineRule="auto"/>
      </w:pPr>
      <w:r>
        <w:t xml:space="preserve">Hu, Y., &amp; Downs, J. (2019). Measuring and visualizing place-based space-time job accessibility. </w:t>
      </w:r>
      <w:r>
        <w:rPr>
          <w:i/>
          <w:iCs/>
        </w:rPr>
        <w:t>Journal of Transport Geography</w:t>
      </w:r>
      <w:r>
        <w:t xml:space="preserve">, </w:t>
      </w:r>
      <w:r>
        <w:rPr>
          <w:i/>
          <w:iCs/>
        </w:rPr>
        <w:t>74</w:t>
      </w:r>
      <w:r>
        <w:t>, 278–288. https://doi.org/10.1016/j.jtrangeo.2018.12.002</w:t>
      </w:r>
    </w:p>
    <w:p w14:paraId="4E0E6A53" w14:textId="77777777" w:rsidR="00872B22" w:rsidRDefault="00872B22" w:rsidP="00A20F3F">
      <w:pPr>
        <w:pStyle w:val="Bibliography"/>
        <w:spacing w:line="240" w:lineRule="auto"/>
      </w:pPr>
      <w:r>
        <w:t xml:space="preserve">Huang, D. L., Rosenberg, D. E., Simonovich, S. D., &amp; Belza, B. (2012). Food Access Patterns and Barriers among Midlife and Older Adults with Mobility Disabilities. </w:t>
      </w:r>
      <w:r>
        <w:rPr>
          <w:i/>
          <w:iCs/>
        </w:rPr>
        <w:t>Journal of Aging Research</w:t>
      </w:r>
      <w:r>
        <w:t xml:space="preserve">, </w:t>
      </w:r>
      <w:r>
        <w:rPr>
          <w:i/>
          <w:iCs/>
        </w:rPr>
        <w:t>2012</w:t>
      </w:r>
      <w:r>
        <w:t>, 231489. https://doi.org/10.1155/2012/231489</w:t>
      </w:r>
    </w:p>
    <w:p w14:paraId="1A11C8D9" w14:textId="77777777" w:rsidR="00872B22" w:rsidRDefault="00872B22" w:rsidP="00A20F3F">
      <w:pPr>
        <w:pStyle w:val="Bibliography"/>
        <w:spacing w:line="240" w:lineRule="auto"/>
      </w:pPr>
      <w:r>
        <w:t xml:space="preserve">Huggins, J. (2022). </w:t>
      </w:r>
      <w:r>
        <w:rPr>
          <w:i/>
          <w:iCs/>
        </w:rPr>
        <w:t>Selenium</w:t>
      </w:r>
      <w:r>
        <w:t>. ThoughtWorks. https://www.selenium.dev/</w:t>
      </w:r>
    </w:p>
    <w:p w14:paraId="3752E661" w14:textId="77777777" w:rsidR="00872B22" w:rsidRDefault="00872B22" w:rsidP="00A20F3F">
      <w:pPr>
        <w:pStyle w:val="Bibliography"/>
        <w:spacing w:line="240" w:lineRule="auto"/>
      </w:pPr>
      <w:r>
        <w:t xml:space="preserve">Ingold, D., &amp; Soper, S. (2016, April 21). </w:t>
      </w:r>
      <w:r>
        <w:rPr>
          <w:i/>
          <w:iCs/>
        </w:rPr>
        <w:t>Amazon Doesn’t Consider the Race of Its Customers. Should It?</w:t>
      </w:r>
      <w:r>
        <w:t xml:space="preserve"> Bloomberg.Com. http://www.bloomberg.com/graphics/2016-amazon-same-day/</w:t>
      </w:r>
    </w:p>
    <w:p w14:paraId="025CDDE6" w14:textId="77777777" w:rsidR="00872B22" w:rsidRDefault="00872B22" w:rsidP="00A20F3F">
      <w:pPr>
        <w:pStyle w:val="Bibliography"/>
        <w:spacing w:line="240" w:lineRule="auto"/>
      </w:pPr>
      <w:r>
        <w:t xml:space="preserve">Ingram, D. R. (1971). The concept of accessibility: A search for an operational form. </w:t>
      </w:r>
      <w:r>
        <w:rPr>
          <w:i/>
          <w:iCs/>
        </w:rPr>
        <w:t>Regional Studies</w:t>
      </w:r>
      <w:r>
        <w:t xml:space="preserve">, </w:t>
      </w:r>
      <w:r>
        <w:rPr>
          <w:i/>
          <w:iCs/>
        </w:rPr>
        <w:t>5</w:t>
      </w:r>
      <w:r>
        <w:t>(2), 101–107. https://doi.org/10.1080/09595237100185131</w:t>
      </w:r>
    </w:p>
    <w:p w14:paraId="3FB97F0C" w14:textId="77777777" w:rsidR="00872B22" w:rsidRDefault="00872B22" w:rsidP="00A20F3F">
      <w:pPr>
        <w:pStyle w:val="Bibliography"/>
        <w:spacing w:line="240" w:lineRule="auto"/>
      </w:pPr>
      <w:r>
        <w:lastRenderedPageBreak/>
        <w:t xml:space="preserve">Janelle, D. G., &amp; Hodge, D. C. (2000). Information, Place, Cyberspace, and Accessibility. In D. G. Janelle &amp; D. C. Hodge (Eds.), </w:t>
      </w:r>
      <w:r>
        <w:rPr>
          <w:i/>
          <w:iCs/>
        </w:rPr>
        <w:t>Information, Place, and Cyberspace: Issues in Accessibility</w:t>
      </w:r>
      <w:r>
        <w:t xml:space="preserve"> (pp. 3–11). Springer. https://doi.org/10.1007/978-3-662-04027-0_1</w:t>
      </w:r>
    </w:p>
    <w:p w14:paraId="4A4BB592" w14:textId="77777777" w:rsidR="00872B22" w:rsidRDefault="00872B22" w:rsidP="00A20F3F">
      <w:pPr>
        <w:pStyle w:val="Bibliography"/>
        <w:spacing w:line="240" w:lineRule="auto"/>
      </w:pPr>
      <w:r>
        <w:t xml:space="preserve">Jones, P. (1988). The geographical development of convenience stores in Britain. </w:t>
      </w:r>
      <w:r>
        <w:rPr>
          <w:i/>
          <w:iCs/>
        </w:rPr>
        <w:t>Geography</w:t>
      </w:r>
      <w:r>
        <w:t xml:space="preserve">, </w:t>
      </w:r>
      <w:r>
        <w:rPr>
          <w:i/>
          <w:iCs/>
        </w:rPr>
        <w:t>73</w:t>
      </w:r>
      <w:r>
        <w:t>(2), 146–148. https://www.jstor.org/stable/40571388</w:t>
      </w:r>
    </w:p>
    <w:p w14:paraId="55817416" w14:textId="77777777" w:rsidR="00872B22" w:rsidRDefault="00872B22" w:rsidP="00A20F3F">
      <w:pPr>
        <w:pStyle w:val="Bibliography"/>
        <w:spacing w:line="240" w:lineRule="auto"/>
      </w:pPr>
      <w:r>
        <w:t xml:space="preserve">Joseph, A. E., &amp; Bantock, P. R. (1982). Measuring potential physical accessibility to general practitioners in rural areas: A method and case study. </w:t>
      </w:r>
      <w:r>
        <w:rPr>
          <w:i/>
          <w:iCs/>
        </w:rPr>
        <w:t>Social Science &amp; Medicine</w:t>
      </w:r>
      <w:r>
        <w:t xml:space="preserve">, </w:t>
      </w:r>
      <w:r>
        <w:rPr>
          <w:i/>
          <w:iCs/>
        </w:rPr>
        <w:t>16</w:t>
      </w:r>
      <w:r>
        <w:t>(1), 85–90. https://doi.org/10.1016/0277-9536(82)90428-2</w:t>
      </w:r>
    </w:p>
    <w:p w14:paraId="624F45DC" w14:textId="77777777" w:rsidR="00872B22" w:rsidRDefault="00872B22" w:rsidP="00A20F3F">
      <w:pPr>
        <w:pStyle w:val="Bibliography"/>
        <w:spacing w:line="240" w:lineRule="auto"/>
      </w:pPr>
      <w:r>
        <w:t xml:space="preserve">Joseph, A. E., &amp; Phillips, D. R. (1984). </w:t>
      </w:r>
      <w:r>
        <w:rPr>
          <w:i/>
          <w:iCs/>
        </w:rPr>
        <w:t>Accessibility and utilization: Geographical perspectives on health care delivery</w:t>
      </w:r>
      <w:r>
        <w:t>. Harper &amp; Row. http://www.scopus.com/inward/record.url?scp=0021538772&amp;partnerID=8YFLogxK</w:t>
      </w:r>
    </w:p>
    <w:p w14:paraId="1637E8E8" w14:textId="77777777" w:rsidR="00872B22" w:rsidRDefault="00872B22" w:rsidP="00A20F3F">
      <w:pPr>
        <w:pStyle w:val="Bibliography"/>
        <w:spacing w:line="240" w:lineRule="auto"/>
      </w:pPr>
      <w:r>
        <w:t xml:space="preserve">Kant, I. (1992). On the Form and Principles of the Sensible and the Intelligble World [Inaugural Dissertation]. In D. Walford &amp; R. Meerbote (Trans.), </w:t>
      </w:r>
      <w:r>
        <w:rPr>
          <w:i/>
          <w:iCs/>
        </w:rPr>
        <w:t>Theoretical Philosophy: 1755-1770</w:t>
      </w:r>
      <w:r>
        <w:t>. Cambridge University Press.</w:t>
      </w:r>
    </w:p>
    <w:p w14:paraId="79EED9E7" w14:textId="77777777" w:rsidR="00872B22" w:rsidRDefault="00872B22" w:rsidP="00A20F3F">
      <w:pPr>
        <w:pStyle w:val="Bibliography"/>
        <w:spacing w:line="240" w:lineRule="auto"/>
      </w:pPr>
      <w:r>
        <w:t xml:space="preserve">Katona, G. (1951). </w:t>
      </w:r>
      <w:r>
        <w:rPr>
          <w:i/>
          <w:iCs/>
        </w:rPr>
        <w:t>Psychological analysis of economic behavior</w:t>
      </w:r>
      <w:r>
        <w:t xml:space="preserve"> (pp. ix, 347). McGraw-Hill.</w:t>
      </w:r>
    </w:p>
    <w:p w14:paraId="5B2A7A03" w14:textId="77777777" w:rsidR="00872B22" w:rsidRDefault="00872B22" w:rsidP="00A20F3F">
      <w:pPr>
        <w:pStyle w:val="Bibliography"/>
        <w:spacing w:line="240" w:lineRule="auto"/>
      </w:pPr>
      <w:r>
        <w:t xml:space="preserve">Katona, G. (1974). Psychology and Consumer Economics. </w:t>
      </w:r>
      <w:r>
        <w:rPr>
          <w:i/>
          <w:iCs/>
        </w:rPr>
        <w:t>Journal of Consumer Research</w:t>
      </w:r>
      <w:r>
        <w:t xml:space="preserve">, </w:t>
      </w:r>
      <w:r>
        <w:rPr>
          <w:i/>
          <w:iCs/>
        </w:rPr>
        <w:t>1</w:t>
      </w:r>
      <w:r>
        <w:t>(1), 1–8. https://www.jstor.org/stable/2488948</w:t>
      </w:r>
    </w:p>
    <w:p w14:paraId="0797B21D" w14:textId="77777777" w:rsidR="00872B22" w:rsidRDefault="00872B22" w:rsidP="00A20F3F">
      <w:pPr>
        <w:pStyle w:val="Bibliography"/>
        <w:spacing w:line="240" w:lineRule="auto"/>
      </w:pPr>
      <w:r>
        <w:t xml:space="preserve">Katona, G. (1975). </w:t>
      </w:r>
      <w:r>
        <w:rPr>
          <w:i/>
          <w:iCs/>
        </w:rPr>
        <w:t>Psychological economics</w:t>
      </w:r>
      <w:r>
        <w:t xml:space="preserve"> (pp. x, 438). Elsevier.</w:t>
      </w:r>
    </w:p>
    <w:p w14:paraId="6198C106" w14:textId="77777777" w:rsidR="00872B22" w:rsidRDefault="00872B22" w:rsidP="00A20F3F">
      <w:pPr>
        <w:pStyle w:val="Bibliography"/>
        <w:spacing w:line="240" w:lineRule="auto"/>
      </w:pPr>
      <w:r>
        <w:t xml:space="preserve">Katona, G., &amp; Likert, R. (1946). Relationship between Consumer Expenditures and Savings: The Contribution of Survey Research. </w:t>
      </w:r>
      <w:r>
        <w:rPr>
          <w:i/>
          <w:iCs/>
        </w:rPr>
        <w:t>The Review of Economics and Statistics</w:t>
      </w:r>
      <w:r>
        <w:t xml:space="preserve">, </w:t>
      </w:r>
      <w:r>
        <w:rPr>
          <w:i/>
          <w:iCs/>
        </w:rPr>
        <w:t>28</w:t>
      </w:r>
      <w:r>
        <w:t>(4), 197–199. https://doi.org/10.2307/1925415</w:t>
      </w:r>
    </w:p>
    <w:p w14:paraId="3C31EFC0" w14:textId="77777777" w:rsidR="00872B22" w:rsidRDefault="00872B22" w:rsidP="00A20F3F">
      <w:pPr>
        <w:pStyle w:val="Bibliography"/>
        <w:spacing w:line="240" w:lineRule="auto"/>
      </w:pPr>
      <w:r>
        <w:t xml:space="preserve">Kenyon, S. (2010). The impacts of Internet use upon activity participation and travel: Results from a longitudinal diary-based panel study. </w:t>
      </w:r>
      <w:r>
        <w:rPr>
          <w:i/>
          <w:iCs/>
        </w:rPr>
        <w:t>Transportation Research Part C: Emerging Technologies</w:t>
      </w:r>
      <w:r>
        <w:t xml:space="preserve">, </w:t>
      </w:r>
      <w:r>
        <w:rPr>
          <w:i/>
          <w:iCs/>
        </w:rPr>
        <w:t>18</w:t>
      </w:r>
      <w:r>
        <w:t>(1), 21–35. https://doi.org/10.1016/j.trc.2009.04.014</w:t>
      </w:r>
    </w:p>
    <w:p w14:paraId="62C77A28" w14:textId="77777777" w:rsidR="00872B22" w:rsidRDefault="00872B22" w:rsidP="00A20F3F">
      <w:pPr>
        <w:pStyle w:val="Bibliography"/>
        <w:spacing w:line="240" w:lineRule="auto"/>
      </w:pPr>
      <w:r>
        <w:t xml:space="preserve">Kenyon, S., Lyons, G., &amp; Rafferty, J. (2002). Transport and social exclusion: Investigating the possibility of promoting inclusion through virtual mobility. </w:t>
      </w:r>
      <w:r>
        <w:rPr>
          <w:i/>
          <w:iCs/>
        </w:rPr>
        <w:t>Journal of Transport Geography</w:t>
      </w:r>
      <w:r>
        <w:t xml:space="preserve">, </w:t>
      </w:r>
      <w:r>
        <w:rPr>
          <w:i/>
          <w:iCs/>
        </w:rPr>
        <w:t>10</w:t>
      </w:r>
      <w:r>
        <w:t>(3), 207–219. https://doi.org/10.1016/S0966-6923(02)00012-1</w:t>
      </w:r>
    </w:p>
    <w:p w14:paraId="19A62F78" w14:textId="77777777" w:rsidR="00872B22" w:rsidRDefault="00872B22" w:rsidP="00A20F3F">
      <w:pPr>
        <w:pStyle w:val="Bibliography"/>
        <w:spacing w:line="240" w:lineRule="auto"/>
      </w:pPr>
      <w:r>
        <w:t xml:space="preserve">Kestens, Y., Lebel, A., Daniel, M., Thériault, M., &amp; Pampalon, R. (2010). Using experienced activity spaces to measure foodscape exposure. </w:t>
      </w:r>
      <w:r>
        <w:rPr>
          <w:i/>
          <w:iCs/>
        </w:rPr>
        <w:t>Health &amp; Place</w:t>
      </w:r>
      <w:r>
        <w:t xml:space="preserve">, </w:t>
      </w:r>
      <w:r>
        <w:rPr>
          <w:i/>
          <w:iCs/>
        </w:rPr>
        <w:t>16</w:t>
      </w:r>
      <w:r>
        <w:t>(6), 1094–1103. https://doi.org/10.1016/j.healthplace.2010.06.016</w:t>
      </w:r>
    </w:p>
    <w:p w14:paraId="1777C764" w14:textId="77777777" w:rsidR="00872B22" w:rsidRDefault="00872B22" w:rsidP="00A20F3F">
      <w:pPr>
        <w:pStyle w:val="Bibliography"/>
        <w:spacing w:line="240" w:lineRule="auto"/>
      </w:pPr>
      <w:r>
        <w:t xml:space="preserve">Khan, A. A., &amp; Bhardwaj, S. M. (1994). Access to Health Care: A Conceptual Framework and its Relevance to Health Care Planning. </w:t>
      </w:r>
      <w:r>
        <w:rPr>
          <w:i/>
          <w:iCs/>
        </w:rPr>
        <w:t>Evaluation &amp; the Health Professions</w:t>
      </w:r>
      <w:r>
        <w:t xml:space="preserve">, </w:t>
      </w:r>
      <w:r>
        <w:rPr>
          <w:i/>
          <w:iCs/>
        </w:rPr>
        <w:t>17</w:t>
      </w:r>
      <w:r>
        <w:t>(1), 60–76. https://doi.org/10.1177/016327879401700104</w:t>
      </w:r>
    </w:p>
    <w:p w14:paraId="69291507" w14:textId="77777777" w:rsidR="00872B22" w:rsidRDefault="00872B22" w:rsidP="00A20F3F">
      <w:pPr>
        <w:pStyle w:val="Bibliography"/>
        <w:spacing w:line="240" w:lineRule="auto"/>
      </w:pPr>
      <w:r>
        <w:t xml:space="preserve">Kim, H. (2021). Use of Mobile Grocery Shopping Application: Motivation and Decision-Making Process among South Korean Consumers. </w:t>
      </w:r>
      <w:r>
        <w:rPr>
          <w:i/>
          <w:iCs/>
        </w:rPr>
        <w:t>Journal of Theoretical and Applied Electronic Commerce Research</w:t>
      </w:r>
      <w:r>
        <w:t xml:space="preserve">, </w:t>
      </w:r>
      <w:r>
        <w:rPr>
          <w:i/>
          <w:iCs/>
        </w:rPr>
        <w:t>16</w:t>
      </w:r>
      <w:r>
        <w:t>(7), 2672–2693. https://doi.org/10.3390/jtaer16070147</w:t>
      </w:r>
    </w:p>
    <w:p w14:paraId="6818953E" w14:textId="77777777" w:rsidR="00872B22" w:rsidRDefault="00872B22" w:rsidP="00A20F3F">
      <w:pPr>
        <w:pStyle w:val="Bibliography"/>
        <w:spacing w:line="240" w:lineRule="auto"/>
      </w:pPr>
      <w:r>
        <w:t xml:space="preserve">Kim, H.-M., &amp; Kwan, M.-P. (2003). Space-time accessibility measures: A geocomputational algorithm with a focus on the feasible opportunity set and possible activity duration. </w:t>
      </w:r>
      <w:r>
        <w:rPr>
          <w:i/>
          <w:iCs/>
        </w:rPr>
        <w:t>Journal of Geographical Systems</w:t>
      </w:r>
      <w:r>
        <w:t xml:space="preserve">, </w:t>
      </w:r>
      <w:r>
        <w:rPr>
          <w:i/>
          <w:iCs/>
        </w:rPr>
        <w:t>5</w:t>
      </w:r>
      <w:r>
        <w:t>(1), 71–91. https://doi.org/10.1007/s101090300104</w:t>
      </w:r>
    </w:p>
    <w:p w14:paraId="1222545A" w14:textId="77777777" w:rsidR="00872B22" w:rsidRDefault="00872B22" w:rsidP="00A20F3F">
      <w:pPr>
        <w:pStyle w:val="Bibliography"/>
        <w:spacing w:line="240" w:lineRule="auto"/>
      </w:pPr>
      <w:r>
        <w:t xml:space="preserve">Kitchin, R., &amp; Lauriault, T. P. (2015). Small data in the era of big data. </w:t>
      </w:r>
      <w:r>
        <w:rPr>
          <w:i/>
          <w:iCs/>
        </w:rPr>
        <w:t>GeoJournal</w:t>
      </w:r>
      <w:r>
        <w:t xml:space="preserve">, </w:t>
      </w:r>
      <w:r>
        <w:rPr>
          <w:i/>
          <w:iCs/>
        </w:rPr>
        <w:t>80</w:t>
      </w:r>
      <w:r>
        <w:t>(4), 463–475. https://doi.org/10.1007/s10708-014-9601-7</w:t>
      </w:r>
    </w:p>
    <w:p w14:paraId="4A0AB897" w14:textId="77777777" w:rsidR="00872B22" w:rsidRDefault="00872B22" w:rsidP="00A20F3F">
      <w:pPr>
        <w:pStyle w:val="Bibliography"/>
        <w:spacing w:line="240" w:lineRule="auto"/>
      </w:pPr>
      <w:r>
        <w:t xml:space="preserve">Klesges, L. M., Pahor, M., Shorr, R. I., Wan, J. Y., Williamson, J. D., &amp; Guralnik, J. M. (2001). Financial difficulty in acquiring food among elderly disabled women: Results from the Women’s Health and Aging Study. </w:t>
      </w:r>
      <w:r>
        <w:rPr>
          <w:i/>
          <w:iCs/>
        </w:rPr>
        <w:t>American Journal of Public Health</w:t>
      </w:r>
      <w:r>
        <w:t xml:space="preserve">, </w:t>
      </w:r>
      <w:r>
        <w:rPr>
          <w:i/>
          <w:iCs/>
        </w:rPr>
        <w:t>91</w:t>
      </w:r>
      <w:r>
        <w:t>(1), 68–75. https://www.ncbi.nlm.nih.gov/pmc/articles/PMC1446516/</w:t>
      </w:r>
    </w:p>
    <w:p w14:paraId="18586607" w14:textId="77777777" w:rsidR="00872B22" w:rsidRDefault="00872B22" w:rsidP="00A20F3F">
      <w:pPr>
        <w:pStyle w:val="Bibliography"/>
        <w:spacing w:line="240" w:lineRule="auto"/>
      </w:pPr>
      <w:r>
        <w:lastRenderedPageBreak/>
        <w:t xml:space="preserve">Knox, P. L. (1978). The Intraurban Ecology of Primary Medical Care: Patterns of Accessibility and Their Policy Implications. </w:t>
      </w:r>
      <w:r>
        <w:rPr>
          <w:i/>
          <w:iCs/>
        </w:rPr>
        <w:t>Environment and Planning A: Economy and Space</w:t>
      </w:r>
      <w:r>
        <w:t xml:space="preserve">, </w:t>
      </w:r>
      <w:r>
        <w:rPr>
          <w:i/>
          <w:iCs/>
        </w:rPr>
        <w:t>10</w:t>
      </w:r>
      <w:r>
        <w:t>(4), 415–435. https://doi.org/10.1068/a100415</w:t>
      </w:r>
    </w:p>
    <w:p w14:paraId="124EE6F9" w14:textId="77777777" w:rsidR="00872B22" w:rsidRDefault="00872B22" w:rsidP="00A20F3F">
      <w:pPr>
        <w:pStyle w:val="Bibliography"/>
        <w:spacing w:line="240" w:lineRule="auto"/>
      </w:pPr>
      <w:r>
        <w:t xml:space="preserve">Knoxville-Knox County Food Policy Council. (2021). </w:t>
      </w:r>
      <w:r>
        <w:rPr>
          <w:i/>
          <w:iCs/>
        </w:rPr>
        <w:t>History – Knoxville-Knox County Food Policy Council</w:t>
      </w:r>
      <w:r>
        <w:t>. http://www.knoxfood.org/history/</w:t>
      </w:r>
    </w:p>
    <w:p w14:paraId="77FF9C6B" w14:textId="77777777" w:rsidR="00872B22" w:rsidRDefault="00872B22" w:rsidP="00A20F3F">
      <w:pPr>
        <w:pStyle w:val="Bibliography"/>
        <w:spacing w:line="240" w:lineRule="auto"/>
      </w:pPr>
      <w:r>
        <w:t xml:space="preserve">Kwan, M.-P. (1998). Space-Time and Integral Measures of Individual Accessibility: A Comparative Analysis Using a Point-based Framework. </w:t>
      </w:r>
      <w:r>
        <w:rPr>
          <w:i/>
          <w:iCs/>
        </w:rPr>
        <w:t>Geographical Analysis</w:t>
      </w:r>
      <w:r>
        <w:t xml:space="preserve">, </w:t>
      </w:r>
      <w:r>
        <w:rPr>
          <w:i/>
          <w:iCs/>
        </w:rPr>
        <w:t>30</w:t>
      </w:r>
      <w:r>
        <w:t>(3), 191–216. https://doi.org/10.1111/j.1538-4632.1998.tb00396.x</w:t>
      </w:r>
    </w:p>
    <w:p w14:paraId="2420BD64" w14:textId="77777777" w:rsidR="00872B22" w:rsidRDefault="00872B22" w:rsidP="00A20F3F">
      <w:pPr>
        <w:pStyle w:val="Bibliography"/>
        <w:spacing w:line="240" w:lineRule="auto"/>
      </w:pPr>
      <w:r>
        <w:t xml:space="preserve">Kwan, M.-P. (2004). GIS Methods in Time-Geographic Research: Geocomputation and Geovisualization of Human Activity Patterns. </w:t>
      </w:r>
      <w:r>
        <w:rPr>
          <w:i/>
          <w:iCs/>
        </w:rPr>
        <w:t>Geografiska Annaler. Series B, Human Geography</w:t>
      </w:r>
      <w:r>
        <w:t xml:space="preserve">, </w:t>
      </w:r>
      <w:r>
        <w:rPr>
          <w:i/>
          <w:iCs/>
        </w:rPr>
        <w:t>86</w:t>
      </w:r>
      <w:r>
        <w:t>(4), 267–280. https://www.jstor.org.proxy.lib.utk.edu:90/stable/3554351</w:t>
      </w:r>
    </w:p>
    <w:p w14:paraId="170E7D5F" w14:textId="77777777" w:rsidR="00872B22" w:rsidRDefault="00872B22" w:rsidP="00A20F3F">
      <w:pPr>
        <w:pStyle w:val="Bibliography"/>
        <w:spacing w:line="240" w:lineRule="auto"/>
      </w:pPr>
      <w:r>
        <w:t xml:space="preserve">Kwan, M.-P. (2007). Mobile Communications, Social Networks, and Urban Travel: Hypertext as a New Metaphor for Conceptualizing Spatial Interaction. </w:t>
      </w:r>
      <w:r>
        <w:rPr>
          <w:i/>
          <w:iCs/>
        </w:rPr>
        <w:t>The Professional Geographer</w:t>
      </w:r>
      <w:r>
        <w:t xml:space="preserve">, </w:t>
      </w:r>
      <w:r>
        <w:rPr>
          <w:i/>
          <w:iCs/>
        </w:rPr>
        <w:t>59</w:t>
      </w:r>
      <w:r>
        <w:t>(4), 434–446. https://doi.org/10.1111/j.1467-9272.2007.00633.x</w:t>
      </w:r>
    </w:p>
    <w:p w14:paraId="21EC6966" w14:textId="77777777" w:rsidR="00872B22" w:rsidRDefault="00872B22" w:rsidP="00A20F3F">
      <w:pPr>
        <w:pStyle w:val="Bibliography"/>
        <w:spacing w:line="240" w:lineRule="auto"/>
      </w:pPr>
      <w:r>
        <w:t xml:space="preserve">Kwan, M.-P. (2012). The Uncertain Geographic Context Problem. </w:t>
      </w:r>
      <w:r>
        <w:rPr>
          <w:i/>
          <w:iCs/>
        </w:rPr>
        <w:t>Annals of the Association of American Geographers</w:t>
      </w:r>
      <w:r>
        <w:t xml:space="preserve">, </w:t>
      </w:r>
      <w:r>
        <w:rPr>
          <w:i/>
          <w:iCs/>
        </w:rPr>
        <w:t>102</w:t>
      </w:r>
      <w:r>
        <w:t>(5), 958–968. https://www.jstor.org/stable/23275570</w:t>
      </w:r>
    </w:p>
    <w:p w14:paraId="05943743" w14:textId="77777777" w:rsidR="00872B22" w:rsidRDefault="00872B22" w:rsidP="00A20F3F">
      <w:pPr>
        <w:pStyle w:val="Bibliography"/>
        <w:spacing w:line="240" w:lineRule="auto"/>
      </w:pPr>
      <w:r>
        <w:t xml:space="preserve">Kwan, M.-P. (2013). Beyond Space (As We Knew It): Toward Temporally Integrated Geographies of Segregation, Health, and Accessibility. </w:t>
      </w:r>
      <w:r>
        <w:rPr>
          <w:i/>
          <w:iCs/>
        </w:rPr>
        <w:t>Annals of the Association of American Geographers</w:t>
      </w:r>
      <w:r>
        <w:t xml:space="preserve">, </w:t>
      </w:r>
      <w:r>
        <w:rPr>
          <w:i/>
          <w:iCs/>
        </w:rPr>
        <w:t>103</w:t>
      </w:r>
      <w:r>
        <w:t>(5), 1078–1086. https://doi.org/10.1080/00045608.2013.792177</w:t>
      </w:r>
    </w:p>
    <w:p w14:paraId="2218CA93" w14:textId="77777777" w:rsidR="00872B22" w:rsidRDefault="00872B22" w:rsidP="00A20F3F">
      <w:pPr>
        <w:pStyle w:val="Bibliography"/>
        <w:spacing w:line="240" w:lineRule="auto"/>
      </w:pPr>
      <w:r>
        <w:t xml:space="preserve">Kwan, M.-P., &amp; Hong, X. D. (1998). Network-based constraints-oriented choice set formation using GIS. </w:t>
      </w:r>
      <w:r>
        <w:rPr>
          <w:i/>
          <w:iCs/>
        </w:rPr>
        <w:t>Geographical Systems</w:t>
      </w:r>
      <w:r>
        <w:t xml:space="preserve">, </w:t>
      </w:r>
      <w:r>
        <w:rPr>
          <w:i/>
          <w:iCs/>
        </w:rPr>
        <w:t>5</w:t>
      </w:r>
      <w:r>
        <w:t>(1–2), 139–162. https://experts.illinois.edu/en/publications/network-based-constraints-oriented-choice-set-formation-using-gis</w:t>
      </w:r>
    </w:p>
    <w:p w14:paraId="2C203CF3" w14:textId="77777777" w:rsidR="00872B22" w:rsidRDefault="00872B22" w:rsidP="00A20F3F">
      <w:pPr>
        <w:pStyle w:val="Bibliography"/>
        <w:spacing w:line="240" w:lineRule="auto"/>
      </w:pPr>
      <w:r>
        <w:t xml:space="preserve">Lai, J., &amp; Widmar, N. O. (2020). Revisiting the Digital Divide in the COVID‐19 Era. </w:t>
      </w:r>
      <w:r>
        <w:rPr>
          <w:i/>
          <w:iCs/>
        </w:rPr>
        <w:t>Applied Economic Perspectives and Policy</w:t>
      </w:r>
      <w:r>
        <w:t>, 10.1002/aepp.13104. https://doi.org/10.1002/aepp.13104</w:t>
      </w:r>
    </w:p>
    <w:p w14:paraId="6BCEFE0E" w14:textId="77777777" w:rsidR="00872B22" w:rsidRDefault="00872B22" w:rsidP="00A20F3F">
      <w:pPr>
        <w:pStyle w:val="Bibliography"/>
        <w:spacing w:line="240" w:lineRule="auto"/>
      </w:pPr>
      <w:r>
        <w:t xml:space="preserve">Larsen, K., &amp; Gilliland, J. (2009). A farmers’ market in a food desert: Evaluating impacts on the price and availability of healthy food. </w:t>
      </w:r>
      <w:r>
        <w:rPr>
          <w:i/>
          <w:iCs/>
        </w:rPr>
        <w:t>Health &amp; Place</w:t>
      </w:r>
      <w:r>
        <w:t xml:space="preserve">, </w:t>
      </w:r>
      <w:r>
        <w:rPr>
          <w:i/>
          <w:iCs/>
        </w:rPr>
        <w:t>15</w:t>
      </w:r>
      <w:r>
        <w:t>(4), 1158–1162. https://doi.org/10.1016/j.healthplace.2009.06.007</w:t>
      </w:r>
    </w:p>
    <w:p w14:paraId="7EF55FBC" w14:textId="77777777" w:rsidR="00872B22" w:rsidRDefault="00872B22" w:rsidP="00A20F3F">
      <w:pPr>
        <w:pStyle w:val="Bibliography"/>
        <w:spacing w:line="240" w:lineRule="auto"/>
      </w:pPr>
      <w:r>
        <w:t xml:space="preserve">Larson, N. I., Story, M. T., &amp; Nelson, M. C. (2009). Neighborhood Environments: Disparities in Access to Healthy Foods in the U.S. </w:t>
      </w:r>
      <w:r>
        <w:rPr>
          <w:i/>
          <w:iCs/>
        </w:rPr>
        <w:t>American Journal of Preventive Medicine</w:t>
      </w:r>
      <w:r>
        <w:t xml:space="preserve">, </w:t>
      </w:r>
      <w:r>
        <w:rPr>
          <w:i/>
          <w:iCs/>
        </w:rPr>
        <w:t>36</w:t>
      </w:r>
      <w:r>
        <w:t>(1), 74-81.e10. https://doi.org/10.1016/j.amepre.2008.09.025</w:t>
      </w:r>
    </w:p>
    <w:p w14:paraId="2666AADB" w14:textId="77777777" w:rsidR="00872B22" w:rsidRDefault="00872B22" w:rsidP="00A20F3F">
      <w:pPr>
        <w:pStyle w:val="Bibliography"/>
        <w:spacing w:line="240" w:lineRule="auto"/>
      </w:pPr>
      <w:r>
        <w:t xml:space="preserve">Lättman, K., Olsson, L. E., &amp; Friman, M. (2016). Development and test of the Perceived Accessibility Scale (PAC) in public transport. </w:t>
      </w:r>
      <w:r>
        <w:rPr>
          <w:i/>
          <w:iCs/>
        </w:rPr>
        <w:t>Journal of Transport Geography</w:t>
      </w:r>
      <w:r>
        <w:t xml:space="preserve">, </w:t>
      </w:r>
      <w:r>
        <w:rPr>
          <w:i/>
          <w:iCs/>
        </w:rPr>
        <w:t>54</w:t>
      </w:r>
      <w:r>
        <w:t>, 257–263. https://doi.org/10.1016/j.jtrangeo.2016.06.015</w:t>
      </w:r>
    </w:p>
    <w:p w14:paraId="4BB55B44" w14:textId="77777777" w:rsidR="00872B22" w:rsidRDefault="00872B22" w:rsidP="00A20F3F">
      <w:pPr>
        <w:pStyle w:val="Bibliography"/>
        <w:spacing w:line="240" w:lineRule="auto"/>
      </w:pPr>
      <w:r>
        <w:t xml:space="preserve">Lavieri, P. S., Dai, Q., &amp; Bhat, C. R. (2018). Using virtual accessibility and physical accessibility as joint predictors of activity-travel behavior. </w:t>
      </w:r>
      <w:r>
        <w:rPr>
          <w:i/>
          <w:iCs/>
        </w:rPr>
        <w:t>Transportation Research Part A: Policy and Practice</w:t>
      </w:r>
      <w:r>
        <w:t xml:space="preserve">, </w:t>
      </w:r>
      <w:r>
        <w:rPr>
          <w:i/>
          <w:iCs/>
        </w:rPr>
        <w:t>118</w:t>
      </w:r>
      <w:r>
        <w:t>, 527–544. https://doi.org/10.1016/j.tra.2018.08.042</w:t>
      </w:r>
    </w:p>
    <w:p w14:paraId="077B1307" w14:textId="77777777" w:rsidR="00872B22" w:rsidRDefault="00872B22" w:rsidP="00A20F3F">
      <w:pPr>
        <w:pStyle w:val="Bibliography"/>
        <w:spacing w:line="240" w:lineRule="auto"/>
      </w:pPr>
      <w:r>
        <w:t xml:space="preserve">LeClair, M. S., &amp; Aksan, A.-M. (2014). Redefining the food desert: Combining GIS with direct observation to measure food access. </w:t>
      </w:r>
      <w:r>
        <w:rPr>
          <w:i/>
          <w:iCs/>
        </w:rPr>
        <w:t>Agriculture and Human Values</w:t>
      </w:r>
      <w:r>
        <w:t xml:space="preserve">, </w:t>
      </w:r>
      <w:r>
        <w:rPr>
          <w:i/>
          <w:iCs/>
        </w:rPr>
        <w:t>31</w:t>
      </w:r>
      <w:r>
        <w:t>(4), 537–547. https://doi.org/10.1007/s10460-014-9501-y</w:t>
      </w:r>
    </w:p>
    <w:p w14:paraId="1795A66C" w14:textId="77777777" w:rsidR="00872B22" w:rsidRDefault="00872B22" w:rsidP="00A20F3F">
      <w:pPr>
        <w:pStyle w:val="Bibliography"/>
        <w:spacing w:line="240" w:lineRule="auto"/>
      </w:pPr>
      <w:r>
        <w:t xml:space="preserve">Lee, J., &amp; Miller, H. J. (2019). Analyzing collective accessibility using average space-time prisms. </w:t>
      </w:r>
      <w:r>
        <w:rPr>
          <w:i/>
          <w:iCs/>
        </w:rPr>
        <w:t>Transportation Research Part D: Transport and Environment</w:t>
      </w:r>
      <w:r>
        <w:t xml:space="preserve">, </w:t>
      </w:r>
      <w:r>
        <w:rPr>
          <w:i/>
          <w:iCs/>
        </w:rPr>
        <w:t>69</w:t>
      </w:r>
      <w:r>
        <w:t>, 250–264. https://doi.org/10.1016/j.trd.2019.02.004</w:t>
      </w:r>
    </w:p>
    <w:p w14:paraId="631E3D85" w14:textId="77777777" w:rsidR="00872B22" w:rsidRDefault="00872B22" w:rsidP="00A20F3F">
      <w:pPr>
        <w:pStyle w:val="Bibliography"/>
        <w:spacing w:line="240" w:lineRule="auto"/>
      </w:pPr>
      <w:r>
        <w:lastRenderedPageBreak/>
        <w:t xml:space="preserve">Lee, J., &amp; Miller, H. J. (2020). Robust accessibility: Measuring accessibility based on travelers’ heterogeneous strategies for managing travel time uncertainty. </w:t>
      </w:r>
      <w:r>
        <w:rPr>
          <w:i/>
          <w:iCs/>
        </w:rPr>
        <w:t>Journal of Transport Geography</w:t>
      </w:r>
      <w:r>
        <w:t xml:space="preserve">, </w:t>
      </w:r>
      <w:r>
        <w:rPr>
          <w:i/>
          <w:iCs/>
        </w:rPr>
        <w:t>86</w:t>
      </w:r>
      <w:r>
        <w:t>, 102747. https://doi.org/10.1016/j.jtrangeo.2020.102747</w:t>
      </w:r>
    </w:p>
    <w:p w14:paraId="1A2B11AD" w14:textId="77777777" w:rsidR="00872B22" w:rsidRDefault="00872B22" w:rsidP="00A20F3F">
      <w:pPr>
        <w:pStyle w:val="Bibliography"/>
        <w:spacing w:line="240" w:lineRule="auto"/>
      </w:pPr>
      <w:r>
        <w:t xml:space="preserve">Lenntorp, B. (1976). </w:t>
      </w:r>
      <w:r>
        <w:rPr>
          <w:i/>
          <w:iCs/>
        </w:rPr>
        <w:t>Paths in space-time environments: A time-geographic study of movement possibilities of individuals</w:t>
      </w:r>
      <w:r>
        <w:t>. Royal University of Lund, Deptof Geography.</w:t>
      </w:r>
    </w:p>
    <w:p w14:paraId="0151E514" w14:textId="77777777" w:rsidR="00872B22" w:rsidRDefault="00872B22" w:rsidP="00A20F3F">
      <w:pPr>
        <w:pStyle w:val="Bibliography"/>
        <w:spacing w:line="240" w:lineRule="auto"/>
      </w:pPr>
      <w:r>
        <w:t xml:space="preserve">Liu, B., Widener, M. J., Smith, L. G., Farber, S., Minaker, L. M., Patterson, Z., Larsen, K., &amp; Gilliland, J. (2021). Disentangling Time Use, Food Environment, and Food Behaviors Using Multi-Channel Sequence Analysis. </w:t>
      </w:r>
      <w:r>
        <w:rPr>
          <w:i/>
          <w:iCs/>
        </w:rPr>
        <w:t>Geographical Analysis</w:t>
      </w:r>
      <w:r>
        <w:t xml:space="preserve">, </w:t>
      </w:r>
      <w:r>
        <w:rPr>
          <w:i/>
          <w:iCs/>
        </w:rPr>
        <w:t>0</w:t>
      </w:r>
      <w:r>
        <w:t>, 1–37. https://doi.org/10.1111/gean.12305</w:t>
      </w:r>
    </w:p>
    <w:p w14:paraId="3DCDF1D4" w14:textId="77777777" w:rsidR="00872B22" w:rsidRDefault="00872B22" w:rsidP="00A20F3F">
      <w:pPr>
        <w:pStyle w:val="Bibliography"/>
        <w:spacing w:line="240" w:lineRule="auto"/>
      </w:pPr>
      <w:r>
        <w:t xml:space="preserve">Loria, S., Keen, P., Honnibal, M., &amp; Yankovsky, R. (2020). </w:t>
      </w:r>
      <w:r>
        <w:rPr>
          <w:i/>
          <w:iCs/>
        </w:rPr>
        <w:t>TextBlob: Simplified Text Processing—TextBlob 0.16.0 documentation</w:t>
      </w:r>
      <w:r>
        <w:t>. https://textblob.readthedocs.io/en/dev/index.html</w:t>
      </w:r>
    </w:p>
    <w:p w14:paraId="20C32963" w14:textId="77777777" w:rsidR="00872B22" w:rsidRDefault="00872B22" w:rsidP="00A20F3F">
      <w:pPr>
        <w:pStyle w:val="Bibliography"/>
        <w:spacing w:line="240" w:lineRule="auto"/>
      </w:pPr>
      <w:r>
        <w:t xml:space="preserve">Luo, W. (2004). Using a GIS-based floating catchment method to assess areas with shortage of physicians. </w:t>
      </w:r>
      <w:r>
        <w:rPr>
          <w:i/>
          <w:iCs/>
        </w:rPr>
        <w:t>Health &amp; Place</w:t>
      </w:r>
      <w:r>
        <w:t xml:space="preserve">, </w:t>
      </w:r>
      <w:r>
        <w:rPr>
          <w:i/>
          <w:iCs/>
        </w:rPr>
        <w:t>10</w:t>
      </w:r>
      <w:r>
        <w:t>(1), 1–11. https://doi.org/10.1016/S1353-8292(02)00067-9</w:t>
      </w:r>
    </w:p>
    <w:p w14:paraId="7A1771F6" w14:textId="77777777" w:rsidR="00872B22" w:rsidRDefault="00872B22" w:rsidP="00A20F3F">
      <w:pPr>
        <w:pStyle w:val="Bibliography"/>
        <w:spacing w:line="240" w:lineRule="auto"/>
      </w:pPr>
      <w:r>
        <w:t xml:space="preserve">Luo, W., &amp; Qi, Y. (2009). An enhanced two-step floating catchment area (E2SFCA) method for measuring spatial accessibility to primary care physicians. </w:t>
      </w:r>
      <w:r>
        <w:rPr>
          <w:i/>
          <w:iCs/>
        </w:rPr>
        <w:t>Health &amp; Place</w:t>
      </w:r>
      <w:r>
        <w:t xml:space="preserve">, </w:t>
      </w:r>
      <w:r>
        <w:rPr>
          <w:i/>
          <w:iCs/>
        </w:rPr>
        <w:t>15</w:t>
      </w:r>
      <w:r>
        <w:t>(4), 1100–1107. https://doi.org/10.1016/j.healthplace.2009.06.002</w:t>
      </w:r>
    </w:p>
    <w:p w14:paraId="707BD0A4" w14:textId="77777777" w:rsidR="00872B22" w:rsidRDefault="00872B22" w:rsidP="00A20F3F">
      <w:pPr>
        <w:pStyle w:val="Bibliography"/>
        <w:spacing w:line="240" w:lineRule="auto"/>
      </w:pPr>
      <w:r>
        <w:t xml:space="preserve">Luo, W., &amp; Wang, F. (2003). Measures of Spatial Accessibility to Health Care in a GIS Environment: Synthesis and a Case Study in the Chicago Region. </w:t>
      </w:r>
      <w:r>
        <w:rPr>
          <w:i/>
          <w:iCs/>
        </w:rPr>
        <w:t>Environment and Planning B: Planning and Design</w:t>
      </w:r>
      <w:r>
        <w:t xml:space="preserve">, </w:t>
      </w:r>
      <w:r>
        <w:rPr>
          <w:i/>
          <w:iCs/>
        </w:rPr>
        <w:t>30</w:t>
      </w:r>
      <w:r>
        <w:t>(6), 865–884. https://doi.org/10.1068/b29120</w:t>
      </w:r>
    </w:p>
    <w:p w14:paraId="59002188" w14:textId="77777777" w:rsidR="00872B22" w:rsidRDefault="00872B22" w:rsidP="00A20F3F">
      <w:pPr>
        <w:pStyle w:val="Bibliography"/>
        <w:spacing w:line="240" w:lineRule="auto"/>
      </w:pPr>
      <w:r>
        <w:t xml:space="preserve">Manning, L. (2019, October 30). </w:t>
      </w:r>
      <w:r>
        <w:rPr>
          <w:i/>
          <w:iCs/>
        </w:rPr>
        <w:t>H-E-B, Whole Foods have fastest pickup times, study says</w:t>
      </w:r>
      <w:r>
        <w:t>. Grocery Dive. https://www.grocerydive.com/news/h-e-b-whole-foods-have-fastest-pickup-times-study-says/566152/</w:t>
      </w:r>
    </w:p>
    <w:p w14:paraId="75134548" w14:textId="77777777" w:rsidR="00872B22" w:rsidRDefault="00872B22" w:rsidP="00A20F3F">
      <w:pPr>
        <w:pStyle w:val="Bibliography"/>
        <w:spacing w:line="240" w:lineRule="auto"/>
      </w:pPr>
      <w:r>
        <w:t xml:space="preserve">Maslow, A. H., &amp; Green, C. D. (1943). A theory of human motivation. </w:t>
      </w:r>
      <w:r>
        <w:rPr>
          <w:i/>
          <w:iCs/>
        </w:rPr>
        <w:t>Psychological Review</w:t>
      </w:r>
      <w:r>
        <w:t>, 370–396.</w:t>
      </w:r>
    </w:p>
    <w:p w14:paraId="7F55C40D" w14:textId="77777777" w:rsidR="00872B22" w:rsidRDefault="00872B22" w:rsidP="00A20F3F">
      <w:pPr>
        <w:pStyle w:val="Bibliography"/>
        <w:spacing w:line="240" w:lineRule="auto"/>
      </w:pPr>
      <w:r>
        <w:t xml:space="preserve">Mcclain, C., Vogels, E. a, Perrin, A., Sechopoulos, S., &amp; Rainie, L. (2021, September 1). The Internet and the Pandemic. </w:t>
      </w:r>
      <w:r>
        <w:rPr>
          <w:i/>
          <w:iCs/>
        </w:rPr>
        <w:t>Pew Research Center: Internet, Science &amp; Tech</w:t>
      </w:r>
      <w:r>
        <w:t>. https://www.pewresearch.org/internet/2021/09/01/the-internet-and-the-pandemic/</w:t>
      </w:r>
    </w:p>
    <w:p w14:paraId="184F3251" w14:textId="77777777" w:rsidR="00872B22" w:rsidRDefault="00872B22" w:rsidP="00A20F3F">
      <w:pPr>
        <w:pStyle w:val="Bibliography"/>
        <w:spacing w:line="240" w:lineRule="auto"/>
      </w:pPr>
      <w:r>
        <w:t xml:space="preserve">Mcgirr, H. K., &amp; Batterbury, S. P. J. (2016). Food in the City: Urban Food Geographies and ‘Local’ Food Sourcing in Melbourne and San Diego County. </w:t>
      </w:r>
      <w:r>
        <w:rPr>
          <w:i/>
          <w:iCs/>
        </w:rPr>
        <w:t>Geographical Research</w:t>
      </w:r>
      <w:r>
        <w:t xml:space="preserve">, </w:t>
      </w:r>
      <w:r>
        <w:rPr>
          <w:i/>
          <w:iCs/>
        </w:rPr>
        <w:t>54</w:t>
      </w:r>
      <w:r>
        <w:t>(1), 3–18. https://doi.org/10.1111/1745-5871.12156</w:t>
      </w:r>
    </w:p>
    <w:p w14:paraId="314A1030" w14:textId="77777777" w:rsidR="00872B22" w:rsidRDefault="00872B22" w:rsidP="00A20F3F">
      <w:pPr>
        <w:pStyle w:val="Bibliography"/>
        <w:spacing w:line="240" w:lineRule="auto"/>
      </w:pPr>
      <w:r>
        <w:t xml:space="preserve">McLafferty, S. (2020). Place and quantitative methods: Critical directions in quantitative approaches to health and place. </w:t>
      </w:r>
      <w:r>
        <w:rPr>
          <w:i/>
          <w:iCs/>
        </w:rPr>
        <w:t>Health &amp; Place</w:t>
      </w:r>
      <w:r>
        <w:t xml:space="preserve">, </w:t>
      </w:r>
      <w:r>
        <w:rPr>
          <w:i/>
          <w:iCs/>
        </w:rPr>
        <w:t>61</w:t>
      </w:r>
      <w:r>
        <w:t>, 102232. https://doi.org/10.1016/j.healthplace.2019.102232</w:t>
      </w:r>
    </w:p>
    <w:p w14:paraId="015BD536" w14:textId="77777777" w:rsidR="00872B22" w:rsidRDefault="00872B22" w:rsidP="00A20F3F">
      <w:pPr>
        <w:pStyle w:val="Bibliography"/>
        <w:spacing w:line="240" w:lineRule="auto"/>
      </w:pPr>
      <w:r>
        <w:t xml:space="preserve">McQuoid, J., &amp; Dijst, M. (2012). Bringing emotions to time geography: The case of mobilities of poverty. </w:t>
      </w:r>
      <w:r>
        <w:rPr>
          <w:i/>
          <w:iCs/>
        </w:rPr>
        <w:t>Journal of Transport Geography</w:t>
      </w:r>
      <w:r>
        <w:t xml:space="preserve">, </w:t>
      </w:r>
      <w:r>
        <w:rPr>
          <w:i/>
          <w:iCs/>
        </w:rPr>
        <w:t>23</w:t>
      </w:r>
      <w:r>
        <w:t>, 26–34. https://doi.org/10.1016/j.jtrangeo.2012.03.019</w:t>
      </w:r>
    </w:p>
    <w:p w14:paraId="3B0F2EF1" w14:textId="77777777" w:rsidR="00872B22" w:rsidRDefault="00872B22" w:rsidP="00A20F3F">
      <w:pPr>
        <w:pStyle w:val="Bibliography"/>
        <w:spacing w:line="240" w:lineRule="auto"/>
      </w:pPr>
      <w:r>
        <w:t xml:space="preserve">Miller, E. J. (2018). Accessibility: Measurement and application in transportation planning. </w:t>
      </w:r>
      <w:r>
        <w:rPr>
          <w:i/>
          <w:iCs/>
        </w:rPr>
        <w:t>Transport Reviews</w:t>
      </w:r>
      <w:r>
        <w:t xml:space="preserve">, </w:t>
      </w:r>
      <w:r>
        <w:rPr>
          <w:i/>
          <w:iCs/>
        </w:rPr>
        <w:t>38</w:t>
      </w:r>
      <w:r>
        <w:t>(5), 551–555. https://doi.org/10.1080/01441647.2018.1492778</w:t>
      </w:r>
    </w:p>
    <w:p w14:paraId="5088A17A" w14:textId="77777777" w:rsidR="00872B22" w:rsidRDefault="00872B22" w:rsidP="00A20F3F">
      <w:pPr>
        <w:pStyle w:val="Bibliography"/>
        <w:spacing w:line="240" w:lineRule="auto"/>
      </w:pPr>
      <w:r>
        <w:t xml:space="preserve">Miller, H. J. (1991). Modelling accessibility using space-time prism concepts within geographical information systems. </w:t>
      </w:r>
      <w:r>
        <w:rPr>
          <w:i/>
          <w:iCs/>
        </w:rPr>
        <w:t>International Journal of Geographical Information Systems</w:t>
      </w:r>
      <w:r>
        <w:t xml:space="preserve">, </w:t>
      </w:r>
      <w:r>
        <w:rPr>
          <w:i/>
          <w:iCs/>
        </w:rPr>
        <w:t>5</w:t>
      </w:r>
      <w:r>
        <w:t>(3), 287–301. https://doi.org/10.1080/02693799108927856</w:t>
      </w:r>
    </w:p>
    <w:p w14:paraId="24A7A707" w14:textId="77777777" w:rsidR="00872B22" w:rsidRDefault="00872B22" w:rsidP="00A20F3F">
      <w:pPr>
        <w:pStyle w:val="Bibliography"/>
        <w:spacing w:line="240" w:lineRule="auto"/>
      </w:pPr>
      <w:r>
        <w:t xml:space="preserve">Mokhtarian, P. L. (2002). Telecommunications and Travel: The Case for Complementarity. </w:t>
      </w:r>
      <w:r>
        <w:rPr>
          <w:i/>
          <w:iCs/>
        </w:rPr>
        <w:t>Journal of Industrial Ecology</w:t>
      </w:r>
      <w:r>
        <w:t xml:space="preserve">, </w:t>
      </w:r>
      <w:r>
        <w:rPr>
          <w:i/>
          <w:iCs/>
        </w:rPr>
        <w:t>6</w:t>
      </w:r>
      <w:r>
        <w:t>(2), 43–57. https://doi.org/10.1162/108819802763471771</w:t>
      </w:r>
    </w:p>
    <w:p w14:paraId="4EBF8BFD" w14:textId="77777777" w:rsidR="00872B22" w:rsidRDefault="00872B22" w:rsidP="00A20F3F">
      <w:pPr>
        <w:pStyle w:val="Bibliography"/>
        <w:spacing w:line="240" w:lineRule="auto"/>
      </w:pPr>
      <w:r>
        <w:lastRenderedPageBreak/>
        <w:t xml:space="preserve">Morland, K., Wing, S., Diez Roux, A., &amp; Poole, C. (2002). Neighborhood characteristics associated with the location of food stores and food service places. </w:t>
      </w:r>
      <w:r>
        <w:rPr>
          <w:i/>
          <w:iCs/>
        </w:rPr>
        <w:t>American Journal of Preventive Medicine</w:t>
      </w:r>
      <w:r>
        <w:t xml:space="preserve">, </w:t>
      </w:r>
      <w:r>
        <w:rPr>
          <w:i/>
          <w:iCs/>
        </w:rPr>
        <w:t>22</w:t>
      </w:r>
      <w:r>
        <w:t>(1), 23–29. https://doi.org/10.1016/S0749-3797(01)00403-2</w:t>
      </w:r>
    </w:p>
    <w:p w14:paraId="256A3796" w14:textId="77777777" w:rsidR="00872B22" w:rsidRDefault="00872B22" w:rsidP="00A20F3F">
      <w:pPr>
        <w:pStyle w:val="Bibliography"/>
        <w:spacing w:line="240" w:lineRule="auto"/>
      </w:pPr>
      <w:r>
        <w:t xml:space="preserve">Morris, J. M., Dumble, P. L., &amp; Wigan, M. R. (1979). Accessibility indicators for transport planning. </w:t>
      </w:r>
      <w:r>
        <w:rPr>
          <w:i/>
          <w:iCs/>
        </w:rPr>
        <w:t>Transportation Research Part A: General</w:t>
      </w:r>
      <w:r>
        <w:t xml:space="preserve">, </w:t>
      </w:r>
      <w:r>
        <w:rPr>
          <w:i/>
          <w:iCs/>
        </w:rPr>
        <w:t>13</w:t>
      </w:r>
      <w:r>
        <w:t>(2), 91–109. https://doi.org/10.1016/0191-2607(79)90012-8</w:t>
      </w:r>
    </w:p>
    <w:p w14:paraId="76E344B0" w14:textId="77777777" w:rsidR="00872B22" w:rsidRDefault="00872B22" w:rsidP="00A20F3F">
      <w:pPr>
        <w:pStyle w:val="Bibliography"/>
        <w:spacing w:line="240" w:lineRule="auto"/>
      </w:pPr>
      <w:r>
        <w:t xml:space="preserve">National Telecommunications and Information Administration. (1995). </w:t>
      </w:r>
      <w:r>
        <w:rPr>
          <w:i/>
          <w:iCs/>
        </w:rPr>
        <w:t>FALLING THROUGH THE NET: A Survey of the “Have Nots” in Rural and Urban America</w:t>
      </w:r>
      <w:r>
        <w:t>. National Telecommunications and Information Administration. https://www.ntia.doc.gov/ntiahome/fallingthru.html</w:t>
      </w:r>
    </w:p>
    <w:p w14:paraId="07CF13EB" w14:textId="77777777" w:rsidR="00872B22" w:rsidRDefault="00872B22" w:rsidP="00A20F3F">
      <w:pPr>
        <w:pStyle w:val="Bibliography"/>
        <w:spacing w:line="240" w:lineRule="auto"/>
      </w:pPr>
      <w:r>
        <w:t xml:space="preserve">Nemer, D. (2015). From Digital Divide to Digital Inclusion and Beyond. </w:t>
      </w:r>
      <w:r>
        <w:rPr>
          <w:i/>
          <w:iCs/>
        </w:rPr>
        <w:t>The Journal of Community Informatics</w:t>
      </w:r>
      <w:r>
        <w:t xml:space="preserve">, </w:t>
      </w:r>
      <w:r>
        <w:rPr>
          <w:i/>
          <w:iCs/>
        </w:rPr>
        <w:t>11</w:t>
      </w:r>
      <w:r>
        <w:t>(1), Article 1. https://doi.org/10.15353/joci.v11i1.2857</w:t>
      </w:r>
    </w:p>
    <w:p w14:paraId="2E3BDB24" w14:textId="77777777" w:rsidR="00872B22" w:rsidRDefault="00872B22" w:rsidP="00A20F3F">
      <w:pPr>
        <w:pStyle w:val="Bibliography"/>
        <w:spacing w:line="240" w:lineRule="auto"/>
      </w:pPr>
      <w:r>
        <w:t xml:space="preserve">Neutens, T., Delafontaine, M., Scott, D. M., &amp; De Maeyer, P. (2012). An analysis of day-to-day variations in individual space–time accessibility. </w:t>
      </w:r>
      <w:r>
        <w:rPr>
          <w:i/>
          <w:iCs/>
        </w:rPr>
        <w:t>Journal of Transport Geography</w:t>
      </w:r>
      <w:r>
        <w:t xml:space="preserve">, </w:t>
      </w:r>
      <w:r>
        <w:rPr>
          <w:i/>
          <w:iCs/>
        </w:rPr>
        <w:t>23</w:t>
      </w:r>
      <w:r>
        <w:t>, 81–91. https://doi.org/10.1016/j.jtrangeo.2012.04.001</w:t>
      </w:r>
    </w:p>
    <w:p w14:paraId="4952B378" w14:textId="77777777" w:rsidR="00872B22" w:rsidRDefault="00872B22" w:rsidP="00A20F3F">
      <w:pPr>
        <w:pStyle w:val="Bibliography"/>
        <w:spacing w:line="240" w:lineRule="auto"/>
      </w:pPr>
      <w:r>
        <w:t xml:space="preserve">Nijman, J., &amp; Wei, Y. D. (2020). Urban inequalities in the 21st century economy. </w:t>
      </w:r>
      <w:r>
        <w:rPr>
          <w:i/>
          <w:iCs/>
        </w:rPr>
        <w:t>Applied Geography</w:t>
      </w:r>
      <w:r>
        <w:t xml:space="preserve">, </w:t>
      </w:r>
      <w:r>
        <w:rPr>
          <w:i/>
          <w:iCs/>
        </w:rPr>
        <w:t>117</w:t>
      </w:r>
      <w:r>
        <w:t>, 102188. https://doi.org/10.1016/j.apgeog.2020.102188</w:t>
      </w:r>
    </w:p>
    <w:p w14:paraId="04BBCFB3" w14:textId="77777777" w:rsidR="00872B22" w:rsidRDefault="00872B22" w:rsidP="00A20F3F">
      <w:pPr>
        <w:pStyle w:val="Bibliography"/>
        <w:spacing w:line="240" w:lineRule="auto"/>
      </w:pPr>
      <w:r>
        <w:t xml:space="preserve">Notani, A. S. (1997). Perceptions of affordability: Their role in predicting purchase intent and purchase. </w:t>
      </w:r>
      <w:r>
        <w:rPr>
          <w:i/>
          <w:iCs/>
        </w:rPr>
        <w:t>Journal of Economic Psychology</w:t>
      </w:r>
      <w:r>
        <w:t xml:space="preserve">, </w:t>
      </w:r>
      <w:r>
        <w:rPr>
          <w:i/>
          <w:iCs/>
        </w:rPr>
        <w:t>18</w:t>
      </w:r>
      <w:r>
        <w:t>(5), 525–546. https://doi.org/10.1016/S0167-4870(97)00022-6</w:t>
      </w:r>
    </w:p>
    <w:p w14:paraId="341BB5FC" w14:textId="77777777" w:rsidR="00872B22" w:rsidRDefault="00872B22" w:rsidP="00A20F3F">
      <w:pPr>
        <w:pStyle w:val="Bibliography"/>
        <w:spacing w:line="240" w:lineRule="auto"/>
      </w:pPr>
      <w:r>
        <w:t xml:space="preserve">OECD. (2020). </w:t>
      </w:r>
      <w:r>
        <w:rPr>
          <w:i/>
          <w:iCs/>
        </w:rPr>
        <w:t>Food Supply Chains and COVID-19: Impacts and Policy Lessons</w:t>
      </w:r>
      <w:r>
        <w:t xml:space="preserve"> (Tackling Coronavirus (COVID-19): Contributing to a Global Effort, p. 11). OECD. https://read.oecd-ilibrary.org/view/?ref=134_134305-ybqvdf0kg9&amp;title=Food-Supply-Chains-and-COVID-19-Impacts-and-policy-lessons&amp;_ga=2.64526696.619228526.1632841845-1499033358.1632841845</w:t>
      </w:r>
    </w:p>
    <w:p w14:paraId="2621419E" w14:textId="77777777" w:rsidR="00872B22" w:rsidRDefault="00872B22" w:rsidP="00A20F3F">
      <w:pPr>
        <w:pStyle w:val="Bibliography"/>
        <w:spacing w:line="240" w:lineRule="auto"/>
      </w:pPr>
      <w:r>
        <w:t xml:space="preserve">Openshaw, S., &amp; Taylor, P. (1979). A million or so correlation coefficients, three experiments on the modifiable areal unit problem. In N. Wrigley (Ed.), </w:t>
      </w:r>
      <w:r>
        <w:rPr>
          <w:i/>
          <w:iCs/>
        </w:rPr>
        <w:t>Statistical applications in the spatial sciences</w:t>
      </w:r>
      <w:r>
        <w:t xml:space="preserve"> (pp. 127–144). Pion. https://www-worldcat-org.proxy.lib.utk.edu/title/statistical-applications-in-the-spatial-sciences/oclc/8170391</w:t>
      </w:r>
    </w:p>
    <w:p w14:paraId="64DEFF4C" w14:textId="77777777" w:rsidR="00872B22" w:rsidRDefault="00872B22" w:rsidP="00A20F3F">
      <w:pPr>
        <w:pStyle w:val="Bibliography"/>
        <w:spacing w:line="240" w:lineRule="auto"/>
      </w:pPr>
      <w:r>
        <w:t xml:space="preserve">O’Sullivan, D., &amp; Unwin, D. J. (2003). </w:t>
      </w:r>
      <w:r>
        <w:rPr>
          <w:i/>
          <w:iCs/>
        </w:rPr>
        <w:t>Geographic Information Analysis</w:t>
      </w:r>
      <w:r>
        <w:t xml:space="preserve"> (1st ed.). Wiley.</w:t>
      </w:r>
    </w:p>
    <w:p w14:paraId="59F4E997" w14:textId="77777777" w:rsidR="00872B22" w:rsidRDefault="00872B22" w:rsidP="00A20F3F">
      <w:pPr>
        <w:pStyle w:val="Bibliography"/>
        <w:spacing w:line="240" w:lineRule="auto"/>
      </w:pPr>
      <w:r>
        <w:t xml:space="preserve">Paul, C. J., Paul, J. E., &amp; Anderson, R. S. (2019). The Local Food Environment and Food Security: The Health Behavior Role of Social Capital. </w:t>
      </w:r>
      <w:r>
        <w:rPr>
          <w:i/>
          <w:iCs/>
        </w:rPr>
        <w:t>International Journal of Environmental Research and Public Health</w:t>
      </w:r>
      <w:r>
        <w:t xml:space="preserve">, </w:t>
      </w:r>
      <w:r>
        <w:rPr>
          <w:i/>
          <w:iCs/>
        </w:rPr>
        <w:t>16</w:t>
      </w:r>
      <w:r>
        <w:t>(24), 5045. https://doi.org/10.3390/ijerph16245045</w:t>
      </w:r>
    </w:p>
    <w:p w14:paraId="23B21DAC" w14:textId="77777777" w:rsidR="00872B22" w:rsidRDefault="00872B22" w:rsidP="00A20F3F">
      <w:pPr>
        <w:pStyle w:val="Bibliography"/>
        <w:spacing w:line="240" w:lineRule="auto"/>
      </w:pPr>
      <w:r>
        <w:t xml:space="preserve">Pavlovskaya, M. (2009). Non-Quantiative GIS. In M. Cope &amp; S. Elwood (Eds.), </w:t>
      </w:r>
      <w:r>
        <w:rPr>
          <w:i/>
          <w:iCs/>
        </w:rPr>
        <w:t>Qualitative GIS: A Mixed Methods Approach</w:t>
      </w:r>
      <w:r>
        <w:t>. SAGE.</w:t>
      </w:r>
    </w:p>
    <w:p w14:paraId="032924D5" w14:textId="77777777" w:rsidR="00872B22" w:rsidRDefault="00872B22" w:rsidP="00A20F3F">
      <w:pPr>
        <w:pStyle w:val="Bibliography"/>
        <w:spacing w:line="240" w:lineRule="auto"/>
      </w:pPr>
      <w:r>
        <w:t xml:space="preserve">Penchansky, R., &amp; Thomas, J. W. (1981). The Concept of Access: Definition and Relationship to Consumer Satisfaction. </w:t>
      </w:r>
      <w:r>
        <w:rPr>
          <w:i/>
          <w:iCs/>
        </w:rPr>
        <w:t>Medical Care</w:t>
      </w:r>
      <w:r>
        <w:t xml:space="preserve">, </w:t>
      </w:r>
      <w:r>
        <w:rPr>
          <w:i/>
          <w:iCs/>
        </w:rPr>
        <w:t>19</w:t>
      </w:r>
      <w:r>
        <w:t>(2), 127–140. https://www.jstor.org.proxy.lib.utk.edu:90/stable/3764310</w:t>
      </w:r>
    </w:p>
    <w:p w14:paraId="5C76AE95" w14:textId="77777777" w:rsidR="00872B22" w:rsidRDefault="00872B22" w:rsidP="00A20F3F">
      <w:pPr>
        <w:pStyle w:val="Bibliography"/>
        <w:spacing w:line="240" w:lineRule="auto"/>
      </w:pPr>
      <w:r>
        <w:t xml:space="preserve">Ploeg, M. V., Breneman, V., Dutko, P., Williams, R., Snyder, S., Dicken, C., &amp; Kaufman, P. (2012). </w:t>
      </w:r>
      <w:r>
        <w:rPr>
          <w:i/>
          <w:iCs/>
        </w:rPr>
        <w:t>Access to Affordable and Nutritious Food: Updated Estimates of Distance to Supermarkets Using 2010 Data</w:t>
      </w:r>
      <w:r>
        <w:t xml:space="preserve"> [Report Summary]. United States Department of Agriculture, Economic Research Service. https://www.ers.usda.gov/webdocs/publications/45032/33844_err143_summary.pdf?v=9280.8</w:t>
      </w:r>
    </w:p>
    <w:p w14:paraId="5014749B" w14:textId="77777777" w:rsidR="00872B22" w:rsidRDefault="00872B22" w:rsidP="00A20F3F">
      <w:pPr>
        <w:pStyle w:val="Bibliography"/>
        <w:spacing w:line="240" w:lineRule="auto"/>
      </w:pPr>
      <w:r>
        <w:lastRenderedPageBreak/>
        <w:t xml:space="preserve">Ploeg, M. V., Breneman, V., Farrigan, T., Hamrick, K., Hopkins, D., Kaufman, P., Lin, B.-H., Nord, M., Smith, T., Williams, R., Kinnison, K., Olander, C., Singh, A., Tuckermanty, E., Krantz-Kent, R., Polen, C., McGowan, H., &amp; Kim, S. (2009). </w:t>
      </w:r>
      <w:r>
        <w:rPr>
          <w:i/>
          <w:iCs/>
        </w:rPr>
        <w:t>Access to Affordable and Nutritious Food: Measuring and Understanding Food  Deserts and Their Consequences</w:t>
      </w:r>
      <w:r>
        <w:t xml:space="preserve"> (pp. 1–160) [Report to Congress]. United States Department of Agriculture, Economic Research Service. https://www.ers.usda.gov/webdocs/publications/42711/12716_ap036_1_.pdf?v=62.2</w:t>
      </w:r>
    </w:p>
    <w:p w14:paraId="3BCA2D0F" w14:textId="77777777" w:rsidR="00872B22" w:rsidRDefault="00872B22" w:rsidP="00A20F3F">
      <w:pPr>
        <w:pStyle w:val="Bibliography"/>
        <w:spacing w:line="240" w:lineRule="auto"/>
      </w:pPr>
      <w:r>
        <w:t xml:space="preserve">Ploeg, M. V., Macino, Lisa, Todd, Jessica E., Clay, Dawn Marie, &amp; Scharadin, Benjamin. (2015). </w:t>
      </w:r>
      <w:r>
        <w:rPr>
          <w:i/>
          <w:iCs/>
        </w:rPr>
        <w:t>Where Do Americans Usually Shop for Food and How Do They Travel To Get There? Initial Findings From the National Household Food Acquisition and Purchase Survey</w:t>
      </w:r>
      <w:r>
        <w:t xml:space="preserve"> (EIB-138; p. 27). U.S. Department of Agriculture, Economic Research Service.</w:t>
      </w:r>
    </w:p>
    <w:p w14:paraId="562F6E9E" w14:textId="77777777" w:rsidR="00872B22" w:rsidRDefault="00872B22" w:rsidP="00A20F3F">
      <w:pPr>
        <w:pStyle w:val="Bibliography"/>
        <w:spacing w:line="240" w:lineRule="auto"/>
      </w:pPr>
      <w:r>
        <w:rPr>
          <w:i/>
          <w:iCs/>
        </w:rPr>
        <w:t>Plotly Open Source Graphing Library for Python</w:t>
      </w:r>
      <w:r>
        <w:t>. (2022). Plotly. https://plotly.com/python/</w:t>
      </w:r>
    </w:p>
    <w:p w14:paraId="74B378E4" w14:textId="77777777" w:rsidR="00872B22" w:rsidRDefault="00872B22" w:rsidP="00A20F3F">
      <w:pPr>
        <w:pStyle w:val="Bibliography"/>
        <w:spacing w:line="240" w:lineRule="auto"/>
      </w:pPr>
      <w:r>
        <w:t xml:space="preserve">Pot, F. J., van Wee, B., &amp; Tillema, T. (2021). Perceived accessibility: What it is and why it differs from calculated accessibility measures based on spatial data. </w:t>
      </w:r>
      <w:r>
        <w:rPr>
          <w:i/>
          <w:iCs/>
        </w:rPr>
        <w:t>Journal of Transport Geography</w:t>
      </w:r>
      <w:r>
        <w:t xml:space="preserve">, </w:t>
      </w:r>
      <w:r>
        <w:rPr>
          <w:i/>
          <w:iCs/>
        </w:rPr>
        <w:t>94</w:t>
      </w:r>
      <w:r>
        <w:t>, 103090. https://doi.org/10.1016/j.jtrangeo.2021.103090</w:t>
      </w:r>
    </w:p>
    <w:p w14:paraId="2431A656" w14:textId="77777777" w:rsidR="00872B22" w:rsidRDefault="00872B22" w:rsidP="00A20F3F">
      <w:pPr>
        <w:pStyle w:val="Bibliography"/>
        <w:spacing w:line="240" w:lineRule="auto"/>
      </w:pPr>
      <w:r>
        <w:t xml:space="preserve">Radke, J., &amp; Mu, L. (2000). Spatial Decompositions, Modeling and Mapping Service Regions to Predict Access to Social Programs. </w:t>
      </w:r>
      <w:r>
        <w:rPr>
          <w:i/>
          <w:iCs/>
        </w:rPr>
        <w:t>Geographic Information Sciences</w:t>
      </w:r>
      <w:r>
        <w:t xml:space="preserve">, </w:t>
      </w:r>
      <w:r>
        <w:rPr>
          <w:i/>
          <w:iCs/>
        </w:rPr>
        <w:t>6</w:t>
      </w:r>
      <w:r>
        <w:t>(2), 105–112. https://doi.org/10.1080/10824000009480538</w:t>
      </w:r>
    </w:p>
    <w:p w14:paraId="1FC6ED1D" w14:textId="77777777" w:rsidR="00872B22" w:rsidRDefault="00872B22" w:rsidP="00A20F3F">
      <w:pPr>
        <w:pStyle w:val="Bibliography"/>
        <w:spacing w:line="240" w:lineRule="auto"/>
      </w:pPr>
      <w:r>
        <w:t xml:space="preserve">Reardon, M. (2021, February 17). </w:t>
      </w:r>
      <w:r>
        <w:rPr>
          <w:i/>
          <w:iCs/>
        </w:rPr>
        <w:t>FCC Chair Rosenworcel launches broadband mapping task force</w:t>
      </w:r>
      <w:r>
        <w:t>. CNET. https://www.cnet.com/tech/mobile/fcc-chair-rosenworcel-launches-broadband-mapping-task-force/</w:t>
      </w:r>
    </w:p>
    <w:p w14:paraId="2D832A08" w14:textId="77777777" w:rsidR="00872B22" w:rsidRDefault="00872B22" w:rsidP="00A20F3F">
      <w:pPr>
        <w:pStyle w:val="Bibliography"/>
        <w:spacing w:line="240" w:lineRule="auto"/>
      </w:pPr>
      <w:r>
        <w:t xml:space="preserve">Reese, A. M. (2016). </w:t>
      </w:r>
      <w:r>
        <w:rPr>
          <w:i/>
          <w:iCs/>
        </w:rPr>
        <w:t>The Roots of Food Inequalities: Beyond the food desert narrative</w:t>
      </w:r>
      <w:r>
        <w:t>. Southern Foodways Alliance. https://www.southernfoodways.org/the-roots-of-food-inequalities-beyond-the-food-desert-narrative/</w:t>
      </w:r>
    </w:p>
    <w:p w14:paraId="1BF04D19" w14:textId="77777777" w:rsidR="00872B22" w:rsidRDefault="00872B22" w:rsidP="00A20F3F">
      <w:pPr>
        <w:pStyle w:val="Bibliography"/>
        <w:spacing w:line="240" w:lineRule="auto"/>
      </w:pPr>
      <w:r>
        <w:t xml:space="preserve">Reese, A. M. (2018). “We will not perish; we’re going to keep flourishing”: Race, Food Access, and Geographies of Self‐Reliance. </w:t>
      </w:r>
      <w:r>
        <w:rPr>
          <w:i/>
          <w:iCs/>
        </w:rPr>
        <w:t>Antipode</w:t>
      </w:r>
      <w:r>
        <w:t xml:space="preserve">, </w:t>
      </w:r>
      <w:r>
        <w:rPr>
          <w:i/>
          <w:iCs/>
        </w:rPr>
        <w:t>50</w:t>
      </w:r>
      <w:r>
        <w:t>(2), 407–424. https://doi.org/10.1111/anti.12359</w:t>
      </w:r>
    </w:p>
    <w:p w14:paraId="6CCA89E7" w14:textId="77777777" w:rsidR="00872B22" w:rsidRDefault="00872B22" w:rsidP="00A20F3F">
      <w:pPr>
        <w:pStyle w:val="Bibliography"/>
        <w:spacing w:line="240" w:lineRule="auto"/>
      </w:pPr>
      <w:r>
        <w:t xml:space="preserve">Ren, F., &amp; Kwan, M.-P. (2009). The Impact of Geographic Context on E-Shopping Behavior. </w:t>
      </w:r>
      <w:r>
        <w:rPr>
          <w:i/>
          <w:iCs/>
        </w:rPr>
        <w:t>Environment and Planning B: Planning and Design</w:t>
      </w:r>
      <w:r>
        <w:t xml:space="preserve">, </w:t>
      </w:r>
      <w:r>
        <w:rPr>
          <w:i/>
          <w:iCs/>
        </w:rPr>
        <w:t>36</w:t>
      </w:r>
      <w:r>
        <w:t>(2), 262–278. https://doi.org/10.1068/b34014t</w:t>
      </w:r>
    </w:p>
    <w:p w14:paraId="31194A3F" w14:textId="77777777" w:rsidR="00872B22" w:rsidRDefault="00872B22" w:rsidP="00A20F3F">
      <w:pPr>
        <w:pStyle w:val="Bibliography"/>
        <w:spacing w:line="240" w:lineRule="auto"/>
      </w:pPr>
      <w:r>
        <w:t xml:space="preserve">Rhone, A., Ver Ploeg, M., Dicken, C., Williams, R., &amp; Brenemen, V. (2017). </w:t>
      </w:r>
      <w:r>
        <w:rPr>
          <w:i/>
          <w:iCs/>
        </w:rPr>
        <w:t>Low-Income and Low-Supermarket-Access Census Tracts, 2010-2015</w:t>
      </w:r>
      <w:r>
        <w:t xml:space="preserve"> (EIB-165; pp. 1–21). U.S. Department of Agriculture, Economic Research Service. https://www.ers.usda.gov/webdocs/publications/82101/eib-165.pdf?v=42752</w:t>
      </w:r>
    </w:p>
    <w:p w14:paraId="324218F2" w14:textId="77777777" w:rsidR="00872B22" w:rsidRDefault="00872B22" w:rsidP="00A20F3F">
      <w:pPr>
        <w:pStyle w:val="Bibliography"/>
        <w:spacing w:line="240" w:lineRule="auto"/>
      </w:pPr>
      <w:r>
        <w:t xml:space="preserve">Richardson, L. (2015). </w:t>
      </w:r>
      <w:r>
        <w:rPr>
          <w:i/>
          <w:iCs/>
        </w:rPr>
        <w:t>Beautiful Soup Documentation—Beautiful Soup 4.4.0 documentation</w:t>
      </w:r>
      <w:r>
        <w:t>. https://beautiful-soup-4.readthedocs.io/en/latest/#</w:t>
      </w:r>
    </w:p>
    <w:p w14:paraId="2CC3CF63" w14:textId="77777777" w:rsidR="00872B22" w:rsidRDefault="00872B22" w:rsidP="00A20F3F">
      <w:pPr>
        <w:pStyle w:val="Bibliography"/>
        <w:spacing w:line="240" w:lineRule="auto"/>
      </w:pPr>
      <w:r>
        <w:t xml:space="preserve">Rigby, S., Leone, A. F., Kim, H., Betterley, C., Johnson, M. A., Kurtz, H., &amp; Lee, J. S. (2012). Food Deserts in Leon County, FL: Disparate Distribution of Supplemental Nutrition Assistance Program–Accepting Stores by Neighborhood Characteristics. </w:t>
      </w:r>
      <w:r>
        <w:rPr>
          <w:i/>
          <w:iCs/>
        </w:rPr>
        <w:t>Journal of Nutrition Education and Behavior</w:t>
      </w:r>
      <w:r>
        <w:t xml:space="preserve">, </w:t>
      </w:r>
      <w:r>
        <w:rPr>
          <w:i/>
          <w:iCs/>
        </w:rPr>
        <w:t>44</w:t>
      </w:r>
      <w:r>
        <w:t>(6), 539–547. https://doi.org/10.1016/j.jneb.2011.06.007</w:t>
      </w:r>
    </w:p>
    <w:p w14:paraId="6EF7C9C6" w14:textId="77777777" w:rsidR="00872B22" w:rsidRDefault="00872B22" w:rsidP="00A20F3F">
      <w:pPr>
        <w:pStyle w:val="Bibliography"/>
        <w:spacing w:line="240" w:lineRule="auto"/>
      </w:pPr>
      <w:r>
        <w:t xml:space="preserve">Rodrigue, J.-P. (2020). </w:t>
      </w:r>
      <w:r>
        <w:rPr>
          <w:i/>
          <w:iCs/>
        </w:rPr>
        <w:t>The Geography of Transport Systems</w:t>
      </w:r>
      <w:r>
        <w:t xml:space="preserve"> (5th ed.). Routledge. https://doi.org/10.4324/9780429346323</w:t>
      </w:r>
    </w:p>
    <w:p w14:paraId="3304B5B4" w14:textId="77777777" w:rsidR="00872B22" w:rsidRDefault="00872B22" w:rsidP="00A20F3F">
      <w:pPr>
        <w:pStyle w:val="Bibliography"/>
        <w:spacing w:line="240" w:lineRule="auto"/>
      </w:pPr>
      <w:r>
        <w:t xml:space="preserve">Rose, D., Bodor, J. N., Swalm, C. M., Rice, J. C., Farley, T. A., &amp; Hutchinson, P. L. (2009). </w:t>
      </w:r>
      <w:r>
        <w:rPr>
          <w:i/>
          <w:iCs/>
        </w:rPr>
        <w:t>Deserts in New Orleans? Illustrations of Urban Food Access and Implications for Policy</w:t>
      </w:r>
      <w:r>
        <w:t>. School of Public Health and Tropical Medicine, Tulane University.</w:t>
      </w:r>
    </w:p>
    <w:p w14:paraId="56BB8F22" w14:textId="77777777" w:rsidR="00872B22" w:rsidRDefault="00872B22" w:rsidP="00A20F3F">
      <w:pPr>
        <w:pStyle w:val="Bibliography"/>
        <w:spacing w:line="240" w:lineRule="auto"/>
      </w:pPr>
      <w:r>
        <w:lastRenderedPageBreak/>
        <w:t xml:space="preserve">Ryan, J., &amp; Pereira, R. H. M. (2021). What are we missing when we measure accessibility? Comparing calculated and self-reported accounts among older people. </w:t>
      </w:r>
      <w:r>
        <w:rPr>
          <w:i/>
          <w:iCs/>
        </w:rPr>
        <w:t>Journal of Transport Geography</w:t>
      </w:r>
      <w:r>
        <w:t xml:space="preserve">, </w:t>
      </w:r>
      <w:r>
        <w:rPr>
          <w:i/>
          <w:iCs/>
        </w:rPr>
        <w:t>93</w:t>
      </w:r>
      <w:r>
        <w:t>, 103086. https://doi.org/10.1016/j.jtrangeo.2021.103086</w:t>
      </w:r>
    </w:p>
    <w:p w14:paraId="746EF5E6" w14:textId="77777777" w:rsidR="00872B22" w:rsidRDefault="00872B22" w:rsidP="00A20F3F">
      <w:pPr>
        <w:pStyle w:val="Bibliography"/>
        <w:spacing w:line="240" w:lineRule="auto"/>
      </w:pPr>
      <w:r>
        <w:t xml:space="preserve">SadBrunette1999. (2021, March 28). </w:t>
      </w:r>
      <w:r>
        <w:rPr>
          <w:i/>
          <w:iCs/>
        </w:rPr>
        <w:t xml:space="preserve">Would anyone like to buy a hungry, sad Canadian gal food? I’ll love you forever </w:t>
      </w:r>
      <w:r>
        <w:rPr>
          <w:rFonts w:ascii="Segoe UI Emoji" w:hAnsi="Segoe UI Emoji" w:cs="Segoe UI Emoji"/>
          <w:i/>
          <w:iCs/>
        </w:rPr>
        <w:t>🤞🏻</w:t>
      </w:r>
      <w:r>
        <w:t xml:space="preserve"> [Reddit Post]. R/Randomactsof. www.reddit.com/r/randomactsof/comments/mfcb0y/would_anyone_like_to_buy_a_hungry_sad_canadian/</w:t>
      </w:r>
    </w:p>
    <w:p w14:paraId="5FDC5DA2" w14:textId="77777777" w:rsidR="00872B22" w:rsidRDefault="00872B22" w:rsidP="00A20F3F">
      <w:pPr>
        <w:pStyle w:val="Bibliography"/>
        <w:spacing w:line="240" w:lineRule="auto"/>
      </w:pPr>
      <w:r>
        <w:t xml:space="preserve">Sansom, G., &amp; Hannibal, B. (2021). Disparate access to nutritional food; place, race and equity in the United States. </w:t>
      </w:r>
      <w:r>
        <w:rPr>
          <w:i/>
          <w:iCs/>
        </w:rPr>
        <w:t>BMC Nutrition</w:t>
      </w:r>
      <w:r>
        <w:t xml:space="preserve">, </w:t>
      </w:r>
      <w:r>
        <w:rPr>
          <w:i/>
          <w:iCs/>
        </w:rPr>
        <w:t>7</w:t>
      </w:r>
      <w:r>
        <w:t>(1), 29. https://doi.org/10.1186/s40795-021-00434-2</w:t>
      </w:r>
    </w:p>
    <w:p w14:paraId="2400EB0B" w14:textId="77777777" w:rsidR="00872B22" w:rsidRDefault="00872B22" w:rsidP="00A20F3F">
      <w:pPr>
        <w:pStyle w:val="Bibliography"/>
        <w:spacing w:line="240" w:lineRule="auto"/>
      </w:pPr>
      <w:r>
        <w:t xml:space="preserve">Schleinitz, K., Petzoldt, T., Franke-Bartholdt, L., Krems, J., &amp; Gehlert, T. (2017). The German Naturalistic Cycling Study – Comparing cycling speed of riders of different e-bikes and conventional bicycles. </w:t>
      </w:r>
      <w:r>
        <w:rPr>
          <w:i/>
          <w:iCs/>
        </w:rPr>
        <w:t>Safety Science</w:t>
      </w:r>
      <w:r>
        <w:t xml:space="preserve">, </w:t>
      </w:r>
      <w:r>
        <w:rPr>
          <w:i/>
          <w:iCs/>
        </w:rPr>
        <w:t>92</w:t>
      </w:r>
      <w:r>
        <w:t>, 290–297. https://doi.org/10.1016/j.ssci.2015.07.027</w:t>
      </w:r>
    </w:p>
    <w:p w14:paraId="5245BAA5" w14:textId="77777777" w:rsidR="00872B22" w:rsidRDefault="00872B22" w:rsidP="00A20F3F">
      <w:pPr>
        <w:pStyle w:val="Bibliography"/>
        <w:spacing w:line="240" w:lineRule="auto"/>
      </w:pPr>
      <w:r>
        <w:t xml:space="preserve">Schwartz, N., Buliung, R., &amp; Wilson, K. (2019). Disability and food access and insecurity: A scoping review of the literature. </w:t>
      </w:r>
      <w:r>
        <w:rPr>
          <w:i/>
          <w:iCs/>
        </w:rPr>
        <w:t>Health &amp; Place</w:t>
      </w:r>
      <w:r>
        <w:t xml:space="preserve">, </w:t>
      </w:r>
      <w:r>
        <w:rPr>
          <w:i/>
          <w:iCs/>
        </w:rPr>
        <w:t>57</w:t>
      </w:r>
      <w:r>
        <w:t>, 107–121. https://doi.org/10.1016/j.healthplace.2019.03.011</w:t>
      </w:r>
    </w:p>
    <w:p w14:paraId="581627E1" w14:textId="77777777" w:rsidR="00872B22" w:rsidRDefault="00872B22" w:rsidP="00A20F3F">
      <w:pPr>
        <w:pStyle w:val="Bibliography"/>
        <w:spacing w:line="240" w:lineRule="auto"/>
      </w:pPr>
      <w:r>
        <w:t xml:space="preserve">Shannon, J. (2016). Beyond the Supermarket Solution: Linking Food Deserts, Neighborhood Context, and Everyday Mobility. </w:t>
      </w:r>
      <w:r>
        <w:rPr>
          <w:i/>
          <w:iCs/>
        </w:rPr>
        <w:t>Annals of the American Association of Geographers</w:t>
      </w:r>
      <w:r>
        <w:t xml:space="preserve">, </w:t>
      </w:r>
      <w:r>
        <w:rPr>
          <w:i/>
          <w:iCs/>
        </w:rPr>
        <w:t>106</w:t>
      </w:r>
      <w:r>
        <w:t>(1), 186–202. https://doi.org/10.1080/00045608.2015.1095059</w:t>
      </w:r>
    </w:p>
    <w:p w14:paraId="6504B7B4" w14:textId="77777777" w:rsidR="00872B22" w:rsidRDefault="00872B22" w:rsidP="00A20F3F">
      <w:pPr>
        <w:pStyle w:val="Bibliography"/>
        <w:spacing w:line="240" w:lineRule="auto"/>
      </w:pPr>
      <w:r>
        <w:t xml:space="preserve">Shannon, J. (2021). Dollar Stores, Retailer Redlining, and the Metropolitan Geographies of Precarious Consumption. </w:t>
      </w:r>
      <w:r>
        <w:rPr>
          <w:i/>
          <w:iCs/>
        </w:rPr>
        <w:t>Annals of the American Association of Geographers</w:t>
      </w:r>
      <w:r>
        <w:t xml:space="preserve">, </w:t>
      </w:r>
      <w:r>
        <w:rPr>
          <w:i/>
          <w:iCs/>
        </w:rPr>
        <w:t>111</w:t>
      </w:r>
      <w:r>
        <w:t>(4), 1200–1218. https://doi.org/10.1080/24694452.2020.1775544</w:t>
      </w:r>
    </w:p>
    <w:p w14:paraId="010873D9" w14:textId="77777777" w:rsidR="00872B22" w:rsidRDefault="00872B22" w:rsidP="00A20F3F">
      <w:pPr>
        <w:pStyle w:val="Bibliography"/>
        <w:spacing w:line="240" w:lineRule="auto"/>
      </w:pPr>
      <w:r>
        <w:t xml:space="preserve">Shannon, J., &amp; Christian, W. J. (2017). What is the relationship between food shopping and daily mobility? A relational approach to analysis of food access. </w:t>
      </w:r>
      <w:r>
        <w:rPr>
          <w:i/>
          <w:iCs/>
        </w:rPr>
        <w:t>GeoJournal</w:t>
      </w:r>
      <w:r>
        <w:t xml:space="preserve">, </w:t>
      </w:r>
      <w:r>
        <w:rPr>
          <w:i/>
          <w:iCs/>
        </w:rPr>
        <w:t>82</w:t>
      </w:r>
      <w:r>
        <w:t>(4), 769–785. https://doi.org/10.1007/s10708-016-9716-0</w:t>
      </w:r>
    </w:p>
    <w:p w14:paraId="3C50FE2F" w14:textId="77777777" w:rsidR="00872B22" w:rsidRDefault="00872B22" w:rsidP="00A20F3F">
      <w:pPr>
        <w:pStyle w:val="Bibliography"/>
        <w:spacing w:line="240" w:lineRule="auto"/>
      </w:pPr>
      <w:r>
        <w:t xml:space="preserve">Shaw, S.-L., &amp; Sui, D. (2018). Editorial: GIScience for human dynamics research in a changing world. </w:t>
      </w:r>
      <w:r>
        <w:rPr>
          <w:i/>
          <w:iCs/>
        </w:rPr>
        <w:t>Transactions in GIS</w:t>
      </w:r>
      <w:r>
        <w:t xml:space="preserve">, </w:t>
      </w:r>
      <w:r>
        <w:rPr>
          <w:i/>
          <w:iCs/>
        </w:rPr>
        <w:t>22</w:t>
      </w:r>
      <w:r>
        <w:t>(4), 891–899. https://doi.org/10.1111/tgis.12474</w:t>
      </w:r>
    </w:p>
    <w:p w14:paraId="0A342D51" w14:textId="77777777" w:rsidR="00872B22" w:rsidRDefault="00872B22" w:rsidP="00A20F3F">
      <w:pPr>
        <w:pStyle w:val="Bibliography"/>
        <w:spacing w:line="240" w:lineRule="auto"/>
      </w:pPr>
      <w:r>
        <w:t xml:space="preserve">Shaw, S.-L., &amp; Sui, D. (2020). Understanding the New Human Dynamics in Smart Spaces and Places: Toward a Splatial Framework. </w:t>
      </w:r>
      <w:r>
        <w:rPr>
          <w:i/>
          <w:iCs/>
        </w:rPr>
        <w:t>Annals of the American Association of Geographers</w:t>
      </w:r>
      <w:r>
        <w:t xml:space="preserve">, </w:t>
      </w:r>
      <w:r>
        <w:rPr>
          <w:i/>
          <w:iCs/>
        </w:rPr>
        <w:t>0</w:t>
      </w:r>
      <w:r>
        <w:t>(0), 339–348. https://doi.org/10.1080/24694452.2019.1631145</w:t>
      </w:r>
    </w:p>
    <w:p w14:paraId="0EBB2C02" w14:textId="77777777" w:rsidR="00872B22" w:rsidRDefault="00872B22" w:rsidP="00A20F3F">
      <w:pPr>
        <w:pStyle w:val="Bibliography"/>
        <w:spacing w:line="240" w:lineRule="auto"/>
      </w:pPr>
      <w:r>
        <w:t xml:space="preserve">Shaw, S.-L., Tsou, M.-H., &amp; Ye, X. (2016). Editorial: Human dynamics in the mobile and big data era. </w:t>
      </w:r>
      <w:r>
        <w:rPr>
          <w:i/>
          <w:iCs/>
        </w:rPr>
        <w:t>International Journal of Geographical Information Science</w:t>
      </w:r>
      <w:r>
        <w:t xml:space="preserve">, </w:t>
      </w:r>
      <w:r>
        <w:rPr>
          <w:i/>
          <w:iCs/>
        </w:rPr>
        <w:t>30</w:t>
      </w:r>
      <w:r>
        <w:t>(9), 1687–1693. https://doi.org/10.1080/13658816.2016.1164317</w:t>
      </w:r>
    </w:p>
    <w:p w14:paraId="3D940951" w14:textId="77777777" w:rsidR="00872B22" w:rsidRDefault="00872B22" w:rsidP="00A20F3F">
      <w:pPr>
        <w:pStyle w:val="Bibliography"/>
        <w:spacing w:line="240" w:lineRule="auto"/>
      </w:pPr>
      <w:r>
        <w:t xml:space="preserve">Shaw, S.-L., &amp; Yu, H. (2009). A GIS-based time-geographic approach of studying individual activities and interactions in a hybrid physical–virtual space. </w:t>
      </w:r>
      <w:r>
        <w:rPr>
          <w:i/>
          <w:iCs/>
        </w:rPr>
        <w:t>Journal of Transport Geography</w:t>
      </w:r>
      <w:r>
        <w:t xml:space="preserve">, </w:t>
      </w:r>
      <w:r>
        <w:rPr>
          <w:i/>
          <w:iCs/>
        </w:rPr>
        <w:t>17</w:t>
      </w:r>
      <w:r>
        <w:t>(2), 141–149. https://doi.org/10.1016/j.jtrangeo.2008.11.012</w:t>
      </w:r>
    </w:p>
    <w:p w14:paraId="733631ED" w14:textId="77777777" w:rsidR="00872B22" w:rsidRDefault="00872B22" w:rsidP="00A20F3F">
      <w:pPr>
        <w:pStyle w:val="Bibliography"/>
        <w:spacing w:line="240" w:lineRule="auto"/>
      </w:pPr>
      <w:r>
        <w:t xml:space="preserve">Shen, Q. (1998). Spatial technologies, accessibility, and the social construction of urban space. </w:t>
      </w:r>
      <w:r>
        <w:rPr>
          <w:i/>
          <w:iCs/>
        </w:rPr>
        <w:t>Computers, Environment and Urban Systems</w:t>
      </w:r>
      <w:r>
        <w:t xml:space="preserve">, </w:t>
      </w:r>
      <w:r>
        <w:rPr>
          <w:i/>
          <w:iCs/>
        </w:rPr>
        <w:t>22</w:t>
      </w:r>
      <w:r>
        <w:t>(5), 447–464. https://doi.org/10.1016/S0198-9715(98)00039-8</w:t>
      </w:r>
    </w:p>
    <w:p w14:paraId="01265892" w14:textId="77777777" w:rsidR="00872B22" w:rsidRDefault="00872B22" w:rsidP="00A20F3F">
      <w:pPr>
        <w:pStyle w:val="Bibliography"/>
        <w:spacing w:line="240" w:lineRule="auto"/>
      </w:pPr>
      <w:r>
        <w:t xml:space="preserve">Shen, Q. (2000). Transportation, Telecommunications, and the Changing Geography of Opportunity. In D. G. Janelle &amp; D. C. Hodge (Eds.), </w:t>
      </w:r>
      <w:r>
        <w:rPr>
          <w:i/>
          <w:iCs/>
        </w:rPr>
        <w:t>Information, Place, and Cyberspace: Issues in Accessibility</w:t>
      </w:r>
      <w:r>
        <w:t xml:space="preserve"> (pp. 47–72). Springer. https://doi.org/10.1007/978-3-662-04027-0_4</w:t>
      </w:r>
    </w:p>
    <w:p w14:paraId="37209C1A" w14:textId="77777777" w:rsidR="00872B22" w:rsidRDefault="00872B22" w:rsidP="00A20F3F">
      <w:pPr>
        <w:pStyle w:val="Bibliography"/>
        <w:spacing w:line="240" w:lineRule="auto"/>
      </w:pPr>
      <w:r>
        <w:lastRenderedPageBreak/>
        <w:t xml:space="preserve">Skinner, B., Levy, H., &amp; Burtch, T. (2021). </w:t>
      </w:r>
      <w:r>
        <w:rPr>
          <w:i/>
          <w:iCs/>
        </w:rPr>
        <w:t>Digital redlining: The relevance of 20th century housing policy to 21st century broadband access and education</w:t>
      </w:r>
      <w:r>
        <w:t>. https://doi.org/10.26300/Q9AV-9C93</w:t>
      </w:r>
    </w:p>
    <w:p w14:paraId="79115AB9" w14:textId="77777777" w:rsidR="00872B22" w:rsidRDefault="00872B22" w:rsidP="00A20F3F">
      <w:pPr>
        <w:pStyle w:val="Bibliography"/>
        <w:spacing w:line="240" w:lineRule="auto"/>
      </w:pPr>
      <w:r>
        <w:t xml:space="preserve">Statz, M., &amp; Evers, K. (2020). Spatial barriers as moral failings: What rural distance can teach us about women’s health and medical mistrust author names and affiliations. </w:t>
      </w:r>
      <w:r>
        <w:rPr>
          <w:i/>
          <w:iCs/>
        </w:rPr>
        <w:t>Health &amp; Place</w:t>
      </w:r>
      <w:r>
        <w:t xml:space="preserve">, </w:t>
      </w:r>
      <w:r>
        <w:rPr>
          <w:i/>
          <w:iCs/>
        </w:rPr>
        <w:t>64</w:t>
      </w:r>
      <w:r>
        <w:t>, 102396. https://doi.org/10.1016/j.healthplace.2020.102396</w:t>
      </w:r>
    </w:p>
    <w:p w14:paraId="29D2693D" w14:textId="77777777" w:rsidR="00872B22" w:rsidRDefault="00872B22" w:rsidP="00A20F3F">
      <w:pPr>
        <w:pStyle w:val="Bibliography"/>
        <w:spacing w:line="240" w:lineRule="auto"/>
      </w:pPr>
      <w:r>
        <w:t xml:space="preserve">Sublette, C. M., &amp; Martin, J. (2013). Let Them Eat Cake, Caviar, Organic, and Whole Foods: American Elitism, White Trash Dinner Parties, and Diet. </w:t>
      </w:r>
      <w:r>
        <w:rPr>
          <w:i/>
          <w:iCs/>
        </w:rPr>
        <w:t>Studies in Popular Culture</w:t>
      </w:r>
      <w:r>
        <w:t xml:space="preserve">, </w:t>
      </w:r>
      <w:r>
        <w:rPr>
          <w:i/>
          <w:iCs/>
        </w:rPr>
        <w:t>36</w:t>
      </w:r>
      <w:r>
        <w:t>(1), 21–44. https://www.jstor.org/stable/23610150</w:t>
      </w:r>
    </w:p>
    <w:p w14:paraId="081C10B8" w14:textId="77777777" w:rsidR="00872B22" w:rsidRDefault="00872B22" w:rsidP="00A20F3F">
      <w:pPr>
        <w:pStyle w:val="Bibliography"/>
        <w:spacing w:line="240" w:lineRule="auto"/>
      </w:pPr>
      <w:r>
        <w:t xml:space="preserve">Talen, E., &amp; Anselin, L. (1998a). Assessing Spatial Equity: An Evaluation of Measures of Accessibility to Public Playgrounds. </w:t>
      </w:r>
      <w:r>
        <w:rPr>
          <w:i/>
          <w:iCs/>
        </w:rPr>
        <w:t>Environment and Planning A: Economy and Space</w:t>
      </w:r>
      <w:r>
        <w:t xml:space="preserve">, </w:t>
      </w:r>
      <w:r>
        <w:rPr>
          <w:i/>
          <w:iCs/>
        </w:rPr>
        <w:t>30</w:t>
      </w:r>
      <w:r>
        <w:t>(4), 595–613. https://doi.org/10.1068/a300595</w:t>
      </w:r>
    </w:p>
    <w:p w14:paraId="37BA283A" w14:textId="77777777" w:rsidR="00872B22" w:rsidRDefault="00872B22" w:rsidP="00A20F3F">
      <w:pPr>
        <w:pStyle w:val="Bibliography"/>
        <w:spacing w:line="240" w:lineRule="auto"/>
      </w:pPr>
      <w:r>
        <w:t xml:space="preserve">Talen, E., &amp; Anselin, L. (1998b). Assessing Spatial Equity: An Evaluation of Measures of Accessibility to Public Playgrounds. </w:t>
      </w:r>
      <w:r>
        <w:rPr>
          <w:i/>
          <w:iCs/>
        </w:rPr>
        <w:t>Environment and Planning A: Economy and Space</w:t>
      </w:r>
      <w:r>
        <w:t xml:space="preserve">, </w:t>
      </w:r>
      <w:r>
        <w:rPr>
          <w:i/>
          <w:iCs/>
        </w:rPr>
        <w:t>30</w:t>
      </w:r>
      <w:r>
        <w:t>(4), 595–613. https://doi.org/10.1068/a300595</w:t>
      </w:r>
    </w:p>
    <w:p w14:paraId="7BA61A8C" w14:textId="77777777" w:rsidR="00872B22" w:rsidRDefault="00872B22" w:rsidP="00A20F3F">
      <w:pPr>
        <w:pStyle w:val="Bibliography"/>
        <w:spacing w:line="240" w:lineRule="auto"/>
      </w:pPr>
      <w:r>
        <w:t xml:space="preserve">Tibken, S. (2021a, February 19). </w:t>
      </w:r>
      <w:r>
        <w:rPr>
          <w:i/>
          <w:iCs/>
        </w:rPr>
        <w:t>Millions of Americans can’t get broadband because of the FCC’s faulty map. There’s a fix</w:t>
      </w:r>
      <w:r>
        <w:t>. CNET. https://www.cnet.com/home/internet/features/millions-of-americans-cant-get-broadband-because-of-a-faulty-fcc-map-theres-a-fix/</w:t>
      </w:r>
    </w:p>
    <w:p w14:paraId="2E557920" w14:textId="77777777" w:rsidR="00872B22" w:rsidRDefault="00872B22" w:rsidP="00A20F3F">
      <w:pPr>
        <w:pStyle w:val="Bibliography"/>
        <w:spacing w:line="240" w:lineRule="auto"/>
      </w:pPr>
      <w:r>
        <w:t xml:space="preserve">Tibken, S. (2021b, February 23). </w:t>
      </w:r>
      <w:r>
        <w:rPr>
          <w:i/>
          <w:iCs/>
        </w:rPr>
        <w:t>States couldn’t afford to wait for the FCC’s broadband maps to improve. So they didn’t</w:t>
      </w:r>
      <w:r>
        <w:t>. CNET. https://www.cnet.com/home/internet/features/states-couldnt-afford-to-wait-for-the-fccs-broadband-maps-to-improve-so-they-didnt/</w:t>
      </w:r>
    </w:p>
    <w:p w14:paraId="20149BAA" w14:textId="77777777" w:rsidR="00872B22" w:rsidRDefault="00872B22" w:rsidP="00A20F3F">
      <w:pPr>
        <w:pStyle w:val="Bibliography"/>
        <w:spacing w:line="240" w:lineRule="auto"/>
      </w:pPr>
      <w:r>
        <w:t xml:space="preserve">U.S. Census Bureau. (2022). </w:t>
      </w:r>
      <w:r>
        <w:rPr>
          <w:i/>
          <w:iCs/>
        </w:rPr>
        <w:t>U.S. Census Bureau QuickFacts: Knox County, Tennessee</w:t>
      </w:r>
      <w:r>
        <w:t>. https://www.census.gov/quickfacts/knoxcountytennessee</w:t>
      </w:r>
    </w:p>
    <w:p w14:paraId="51A496D5" w14:textId="77777777" w:rsidR="00872B22" w:rsidRDefault="00872B22" w:rsidP="00A20F3F">
      <w:pPr>
        <w:pStyle w:val="Bibliography"/>
        <w:spacing w:line="240" w:lineRule="auto"/>
      </w:pPr>
      <w:r>
        <w:t xml:space="preserve">USDA Economic Research Service. (2019, October 31). </w:t>
      </w:r>
      <w:r>
        <w:rPr>
          <w:i/>
          <w:iCs/>
        </w:rPr>
        <w:t>USDA ERS - Documentation</w:t>
      </w:r>
      <w:r>
        <w:t>. Food Access Research Atlas: Documentation. https://www.ers.usda.gov/data-products/food-access-research-atlas/documentation/</w:t>
      </w:r>
    </w:p>
    <w:p w14:paraId="323B4D8F" w14:textId="77777777" w:rsidR="00872B22" w:rsidRDefault="00872B22" w:rsidP="00A20F3F">
      <w:pPr>
        <w:pStyle w:val="Bibliography"/>
        <w:spacing w:line="240" w:lineRule="auto"/>
      </w:pPr>
      <w:r>
        <w:t xml:space="preserve">USDA Economic Research Service. (2022, April 22). </w:t>
      </w:r>
      <w:r>
        <w:rPr>
          <w:i/>
          <w:iCs/>
        </w:rPr>
        <w:t>Definitions of Food Security</w:t>
      </w:r>
      <w:r>
        <w:t>. https://www.ers.usda.gov/topics/food-nutrition-assistance/food-security-in-the-u-s/definitions-of-food-security/</w:t>
      </w:r>
    </w:p>
    <w:p w14:paraId="281B3B2C" w14:textId="77777777" w:rsidR="00872B22" w:rsidRDefault="00872B22" w:rsidP="00A20F3F">
      <w:pPr>
        <w:pStyle w:val="Bibliography"/>
        <w:spacing w:line="240" w:lineRule="auto"/>
      </w:pPr>
      <w:r>
        <w:t xml:space="preserve">Van Acker, V., Van Wee, B., &amp; Witlox, F. (2010). When Transport Geography Meets Social Psychology: Toward a Conceptual Model of Travel Behaviour. </w:t>
      </w:r>
      <w:r>
        <w:rPr>
          <w:i/>
          <w:iCs/>
        </w:rPr>
        <w:t>Transport Reviews</w:t>
      </w:r>
      <w:r>
        <w:t xml:space="preserve">, </w:t>
      </w:r>
      <w:r>
        <w:rPr>
          <w:i/>
          <w:iCs/>
        </w:rPr>
        <w:t>30</w:t>
      </w:r>
      <w:r>
        <w:t>(2), 219–240. https://doi.org/10.1080/01441640902943453</w:t>
      </w:r>
    </w:p>
    <w:p w14:paraId="37B9C0C1" w14:textId="77777777" w:rsidR="00872B22" w:rsidRDefault="00872B22" w:rsidP="00A20F3F">
      <w:pPr>
        <w:pStyle w:val="Bibliography"/>
        <w:spacing w:line="240" w:lineRule="auto"/>
      </w:pPr>
      <w:r>
        <w:t xml:space="preserve">van der Vlugt, A.-L., Curl, A., &amp; Scheiner, J. (2022). The influence of travel attitudes on perceived walking accessibility and walking behaviour. </w:t>
      </w:r>
      <w:r>
        <w:rPr>
          <w:i/>
          <w:iCs/>
        </w:rPr>
        <w:t>Travel Behaviour and Society</w:t>
      </w:r>
      <w:r>
        <w:t xml:space="preserve">, </w:t>
      </w:r>
      <w:r>
        <w:rPr>
          <w:i/>
          <w:iCs/>
        </w:rPr>
        <w:t>27</w:t>
      </w:r>
      <w:r>
        <w:t>, 47–56. https://doi.org/10.1016/j.tbs.2021.11.002</w:t>
      </w:r>
    </w:p>
    <w:p w14:paraId="6C2487AC" w14:textId="77777777" w:rsidR="00872B22" w:rsidRDefault="00872B22" w:rsidP="00A20F3F">
      <w:pPr>
        <w:pStyle w:val="Bibliography"/>
        <w:spacing w:line="240" w:lineRule="auto"/>
      </w:pPr>
      <w:r>
        <w:t xml:space="preserve">van Wee, B. (2016). Accessible accessibility research challenges. </w:t>
      </w:r>
      <w:r>
        <w:rPr>
          <w:i/>
          <w:iCs/>
        </w:rPr>
        <w:t>Journal of Transport Geography</w:t>
      </w:r>
      <w:r>
        <w:t xml:space="preserve">, </w:t>
      </w:r>
      <w:r>
        <w:rPr>
          <w:i/>
          <w:iCs/>
        </w:rPr>
        <w:t>51</w:t>
      </w:r>
      <w:r>
        <w:t>, 9–16. https://doi.org/10.1016/j.jtrangeo.2015.10.018</w:t>
      </w:r>
    </w:p>
    <w:p w14:paraId="5075D056" w14:textId="77777777" w:rsidR="00872B22" w:rsidRDefault="00872B22" w:rsidP="00A20F3F">
      <w:pPr>
        <w:pStyle w:val="Bibliography"/>
        <w:spacing w:line="240" w:lineRule="auto"/>
      </w:pPr>
      <w:r>
        <w:t xml:space="preserve">van Wee, B., &amp; Geurs, K. (2011). Discussing Equity and Social Exclusion in Accessibility Evaluations. </w:t>
      </w:r>
      <w:r>
        <w:rPr>
          <w:i/>
          <w:iCs/>
        </w:rPr>
        <w:t>European Journal of Transport and Infrastructure Research</w:t>
      </w:r>
      <w:r>
        <w:t xml:space="preserve">, </w:t>
      </w:r>
      <w:r>
        <w:rPr>
          <w:i/>
          <w:iCs/>
        </w:rPr>
        <w:t>11</w:t>
      </w:r>
      <w:r>
        <w:t>(4), Article 4. https://doi.org/10.18757/ejtir.2011.11.4.2940</w:t>
      </w:r>
    </w:p>
    <w:p w14:paraId="52C66103" w14:textId="77777777" w:rsidR="00872B22" w:rsidRDefault="00872B22" w:rsidP="00A20F3F">
      <w:pPr>
        <w:pStyle w:val="Bibliography"/>
        <w:spacing w:line="240" w:lineRule="auto"/>
      </w:pPr>
      <w:r>
        <w:t xml:space="preserve">van Wee, B., Geurs, K., &amp; Chorus, C. (2013). Information, communication, travel behavior and accessibility. </w:t>
      </w:r>
      <w:r>
        <w:rPr>
          <w:i/>
          <w:iCs/>
        </w:rPr>
        <w:t>Journal of Transport and Land Use</w:t>
      </w:r>
      <w:r>
        <w:t xml:space="preserve">, </w:t>
      </w:r>
      <w:r>
        <w:rPr>
          <w:i/>
          <w:iCs/>
        </w:rPr>
        <w:t>6</w:t>
      </w:r>
      <w:r>
        <w:t>(3), 1–16. https://doi.org/10.5198/jtlu.v6i3.282</w:t>
      </w:r>
    </w:p>
    <w:p w14:paraId="1F848DE7" w14:textId="77777777" w:rsidR="00872B22" w:rsidRDefault="00872B22" w:rsidP="00A20F3F">
      <w:pPr>
        <w:pStyle w:val="Bibliography"/>
        <w:spacing w:line="240" w:lineRule="auto"/>
      </w:pPr>
      <w:r>
        <w:lastRenderedPageBreak/>
        <w:t xml:space="preserve">van Wee, B., Hagoort, M., &amp; Annema, J. A. (2001). Accessibility measures with competition. </w:t>
      </w:r>
      <w:r>
        <w:rPr>
          <w:i/>
          <w:iCs/>
        </w:rPr>
        <w:t>Journal of Transport Geography</w:t>
      </w:r>
      <w:r>
        <w:t xml:space="preserve">, </w:t>
      </w:r>
      <w:r>
        <w:rPr>
          <w:i/>
          <w:iCs/>
        </w:rPr>
        <w:t>9</w:t>
      </w:r>
      <w:r>
        <w:t>(3), 199–208. https://doi.org/10.1016/S0966-6923(01)00010-2</w:t>
      </w:r>
    </w:p>
    <w:p w14:paraId="3B449A47" w14:textId="77777777" w:rsidR="00872B22" w:rsidRDefault="00872B22" w:rsidP="00A20F3F">
      <w:pPr>
        <w:pStyle w:val="Bibliography"/>
        <w:spacing w:line="240" w:lineRule="auto"/>
      </w:pPr>
      <w:r>
        <w:t xml:space="preserve">Wachs, M., &amp; Kumagai, T. G. (1973). Physical accessibility as a social indicator. </w:t>
      </w:r>
      <w:r>
        <w:rPr>
          <w:i/>
          <w:iCs/>
        </w:rPr>
        <w:t>Socio-Economic Planning Sciences</w:t>
      </w:r>
      <w:r>
        <w:t xml:space="preserve">, </w:t>
      </w:r>
      <w:r>
        <w:rPr>
          <w:i/>
          <w:iCs/>
        </w:rPr>
        <w:t>7</w:t>
      </w:r>
      <w:r>
        <w:t>(5), 437–456. https://econpapers.repec.org/article/eeesoceps/v_3a7_3ay_3a1973_3ai_3a5_3ap_3a437-456.htm</w:t>
      </w:r>
    </w:p>
    <w:p w14:paraId="51DF7AF2" w14:textId="77777777" w:rsidR="00872B22" w:rsidRDefault="00872B22" w:rsidP="00A20F3F">
      <w:pPr>
        <w:pStyle w:val="Bibliography"/>
        <w:spacing w:line="240" w:lineRule="auto"/>
      </w:pPr>
      <w:r>
        <w:t xml:space="preserve">Walker, K., &amp; Herman, M. (2022). </w:t>
      </w:r>
      <w:r>
        <w:rPr>
          <w:i/>
          <w:iCs/>
        </w:rPr>
        <w:t>tidycensus: Load US Census Boundary and Attribute Data as “tidyverse” and ’sf’-Ready Data Frames</w:t>
      </w:r>
      <w:r>
        <w:t xml:space="preserve"> (1.2.2.9000) [R]. https://walker-data.com/tidycensus/</w:t>
      </w:r>
    </w:p>
    <w:p w14:paraId="057C7800" w14:textId="77777777" w:rsidR="00872B22" w:rsidRDefault="00872B22" w:rsidP="00A20F3F">
      <w:pPr>
        <w:pStyle w:val="Bibliography"/>
        <w:spacing w:line="240" w:lineRule="auto"/>
      </w:pPr>
      <w:r>
        <w:t xml:space="preserve">Walker, R. E., Keane, C. R., &amp; Burke, J. G. (2010). Disparities and access to healthy food in the United States: A review of food deserts literature. </w:t>
      </w:r>
      <w:r>
        <w:rPr>
          <w:i/>
          <w:iCs/>
        </w:rPr>
        <w:t>Health &amp; Place</w:t>
      </w:r>
      <w:r>
        <w:t xml:space="preserve">, </w:t>
      </w:r>
      <w:r>
        <w:rPr>
          <w:i/>
          <w:iCs/>
        </w:rPr>
        <w:t>16</w:t>
      </w:r>
      <w:r>
        <w:t>(5), 876–884. https://doi.org/10.1016/j.healthplace.2010.04.013</w:t>
      </w:r>
    </w:p>
    <w:p w14:paraId="13144290" w14:textId="77777777" w:rsidR="00872B22" w:rsidRDefault="00872B22" w:rsidP="00A20F3F">
      <w:pPr>
        <w:pStyle w:val="Bibliography"/>
        <w:spacing w:line="240" w:lineRule="auto"/>
      </w:pPr>
      <w:r>
        <w:t xml:space="preserve">Wang, F. (2000). Modeling Commuting Patterns in Chicago in a GIS Environment: A Job Accessibility Perspective. </w:t>
      </w:r>
      <w:r>
        <w:rPr>
          <w:i/>
          <w:iCs/>
        </w:rPr>
        <w:t>The Professional Geographer</w:t>
      </w:r>
      <w:r>
        <w:t xml:space="preserve">, </w:t>
      </w:r>
      <w:r>
        <w:rPr>
          <w:i/>
          <w:iCs/>
        </w:rPr>
        <w:t>52</w:t>
      </w:r>
      <w:r>
        <w:t>(1), 120–133. https://doi.org/10.1111/0033-0124.00210</w:t>
      </w:r>
    </w:p>
    <w:p w14:paraId="0B4A4863" w14:textId="77777777" w:rsidR="00872B22" w:rsidRDefault="00872B22" w:rsidP="00A20F3F">
      <w:pPr>
        <w:pStyle w:val="Bibliography"/>
        <w:spacing w:line="240" w:lineRule="auto"/>
      </w:pPr>
      <w:r>
        <w:t xml:space="preserve">Wang, F. (2012). Measurement, Optimization, and Impact of Health Care Accessibility: A Methodological Review. </w:t>
      </w:r>
      <w:r>
        <w:rPr>
          <w:i/>
          <w:iCs/>
        </w:rPr>
        <w:t>Annals of the Association of American Geographers</w:t>
      </w:r>
      <w:r>
        <w:t xml:space="preserve">, </w:t>
      </w:r>
      <w:r>
        <w:rPr>
          <w:i/>
          <w:iCs/>
        </w:rPr>
        <w:t>102</w:t>
      </w:r>
      <w:r>
        <w:t>(5), 1104–1112. https://doi.org/10.1080/00045608.2012.657146</w:t>
      </w:r>
    </w:p>
    <w:p w14:paraId="3BC7A8AD" w14:textId="77777777" w:rsidR="00872B22" w:rsidRDefault="00872B22" w:rsidP="00A20F3F">
      <w:pPr>
        <w:pStyle w:val="Bibliography"/>
        <w:spacing w:line="240" w:lineRule="auto"/>
      </w:pPr>
      <w:r>
        <w:t xml:space="preserve">Wang, L., &amp; Lo, L. (2007). Immigrant Grocery-Shopping Behavior: Ethnic Identity versus Accessibility. </w:t>
      </w:r>
      <w:r>
        <w:rPr>
          <w:i/>
          <w:iCs/>
        </w:rPr>
        <w:t>Environment and Planning A: Economy and Space</w:t>
      </w:r>
      <w:r>
        <w:t xml:space="preserve">, </w:t>
      </w:r>
      <w:r>
        <w:rPr>
          <w:i/>
          <w:iCs/>
        </w:rPr>
        <w:t>39</w:t>
      </w:r>
      <w:r>
        <w:t>(3), 684–699. https://doi.org/10.1068/a3833</w:t>
      </w:r>
    </w:p>
    <w:p w14:paraId="759EBCDA" w14:textId="77777777" w:rsidR="00872B22" w:rsidRDefault="00872B22" w:rsidP="00A20F3F">
      <w:pPr>
        <w:pStyle w:val="Bibliography"/>
        <w:spacing w:line="240" w:lineRule="auto"/>
      </w:pPr>
      <w:r>
        <w:t xml:space="preserve">Wang, S., Wang, M., &amp; Liu, Y. (2021). Access to urban parks: Comparing spatial accessibility measures using three GIS-based approaches. </w:t>
      </w:r>
      <w:r>
        <w:rPr>
          <w:i/>
          <w:iCs/>
        </w:rPr>
        <w:t>Computers, Environment and Urban Systems</w:t>
      </w:r>
      <w:r>
        <w:t xml:space="preserve">, </w:t>
      </w:r>
      <w:r>
        <w:rPr>
          <w:i/>
          <w:iCs/>
        </w:rPr>
        <w:t>90</w:t>
      </w:r>
      <w:r>
        <w:t>, 101713. https://doi.org/10.1016/j.compenvurbsys.2021.101713</w:t>
      </w:r>
    </w:p>
    <w:p w14:paraId="65BFE663" w14:textId="77777777" w:rsidR="00872B22" w:rsidRDefault="00872B22" w:rsidP="00A20F3F">
      <w:pPr>
        <w:pStyle w:val="Bibliography"/>
        <w:spacing w:line="240" w:lineRule="auto"/>
      </w:pPr>
      <w:r>
        <w:t xml:space="preserve">Wang, Y., Chen, B. Y., Yuan, H., Wang, D., Lam, W., &amp; Li, Q. (2018). Measuring temporal variation of location-based accessibility using space-time utility perspective. </w:t>
      </w:r>
      <w:r>
        <w:rPr>
          <w:i/>
          <w:iCs/>
        </w:rPr>
        <w:t>Journal of Transport Geography</w:t>
      </w:r>
      <w:r>
        <w:t>.</w:t>
      </w:r>
    </w:p>
    <w:p w14:paraId="0DF65316" w14:textId="77777777" w:rsidR="00872B22" w:rsidRDefault="00872B22" w:rsidP="00A20F3F">
      <w:pPr>
        <w:pStyle w:val="Bibliography"/>
        <w:spacing w:line="240" w:lineRule="auto"/>
      </w:pPr>
      <w:r>
        <w:t xml:space="preserve">Warf, B. (2011). Geographies of global Internet censorship. </w:t>
      </w:r>
      <w:r>
        <w:rPr>
          <w:i/>
          <w:iCs/>
        </w:rPr>
        <w:t>GeoJournal</w:t>
      </w:r>
      <w:r>
        <w:t xml:space="preserve">, </w:t>
      </w:r>
      <w:r>
        <w:rPr>
          <w:i/>
          <w:iCs/>
        </w:rPr>
        <w:t>76</w:t>
      </w:r>
      <w:r>
        <w:t>(1), 1–23. https://doi.org/10.1007/s10708-010-9393-3</w:t>
      </w:r>
    </w:p>
    <w:p w14:paraId="3DDE34C8" w14:textId="77777777" w:rsidR="00872B22" w:rsidRDefault="00872B22" w:rsidP="00A20F3F">
      <w:pPr>
        <w:pStyle w:val="Bibliography"/>
        <w:spacing w:line="240" w:lineRule="auto"/>
      </w:pPr>
      <w:r>
        <w:t xml:space="preserve">Weber, J. (2003). Individual accessibility and distance from major employment centers: An examination using space-time measures. </w:t>
      </w:r>
      <w:r>
        <w:rPr>
          <w:i/>
          <w:iCs/>
        </w:rPr>
        <w:t>Journal of Geographical Systems</w:t>
      </w:r>
      <w:r>
        <w:t xml:space="preserve">, </w:t>
      </w:r>
      <w:r>
        <w:rPr>
          <w:i/>
          <w:iCs/>
        </w:rPr>
        <w:t>5</w:t>
      </w:r>
      <w:r>
        <w:t>(1), 51–70. https://doi.org/10.1007/s101090300103</w:t>
      </w:r>
    </w:p>
    <w:p w14:paraId="109BA291" w14:textId="77777777" w:rsidR="00872B22" w:rsidRDefault="00872B22" w:rsidP="00A20F3F">
      <w:pPr>
        <w:pStyle w:val="Bibliography"/>
        <w:spacing w:line="240" w:lineRule="auto"/>
      </w:pPr>
      <w:r>
        <w:t xml:space="preserve">Weber, J., &amp; Kwan, M.-P. (2002). Bringing Time Back In: A Study on the Influence of Travel Time Variations and Facility Opening Hours on Individual Accessibility. </w:t>
      </w:r>
      <w:r>
        <w:rPr>
          <w:i/>
          <w:iCs/>
        </w:rPr>
        <w:t>The Professional Geographer</w:t>
      </w:r>
      <w:r>
        <w:t xml:space="preserve">, </w:t>
      </w:r>
      <w:r>
        <w:rPr>
          <w:i/>
          <w:iCs/>
        </w:rPr>
        <w:t>54</w:t>
      </w:r>
      <w:r>
        <w:t>(2), 226–240. https://doi.org/10.1111/0033-0124.00328</w:t>
      </w:r>
    </w:p>
    <w:p w14:paraId="3DB85A36" w14:textId="77777777" w:rsidR="00872B22" w:rsidRDefault="00872B22" w:rsidP="00A20F3F">
      <w:pPr>
        <w:pStyle w:val="Bibliography"/>
        <w:spacing w:line="240" w:lineRule="auto"/>
      </w:pPr>
      <w:r>
        <w:t xml:space="preserve">Weiss, D. J., Nelson, A., Gibson, H. S., Temperley, W., Peedell, S., Lieber, A., Hancher, M., Poyart, E., Belchior, S., Fullman, N., Mappin, B., Dalrymple, U., Rozier, J., Lucas, T. C. D., Howes, R. E., Tusting, L. S., Kang, S. Y., Cameron, E., Bisanzio, D., … Gething, P. W. (2018). A global map of travel time to cities to assess inequalities in accessibility in 2015. </w:t>
      </w:r>
      <w:r>
        <w:rPr>
          <w:i/>
          <w:iCs/>
        </w:rPr>
        <w:t>Nature</w:t>
      </w:r>
      <w:r>
        <w:t xml:space="preserve">, </w:t>
      </w:r>
      <w:r>
        <w:rPr>
          <w:i/>
          <w:iCs/>
        </w:rPr>
        <w:t>553</w:t>
      </w:r>
      <w:r>
        <w:t>(7688), 333–336. https://doi.org/10.1038/nature25181</w:t>
      </w:r>
    </w:p>
    <w:p w14:paraId="646992AC" w14:textId="77777777" w:rsidR="00872B22" w:rsidRDefault="00872B22" w:rsidP="00A20F3F">
      <w:pPr>
        <w:pStyle w:val="Bibliography"/>
        <w:spacing w:line="240" w:lineRule="auto"/>
      </w:pPr>
      <w:r>
        <w:t xml:space="preserve">Weiss, D. J., Nelson, A., Vargas-Ruiz, C. A., Gligorić, K., Bavadekar, S., Gabrilovich, E., Bertozzi-Villa, A., Rozier, J., Gibson, H. S., Shekel, T., Kamath, C., Lieber, A., Schulman, K., Shao, Y., Qarkaxhija, V., Nandi, A. K., Keddie, S. H., Rumisha, S., Amratia, P., … Gething, P. W. (2020). Global maps of travel time to healthcare facilities. </w:t>
      </w:r>
      <w:r>
        <w:rPr>
          <w:i/>
          <w:iCs/>
        </w:rPr>
        <w:t>Nature Medicine</w:t>
      </w:r>
      <w:r>
        <w:t xml:space="preserve">, </w:t>
      </w:r>
      <w:r>
        <w:rPr>
          <w:i/>
          <w:iCs/>
        </w:rPr>
        <w:t>26</w:t>
      </w:r>
      <w:r>
        <w:t>(12), 1835–1838. https://doi.org/10.1038/s41591-020-1059-1</w:t>
      </w:r>
    </w:p>
    <w:p w14:paraId="412CAE25" w14:textId="77777777" w:rsidR="00872B22" w:rsidRDefault="00872B22" w:rsidP="00A20F3F">
      <w:pPr>
        <w:pStyle w:val="Bibliography"/>
        <w:spacing w:line="240" w:lineRule="auto"/>
      </w:pPr>
      <w:r>
        <w:lastRenderedPageBreak/>
        <w:t xml:space="preserve">Widener, M. J. (2018). Spatial access to food: Retiring the food desert metaphor. </w:t>
      </w:r>
      <w:r>
        <w:rPr>
          <w:i/>
          <w:iCs/>
        </w:rPr>
        <w:t>Physiology &amp; Behavior</w:t>
      </w:r>
      <w:r>
        <w:t xml:space="preserve">, </w:t>
      </w:r>
      <w:r>
        <w:rPr>
          <w:i/>
          <w:iCs/>
        </w:rPr>
        <w:t>193</w:t>
      </w:r>
      <w:r>
        <w:t>, 257–260. https://doi.org/10.1016/j.physbeh.2018.02.032</w:t>
      </w:r>
    </w:p>
    <w:p w14:paraId="6A219D3A" w14:textId="77777777" w:rsidR="00872B22" w:rsidRDefault="00872B22" w:rsidP="00A20F3F">
      <w:pPr>
        <w:pStyle w:val="Bibliography"/>
        <w:spacing w:line="240" w:lineRule="auto"/>
      </w:pPr>
      <w:r>
        <w:t xml:space="preserve">Widener, M. J., Farber, S., Neutens, T., &amp; Horner, M. (2015). Spatiotemporal accessibility to supermarkets using public transit: An interaction potential approach in Cincinnati, Ohio. </w:t>
      </w:r>
      <w:r>
        <w:rPr>
          <w:i/>
          <w:iCs/>
        </w:rPr>
        <w:t>Journal of Transport Geography</w:t>
      </w:r>
      <w:r>
        <w:t xml:space="preserve">, </w:t>
      </w:r>
      <w:r>
        <w:rPr>
          <w:i/>
          <w:iCs/>
        </w:rPr>
        <w:t>42</w:t>
      </w:r>
      <w:r>
        <w:t>, 72–83. https://doi.org/10.1016/j.jtrangeo.2014.11.004</w:t>
      </w:r>
    </w:p>
    <w:p w14:paraId="2699A778" w14:textId="77777777" w:rsidR="00872B22" w:rsidRDefault="00872B22" w:rsidP="00A20F3F">
      <w:pPr>
        <w:pStyle w:val="Bibliography"/>
        <w:spacing w:line="240" w:lineRule="auto"/>
      </w:pPr>
      <w:r>
        <w:t xml:space="preserve">Widener, M. J., Farber, S., Neutens, T., &amp; Horner, M. W. (2013). Using urban commuting data to calculate a spatiotemporal accessibility measure for food environment studies. </w:t>
      </w:r>
      <w:r>
        <w:rPr>
          <w:i/>
          <w:iCs/>
        </w:rPr>
        <w:t>Health &amp; Place</w:t>
      </w:r>
      <w:r>
        <w:t xml:space="preserve">, </w:t>
      </w:r>
      <w:r>
        <w:rPr>
          <w:i/>
          <w:iCs/>
        </w:rPr>
        <w:t>21</w:t>
      </w:r>
      <w:r>
        <w:t>, 1–9. https://doi.org/10.1016/j.healthplace.2013.01.004</w:t>
      </w:r>
    </w:p>
    <w:p w14:paraId="6FBA618F" w14:textId="77777777" w:rsidR="00872B22" w:rsidRDefault="00872B22" w:rsidP="00A20F3F">
      <w:pPr>
        <w:pStyle w:val="Bibliography"/>
        <w:spacing w:line="240" w:lineRule="auto"/>
      </w:pPr>
      <w:r>
        <w:t xml:space="preserve">Widener, M. J., &amp; Shannon, J. (2014). When are food deserts? Integrating time into research on food accessibility. </w:t>
      </w:r>
      <w:r>
        <w:rPr>
          <w:i/>
          <w:iCs/>
        </w:rPr>
        <w:t>Health &amp; Place</w:t>
      </w:r>
      <w:r>
        <w:t xml:space="preserve">, </w:t>
      </w:r>
      <w:r>
        <w:rPr>
          <w:i/>
          <w:iCs/>
        </w:rPr>
        <w:t>30</w:t>
      </w:r>
      <w:r>
        <w:t>, 1–3. https://doi.org/10.1016/j.healthplace.2014.07.011</w:t>
      </w:r>
    </w:p>
    <w:p w14:paraId="5C3DA947" w14:textId="77777777" w:rsidR="00872B22" w:rsidRDefault="00872B22" w:rsidP="00A20F3F">
      <w:pPr>
        <w:pStyle w:val="Bibliography"/>
        <w:spacing w:line="240" w:lineRule="auto"/>
      </w:pPr>
      <w:r>
        <w:t xml:space="preserve">Wood, B. S., &amp; Horner, M. W. (2016). Understanding Accessibility to Snap-Accepting Food Store Locations: Disentangling the Roles of Transportation and Socioeconomic Status. </w:t>
      </w:r>
      <w:r>
        <w:rPr>
          <w:i/>
          <w:iCs/>
        </w:rPr>
        <w:t>Applied Spatial Analysis and Policy</w:t>
      </w:r>
      <w:r>
        <w:t xml:space="preserve">, </w:t>
      </w:r>
      <w:r>
        <w:rPr>
          <w:i/>
          <w:iCs/>
        </w:rPr>
        <w:t>9</w:t>
      </w:r>
      <w:r>
        <w:t>(3), 309–327. https://doi.org/10.1007/s12061-015-9138-2</w:t>
      </w:r>
    </w:p>
    <w:p w14:paraId="4493EC39" w14:textId="77777777" w:rsidR="00872B22" w:rsidRDefault="00872B22" w:rsidP="00A20F3F">
      <w:pPr>
        <w:pStyle w:val="Bibliography"/>
        <w:spacing w:line="240" w:lineRule="auto"/>
      </w:pPr>
      <w:r>
        <w:t xml:space="preserve">Ying, X., Kahn, P., &amp; Mathis, W. S. (2022). Pharmacy deserts: More than where pharmacies are. </w:t>
      </w:r>
      <w:r>
        <w:rPr>
          <w:i/>
          <w:iCs/>
        </w:rPr>
        <w:t>Journal of the American Pharmacists Association</w:t>
      </w:r>
      <w:r>
        <w:t>. https://doi.org/10.1016/j.japh.2022.06.016</w:t>
      </w:r>
    </w:p>
    <w:p w14:paraId="79DA21F7" w14:textId="77777777" w:rsidR="00872B22" w:rsidRDefault="00872B22" w:rsidP="00A20F3F">
      <w:pPr>
        <w:pStyle w:val="Bibliography"/>
        <w:spacing w:line="240" w:lineRule="auto"/>
      </w:pPr>
      <w:r>
        <w:t xml:space="preserve">Yousefi, Z., &amp; Dadashpoor, H. (2020). How Do ICTs Affect Urban Spatial Structure? A Systematic Literature Review. </w:t>
      </w:r>
      <w:r>
        <w:rPr>
          <w:i/>
          <w:iCs/>
        </w:rPr>
        <w:t>Journal of Urban Technology</w:t>
      </w:r>
      <w:r>
        <w:t xml:space="preserve">, </w:t>
      </w:r>
      <w:r>
        <w:rPr>
          <w:i/>
          <w:iCs/>
        </w:rPr>
        <w:t>27</w:t>
      </w:r>
      <w:r>
        <w:t>(1), 47–65. https://doi.org/10.1080/10630732.2019.1689593</w:t>
      </w:r>
    </w:p>
    <w:p w14:paraId="40560A13" w14:textId="77777777" w:rsidR="00872B22" w:rsidRDefault="00872B22" w:rsidP="00A20F3F">
      <w:pPr>
        <w:pStyle w:val="Bibliography"/>
        <w:spacing w:line="240" w:lineRule="auto"/>
      </w:pPr>
      <w:r>
        <w:t xml:space="preserve">Yu, H., &amp; Shaw, S.-L. (2007). Revisiting Hägerstrand’s time-geographic framework for individual activities in the age of instant access. In H. J. Miller (Ed.), </w:t>
      </w:r>
      <w:r>
        <w:rPr>
          <w:i/>
          <w:iCs/>
        </w:rPr>
        <w:t>Societies and Cities in the Age of Instant Access</w:t>
      </w:r>
      <w:r>
        <w:t xml:space="preserve"> (Vol. 88, pp. 103–118). Springer Netherlands. https://doi.org/10.1007/1-4020-5427-0_7</w:t>
      </w:r>
    </w:p>
    <w:p w14:paraId="3FCD52CB" w14:textId="77777777" w:rsidR="00872B22" w:rsidRDefault="00872B22" w:rsidP="00A20F3F">
      <w:pPr>
        <w:pStyle w:val="Bibliography"/>
        <w:spacing w:line="240" w:lineRule="auto"/>
      </w:pPr>
      <w:r>
        <w:t xml:space="preserve">Yu, H., &amp; Shaw, S.-L. (2008). Exploring potential human activities in physical and virtual spaces: A spatio‐temporal GIS approach. </w:t>
      </w:r>
      <w:r>
        <w:rPr>
          <w:i/>
          <w:iCs/>
        </w:rPr>
        <w:t>International Journal of Geographical Information Science</w:t>
      </w:r>
      <w:r>
        <w:t xml:space="preserve">, </w:t>
      </w:r>
      <w:r>
        <w:rPr>
          <w:i/>
          <w:iCs/>
        </w:rPr>
        <w:t>22</w:t>
      </w:r>
      <w:r>
        <w:t>(4), 409–430. https://doi.org/10.1080/13658810701427569</w:t>
      </w:r>
    </w:p>
    <w:p w14:paraId="42EE120F" w14:textId="77777777" w:rsidR="00872B22" w:rsidRDefault="00872B22" w:rsidP="00A20F3F">
      <w:pPr>
        <w:pStyle w:val="Bibliography"/>
        <w:spacing w:line="240" w:lineRule="auto"/>
      </w:pPr>
      <w:r>
        <w:t xml:space="preserve">Zenk, S. N., Schulz, A. J., Israel, B. A., James, S. A., Bao, S., &amp; Wilson, M. L. (2005). Neighborhood Racial Composition, Neighborhood Poverty, and the Spatial Accessibility of Supermarkets in Metropolitan Detroit. </w:t>
      </w:r>
      <w:r>
        <w:rPr>
          <w:i/>
          <w:iCs/>
        </w:rPr>
        <w:t>American Journal of Public Health</w:t>
      </w:r>
      <w:r>
        <w:t xml:space="preserve">, </w:t>
      </w:r>
      <w:r>
        <w:rPr>
          <w:i/>
          <w:iCs/>
        </w:rPr>
        <w:t>95</w:t>
      </w:r>
      <w:r>
        <w:t>(4), 660–667. https://doi.org/10.2105/AJPH.2004.042150</w:t>
      </w:r>
    </w:p>
    <w:p w14:paraId="42379AE5" w14:textId="3DF2DC98" w:rsidR="00872B22" w:rsidRDefault="00872B22" w:rsidP="00A20F3F">
      <w:pPr>
        <w:pStyle w:val="Bibliography"/>
        <w:spacing w:line="240" w:lineRule="auto"/>
      </w:pPr>
      <w:r>
        <w:t xml:space="preserve">Zhang, M., &amp; </w:t>
      </w:r>
      <w:r w:rsidR="001A3201">
        <w:t>Ghosh, D</w:t>
      </w:r>
      <w:r>
        <w:t xml:space="preserve">. (2016). Spatial Supermarket Redlining and Neighborhood Vulnerability: A Case Study of Hartford, Connecticut. </w:t>
      </w:r>
      <w:r>
        <w:rPr>
          <w:i/>
          <w:iCs/>
        </w:rPr>
        <w:t>Transactions in GIS : TG</w:t>
      </w:r>
      <w:r>
        <w:t xml:space="preserve">, </w:t>
      </w:r>
      <w:r>
        <w:rPr>
          <w:i/>
          <w:iCs/>
        </w:rPr>
        <w:t>20</w:t>
      </w:r>
      <w:r>
        <w:t>(1), 79–100. https://doi.org/10.1111/tgis.12142</w:t>
      </w:r>
    </w:p>
    <w:p w14:paraId="599F3B5A" w14:textId="35702556" w:rsidR="00AF290D" w:rsidRDefault="00AA5C98" w:rsidP="00A20F3F">
      <w:pPr>
        <w:spacing w:line="240" w:lineRule="auto"/>
        <w:rPr>
          <w:b/>
          <w:bCs/>
        </w:rPr>
      </w:pPr>
      <w:r>
        <w:rPr>
          <w:b/>
          <w:bCs/>
        </w:rPr>
        <w:fldChar w:fldCharType="end"/>
      </w:r>
    </w:p>
    <w:p w14:paraId="18C38CB9" w14:textId="77777777" w:rsidR="00EC36AE" w:rsidRDefault="00EC36AE">
      <w:pPr>
        <w:rPr>
          <w:rFonts w:eastAsiaTheme="majorEastAsia"/>
          <w:b/>
          <w:bCs/>
          <w:sz w:val="32"/>
          <w:szCs w:val="32"/>
        </w:rPr>
      </w:pPr>
      <w:r>
        <w:rPr>
          <w:b/>
          <w:bCs/>
        </w:rPr>
        <w:br w:type="page"/>
      </w:r>
    </w:p>
    <w:p w14:paraId="029D20B5" w14:textId="7390E58F" w:rsidR="00B37938" w:rsidRPr="003B51B6" w:rsidRDefault="00AA5C98" w:rsidP="003B51B6">
      <w:pPr>
        <w:pStyle w:val="Heading1"/>
        <w:spacing w:after="240"/>
        <w:jc w:val="center"/>
        <w:rPr>
          <w:rFonts w:ascii="Times New Roman" w:hAnsi="Times New Roman" w:cs="Times New Roman"/>
          <w:b/>
          <w:bCs/>
          <w:color w:val="auto"/>
        </w:rPr>
      </w:pPr>
      <w:bookmarkStart w:id="172" w:name="_Toc114258070"/>
      <w:r w:rsidRPr="003B51B6">
        <w:rPr>
          <w:rFonts w:ascii="Times New Roman" w:hAnsi="Times New Roman" w:cs="Times New Roman"/>
          <w:b/>
          <w:bCs/>
          <w:color w:val="auto"/>
        </w:rPr>
        <w:lastRenderedPageBreak/>
        <w:t>A</w:t>
      </w:r>
      <w:r w:rsidR="003B51B6" w:rsidRPr="003B51B6">
        <w:rPr>
          <w:rFonts w:ascii="Times New Roman" w:hAnsi="Times New Roman" w:cs="Times New Roman"/>
          <w:b/>
          <w:bCs/>
          <w:color w:val="auto"/>
        </w:rPr>
        <w:t>PPENDIX</w:t>
      </w:r>
      <w:bookmarkEnd w:id="172"/>
    </w:p>
    <w:p w14:paraId="4596DF07" w14:textId="53972507" w:rsidR="00EC36AE" w:rsidRPr="00EC36AE" w:rsidRDefault="00EC36AE" w:rsidP="00EC36AE">
      <w:pPr>
        <w:pStyle w:val="Heading2"/>
        <w:spacing w:after="240"/>
        <w:jc w:val="center"/>
        <w:rPr>
          <w:rFonts w:ascii="Times New Roman" w:hAnsi="Times New Roman" w:cs="Times New Roman"/>
          <w:b/>
          <w:bCs/>
          <w:color w:val="auto"/>
        </w:rPr>
      </w:pPr>
      <w:bookmarkStart w:id="173" w:name="_Toc114258071"/>
      <w:r>
        <w:rPr>
          <w:rFonts w:ascii="Times New Roman" w:hAnsi="Times New Roman" w:cs="Times New Roman"/>
          <w:b/>
          <w:bCs/>
          <w:color w:val="auto"/>
        </w:rPr>
        <w:t xml:space="preserve">APPENDIX </w:t>
      </w:r>
      <w:r w:rsidR="00B37938" w:rsidRPr="003B51B6">
        <w:rPr>
          <w:rFonts w:ascii="Times New Roman" w:hAnsi="Times New Roman" w:cs="Times New Roman"/>
          <w:b/>
          <w:bCs/>
          <w:color w:val="auto"/>
        </w:rPr>
        <w:t>1</w:t>
      </w:r>
      <w:r w:rsidR="00713710" w:rsidRPr="003B51B6">
        <w:rPr>
          <w:rFonts w:ascii="Times New Roman" w:hAnsi="Times New Roman" w:cs="Times New Roman"/>
          <w:b/>
          <w:bCs/>
          <w:color w:val="auto"/>
        </w:rPr>
        <w:t>.</w:t>
      </w:r>
      <w:r>
        <w:rPr>
          <w:rFonts w:ascii="Times New Roman" w:hAnsi="Times New Roman" w:cs="Times New Roman"/>
          <w:b/>
          <w:bCs/>
          <w:color w:val="auto"/>
        </w:rPr>
        <w:t xml:space="preserve"> </w:t>
      </w:r>
      <w:r w:rsidR="003B51B6" w:rsidRPr="003B51B6">
        <w:rPr>
          <w:rFonts w:ascii="Times New Roman" w:hAnsi="Times New Roman" w:cs="Times New Roman"/>
          <w:b/>
          <w:bCs/>
          <w:color w:val="auto"/>
        </w:rPr>
        <w:t>OVERVIEW CHART OF ACCESSIBILITY MEASURES</w:t>
      </w:r>
      <w:bookmarkEnd w:id="173"/>
    </w:p>
    <w:p w14:paraId="2A73046D" w14:textId="120AB988" w:rsidR="00EC36AE" w:rsidRPr="00EC36AE" w:rsidRDefault="00EC36AE" w:rsidP="00EC36AE">
      <w:pPr>
        <w:sectPr w:rsidR="00EC36AE" w:rsidRPr="00EC36AE" w:rsidSect="009C66AF">
          <w:headerReference w:type="first" r:id="rId54"/>
          <w:pgSz w:w="12240" w:h="15840"/>
          <w:pgMar w:top="1440" w:right="1440" w:bottom="1440" w:left="1440" w:header="720" w:footer="720" w:gutter="0"/>
          <w:pgNumType w:start="1"/>
          <w:cols w:space="720"/>
          <w:docGrid w:linePitch="360"/>
        </w:sectPr>
      </w:pPr>
      <w:r>
        <w:tab/>
        <w:t>See next page.</w:t>
      </w:r>
    </w:p>
    <w:tbl>
      <w:tblPr>
        <w:tblW w:w="1296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790"/>
        <w:gridCol w:w="2790"/>
        <w:gridCol w:w="2610"/>
        <w:gridCol w:w="1890"/>
        <w:gridCol w:w="934"/>
        <w:gridCol w:w="1946"/>
      </w:tblGrid>
      <w:tr w:rsidR="00E740D0" w:rsidRPr="00E740D0" w14:paraId="32DF537A" w14:textId="77777777" w:rsidTr="002A20AB">
        <w:trPr>
          <w:trHeight w:val="315"/>
        </w:trPr>
        <w:tc>
          <w:tcPr>
            <w:tcW w:w="2790" w:type="dxa"/>
            <w:shd w:val="clear" w:color="auto" w:fill="auto"/>
            <w:noWrap/>
            <w:vAlign w:val="center"/>
            <w:hideMark/>
          </w:tcPr>
          <w:p w14:paraId="3B6E62F9"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lastRenderedPageBreak/>
              <w:t>Measure</w:t>
            </w:r>
          </w:p>
        </w:tc>
        <w:tc>
          <w:tcPr>
            <w:tcW w:w="2790" w:type="dxa"/>
            <w:shd w:val="clear" w:color="auto" w:fill="auto"/>
            <w:noWrap/>
            <w:vAlign w:val="center"/>
            <w:hideMark/>
          </w:tcPr>
          <w:p w14:paraId="14D7CB6B"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t>Concept</w:t>
            </w:r>
          </w:p>
        </w:tc>
        <w:tc>
          <w:tcPr>
            <w:tcW w:w="2610" w:type="dxa"/>
            <w:shd w:val="clear" w:color="auto" w:fill="auto"/>
            <w:noWrap/>
            <w:vAlign w:val="center"/>
            <w:hideMark/>
          </w:tcPr>
          <w:p w14:paraId="35A37CFF"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t>Notes</w:t>
            </w:r>
          </w:p>
        </w:tc>
        <w:tc>
          <w:tcPr>
            <w:tcW w:w="1890" w:type="dxa"/>
            <w:shd w:val="clear" w:color="auto" w:fill="auto"/>
            <w:noWrap/>
            <w:vAlign w:val="center"/>
            <w:hideMark/>
          </w:tcPr>
          <w:p w14:paraId="5BFF1428"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t>Purpose</w:t>
            </w:r>
          </w:p>
        </w:tc>
        <w:tc>
          <w:tcPr>
            <w:tcW w:w="934" w:type="dxa"/>
            <w:shd w:val="clear" w:color="auto" w:fill="auto"/>
            <w:noWrap/>
            <w:vAlign w:val="center"/>
            <w:hideMark/>
          </w:tcPr>
          <w:p w14:paraId="63B53458"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t>Sources</w:t>
            </w:r>
          </w:p>
        </w:tc>
        <w:tc>
          <w:tcPr>
            <w:tcW w:w="1946" w:type="dxa"/>
            <w:shd w:val="clear" w:color="auto" w:fill="auto"/>
            <w:noWrap/>
            <w:vAlign w:val="center"/>
            <w:hideMark/>
          </w:tcPr>
          <w:p w14:paraId="39A610CD" w14:textId="77777777" w:rsidR="00E740D0" w:rsidRPr="00E740D0" w:rsidRDefault="00E740D0" w:rsidP="00E740D0">
            <w:pPr>
              <w:spacing w:after="0" w:line="240" w:lineRule="auto"/>
              <w:jc w:val="center"/>
              <w:rPr>
                <w:rFonts w:eastAsia="Times New Roman"/>
                <w:b/>
                <w:bCs/>
                <w:sz w:val="16"/>
                <w:szCs w:val="16"/>
              </w:rPr>
            </w:pPr>
            <w:r w:rsidRPr="00E740D0">
              <w:rPr>
                <w:rFonts w:eastAsia="Times New Roman"/>
                <w:b/>
                <w:bCs/>
                <w:sz w:val="16"/>
                <w:szCs w:val="16"/>
              </w:rPr>
              <w:t>Example Question</w:t>
            </w:r>
          </w:p>
        </w:tc>
      </w:tr>
      <w:tr w:rsidR="00E740D0" w:rsidRPr="00E740D0" w14:paraId="5F7A2F31" w14:textId="77777777" w:rsidTr="002A20AB">
        <w:trPr>
          <w:trHeight w:val="1260"/>
        </w:trPr>
        <w:tc>
          <w:tcPr>
            <w:tcW w:w="2790" w:type="dxa"/>
            <w:shd w:val="clear" w:color="auto" w:fill="auto"/>
            <w:vAlign w:val="center"/>
            <w:hideMark/>
          </w:tcPr>
          <w:p w14:paraId="3C924257"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Euclidean or Manhattan distance from location of people to an activity location</w:t>
            </w:r>
          </w:p>
        </w:tc>
        <w:tc>
          <w:tcPr>
            <w:tcW w:w="2790" w:type="dxa"/>
            <w:shd w:val="clear" w:color="auto" w:fill="auto"/>
            <w:vAlign w:val="center"/>
            <w:hideMark/>
          </w:tcPr>
          <w:p w14:paraId="5207E756"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Proximity measure: Simple distance measures from one location to an opportunity location.</w:t>
            </w:r>
          </w:p>
        </w:tc>
        <w:tc>
          <w:tcPr>
            <w:tcW w:w="2610" w:type="dxa"/>
            <w:shd w:val="clear" w:color="auto" w:fill="auto"/>
            <w:vAlign w:val="center"/>
            <w:hideMark/>
          </w:tcPr>
          <w:p w14:paraId="14429F05"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Only considers travel impedance as the as-the-crow-flies or route length distance between the location of people to an opportunity location. Assumes people only visit the nearest opportunity.</w:t>
            </w:r>
          </w:p>
        </w:tc>
        <w:tc>
          <w:tcPr>
            <w:tcW w:w="1890" w:type="dxa"/>
            <w:shd w:val="clear" w:color="auto" w:fill="auto"/>
            <w:vAlign w:val="center"/>
            <w:hideMark/>
          </w:tcPr>
          <w:p w14:paraId="5ADB2EF3"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Obtain the proximity (separation as physical distance) between a single location of people and an opportunity location.</w:t>
            </w:r>
          </w:p>
        </w:tc>
        <w:tc>
          <w:tcPr>
            <w:tcW w:w="934" w:type="dxa"/>
            <w:shd w:val="clear" w:color="auto" w:fill="auto"/>
            <w:noWrap/>
            <w:vAlign w:val="center"/>
            <w:hideMark/>
          </w:tcPr>
          <w:p w14:paraId="25A4F998" w14:textId="50440DDD" w:rsidR="00E740D0" w:rsidRPr="00E740D0" w:rsidRDefault="006903EC" w:rsidP="00E740D0">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{"citationID":"HGX8dBY1","properties":{"formattedCitation":"(Ingram, 1971)","plainCitation":"(Ingram, 1971)","noteIndex":0},"citationItems":[{"id":890,"uris":["http://zotero.org/users/5090392/items/BJFAEIXF"],"itemData":{"id":890,"type":"article-journal","abstract":"Ingram D. R. (1971) The concept of accessibility: A search for an operational form, Reg. Studies 5, 101–107. The importance of the concept of accessibility in the literature of urban studies requires that a method be found of describing quantitatively the accessibility at a point. The paper is concerned with, firstly, a set of definitions related to the concept of accessibility. A distinction is made between the relative accessibility between two points and the integral, or total, accessibility at a point. Secondly, various operational forms of these definitions are illustrated with reference to the Hamilton, Ontario, urban area. The derivation of the various measures that are developed is discussed. A measure based on the normal, or Gaussian curve is recommended as the most suitable form for determining the integral accessibility at a given point.","container-title":"Regional Studies","DOI":"10.1080/09595237100185131","ISSN":"0034-3404","issue":"2","note":"publisher: Routledge\n_eprint: https://doi.org/10.1080/09595237100185131","page":"101-107","source":"Taylor and Francis+NEJM","title":"The concept of accessibility: A search for an operational form","title-short":"The concept of accessibility","URL":"https://doi.org/10.1080/09595237100185131","volume":"5","author":[{"family":"Ingram","given":"D. R."}],"accessed":{"date-parts":[["2021",2,21]]},"issued":{"date-parts":[["1971",7,1]]}}}],"schema":"https://github.com/citation-style-language/schema/raw/master/csl-citation.json"} </w:instrText>
            </w:r>
            <w:r>
              <w:rPr>
                <w:rFonts w:eastAsia="Times New Roman"/>
                <w:sz w:val="16"/>
                <w:szCs w:val="16"/>
              </w:rPr>
              <w:fldChar w:fldCharType="separate"/>
            </w:r>
            <w:r w:rsidR="00967900" w:rsidRPr="00967900">
              <w:rPr>
                <w:sz w:val="16"/>
              </w:rPr>
              <w:t>(Ingram, 1971)</w:t>
            </w:r>
            <w:r>
              <w:rPr>
                <w:rFonts w:eastAsia="Times New Roman"/>
                <w:sz w:val="16"/>
                <w:szCs w:val="16"/>
              </w:rPr>
              <w:fldChar w:fldCharType="end"/>
            </w:r>
          </w:p>
        </w:tc>
        <w:tc>
          <w:tcPr>
            <w:tcW w:w="1946" w:type="dxa"/>
            <w:shd w:val="clear" w:color="auto" w:fill="auto"/>
            <w:vAlign w:val="center"/>
            <w:hideMark/>
          </w:tcPr>
          <w:p w14:paraId="4508037A"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How physically close/far is an opportunity from people? What is the physically nearest opportunity?</w:t>
            </w:r>
          </w:p>
        </w:tc>
      </w:tr>
      <w:tr w:rsidR="00E740D0" w:rsidRPr="00E740D0" w14:paraId="1068264C" w14:textId="77777777" w:rsidTr="002A20AB">
        <w:trPr>
          <w:trHeight w:val="1215"/>
        </w:trPr>
        <w:tc>
          <w:tcPr>
            <w:tcW w:w="2790" w:type="dxa"/>
            <w:shd w:val="clear" w:color="auto" w:fill="auto"/>
            <w:vAlign w:val="center"/>
            <w:hideMark/>
          </w:tcPr>
          <w:p w14:paraId="6D715CC4"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Euclidean or Manhattan distance from location of people to all activity locations</w:t>
            </w:r>
          </w:p>
        </w:tc>
        <w:tc>
          <w:tcPr>
            <w:tcW w:w="2790" w:type="dxa"/>
            <w:shd w:val="clear" w:color="auto" w:fill="auto"/>
            <w:vAlign w:val="center"/>
            <w:hideMark/>
          </w:tcPr>
          <w:p w14:paraId="3100AF9C"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Variety measure: Simple distance measures from one location to all opportunity locations.</w:t>
            </w:r>
          </w:p>
        </w:tc>
        <w:tc>
          <w:tcPr>
            <w:tcW w:w="2610" w:type="dxa"/>
            <w:shd w:val="clear" w:color="auto" w:fill="auto"/>
            <w:vAlign w:val="center"/>
            <w:hideMark/>
          </w:tcPr>
          <w:p w14:paraId="025DB670"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Only considers travel impedance as the as-the-crow-flies or route length distance between the location of people to all opportunity locations.</w:t>
            </w:r>
          </w:p>
        </w:tc>
        <w:tc>
          <w:tcPr>
            <w:tcW w:w="1890" w:type="dxa"/>
            <w:shd w:val="clear" w:color="auto" w:fill="auto"/>
            <w:vAlign w:val="center"/>
            <w:hideMark/>
          </w:tcPr>
          <w:p w14:paraId="602C9418"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 xml:space="preserve">Obtain summary statistics of the physical distance between a single location of people and </w:t>
            </w:r>
            <w:r w:rsidRPr="00E740D0">
              <w:rPr>
                <w:rFonts w:eastAsia="Times New Roman"/>
                <w:i/>
                <w:iCs/>
                <w:sz w:val="16"/>
                <w:szCs w:val="16"/>
              </w:rPr>
              <w:t>all</w:t>
            </w:r>
            <w:r w:rsidRPr="00E740D0">
              <w:rPr>
                <w:rFonts w:eastAsia="Times New Roman"/>
                <w:sz w:val="16"/>
                <w:szCs w:val="16"/>
              </w:rPr>
              <w:t xml:space="preserve"> opportunity locations</w:t>
            </w:r>
          </w:p>
        </w:tc>
        <w:tc>
          <w:tcPr>
            <w:tcW w:w="934" w:type="dxa"/>
            <w:shd w:val="clear" w:color="auto" w:fill="auto"/>
            <w:noWrap/>
            <w:vAlign w:val="center"/>
            <w:hideMark/>
          </w:tcPr>
          <w:p w14:paraId="293A3969" w14:textId="0992B1D5" w:rsidR="00E740D0" w:rsidRPr="00E740D0" w:rsidRDefault="00975D2C" w:rsidP="00E740D0">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{"citationID":"ImfOFZS1","properties":{"formattedCitation":"(Apparicio et al., 2007)","plainCitation":"(Apparicio et al., 2007)","noteIndex":0},"citationItems":[{"id":877,"uris":["http://zotero.org/users/5090392/items/ABZW4BRG"],"itemData":{"id":877,"type":"article-journal","abstract":"Access to varied, healthy and inexpensive foods is an important public health concern that has been widely documented. Consequently, there is an increasing interest in identifying food deserts, that is, socially deprived areas within cities that have poor access to food retailers. In this paper we propose a methodology based on three measures of accessibility to supermarkets calculated using geographic information systems (GIS), and on exploratory multivariate statistical analysis (hierarchical cluster analysis), which we use to identify food deserts in Montréal.","container-title":"International Journal of Health Geographics","DOI":"10.1186/1476-072X-6-4","ISSN":"1476-072X","issue":"1","journalAbbreviation":"International Journal of Health Geographics","page":"4","source":"BioMed Central","title":"The case of Montréal's missing food deserts: Evaluation of accessibility to food supermarkets","title-short":"The case of Montréal's missing food deserts","URL":"https://doi.org/10.1186/1476-072X-6-4","volume":"6","author":[{"family":"Apparicio","given":"Philippe"},{"family":"Cloutier","given":"Marie-Soleil"},{"family":"Shearmur","given":"Richard"}],"accessed":{"date-parts":[["2021",2,18]]},"issued":{"date-parts":[["2007",2,12]]}}}],"schema":"https://github.com/citation-style-language/schema/raw/master/csl-citation.json"} </w:instrText>
            </w:r>
            <w:r>
              <w:rPr>
                <w:rFonts w:eastAsia="Times New Roman"/>
                <w:sz w:val="16"/>
                <w:szCs w:val="16"/>
              </w:rPr>
              <w:fldChar w:fldCharType="separate"/>
            </w:r>
            <w:r w:rsidR="00967900" w:rsidRPr="00967900">
              <w:rPr>
                <w:sz w:val="16"/>
              </w:rPr>
              <w:t>(Apparicio et al., 2007)</w:t>
            </w:r>
            <w:r>
              <w:rPr>
                <w:rFonts w:eastAsia="Times New Roman"/>
                <w:sz w:val="16"/>
                <w:szCs w:val="16"/>
              </w:rPr>
              <w:fldChar w:fldCharType="end"/>
            </w:r>
          </w:p>
        </w:tc>
        <w:tc>
          <w:tcPr>
            <w:tcW w:w="1946" w:type="dxa"/>
            <w:shd w:val="clear" w:color="auto" w:fill="auto"/>
            <w:vAlign w:val="center"/>
            <w:hideMark/>
          </w:tcPr>
          <w:p w14:paraId="39B92FB6"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 xml:space="preserve">What is the (weighted average, sum, range of, mode, median, etc.) distance from one's location to </w:t>
            </w:r>
            <w:r w:rsidRPr="00E740D0">
              <w:rPr>
                <w:rFonts w:eastAsia="Times New Roman"/>
                <w:i/>
                <w:iCs/>
                <w:sz w:val="16"/>
                <w:szCs w:val="16"/>
              </w:rPr>
              <w:t>n</w:t>
            </w:r>
            <w:r w:rsidRPr="00E740D0">
              <w:rPr>
                <w:rFonts w:eastAsia="Times New Roman"/>
                <w:sz w:val="16"/>
                <w:szCs w:val="16"/>
              </w:rPr>
              <w:t xml:space="preserve"> opportunities?</w:t>
            </w:r>
          </w:p>
        </w:tc>
      </w:tr>
      <w:tr w:rsidR="00E740D0" w:rsidRPr="00E740D0" w14:paraId="045CCE81" w14:textId="77777777" w:rsidTr="002A20AB">
        <w:trPr>
          <w:trHeight w:val="1008"/>
        </w:trPr>
        <w:tc>
          <w:tcPr>
            <w:tcW w:w="2790" w:type="dxa"/>
            <w:shd w:val="clear" w:color="auto" w:fill="auto"/>
            <w:vAlign w:val="center"/>
            <w:hideMark/>
          </w:tcPr>
          <w:p w14:paraId="0691E889"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Divide total area of opportunities by total area of geographic unit or sum number of opportunities in a geographic unit.</w:t>
            </w:r>
          </w:p>
        </w:tc>
        <w:tc>
          <w:tcPr>
            <w:tcW w:w="2790" w:type="dxa"/>
            <w:shd w:val="clear" w:color="auto" w:fill="auto"/>
            <w:vAlign w:val="center"/>
            <w:hideMark/>
          </w:tcPr>
          <w:p w14:paraId="269288B8"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Density measure: percentage area or total number of opportunities over a geographic area where people reside</w:t>
            </w:r>
          </w:p>
        </w:tc>
        <w:tc>
          <w:tcPr>
            <w:tcW w:w="2610" w:type="dxa"/>
            <w:shd w:val="clear" w:color="auto" w:fill="auto"/>
            <w:vAlign w:val="center"/>
            <w:hideMark/>
          </w:tcPr>
          <w:p w14:paraId="5E93B01E"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Modifiable areal unit problem means that the selection of geographic unit can majorly affect results.</w:t>
            </w:r>
          </w:p>
        </w:tc>
        <w:tc>
          <w:tcPr>
            <w:tcW w:w="1890" w:type="dxa"/>
            <w:shd w:val="clear" w:color="auto" w:fill="auto"/>
            <w:vAlign w:val="center"/>
            <w:hideMark/>
          </w:tcPr>
          <w:p w14:paraId="62D84E5B"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Obtain the density or number of opportunities in an administrative geographic unit.</w:t>
            </w:r>
          </w:p>
        </w:tc>
        <w:tc>
          <w:tcPr>
            <w:tcW w:w="934" w:type="dxa"/>
            <w:shd w:val="clear" w:color="auto" w:fill="auto"/>
            <w:vAlign w:val="center"/>
            <w:hideMark/>
          </w:tcPr>
          <w:p w14:paraId="1F42E2A3" w14:textId="6D7C45D6" w:rsidR="00E740D0" w:rsidRPr="00E740D0" w:rsidRDefault="00975D2C" w:rsidP="00E740D0">
            <w:pPr>
              <w:spacing w:after="0" w:line="240" w:lineRule="auto"/>
              <w:rPr>
                <w:rFonts w:eastAsia="Times New Roman"/>
                <w:sz w:val="16"/>
                <w:szCs w:val="16"/>
              </w:rPr>
            </w:pPr>
            <w:r>
              <w:rPr>
                <w:rFonts w:eastAsia="Times New Roman"/>
                <w:sz w:val="16"/>
                <w:szCs w:val="16"/>
              </w:rPr>
              <w:fldChar w:fldCharType="begin"/>
            </w:r>
            <w:r w:rsidR="0010308E">
              <w:rPr>
                <w:rFonts w:eastAsia="Times New Roman"/>
                <w:sz w:val="16"/>
                <w:szCs w:val="16"/>
              </w:rPr>
              <w:instrText xml:space="preserve"> ADDIN ZOTERO_ITEM CSL_CITATION {"citationID":"cCnfbAER","properties":{"formattedCitation":"(Talen &amp; Anselin, 1998b; S. Wang et al., 2021)","plainCitation":"(Talen &amp; Anselin, 1998b; S. Wang et al., 2021)","noteIndex":0},"citationItems":[{"id":881,"uris":["http://zotero.org/users/5090392/items/I4FCGDD7"],"itemData":{"id":881,"type":"article-journal","abstract":"Geographical and political research on urban service delivery?who benefits and why?has proliferated during the past two decades. Overall, this literature is not characterized by a particular attention to the importance of method in drawing conclusions about spatial equity based on empirical studies. Specifically, there has been scant interest in the effect of geographic methodology on assessing the relationship between access and socioeconomic characteristics that are spatially defined. In this paper we take a spatial analytical perspective to evaluate the importance of methodology in assessing whether or not, or to what degree the distribution of urban public services is equitable. We approach this issue by means of an empirical case study of the spatial distribution of playgrounds in Tulsa, Oklahoma, relative to that of the targeted constituencies (children) and other socioeconomic indicators. In addition to the ?traditional? measure (count of facilities in an areal unit), we consider a potential measure (based on the gravity model), average travel distance, and distance to the nearest playground as indicators of accessibility. We find significant differences between the spatial patterns in these measures that are suggested by local indicators of spatial association and other techniques of exploratory spatial data analysis. The choice of access measure not only implies a particular treatment of spatial externalities but also affects conclusions about the existence of spatial mismatch and inequity.","container-title":"Environment and Planning A: Economy and Space","DOI":"10.1068/a300595","ISSN":"0308-518X","issue":"4","journalAbbreviation":"Environ Plan A","note":"publisher: SAGE Publications Ltd","page":"595-613","source":"SAGE Journals","title":"Assessing Spatial Equity: An Evaluation of Measures of Accessibility to Public Playgrounds","title-short":"Assessing Spatial Equity","URL":"https://doi.org/10.1068/a300595","volume":"30","author":[{"family":"Talen","given":"E"},{"family":"Anselin","given":"L"}],"accessed":{"date-parts":[["2021",2,18]]},"issued":{"date-parts":[["1998",4,1]]}},"label":"page"},{"id":1717,"uris":["http://zotero.org/users/5090392/items/QT5NR5QD"],"itemData":{"id":1717,"type":"article-journal","abstract":"Urban parks are essential components of urban ecosystems, providing recreation and relaxation places to residents. Measuring the spatial accessibility to urban parks serves as an initial step in urban planning and developing urban development strategies to improve social and environmental justice. This study aims to evaluate measures of spatial accessibility to urban parks by comparing three geographic information systems (GIS)-based approaches, accounting for network complexity, transport modes, distance thresholds, and destination choices. Taking Ipswich City (Australia) and Enschede (the Netherlands) as two testbeds, we examine the spatial patterns of a total of 21 accessibility measures in the two cities and conduct a correlation and principal component analysis to unravel the interrelationship between these measures. The results suggest that among all measures under the three approaches, the selection of distance thresholds and transport modes matter more to accessibility measures than the destination choices. Furthermore, when distance threshold and transport mode are held constant, the network-based and entrance-based methods provide more realistic accessibility measures than other methods. We also discuss the generality of the entrance-based method we propose and suggest ways to choose the most appropriate accessibility measure for use in different contexts.","container-title":"Computers, Environment and Urban Systems","DOI":"10.1016/j.compenvurbsys.2021.101713","ISSN":"0198-9715","journalAbbreviation":"Computers, Environment and Urban Systems","language":"en","page":"101713","source":"ScienceDirect","title":"Access to urban parks: Comparing spatial accessibility measures using three GIS-based approaches","title-short":"Access to urban parks","URL":"https://www.sciencedirect.com/science/article/pii/S0198971521001204","volume":"90","author":[{"family":"Wang","given":"Siqin"},{"family":"Wang","given":"Mingshu"},{"family":"Liu","given":"Yan"}],"accessed":{"date-parts":[["2022",4,26]]},"issued":{"date-parts":[["2021",11,1]]}}}],"schema":"https://github.com/citation-style-language/schema/raw/master/csl-citation.json"} </w:instrText>
            </w:r>
            <w:r>
              <w:rPr>
                <w:rFonts w:eastAsia="Times New Roman"/>
                <w:sz w:val="16"/>
                <w:szCs w:val="16"/>
              </w:rPr>
              <w:fldChar w:fldCharType="separate"/>
            </w:r>
            <w:r w:rsidR="00967900" w:rsidRPr="00967900">
              <w:rPr>
                <w:sz w:val="16"/>
              </w:rPr>
              <w:t>(Talen &amp; Anselin, 1998b; S. Wang et al., 2021)</w:t>
            </w:r>
            <w:r>
              <w:rPr>
                <w:rFonts w:eastAsia="Times New Roman"/>
                <w:sz w:val="16"/>
                <w:szCs w:val="16"/>
              </w:rPr>
              <w:fldChar w:fldCharType="end"/>
            </w:r>
          </w:p>
        </w:tc>
        <w:tc>
          <w:tcPr>
            <w:tcW w:w="1946" w:type="dxa"/>
            <w:shd w:val="clear" w:color="auto" w:fill="auto"/>
            <w:vAlign w:val="center"/>
            <w:hideMark/>
          </w:tcPr>
          <w:p w14:paraId="63FD3811"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How many different opportunities are in an area?</w:t>
            </w:r>
          </w:p>
        </w:tc>
      </w:tr>
      <w:tr w:rsidR="00E740D0" w:rsidRPr="00E740D0" w14:paraId="05BAEA7D" w14:textId="77777777" w:rsidTr="002A20AB">
        <w:trPr>
          <w:trHeight w:val="4095"/>
        </w:trPr>
        <w:tc>
          <w:tcPr>
            <w:tcW w:w="2790" w:type="dxa"/>
            <w:shd w:val="clear" w:color="auto" w:fill="auto"/>
            <w:vAlign w:val="center"/>
            <w:hideMark/>
          </w:tcPr>
          <w:p w14:paraId="776AD4AC"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 xml:space="preserve">(1a) Multiply the number of opportunities </w:t>
            </w:r>
            <w:r w:rsidRPr="00E740D0">
              <w:rPr>
                <w:rFonts w:eastAsia="Times New Roman"/>
                <w:i/>
                <w:iCs/>
                <w:sz w:val="16"/>
                <w:szCs w:val="16"/>
              </w:rPr>
              <w:t>O</w:t>
            </w:r>
            <w:r w:rsidRPr="00E740D0">
              <w:rPr>
                <w:rFonts w:eastAsia="Times New Roman"/>
                <w:sz w:val="16"/>
                <w:szCs w:val="16"/>
              </w:rPr>
              <w:t xml:space="preserve"> by the number of possible connections from a node to all other nodes (</w:t>
            </w:r>
            <w:r w:rsidRPr="00E740D0">
              <w:rPr>
                <w:rFonts w:eastAsia="Times New Roman"/>
                <w:i/>
                <w:iCs/>
                <w:sz w:val="16"/>
                <w:szCs w:val="16"/>
              </w:rPr>
              <w:t>O</w:t>
            </w:r>
            <w:r w:rsidRPr="00E740D0">
              <w:rPr>
                <w:rFonts w:eastAsia="Times New Roman"/>
                <w:sz w:val="16"/>
                <w:szCs w:val="16"/>
              </w:rPr>
              <w:t xml:space="preserve">-1) to obtain the total number of possible links. (2a) Average degree of all nodes in the entire network. (2b) Diameter </w:t>
            </w:r>
            <w:r w:rsidRPr="00E740D0">
              <w:rPr>
                <w:rFonts w:eastAsia="Times New Roman"/>
                <w:i/>
                <w:iCs/>
                <w:sz w:val="16"/>
                <w:szCs w:val="16"/>
              </w:rPr>
              <w:t>d</w:t>
            </w:r>
            <w:r w:rsidRPr="00E740D0">
              <w:rPr>
                <w:rFonts w:eastAsia="Times New Roman"/>
                <w:sz w:val="16"/>
                <w:szCs w:val="16"/>
              </w:rPr>
              <w:t xml:space="preserve"> of a graph captures the extent of a graph, measured as the shortest path between the most distant nodes. (3a) Degree of node calculates the total number of links to a node, </w:t>
            </w:r>
            <w:r w:rsidRPr="00E740D0">
              <w:rPr>
                <w:rFonts w:eastAsia="Times New Roman"/>
                <w:i/>
                <w:iCs/>
                <w:sz w:val="16"/>
                <w:szCs w:val="16"/>
              </w:rPr>
              <w:t>d</w:t>
            </w:r>
            <w:r w:rsidRPr="00E740D0">
              <w:rPr>
                <w:rFonts w:eastAsia="Times New Roman"/>
                <w:sz w:val="16"/>
                <w:szCs w:val="16"/>
              </w:rPr>
              <w:t xml:space="preserve">. Degrees can be calculated to the </w:t>
            </w:r>
            <w:proofErr w:type="spellStart"/>
            <w:r w:rsidRPr="00E740D0">
              <w:rPr>
                <w:rFonts w:eastAsia="Times New Roman"/>
                <w:i/>
                <w:iCs/>
                <w:sz w:val="16"/>
                <w:szCs w:val="16"/>
              </w:rPr>
              <w:t>d</w:t>
            </w:r>
            <w:r w:rsidRPr="00E740D0">
              <w:rPr>
                <w:rFonts w:eastAsia="Times New Roman"/>
                <w:sz w:val="16"/>
                <w:szCs w:val="16"/>
              </w:rPr>
              <w:t>th</w:t>
            </w:r>
            <w:proofErr w:type="spellEnd"/>
            <w:r w:rsidRPr="00E740D0">
              <w:rPr>
                <w:rFonts w:eastAsia="Times New Roman"/>
                <w:sz w:val="16"/>
                <w:szCs w:val="16"/>
              </w:rPr>
              <w:t xml:space="preserve"> order by multiplying connectivity matrices. Then, nodal degrees are summed across all connectivity matrices to obtain the total accessibility matrix. (3b) </w:t>
            </w:r>
            <w:proofErr w:type="spellStart"/>
            <w:r w:rsidRPr="00E740D0">
              <w:rPr>
                <w:rFonts w:eastAsia="Times New Roman"/>
                <w:sz w:val="16"/>
                <w:szCs w:val="16"/>
              </w:rPr>
              <w:t>Shimbel</w:t>
            </w:r>
            <w:proofErr w:type="spellEnd"/>
            <w:r w:rsidRPr="00E740D0">
              <w:rPr>
                <w:rFonts w:eastAsia="Times New Roman"/>
                <w:sz w:val="16"/>
                <w:szCs w:val="16"/>
              </w:rPr>
              <w:t xml:space="preserve"> Index measures accessibility as the total length of all shortest paths connecting a node to all other nodes in a graph; i.e.</w:t>
            </w:r>
            <w:proofErr w:type="gramStart"/>
            <w:r w:rsidRPr="00E740D0">
              <w:rPr>
                <w:rFonts w:eastAsia="Times New Roman"/>
                <w:sz w:val="16"/>
                <w:szCs w:val="16"/>
              </w:rPr>
              <w:t>,  unweighted</w:t>
            </w:r>
            <w:proofErr w:type="gramEnd"/>
            <w:r w:rsidRPr="00E740D0">
              <w:rPr>
                <w:rFonts w:eastAsia="Times New Roman"/>
                <w:sz w:val="16"/>
                <w:szCs w:val="16"/>
              </w:rPr>
              <w:t xml:space="preserve"> total travel impedance. Its inverse is the closeness/distance centrality.</w:t>
            </w:r>
          </w:p>
        </w:tc>
        <w:tc>
          <w:tcPr>
            <w:tcW w:w="2790" w:type="dxa"/>
            <w:shd w:val="clear" w:color="auto" w:fill="auto"/>
            <w:vAlign w:val="center"/>
            <w:hideMark/>
          </w:tcPr>
          <w:p w14:paraId="586DB1F6"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Primal topological accessibility measures accessibility in an abstracted system of nodes (opportunities, travel stops) and edges (travel segments/arcs representing travel impedance) and focus on the (1) size, and (2) structure of a network, and (3) connections between nodes.</w:t>
            </w:r>
          </w:p>
        </w:tc>
        <w:tc>
          <w:tcPr>
            <w:tcW w:w="2610" w:type="dxa"/>
            <w:shd w:val="clear" w:color="auto" w:fill="auto"/>
            <w:vAlign w:val="center"/>
            <w:hideMark/>
          </w:tcPr>
          <w:p w14:paraId="0350FE5E"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Does not consider travel impedance and instead focuses on topological relations between nodes of people and opportunities. Considers each node to have an equal number of opportunities.</w:t>
            </w:r>
          </w:p>
        </w:tc>
        <w:tc>
          <w:tcPr>
            <w:tcW w:w="1890" w:type="dxa"/>
            <w:shd w:val="clear" w:color="auto" w:fill="auto"/>
            <w:vAlign w:val="center"/>
            <w:hideMark/>
          </w:tcPr>
          <w:p w14:paraId="553B0103"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Describe the size and structure of an abstracted network representing nodes as places of people and opportunities and edges representing the connections between them.</w:t>
            </w:r>
          </w:p>
        </w:tc>
        <w:tc>
          <w:tcPr>
            <w:tcW w:w="934" w:type="dxa"/>
            <w:shd w:val="clear" w:color="auto" w:fill="auto"/>
            <w:noWrap/>
            <w:vAlign w:val="center"/>
            <w:hideMark/>
          </w:tcPr>
          <w:p w14:paraId="53A2B804" w14:textId="20356D87" w:rsidR="00E740D0" w:rsidRPr="00E740D0" w:rsidRDefault="00A2482B" w:rsidP="00E740D0">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{"citationID":"cz1iX48L","properties":{"formattedCitation":"(Rodrigue, 2020)","plainCitation":"(Rodrigue, 2020)","noteIndex":0},"citationItems":[{"id":1887,"uris":["http://zotero.org/users/5090392/items/NDTM6CRU"],"itemData":{"id":1887,"type":"book","abstract":"This expanded and revised fifth edition of The Geography of Transport Systems provides a comprehensive and accessible introduction to the field with a broad overview of its concepts, methods and areas of application. Aimed mainly at an undergraduate audience, it provides an overview of the spatial aspects of transportation and focuses on how the mobility of passengers and freight is linked with geography.\nThe book is divided into ten chapters, each covering a specific conceptual dimension, including networks, modes, terminals, freight transportation, urban transportation and environmental impacts, and updated with the latest information available. The fifth edition offer new and updated material on information technologies and mobility, e-commerce, transport and the economy, mobility and society, supply chains, security, pandemics, energy and the environment and climate change. With over 140 updated figures and maps, The Geography of Transport Systems presents transportation systems at different scales ranging from global to local.\nThis volume is an essential resource for undergraduates studying transport geography, as well as those interested in economic and urban geography, transport planning and engineering. A companion web site, which contains additional material such as photographs, maps, figures and PowerPoint presentations, has been developed for the book and can be found here: https://transportgeography.org/","edition":"5","event-place":"London","ISBN":"978-0-429-34632-3","note":"DOI: 10.4324/9780429346323","number-of-pages":"480","publisher":"Routledge","publisher-place":"London","title":"The Geography of Transport Systems","author":[{"family":"Rodrigue","given":"Jean-Paul"}],"issued":{"date-parts":[["2020",5,28]]}}}],"schema":"https://github.com/citation-style-language/schema/raw/master/csl-citation.json"} </w:instrText>
            </w:r>
            <w:r>
              <w:rPr>
                <w:rFonts w:eastAsia="Times New Roman"/>
                <w:sz w:val="16"/>
                <w:szCs w:val="16"/>
              </w:rPr>
              <w:fldChar w:fldCharType="separate"/>
            </w:r>
            <w:r w:rsidR="00967900" w:rsidRPr="00967900">
              <w:rPr>
                <w:sz w:val="16"/>
              </w:rPr>
              <w:t>(Rodrigue, 2020)</w:t>
            </w:r>
            <w:r>
              <w:rPr>
                <w:rFonts w:eastAsia="Times New Roman"/>
                <w:sz w:val="16"/>
                <w:szCs w:val="16"/>
              </w:rPr>
              <w:fldChar w:fldCharType="end"/>
            </w:r>
          </w:p>
        </w:tc>
        <w:tc>
          <w:tcPr>
            <w:tcW w:w="1946" w:type="dxa"/>
            <w:shd w:val="clear" w:color="auto" w:fill="auto"/>
            <w:vAlign w:val="center"/>
            <w:hideMark/>
          </w:tcPr>
          <w:p w14:paraId="247A5FD3"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How topologically near/far are people from opportunities? Which nodes are most accessible? …</w:t>
            </w:r>
          </w:p>
        </w:tc>
      </w:tr>
      <w:tr w:rsidR="00E740D0" w:rsidRPr="00E740D0" w14:paraId="713E09EF" w14:textId="77777777" w:rsidTr="002A20AB">
        <w:trPr>
          <w:trHeight w:val="3150"/>
        </w:trPr>
        <w:tc>
          <w:tcPr>
            <w:tcW w:w="2790" w:type="dxa"/>
            <w:shd w:val="clear" w:color="auto" w:fill="auto"/>
            <w:vAlign w:val="center"/>
            <w:hideMark/>
          </w:tcPr>
          <w:p w14:paraId="6EC25FCD"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lastRenderedPageBreak/>
              <w:t xml:space="preserve">In a convex space containing street segments, routes are determined by the visibility of the road network structure. Traditionally, other traditional metrics of travel impedance (e.g., cost, metric distance, travel time) were not used but they can be associated with edges. Typically, the </w:t>
            </w:r>
            <w:r w:rsidRPr="00E740D0">
              <w:rPr>
                <w:rFonts w:eastAsia="Times New Roman"/>
                <w:i/>
                <w:iCs/>
                <w:sz w:val="16"/>
                <w:szCs w:val="16"/>
              </w:rPr>
              <w:t>depth</w:t>
            </w:r>
            <w:r w:rsidRPr="00E740D0">
              <w:rPr>
                <w:rFonts w:eastAsia="Times New Roman"/>
                <w:sz w:val="16"/>
                <w:szCs w:val="16"/>
              </w:rPr>
              <w:t>, or the number of geometric turns, road links to be traversed, visible lines of sight, etc. in unit distances is calculated for each linear physical feature (e.g., street) to all others.  The average of depths for all road segments is then normalized to a theoretical minimum and maximum value which results in the integration measure reflecting the reciprocal of accessibility.</w:t>
            </w:r>
          </w:p>
        </w:tc>
        <w:tc>
          <w:tcPr>
            <w:tcW w:w="2790" w:type="dxa"/>
            <w:shd w:val="clear" w:color="auto" w:fill="auto"/>
            <w:vAlign w:val="center"/>
            <w:hideMark/>
          </w:tcPr>
          <w:p w14:paraId="31E223A0"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Dual topological accessibility measures derived from space syntax theory and focus on how the spatial configuration of street networks affect people's movements; the focus is on the topological and geometric properties of the built environment. Space syntax broadly looks to understand the mutually constructive relations between society and space whereby spaces can be analyzed as street networks of people's choices. Representations as maps and graphs are used to the describe accessibility from one node to all others in which nodes are streets and edges are connections between them.</w:t>
            </w:r>
          </w:p>
        </w:tc>
        <w:tc>
          <w:tcPr>
            <w:tcW w:w="2610" w:type="dxa"/>
            <w:shd w:val="clear" w:color="auto" w:fill="auto"/>
            <w:vAlign w:val="center"/>
            <w:hideMark/>
          </w:tcPr>
          <w:p w14:paraId="4B7D772F"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 xml:space="preserve">The assumption is that the most accessible nodes are not necessarily those closest in terms of geometric distance but rather topological </w:t>
            </w:r>
            <w:proofErr w:type="gramStart"/>
            <w:r w:rsidRPr="00E740D0">
              <w:rPr>
                <w:rFonts w:eastAsia="Times New Roman"/>
                <w:sz w:val="16"/>
                <w:szCs w:val="16"/>
              </w:rPr>
              <w:t>turns, or</w:t>
            </w:r>
            <w:proofErr w:type="gramEnd"/>
            <w:r w:rsidRPr="00E740D0">
              <w:rPr>
                <w:rFonts w:eastAsia="Times New Roman"/>
                <w:sz w:val="16"/>
                <w:szCs w:val="16"/>
              </w:rPr>
              <w:t xml:space="preserve"> based on cognitive complexity--such as the number of directional changes in a route. All destinations are considered equally attractive and land use is not explicitly considered in conventional space syntax accessibility measures. Focus is on the spatial impedance factors separating different streets and the streets themselves, not so much about opportunities.</w:t>
            </w:r>
          </w:p>
        </w:tc>
        <w:tc>
          <w:tcPr>
            <w:tcW w:w="1890" w:type="dxa"/>
            <w:shd w:val="clear" w:color="auto" w:fill="auto"/>
            <w:vAlign w:val="center"/>
            <w:hideMark/>
          </w:tcPr>
          <w:p w14:paraId="2752198C"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Describe the level of connections between street segments at the spatial scale of buildings and streets with the notion being that more connected/accessible street segments are in centers of greatest activity.</w:t>
            </w:r>
          </w:p>
        </w:tc>
        <w:tc>
          <w:tcPr>
            <w:tcW w:w="934" w:type="dxa"/>
            <w:shd w:val="clear" w:color="auto" w:fill="auto"/>
            <w:vAlign w:val="center"/>
            <w:hideMark/>
          </w:tcPr>
          <w:p w14:paraId="13AAD0AD" w14:textId="71C07844" w:rsidR="007505A6" w:rsidRPr="00E740D0" w:rsidRDefault="007505A6" w:rsidP="00E740D0">
            <w:pPr>
              <w:spacing w:after="0" w:line="240" w:lineRule="auto"/>
              <w:rPr>
                <w:rFonts w:eastAsia="Times New Roman"/>
                <w:sz w:val="16"/>
                <w:szCs w:val="16"/>
              </w:rPr>
            </w:pPr>
            <w:r>
              <w:rPr>
                <w:rFonts w:eastAsia="Times New Roman"/>
                <w:sz w:val="16"/>
                <w:szCs w:val="16"/>
              </w:rPr>
              <w:fldChar w:fldCharType="begin"/>
            </w:r>
            <w:r w:rsidR="00F27D88">
              <w:rPr>
                <w:rFonts w:eastAsia="Times New Roman"/>
                <w:sz w:val="16"/>
                <w:szCs w:val="16"/>
              </w:rPr>
              <w:instrText xml:space="preserve"> ADDIN ZOTERO_ITEM CSL_CITATION {"citationID":"H83hG8Bs","properties":{"formattedCitation":"(Batty, 2009; B. Hillier &amp; Hanson, 1984)","plainCitation":"(Batty, 2009; B. Hillier &amp; Hanson, 1984)","noteIndex":0},"citationItems":[{"id":1730,"uris":["http://zotero.org/users/5090392/items/U5NSFMBM"],"itemData":{"id":1730,"type":"article-journal","container-title":"Environment and Planning B: Planning and Design","DOI":"10.1068/b3602ed","ISSN":"0265-8135","issue":"2","journalAbbreviation":"Environ Plann B Plann Des","note":"publisher: SAGE Publications Ltd STM","page":"191-194","source":"SAGE Journals","title":"Accessibility: In Search of a Unified Theory","title-short":"Accessibility","URL":"https://doi.org/10.1068/b3602ed","volume":"36","author":[{"family":"Batty","given":"Michael"}],"accessed":{"date-parts":[["2022",4,30]]},"issued":{"date-parts":[["2009",4,1]]}}},{"id":1870,"uris":["http://zotero.org/users/5090392/items/4BH47WKQ"],"itemData":{"id":1870,"type":"book","event-place":"Cambridge","publisher":"Cambridge University Press","publisher-place":"Cambridge","title":"The Social Logic of Space","URL":"https://www.cambridge.org/core/books/social-logic-of-space/6B0A078C79A74F0CC615ACD8B250A985","author":[{"family":"Hillier","given":"Bill"},{"family":"Hanson","given":"Julienne"}],"accessed":{"date-parts":[["2022",8,9]]},"issued":{"date-parts":[["1984"]]}}}],"schema":"https://github.com/citation-style-language/schema/raw/master/csl-citation.json"} </w:instrText>
            </w:r>
            <w:r>
              <w:rPr>
                <w:rFonts w:eastAsia="Times New Roman"/>
                <w:sz w:val="16"/>
                <w:szCs w:val="16"/>
              </w:rPr>
              <w:fldChar w:fldCharType="separate"/>
            </w:r>
            <w:r w:rsidR="00967900" w:rsidRPr="00967900">
              <w:rPr>
                <w:sz w:val="16"/>
              </w:rPr>
              <w:t>(Batty, 2009; B. Hillier &amp; Hanson, 1984)</w:t>
            </w:r>
            <w:r>
              <w:rPr>
                <w:rFonts w:eastAsia="Times New Roman"/>
                <w:sz w:val="16"/>
                <w:szCs w:val="16"/>
              </w:rPr>
              <w:fldChar w:fldCharType="end"/>
            </w:r>
          </w:p>
        </w:tc>
        <w:tc>
          <w:tcPr>
            <w:tcW w:w="1946" w:type="dxa"/>
            <w:shd w:val="clear" w:color="auto" w:fill="auto"/>
            <w:vAlign w:val="center"/>
            <w:hideMark/>
          </w:tcPr>
          <w:p w14:paraId="1B1434E6" w14:textId="77777777" w:rsidR="00E740D0" w:rsidRPr="00E740D0" w:rsidRDefault="00E740D0" w:rsidP="00E740D0">
            <w:pPr>
              <w:spacing w:after="0" w:line="240" w:lineRule="auto"/>
              <w:rPr>
                <w:rFonts w:eastAsia="Times New Roman"/>
                <w:sz w:val="16"/>
                <w:szCs w:val="16"/>
              </w:rPr>
            </w:pPr>
            <w:r w:rsidRPr="00E740D0">
              <w:rPr>
                <w:rFonts w:eastAsia="Times New Roman"/>
                <w:sz w:val="16"/>
                <w:szCs w:val="16"/>
              </w:rPr>
              <w:t>Which street segments are most accessible? How does the spatial configuration of physical infrastructure (e.g., connectivity of streets) in the built environment affect how people move and interact between places?</w:t>
            </w:r>
          </w:p>
        </w:tc>
      </w:tr>
      <w:tr w:rsidR="00025A13" w:rsidRPr="00025A13" w14:paraId="6AC8AF17" w14:textId="77777777" w:rsidTr="002A20AB">
        <w:trPr>
          <w:trHeight w:val="1737"/>
        </w:trPr>
        <w:tc>
          <w:tcPr>
            <w:tcW w:w="2790" w:type="dxa"/>
            <w:shd w:val="clear" w:color="auto" w:fill="auto"/>
            <w:vAlign w:val="center"/>
            <w:hideMark/>
          </w:tcPr>
          <w:p w14:paraId="62C2806D"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Ratio of supply (opportunities) to demand (population) in an area.</w:t>
            </w:r>
          </w:p>
        </w:tc>
        <w:tc>
          <w:tcPr>
            <w:tcW w:w="2790" w:type="dxa"/>
            <w:shd w:val="clear" w:color="auto" w:fill="auto"/>
            <w:vAlign w:val="center"/>
            <w:hideMark/>
          </w:tcPr>
          <w:p w14:paraId="5AC5B488"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Regional availability (Opportunity-to-population ratio) measures; distribution of supply opportunities to demand within an area.</w:t>
            </w:r>
          </w:p>
        </w:tc>
        <w:tc>
          <w:tcPr>
            <w:tcW w:w="2610" w:type="dxa"/>
            <w:shd w:val="clear" w:color="auto" w:fill="auto"/>
            <w:vAlign w:val="center"/>
            <w:hideMark/>
          </w:tcPr>
          <w:p w14:paraId="6DABA49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Does not account for complex interactions between supply and demand in other areas external to an area of focus (i.e., people in an area may also reach and obtain opportunities in other areas.) People within a region are assumed to have equal access to the available opportunities.</w:t>
            </w:r>
          </w:p>
        </w:tc>
        <w:tc>
          <w:tcPr>
            <w:tcW w:w="1890" w:type="dxa"/>
            <w:shd w:val="clear" w:color="auto" w:fill="auto"/>
            <w:vAlign w:val="center"/>
            <w:hideMark/>
          </w:tcPr>
          <w:p w14:paraId="6CD51C6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Obtain the potential opportunities available to people within an area.</w:t>
            </w:r>
          </w:p>
        </w:tc>
        <w:tc>
          <w:tcPr>
            <w:tcW w:w="934" w:type="dxa"/>
            <w:shd w:val="clear" w:color="auto" w:fill="auto"/>
            <w:vAlign w:val="center"/>
            <w:hideMark/>
          </w:tcPr>
          <w:p w14:paraId="46AE76A7" w14:textId="3C5ABED0" w:rsidR="006750CF" w:rsidRPr="00025A13" w:rsidRDefault="006750CF"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{"citationID":"faS53rJO","properties":{"formattedCitation":"(Block &amp; Kouba, 2006; Joseph &amp; Phillips, 1984)","plainCitation":"(Block &amp; Kouba, 2006; Joseph &amp; Phillips, 1984)","noteIndex":0},"citationItems":[{"id":1709,"uris":["http://zotero.org/users/5090392/items/JV3YN2GV"],"itemData":{"id":1709,"type":"article-journal","abstract":"Objective: The purpose of the present study was to characterise the food landscape of an inner city African American neighbourhood and its mixed-race suburban neighbour. Detailed analysis focuses on the relationship between community store mix and price, availability and produce quality. Design: A market basket study was completed by members of the Chicago Food Systems Collaborative. The US Department of Agriculture’s standard market basket survey and methodology were used. Additional items and analyses were added in consultation with community members. Setting: Austin is a lower-middle-class African American community of 117 500 on the western edge of Chicago. Oak Park, which borders Austin, is an upper-middleincome suburb of 52 500 with a mixed racial proﬁle. Subjects: A market basket survey of every retail food store in Austin and Oak Park was completed. A total of 134 were included.\nResults: Results indicate that Austin has many grocery stores and few supermarkets. Many Austin groceries stores carry produce that is usually competitively priced, but often of unacceptable quality. Supermarkets had the best selection. Prices were lowest at discount supermarkets. Prices of packaged items were higher at independent stores than at chain supermarkets, but fresh items were cheaper.\nConclusions: Food access is related more to store type than number. In this study, item availability and produce quality varied greatly between store types. Price differences were complicated and varied by store type and food category. This has consequences in terms of food purchasing decisions and dietary quality that public health professionals should acknowledge.","container-title":"Public Health Nutrition","DOI":"10.1017/PHN2005924","ISSN":"1368-9800, 1475-2727","issue":"7","journalAbbreviation":"Public Health Nutr.","language":"en","page":"837-845","source":"DOI.org (Crossref)","title":"A comparison of the availability and affordability of a market basket in two communities in the Chicago area","URL":"https://www.cambridge.org/core/product/identifier/S1368980006001406/type/journal_article","volume":"9","author":[{"family":"Block","given":"Daniel"},{"family":"Kouba","given":"Joanne"}],"accessed":{"date-parts":[["2022",4,26]]},"issued":{"date-parts":[["2006",10]]}}},{"id":1707,"uris":["http://zotero.org/users/5090392/items/WTDBYI2W"],"itemData":{"id":1707,"type":"book","abstract":"Examines some of the many factors which influence the use of health service by consumers. In particular, the spatial aspects of health care and the ways in which the organization of health care delivery can affect utilization are discussed. Methods of analyzing the measuring accessibility to health care facilities are explained, and the effects of distance on utilization, especially in underdeveloped countries, is examined. Examples of health care systems include those from: China, Thailand, the USSR, Britain, and the USA. Particular attention is given to the place of primary health care in servicing the needs of the population, and the role of traditional medicine in some countries. Current phenomena such as privatization and rising costs in health care are also considered. -after Publishers","event-place":"London","ISBN":"978-0-06-318276-9","publisher":"Harper &amp; Row","publisher-place":"London","source":"Macquarie University","title":"Accessibility and utilization: geographical perspectives on health care delivery","title-short":"Accessibility and utilization","URL":"http://www.scopus.com/inward/record.url?scp=0021538772&amp;partnerID=8YFLogxK","author":[{"family":"Joseph","given":"A. E."},{"family":"Phillips","given":"D. R."}],"accessed":{"date-parts":[["2022",4,26]]},"issued":{"date-parts":[["1984",3]]}}}],"schema":"https://github.com/citation-style-language/schema/raw/master/csl-citation.json"} </w:instrText>
            </w:r>
            <w:r>
              <w:rPr>
                <w:rFonts w:eastAsia="Times New Roman"/>
                <w:sz w:val="16"/>
                <w:szCs w:val="16"/>
              </w:rPr>
              <w:fldChar w:fldCharType="separate"/>
            </w:r>
            <w:r w:rsidR="00967900" w:rsidRPr="00967900">
              <w:rPr>
                <w:sz w:val="16"/>
              </w:rPr>
              <w:t>(Block &amp; Kouba, 2006; Joseph &amp; Phillips, 1984)</w:t>
            </w:r>
            <w:r>
              <w:rPr>
                <w:rFonts w:eastAsia="Times New Roman"/>
                <w:sz w:val="16"/>
                <w:szCs w:val="16"/>
              </w:rPr>
              <w:fldChar w:fldCharType="end"/>
            </w:r>
          </w:p>
        </w:tc>
        <w:tc>
          <w:tcPr>
            <w:tcW w:w="1946" w:type="dxa"/>
            <w:shd w:val="clear" w:color="auto" w:fill="auto"/>
            <w:vAlign w:val="center"/>
            <w:hideMark/>
          </w:tcPr>
          <w:p w14:paraId="2E0AAE2D"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What is the ratio of opportunities to people within an area? How many potential opportunities are available to each person in an area?</w:t>
            </w:r>
          </w:p>
        </w:tc>
      </w:tr>
      <w:tr w:rsidR="00025A13" w:rsidRPr="00025A13" w14:paraId="7C9F7790" w14:textId="77777777" w:rsidTr="002A20AB">
        <w:trPr>
          <w:trHeight w:val="2070"/>
        </w:trPr>
        <w:tc>
          <w:tcPr>
            <w:tcW w:w="2790" w:type="dxa"/>
            <w:shd w:val="clear" w:color="auto" w:fill="auto"/>
            <w:vAlign w:val="center"/>
            <w:hideMark/>
          </w:tcPr>
          <w:p w14:paraId="2FF1EEC8"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Number or density of opportunities within </w:t>
            </w:r>
            <w:proofErr w:type="gramStart"/>
            <w:r w:rsidRPr="00025A13">
              <w:rPr>
                <w:rFonts w:eastAsia="Times New Roman"/>
                <w:sz w:val="16"/>
                <w:szCs w:val="16"/>
              </w:rPr>
              <w:t>particular times</w:t>
            </w:r>
            <w:proofErr w:type="gramEnd"/>
            <w:r w:rsidRPr="00025A13">
              <w:rPr>
                <w:rFonts w:eastAsia="Times New Roman"/>
                <w:sz w:val="16"/>
                <w:szCs w:val="16"/>
              </w:rPr>
              <w:t>, distances, or costs from the residential locations of people.</w:t>
            </w:r>
          </w:p>
        </w:tc>
        <w:tc>
          <w:tcPr>
            <w:tcW w:w="2790" w:type="dxa"/>
            <w:shd w:val="clear" w:color="auto" w:fill="auto"/>
            <w:vAlign w:val="center"/>
            <w:hideMark/>
          </w:tcPr>
          <w:p w14:paraId="6F623802"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Isochrone measure: Cumulative opportunities within a predetermined cost distance threshold. Accessibility increases with increasing number of reachable opportunities.</w:t>
            </w:r>
          </w:p>
        </w:tc>
        <w:tc>
          <w:tcPr>
            <w:tcW w:w="2610" w:type="dxa"/>
            <w:shd w:val="clear" w:color="auto" w:fill="auto"/>
            <w:vAlign w:val="center"/>
            <w:hideMark/>
          </w:tcPr>
          <w:p w14:paraId="260B9E43" w14:textId="6002F81F"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Does not account for attractiveness of activity locations. Highly sensitive to the specified cutoff travel distance or time and may thus affect the resulting metrics. </w:t>
            </w:r>
          </w:p>
        </w:tc>
        <w:tc>
          <w:tcPr>
            <w:tcW w:w="1890" w:type="dxa"/>
            <w:shd w:val="clear" w:color="auto" w:fill="auto"/>
            <w:vAlign w:val="center"/>
            <w:hideMark/>
          </w:tcPr>
          <w:p w14:paraId="26C33BC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Obtain the diversity of opportunities within a predetermined cost distance threshold of a location(s) of people.</w:t>
            </w:r>
          </w:p>
        </w:tc>
        <w:tc>
          <w:tcPr>
            <w:tcW w:w="934" w:type="dxa"/>
            <w:shd w:val="clear" w:color="auto" w:fill="auto"/>
            <w:vAlign w:val="center"/>
            <w:hideMark/>
          </w:tcPr>
          <w:p w14:paraId="2AD9B137" w14:textId="4AAB642C" w:rsidR="00025A13" w:rsidRPr="00025A13" w:rsidRDefault="006750CF"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{"citationID":"zaJxOoB5","properties":{"formattedCitation":"(Wachs &amp; Kumagai, 1973)","plainCitation":"(Wachs &amp; Kumagai, 1973)","noteIndex":0},"citationItems":[{"id":920,"uris":["http://zotero.org/users/5090392/items/QU3E26PY"],"itemData":{"id":920,"type":"article-journal","container-title":"Socio-Economic Planning Sciences","ISSN":"00380121","issue":"5","note":"publisher: Elsevier","page":"437-456","source":"RePEc - Econpapers","title":"Physical accessibility as a social indicator","URL":"https://econpapers.repec.org/article/eeesoceps/v_3a7_3ay_3a1973_3ai_3a5_3ap_3a437-456.htm","volume":"7","author":[{"family":"Wachs","given":"Martin"},{"family":"Kumagai","given":"T. Gordon"}],"accessed":{"date-parts":[["2021",2,23]]},"issued":{"date-parts":[["1973"]]}}}],"schema":"https://github.com/citation-style-language/schema/raw/master/csl-citation.json"} </w:instrText>
            </w:r>
            <w:r>
              <w:rPr>
                <w:rFonts w:eastAsia="Times New Roman"/>
                <w:sz w:val="16"/>
                <w:szCs w:val="16"/>
              </w:rPr>
              <w:fldChar w:fldCharType="separate"/>
            </w:r>
            <w:r w:rsidR="00967900" w:rsidRPr="00967900">
              <w:rPr>
                <w:sz w:val="16"/>
              </w:rPr>
              <w:t>(Wachs &amp; Kumagai, 1973)</w:t>
            </w:r>
            <w:r>
              <w:rPr>
                <w:rFonts w:eastAsia="Times New Roman"/>
                <w:sz w:val="16"/>
                <w:szCs w:val="16"/>
              </w:rPr>
              <w:fldChar w:fldCharType="end"/>
            </w:r>
          </w:p>
        </w:tc>
        <w:tc>
          <w:tcPr>
            <w:tcW w:w="1946" w:type="dxa"/>
            <w:shd w:val="clear" w:color="auto" w:fill="auto"/>
            <w:vAlign w:val="center"/>
            <w:hideMark/>
          </w:tcPr>
          <w:p w14:paraId="7C7055F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How many opportunities are reachable given a specified cost distance threshold?</w:t>
            </w:r>
          </w:p>
        </w:tc>
      </w:tr>
      <w:tr w:rsidR="00025A13" w:rsidRPr="00025A13" w14:paraId="77F283D5" w14:textId="77777777" w:rsidTr="002A20AB">
        <w:trPr>
          <w:trHeight w:val="3150"/>
        </w:trPr>
        <w:tc>
          <w:tcPr>
            <w:tcW w:w="2790" w:type="dxa"/>
            <w:shd w:val="clear" w:color="auto" w:fill="auto"/>
            <w:vAlign w:val="center"/>
            <w:hideMark/>
          </w:tcPr>
          <w:p w14:paraId="0CBAD969"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lastRenderedPageBreak/>
              <w:t>The accessibility, or attractiveness of opportunities (</w:t>
            </w:r>
            <w:proofErr w:type="gramStart"/>
            <w:r w:rsidRPr="00025A13">
              <w:rPr>
                <w:rFonts w:eastAsia="Times New Roman"/>
                <w:sz w:val="16"/>
                <w:szCs w:val="16"/>
              </w:rPr>
              <w:t>e.g.</w:t>
            </w:r>
            <w:proofErr w:type="gramEnd"/>
            <w:r w:rsidRPr="00025A13">
              <w:rPr>
                <w:rFonts w:eastAsia="Times New Roman"/>
                <w:sz w:val="16"/>
                <w:szCs w:val="16"/>
              </w:rPr>
              <w:t xml:space="preserve"> jobs), of any individual zone could be obtained by discounting the available opportunities with the difficulty of reaching that zone. A distance decay effect, beta exponent, is often included to reflect varying levels of impedance and the ease to which the transport system facilitates interaction between locations. In other words, the attraction between two locations is proportional to the product of the importance of both locations divided by their distance. Later studies after Hansen's article included competition effects (Knox, 1978; Joseph &amp; </w:t>
            </w:r>
            <w:proofErr w:type="spellStart"/>
            <w:r w:rsidRPr="00025A13">
              <w:rPr>
                <w:rFonts w:eastAsia="Times New Roman"/>
                <w:sz w:val="16"/>
                <w:szCs w:val="16"/>
              </w:rPr>
              <w:t>Bantock</w:t>
            </w:r>
            <w:proofErr w:type="spellEnd"/>
            <w:r w:rsidRPr="00025A13">
              <w:rPr>
                <w:rFonts w:eastAsia="Times New Roman"/>
                <w:sz w:val="16"/>
                <w:szCs w:val="16"/>
              </w:rPr>
              <w:t>, 1982; Shen, 1998; van wee et al., 2001).</w:t>
            </w:r>
          </w:p>
        </w:tc>
        <w:tc>
          <w:tcPr>
            <w:tcW w:w="2790" w:type="dxa"/>
            <w:shd w:val="clear" w:color="auto" w:fill="auto"/>
            <w:vAlign w:val="center"/>
            <w:hideMark/>
          </w:tcPr>
          <w:p w14:paraId="77333BA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Gravity measures; potential of opportunities for interaction. Accessibility increases as impedance decreases between location of opportunities and people.</w:t>
            </w:r>
          </w:p>
        </w:tc>
        <w:tc>
          <w:tcPr>
            <w:tcW w:w="2610" w:type="dxa"/>
            <w:shd w:val="clear" w:color="auto" w:fill="auto"/>
            <w:vAlign w:val="center"/>
            <w:hideMark/>
          </w:tcPr>
          <w:p w14:paraId="038368F5"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Need to develop impedance factor; coefficients are typically derived from trip distribution models.</w:t>
            </w:r>
          </w:p>
        </w:tc>
        <w:tc>
          <w:tcPr>
            <w:tcW w:w="1890" w:type="dxa"/>
            <w:shd w:val="clear" w:color="auto" w:fill="auto"/>
            <w:vAlign w:val="center"/>
            <w:hideMark/>
          </w:tcPr>
          <w:p w14:paraId="635E2DF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Explain or predict spatial interactions; to measure the interaction between the location of people and all activity locations of opportunities.</w:t>
            </w:r>
          </w:p>
        </w:tc>
        <w:tc>
          <w:tcPr>
            <w:tcW w:w="934" w:type="dxa"/>
            <w:shd w:val="clear" w:color="auto" w:fill="auto"/>
            <w:vAlign w:val="center"/>
            <w:hideMark/>
          </w:tcPr>
          <w:p w14:paraId="2F16F21E" w14:textId="77F86927" w:rsidR="00025A13" w:rsidRPr="00025A13" w:rsidRDefault="00240476" w:rsidP="00025A13">
            <w:pPr>
              <w:spacing w:after="0" w:line="240" w:lineRule="auto"/>
              <w:rPr>
                <w:rFonts w:eastAsia="Times New Roman"/>
                <w:sz w:val="16"/>
                <w:szCs w:val="16"/>
              </w:rPr>
            </w:pPr>
            <w:r>
              <w:rPr>
                <w:rFonts w:eastAsia="Times New Roman"/>
                <w:sz w:val="16"/>
                <w:szCs w:val="16"/>
              </w:rPr>
              <w:fldChar w:fldCharType="begin"/>
            </w:r>
            <w:r w:rsidR="00E8585B">
              <w:rPr>
                <w:rFonts w:eastAsia="Times New Roman"/>
                <w:sz w:val="16"/>
                <w:szCs w:val="16"/>
              </w:rPr>
              <w:instrText xml:space="preserve"> ADDIN ZOTERO_ITEM CSL_CITATION {"citationID":"8OfNTreD","properties":{"formattedCitation":"(Hansen, 1959; Joseph &amp; Bantock, 1982; Knox, 1978; Shen, 1998; van Wee et al., 2001)","plainCitation":"(Hansen, 1959; Joseph &amp; Bantock, 1982; Knox, 1978; Shen, 1998; van Wee et al., 2001)","noteIndex":0},"citationItems":[{"id":9,"uris":["http://zotero.org/users/5090392/items/3GDFWZ5A"],"itemData":{"id":9,"type":"article-journal","abstract":"An empirical examination of the residential development patterns illustrates that accessibility and the availability of vacant developable land can be used as the basis of a residential land use model. The author presents an operational definition and suggests a method for determining accessibility patterns within metropolitan areas. This is a process of distributing forecasted metropolitan population to small areas within the metropolitan region. Although the model presented is not yet sufficiently well refined for estimating purposes, the concept and the approach may be potentially useful tools for metropolitan planning purposes.","container-title":"Journal of the American Institute of Planners","DOI":"10.1080/01944365908978307","ISSN":"0002-8991","issue":"2","page":"73-76","source":"Taylor and Francis+NEJM","title":"How Accessibility Shapes Land Use","URL":"https://doi.org/10.1080/01944365908978307","volume":"25","author":[{"family":"Hansen","given":"Walter G."}],"accessed":{"date-parts":[["2018",8,28]]},"issued":{"date-parts":[["1959",5,1]]}}},{"id":1878,"uris":["http://zotero.org/users/5090392/items/D2MRSG88"],"itemData":{"id":1878,"type":"article-journal","abstract":"The general practitioner is the key element within most rural health care delivery systems, virtually controlling referal to higher levels of care as well as providing basic care. In consequence of the progressive urban-based centralization of health care facilities and specialized personnel encouraged by the desire to take advantage of economies of scale in supply, the role of the general practitioner within rural health care delivery has become increasingly crucial. However, the supply of general practitioners in rural areas has not kept pace with demands, and accessibility to physicians has become a pressing issue in many rural areas. Although ‘accessibility’ is not taken to be synonymous with physical or geographical accessibility, the dispersed settlement characteristic of most rural areas elevates the latter to a position of primary importance. Following a discussion of the merits of measures of accessibility based upon utilization versus measures based upon the relative location of population and physicians, a measure on potential physical accessibility is presented and applied to a Canadian data set. The results suggest that although considerable differences in potential accessibility exist between rural areas near and far from urban centres, the smaller catchment populations of most rural general practitioners may partly compensate for isolation from major, urban concentrations of physicians.","container-title":"Social Science &amp; Medicine","DOI":"10.1016/0277-9536(82)90428-2","ISSN":"0277-9536","issue":"1","journalAbbreviation":"Social Science &amp; Medicine","language":"en","page":"85-90","source":"ScienceDirect","title":"Measuring potential physical accessibility to general practitioners in rural areas: A method and case study","title-short":"Measuring potential physical accessibility to general practitioners in rural areas","URL":"https://www.sciencedirect.com/science/article/pii/0277953682904282","volume":"16","author":[{"family":"Joseph","given":"Alun E."},{"family":"Bantock","given":"Peter R."}],"accessed":{"date-parts":[["2022",8,9]]},"issued":{"date-parts":[["1982",1,1]]}}},{"id":1872,"uris":["http://zotero.org/users/5090392/items/U3EI5MK2"],"itemData":{"id":1872,"type":"article-journal","abstract":"Patterns of intraurban accessibility to primary medical care in four major Scottish cities are examined in the context of existing public policy and against the background of intraurban patterns of community well-being. Certain regularities are observed in the spatial ecology of family doctors' surgeries, and the notion of an ‘inverse care law’ is discussed. A modified interaction model is introduced and used to analyse local accessibility to primary care facilities. Results indicate that disparities in accessibility tend to compound many other patterns of socioeconomic disadvantage. The formulation of public policies concerned with medical deprivation and area deprivation is discussed in the light of these results.","container-title":"Environment and Planning A: Economy and Space","DOI":"10.1068/a100415","ISSN":"0308-518X","issue":"4","journalAbbreviation":"Environ Plan A","language":"en","note":"publisher: SAGE Publications Ltd","page":"415-435","source":"SAGE Journals","title":"The Intraurban Ecology of Primary Medical Care: Patterns of Accessibility and Their Policy Implications","title-short":"The Intraurban Ecology of Primary Medical Care","URL":"https://doi.org/10.1068/a100415","volume":"10","author":[{"family":"Knox","given":"P L"}],"accessed":{"date-parts":[["2022",8,9]]},"issued":{"date-parts":[["1978",4,1]]}}},{"id":908,"uris":["http://zotero.org/users/5090392/items/UUYBGQJK"],"itemData":{"id":908,"type":"article-journal","abstract":"Accessibility is both an important concept, and a powerful indicator, in the understanding of the impact of spatial technologies, i.e. transportation, communication, and information technologies. However, virtually all existing measures of intra-metropolitan accessibility incorporate only transportation without considering other means of spatial interaction. In this paper, the author argues that by carefully examining the relationship between transportation and communication, it is possible to develop measures that represent urban spatial structure more completely. Based on studies of teleworking in the United States, the author presents an accessibility measure that takes into account both travel and telecommuting. A case study of employment accessibility in the Boston Metropolitan Area indicates that advances in spatial technologies may generate the dual effect of locational equalization and socio-spatial polarization. In the urban space that is increasingly technologically delineated and socially constructed, low-income workers will very likely find themselves in a more and more disadvantaged position.","container-title":"Computers, Environment and Urban Systems","DOI":"10.1016/S0198-9715(98)00039-8","ISSN":"0198-9715","issue":"5","journalAbbreviation":"Computers, Environment and Urban Systems","language":"en","page":"447-464","source":"ScienceDirect","title":"Spatial technologies, accessibility, and the social construction of urban space","URL":"https://www.sciencedirect.com/science/article/pii/S0198971598000398","volume":"22","author":[{"family":"Shen","given":"Qing"}],"accessed":{"date-parts":[["2021",2,22]]},"issued":{"date-parts":[["1998",9,1]]}}},{"id":1873,"uris":["http://zotero.org/users/5090392/items/HWSCLECL"],"itemData":{"id":1873,"type":"article-journal","abstract":"On the basis of a literature review on `accessibility', we propose a new type of accessibility measure that can be used to estimate if jobs are accessible for employees. The basis for the measure is a traditional potential accessibility measure. This kind of measure means calculating the number of jobs which can be reached in a certain amount of time, weighted for travel time (or distance). However, the competition for jobs on the employment market is not taken into account in these measures. This seems to be an omission, considering that the attractiveness of a living area is not only determined by the number of jobs that are within reach, but also by the amount of competition for these jobs. If there are many competitors in the area, the chance of getting the desired job is lower than in a situation with no or few competitors. Therefore we suggest an accessibility measure based on a `normal' potential accessibility measure corrected for competition on the employment market. We applied the proposed accessibility measure to a Netherlands' case study. The correction factor for employment market competition was found to affect the results. Using the proposed measure, the calculated job accessibility in many Dutch residential areas changes in comparison to calculations using the normal accessibility measure.","collection-title":"Mobility and Spatial Dynamics","container-title":"Journal of Transport Geography","DOI":"10.1016/S0966-6923(01)00010-2","ISSN":"0966-6923","issue":"3","journalAbbreviation":"Journal of Transport Geography","language":"en","page":"199-208","source":"ScienceDirect","title":"Accessibility measures with competition","URL":"https://www.sciencedirect.com/science/article/pii/S0966692301000102","volume":"9","author":[{"family":"Wee","given":"Bert","non-dropping-particle":"van"},{"family":"Hagoort","given":"Michel"},{"family":"Annema","given":"Jan Anne"}],"accessed":{"date-parts":[["2022",8,9]]},"issued":{"date-parts":[["2001",9,1]]}}}],"schema":"https://github.com/citation-style-language/schema/raw/master/csl-citation.json"} </w:instrText>
            </w:r>
            <w:r>
              <w:rPr>
                <w:rFonts w:eastAsia="Times New Roman"/>
                <w:sz w:val="16"/>
                <w:szCs w:val="16"/>
              </w:rPr>
              <w:fldChar w:fldCharType="separate"/>
            </w:r>
            <w:r w:rsidR="00967900" w:rsidRPr="00967900">
              <w:rPr>
                <w:sz w:val="16"/>
              </w:rPr>
              <w:t>(Hansen, 1959; Joseph &amp; Bantock, 1982; Knox, 1978; Shen, 1998; van Wee et al., 2001)</w:t>
            </w:r>
            <w:r>
              <w:rPr>
                <w:rFonts w:eastAsia="Times New Roman"/>
                <w:sz w:val="16"/>
                <w:szCs w:val="16"/>
              </w:rPr>
              <w:fldChar w:fldCharType="end"/>
            </w:r>
          </w:p>
        </w:tc>
        <w:tc>
          <w:tcPr>
            <w:tcW w:w="1946" w:type="dxa"/>
            <w:shd w:val="clear" w:color="auto" w:fill="auto"/>
            <w:vAlign w:val="center"/>
            <w:hideMark/>
          </w:tcPr>
          <w:p w14:paraId="1E532D03"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What is the potential for interaction for every location of people to all opportunities?</w:t>
            </w:r>
          </w:p>
        </w:tc>
      </w:tr>
      <w:tr w:rsidR="00025A13" w:rsidRPr="00025A13" w14:paraId="069626D4" w14:textId="77777777" w:rsidTr="002A20AB">
        <w:trPr>
          <w:trHeight w:val="1340"/>
        </w:trPr>
        <w:tc>
          <w:tcPr>
            <w:tcW w:w="2790" w:type="dxa"/>
            <w:shd w:val="clear" w:color="auto" w:fill="auto"/>
            <w:vAlign w:val="center"/>
            <w:hideMark/>
          </w:tcPr>
          <w:p w14:paraId="2DB887FA"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(1) Create 'floating' catchment areas (</w:t>
            </w:r>
            <w:proofErr w:type="gramStart"/>
            <w:r w:rsidRPr="00025A13">
              <w:rPr>
                <w:rFonts w:eastAsia="Times New Roman"/>
                <w:sz w:val="16"/>
                <w:szCs w:val="16"/>
              </w:rPr>
              <w:t>e.g.</w:t>
            </w:r>
            <w:proofErr w:type="gramEnd"/>
            <w:r w:rsidRPr="00025A13">
              <w:rPr>
                <w:rFonts w:eastAsia="Times New Roman"/>
                <w:sz w:val="16"/>
                <w:szCs w:val="16"/>
              </w:rPr>
              <w:t xml:space="preserve"> buffers, circles, windows) centered around all populated areas and of a distance radius/length appropriate for residents to travel. Calculate the ratio of opportunities to people inside each buffer area. Essentially, </w:t>
            </w:r>
            <w:proofErr w:type="spellStart"/>
            <w:proofErr w:type="gramStart"/>
            <w:r w:rsidRPr="00025A13">
              <w:rPr>
                <w:rFonts w:eastAsia="Times New Roman"/>
                <w:sz w:val="16"/>
                <w:szCs w:val="16"/>
              </w:rPr>
              <w:t>a</w:t>
            </w:r>
            <w:proofErr w:type="spellEnd"/>
            <w:proofErr w:type="gramEnd"/>
            <w:r w:rsidRPr="00025A13">
              <w:rPr>
                <w:rFonts w:eastAsia="Times New Roman"/>
                <w:sz w:val="16"/>
                <w:szCs w:val="16"/>
              </w:rPr>
              <w:t xml:space="preserve"> opportunity-to-population ratio is the level of accessibility is assigned to each populated area under study. (2) Calculate opportunity-to-people ratios within catchment areas of each opportunity location, and the sum of all these ratios of opportunity providers located within a population's catchment area is its level of accessibility. (3) Instead of distance, derive catchment areas based on travel time. (4) Account for distance decay in catchment areas for both opportunities and people; divide each catchment area into subzones of different travel time ranges and assign a Gaussian weight to each subzone (i.e., apply weights for the friction of travel impedance to differentiate travel time zones.) (5) Incorporate a Gaussian weight of each population's demand for an opportunity within a catchment area which results in a total weighted opportunity-to-population ratio for each catchment area around opportunities. (6) </w:t>
            </w:r>
            <w:r w:rsidRPr="00025A13">
              <w:rPr>
                <w:rFonts w:eastAsia="Times New Roman"/>
                <w:sz w:val="16"/>
                <w:szCs w:val="16"/>
              </w:rPr>
              <w:lastRenderedPageBreak/>
              <w:t>Incorporate a modified Huff Model that additionally considers opportunity location attractiveness as the size of the facility.</w:t>
            </w:r>
          </w:p>
        </w:tc>
        <w:tc>
          <w:tcPr>
            <w:tcW w:w="2790" w:type="dxa"/>
            <w:shd w:val="clear" w:color="auto" w:fill="auto"/>
            <w:vAlign w:val="center"/>
            <w:hideMark/>
          </w:tcPr>
          <w:p w14:paraId="1B455691"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lastRenderedPageBreak/>
              <w:t>Floating catchment area (FCA) measures incorporate interactions among supply and attractiveness of opportunities, potential demand for these opportunities by people, and the cost of travel between supply and demand locations. Potential accessibility for each area is a local estimate of the availability of opportunities relative to the demand by people.</w:t>
            </w:r>
          </w:p>
        </w:tc>
        <w:tc>
          <w:tcPr>
            <w:tcW w:w="2610" w:type="dxa"/>
            <w:shd w:val="clear" w:color="auto" w:fill="auto"/>
            <w:vAlign w:val="center"/>
            <w:hideMark/>
          </w:tcPr>
          <w:p w14:paraId="4E16BCDC"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Many variants have emerged. (1) Original FCA assumes all opportunities within catchment areas are equally available to the people in those areas. (2) Adding a spatial decomposition scheme (Radke &amp; Mu, 2000) additionally considers how opportunities may also be reached by people in other areas. (3) Two-step FCA (2SFCA) uses travel-time instead of distance to derive catchment areas and assumes people only reach and obtain opportunities located within their catchment areas and that they are equally accessible regardless of travel time (i.e., within a catchment area, distance impedance does not matter); 2SFCA cannot capture spatial interactions between the locations of people and opportunities within catchment areas (Luo &amp; Wang, 2003). (4) Enhanced 2SFCA (E2SFCA) differentiates access within the catchment area (Luo &amp; Qi, 2009) but can overestimate population demand. (5) Three-step FCA (3SFCA) adjusts population demand for opportunities as the probability of selecting an opportunity out of all available opportunities within each catchment area of an opportunity. However, </w:t>
            </w:r>
            <w:r w:rsidRPr="00025A13">
              <w:rPr>
                <w:rFonts w:eastAsia="Times New Roman"/>
                <w:sz w:val="16"/>
                <w:szCs w:val="16"/>
              </w:rPr>
              <w:lastRenderedPageBreak/>
              <w:t>this probability is only based on travel cost. (6) Enhanced three-step floating catchment area (E3SFCA) additionally considers travel impedance and opportunity capacity (e.g., facility area) for the selection probability.</w:t>
            </w:r>
          </w:p>
        </w:tc>
        <w:tc>
          <w:tcPr>
            <w:tcW w:w="1890" w:type="dxa"/>
            <w:shd w:val="clear" w:color="auto" w:fill="auto"/>
            <w:vAlign w:val="center"/>
            <w:hideMark/>
          </w:tcPr>
          <w:p w14:paraId="5958290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lastRenderedPageBreak/>
              <w:t>Calculate opportunity to population ratios (1) that consider competition from people in other areas (2) in catchment areas delineated by travel time (3). And consider differences in ratios for different subareas of different travel times within catchment areas (4) while also considering population demand for opportunities as the probability of selecting an opportunity out of all available opportunities based on travel impedance (5) as well as facility size (6).</w:t>
            </w:r>
          </w:p>
        </w:tc>
        <w:tc>
          <w:tcPr>
            <w:tcW w:w="934" w:type="dxa"/>
            <w:shd w:val="clear" w:color="auto" w:fill="auto"/>
            <w:vAlign w:val="center"/>
            <w:hideMark/>
          </w:tcPr>
          <w:p w14:paraId="2629C01D" w14:textId="10B878E8" w:rsidR="00025A13" w:rsidRPr="00025A13" w:rsidRDefault="00E8585B" w:rsidP="00025A13">
            <w:pPr>
              <w:spacing w:after="0" w:line="240" w:lineRule="auto"/>
              <w:rPr>
                <w:rFonts w:eastAsia="Times New Roman"/>
                <w:sz w:val="16"/>
                <w:szCs w:val="16"/>
              </w:rPr>
            </w:pPr>
            <w:r>
              <w:rPr>
                <w:rFonts w:eastAsia="Times New Roman"/>
                <w:sz w:val="16"/>
                <w:szCs w:val="16"/>
              </w:rPr>
              <w:fldChar w:fldCharType="begin"/>
            </w:r>
            <w:r w:rsidR="001C5C17">
              <w:rPr>
                <w:rFonts w:eastAsia="Times New Roman"/>
                <w:sz w:val="16"/>
                <w:szCs w:val="16"/>
              </w:rPr>
              <w:instrText xml:space="preserve"> ADDIN ZOTERO_ITEM CSL_CITATION {"citationID":"lkY47E3l","properties":{"formattedCitation":"(Luo, 2004; Luo &amp; Qi, 2009; Luo &amp; Wang, 2003; Radke &amp; Mu, 2000; F. Wang, 2000)","plainCitation":"(Luo, 2004; Luo &amp; Qi, 2009; Luo &amp; Wang, 2003; Radke &amp; Mu, 2000; F. Wang, 2000)","noteIndex":0},"citationItems":[{"id":862,"uris":["http://zotero.org/users/5090392/items/A3LVMHD8"],"itemData":{"id":862,"type":"article-journal","abstract":"This paper presents a geographic information system (GIS) based floating catchment method for identifying physician shortage areas. The traditional designation methods are primarily regional availability measures, which use administrative boundaries such as counties as the basic spatial units for calculating physician to population ratios and designate shortage based on those ratios. Such approaches have been criticized for their inability to account for either the spatial variations of population demand and physician supply within those boundaries or for population-physician interactions across them. The floating catchment method addresses the internal spatial distribution problem by deriving population data from a smaller unit, the census tract. The potential cross border patient–physician interaction is taken into consideration by using circles of reasonable radius around each census tract centroid as the basic spatial units, which can encompass areas on either side of an administrative border. By varying the radius of the catchment circle, this paper demonstrates that the physician to population ratio is scale dependent and that the greatest variability of the ratios and shortages occur at the most local scales (&lt; 20 miles), which argues for using finer spatial resolution data in shortage designation practice.","container-title":"Health &amp; Place","DOI":"10.1016/S1353-8292(02)00067-9","ISSN":"1353-8292","issue":"1","journalAbbreviation":"Health &amp; Place","language":"en","page":"1-11","source":"ScienceDirect","title":"Using a GIS-based floating catchment method to assess areas with shortage of physicians","URL":"https://www.sciencedirect.com/science/article/pii/S1353829202000679","volume":"10","author":[{"family":"Luo","given":"Wei"}],"accessed":{"date-parts":[["2021",2,18]]},"issued":{"date-parts":[["2004",3,1]]}},"label":"page"},{"id":1712,"uris":["http://zotero.org/users/5090392/items/RJ3M9YSM"],"itemData":{"id":1712,"type":"article-journal","abstract":"This paper presents an enhancement of the two-step floating catchment area (2SFCA) method for measuring spatial accessibility, addressing the problem of uniform access within the catchment by applying weights to different travel time zones to account for distance decay. The enhancement is proved to be another special case of the gravity model. When applying this enhanced 2SFCA (E2SFCA) to measure the spatial access to primary care physicians in a study area in northern Illinois, we find that it reveals spatial accessibility pattern that is more consistent with intuition and delineates more spatially explicit health professional shortage areas. It is easy to implement in GIS and straightforward to interpret.","container-title":"Health &amp; Place","DOI":"10.1016/j.healthplace.2009.06.002","ISSN":"1353-8292","issue":"4","journalAbbreviation":"Health &amp; Place","language":"en","page":"1100-1107","source":"ScienceDirect","title":"An enhanced two-step floating catchment area (E2SFCA) method for measuring spatial accessibility to primary care physicians","URL":"https://www.sciencedirect.com/science/article/pii/S1353829209000574","volume":"15","author":[{"family":"Luo","given":"Wei"},{"family":"Qi","given":"Yi"}],"accessed":{"date-parts":[["2022",4,26]]},"issued":{"date-parts":[["2009",12,1]]}}},{"id":619,"uris":["http://zotero.org/users/5090392/items/GMRM889I"],"itemData":{"id":619,"type":"article-journal","abstract":"This article synthesizes two GIS-based accessibility measures into one framework, and applies the methods to examining spatial accessibility to primary health care in the Chicago tencounty region. The floating catchment area (FCA) method defines the service area of physicians by a threshold travel time while accounting for the availability of physicians by their surrounded demands. The gravity-based method considers a nearby physician more accessible than a remote one and discounts a physician's availability by a gravity-based potential. The former is a special case of the latter. Based on the 2000 Census and primary care physician data, this research assesses the variation of spatial accessibility to primary care in the Chicago region, and analyzes the sensitivity of results by experimenting with ranges of threshold travel times in the FCA method and travel friction coefficients in the gravity model. The methods may be used to help the US Department of Health and Human Services and state health departments improve designation of Health Professional Shortage Areas.","container-title":"Environment and Planning B: Planning and Design","DOI":"10.1068/b29120","ISSN":"0265-8135, 1472-3417","issue":"6","language":"en","page":"865-884","source":"Crossref","title":"Measures of Spatial Accessibility to Health Care in a GIS Environment: Synthesis and a Case Study in the Chicago Region","title-short":"Measures of Spatial Accessibility to Health Care in a GIS Environment","URL":"http://journals.sagepub.com/doi/10.1068/b29120","volume":"30","author":[{"family":"Luo","given":"Wei"},{"family":"Wang","given":"Fahui"}],"accessed":{"date-parts":[["2020",9,1]]},"issued":{"date-parts":[["2003",12]]}}},{"id":1710,"uris":["http://zotero.org/users/5090392/items/F7AKVKC5"],"itemData":{"id":1710,"type":"article-journal","abstract":"Although social programs intend to provide equal access for all, in the final evaluation, fairness of the distribution of services is usually dictated by location. Measuring and predicting access to social services can help these programs adjust and better accommodate under-served regions. A method is proposed which delineates the service area of providers delivering social services and produces a probability metric that maps the equity of the program of services for each household. We begin with a computationally trivial method for delineating service areas, map the probability of households being served, and propose an adjustment process, an allocation, to level access to services. We argue such methods can serve to better locate service providers and insure equity when implementing social programs.","container-title":"Geographic Information Sciences","DOI":"10.1080/10824000009480538","ISSN":"1082-4006","issue":"2","note":"publisher: Taylor &amp; Francis\n_eprint: https://doi.org/10.1080/10824000009480538","page":"105-112","source":"Taylor and Francis+NEJM","title":"Spatial Decompositions, Modeling and Mapping Service Regions to Predict Access to Social Programs","URL":"https://doi.org/10.1080/10824000009480538","volume":"6","author":[{"family":"Radke","given":"John"},{"family":"Mu","given":"Lan"}],"accessed":{"date-parts":[["2022",4,26]]},"issued":{"date-parts":[["2000",12,1]]}}},{"id":1882,"uris":["http://zotero.org/users/5090392/items/2EU93LAZ"],"itemData":{"id":1882,"type":"article-journal","abstract":"Using the newly released Census for Transportation Planning Package (CTPP) 1990, this research utilizes GIS tools to explain intraurban variations of commuting in Chicago at the Traffic Analysis Zone (TAZ) level. While commute times are directly available from the CTPP, commute distances are derived from the shortest time distances through real-world road networks. GIS surface modeling is used to help identify the major employment center (CBD) and other subcenters. The explanations of commute times and distances are attempted by various measures of job accessibility: the jobs-housing balance ratio defined in a floating catchment area, distances from the CBD and subcenters, and a gravity-based index that takes the effects of all jobs into account. These measurements better explain how far people commute than how much time they spend on commuting. The best model explains over 50% of the variation of commuting among 7,835 TAZs. This is a significant improvement over existing literature, which at best explained less than 30 percent.","container-title":"The Professional Geographer","DOI":"10.1111/0033-0124.00210","ISSN":"0033-0124","issue":"1","note":"publisher: Routledge\n_eprint: https://doi.org/10.1111/0033-0124.00210","page":"120-133","source":"Taylor and Francis+NEJM","title":"Modeling Commuting Patterns in Chicago in a GIS Environment: A Job Accessibility Perspective","title-short":"Modeling Commuting Patterns in Chicago in a GIS Environment","URL":"https://doi.org/10.1111/0033-0124.00210","volume":"52","author":[{"family":"Wang","given":"Fahui"}],"accessed":{"date-parts":[["2022",8,9]]},"issued":{"date-parts":[["2000",2,1]]}}}],"schema":"https://github.com/citation-style-language/schema/raw/master/csl-citation.json"} </w:instrText>
            </w:r>
            <w:r>
              <w:rPr>
                <w:rFonts w:eastAsia="Times New Roman"/>
                <w:sz w:val="16"/>
                <w:szCs w:val="16"/>
              </w:rPr>
              <w:fldChar w:fldCharType="separate"/>
            </w:r>
            <w:r w:rsidR="00967900" w:rsidRPr="00967900">
              <w:rPr>
                <w:sz w:val="16"/>
              </w:rPr>
              <w:t>(Luo, 2004; Luo &amp; Qi, 2009; Luo &amp; Wang, 2003; Radke &amp; Mu, 2000; F. Wang, 2000)</w:t>
            </w:r>
            <w:r>
              <w:rPr>
                <w:rFonts w:eastAsia="Times New Roman"/>
                <w:sz w:val="16"/>
                <w:szCs w:val="16"/>
              </w:rPr>
              <w:fldChar w:fldCharType="end"/>
            </w:r>
          </w:p>
        </w:tc>
        <w:tc>
          <w:tcPr>
            <w:tcW w:w="1946" w:type="dxa"/>
            <w:shd w:val="clear" w:color="auto" w:fill="auto"/>
            <w:vAlign w:val="center"/>
            <w:hideMark/>
          </w:tcPr>
          <w:p w14:paraId="2ABBED95"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What is the ratio of opportunities reachable by people within an area and travel time threshold while considering competition from people in other areas and size of facilities of opportunities?</w:t>
            </w:r>
          </w:p>
        </w:tc>
      </w:tr>
      <w:tr w:rsidR="00025A13" w:rsidRPr="00025A13" w14:paraId="207B59B4" w14:textId="77777777" w:rsidTr="002A20AB">
        <w:trPr>
          <w:trHeight w:val="2070"/>
        </w:trPr>
        <w:tc>
          <w:tcPr>
            <w:tcW w:w="2790" w:type="dxa"/>
            <w:shd w:val="clear" w:color="auto" w:fill="auto"/>
            <w:vAlign w:val="center"/>
            <w:hideMark/>
          </w:tcPr>
          <w:p w14:paraId="495C413F"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Total travel flows between locations; total number of people traveling to an area to reach an opportunity determines that area's accessibility ranking (compared to other areas.) Inspired by Google's PageRank algorithm.</w:t>
            </w:r>
          </w:p>
        </w:tc>
        <w:tc>
          <w:tcPr>
            <w:tcW w:w="2790" w:type="dxa"/>
            <w:shd w:val="clear" w:color="auto" w:fill="auto"/>
            <w:vAlign w:val="center"/>
            <w:hideMark/>
          </w:tcPr>
          <w:p w14:paraId="733FEA7F"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Place rank measures. A destination area has a higher accessibility ranking with higher volumes of people visiting from other areas with high number of opportunities.</w:t>
            </w:r>
          </w:p>
        </w:tc>
        <w:tc>
          <w:tcPr>
            <w:tcW w:w="2610" w:type="dxa"/>
            <w:shd w:val="clear" w:color="auto" w:fill="auto"/>
            <w:vAlign w:val="center"/>
            <w:hideMark/>
          </w:tcPr>
          <w:p w14:paraId="7613F774"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Requires actual origin-destination flows. Doesn't take into explicit consideration other components. Considers not just total attractiveness of a place (i.e., total inflow) but also relations from that place to other places.</w:t>
            </w:r>
          </w:p>
        </w:tc>
        <w:tc>
          <w:tcPr>
            <w:tcW w:w="1890" w:type="dxa"/>
            <w:shd w:val="clear" w:color="auto" w:fill="auto"/>
            <w:vAlign w:val="center"/>
            <w:hideMark/>
          </w:tcPr>
          <w:p w14:paraId="77091DF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Retrospective insight into actual flows of people to destination areas with desired opportunities. Consider not just absolute attractiveness of a place (measured as the number of people visiting) but also the relations between a place to other places.</w:t>
            </w:r>
          </w:p>
        </w:tc>
        <w:tc>
          <w:tcPr>
            <w:tcW w:w="934" w:type="dxa"/>
            <w:shd w:val="clear" w:color="auto" w:fill="auto"/>
            <w:vAlign w:val="center"/>
            <w:hideMark/>
          </w:tcPr>
          <w:p w14:paraId="33CE89AF" w14:textId="0B18911C" w:rsidR="00025A13" w:rsidRPr="00025A13" w:rsidRDefault="00CB0A73"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{"citationID":"AS5peFXB","properties":{"formattedCitation":"(El-Geneidy &amp; Levinson, 2011)","plainCitation":"(El-Geneidy &amp; Levinson, 2011)","noteIndex":0},"citationItems":[{"id":1885,"uris":["http://zotero.org/users/5090392/items/N32PLMHN"],"itemData":{"id":1885,"type":"article-journal","abstract":"Accessibility measures the potential of opportunities for interaction. This paper proposes and explores a new flow-based measure, “place rank” using origin-destination information. Both impedance and value of opportunities are embedded in the dataset that includes the origin and destination of each person within the studied region. Individuals contribute to the place rank at their destination (work) zone with a power that depends on the attractiveness of the zone of origin. In this paper we demonstrate this place rank measure for three activities (Jobs, Resident Workers, and Health Services) in the Minneapolis-St. Paul metropolitan region and Jobs in Montréal, Canada. We compare place rank to traditional measures of accessibility. Since place rank is based on actual choices of origins and destinations it is a measure of realized rather than potential opportunities, and so unlike accessibility measures. Also it does not require the knowledge of travel time between all origins and destinations.","container-title":"Networks and Spatial Economics","DOI":"10.1007/s11067-011-9153-z","ISSN":"1572-9427","issue":"4","journalAbbreviation":"Netw Spat Econ","language":"en","page":"643-659","source":"Springer Link","title":"Place Rank: Valuing Spatial Interactions","title-short":"Place Rank","URL":"https://doi.org/10.1007/s11067-011-9153-z","volume":"11","author":[{"family":"El-Geneidy","given":"Ahmed"},{"family":"Levinson","given":"David"}],"accessed":{"date-parts":[["2022",8,9]]},"issued":{"date-parts":[["2011",12,1]]}}}],"schema":"https://github.com/citation-style-language/schema/raw/master/csl-citation.json"} </w:instrText>
            </w:r>
            <w:r>
              <w:rPr>
                <w:rFonts w:eastAsia="Times New Roman"/>
                <w:sz w:val="16"/>
                <w:szCs w:val="16"/>
              </w:rPr>
              <w:fldChar w:fldCharType="separate"/>
            </w:r>
            <w:r w:rsidR="00967900" w:rsidRPr="00967900">
              <w:rPr>
                <w:sz w:val="16"/>
              </w:rPr>
              <w:t>(El-Geneidy &amp; Levinson, 2011)</w:t>
            </w:r>
            <w:r>
              <w:rPr>
                <w:rFonts w:eastAsia="Times New Roman"/>
                <w:sz w:val="16"/>
                <w:szCs w:val="16"/>
              </w:rPr>
              <w:fldChar w:fldCharType="end"/>
            </w:r>
          </w:p>
        </w:tc>
        <w:tc>
          <w:tcPr>
            <w:tcW w:w="1946" w:type="dxa"/>
            <w:shd w:val="clear" w:color="auto" w:fill="auto"/>
            <w:vAlign w:val="center"/>
            <w:hideMark/>
          </w:tcPr>
          <w:p w14:paraId="1584BE0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Which areas have the greatest accessibility based on the total number of people visiting an area and while also considering the relations between that area to all other areas?</w:t>
            </w:r>
          </w:p>
        </w:tc>
      </w:tr>
      <w:tr w:rsidR="00025A13" w:rsidRPr="00025A13" w14:paraId="204E5641" w14:textId="77777777" w:rsidTr="002A20AB">
        <w:trPr>
          <w:trHeight w:val="2880"/>
        </w:trPr>
        <w:tc>
          <w:tcPr>
            <w:tcW w:w="2790" w:type="dxa"/>
            <w:shd w:val="clear" w:color="auto" w:fill="auto"/>
            <w:vAlign w:val="center"/>
            <w:hideMark/>
          </w:tcPr>
          <w:p w14:paraId="372D2096"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The probability of choosing a choice alternative is equal to the ratio of the utility of that choice alternative to the total utility of all choice alternatives in the choice set. Utility functions often take the form of a multinomial logit model and includes variables for the characteristics of alternatives in the choice set, the attractiveness of each alternative, the travel impedance, and socioeconomic characteristics of people. The </w:t>
            </w:r>
            <w:proofErr w:type="spellStart"/>
            <w:r w:rsidRPr="00025A13">
              <w:rPr>
                <w:rFonts w:eastAsia="Times New Roman"/>
                <w:sz w:val="16"/>
                <w:szCs w:val="16"/>
              </w:rPr>
              <w:t>logsum</w:t>
            </w:r>
            <w:proofErr w:type="spellEnd"/>
            <w:r w:rsidRPr="00025A13">
              <w:rPr>
                <w:rFonts w:eastAsia="Times New Roman"/>
                <w:sz w:val="16"/>
                <w:szCs w:val="16"/>
              </w:rPr>
              <w:t xml:space="preserve"> of the choices in the model is used to define an individual’s access, typically expressed in monetary terms.</w:t>
            </w:r>
          </w:p>
        </w:tc>
        <w:tc>
          <w:tcPr>
            <w:tcW w:w="2790" w:type="dxa"/>
            <w:shd w:val="clear" w:color="auto" w:fill="auto"/>
            <w:vAlign w:val="center"/>
            <w:hideMark/>
          </w:tcPr>
          <w:p w14:paraId="5947FE4C"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Utility-based measures estimate the economic benefits an individual would perceive from access to a set of spatially distributed activities.</w:t>
            </w:r>
          </w:p>
        </w:tc>
        <w:tc>
          <w:tcPr>
            <w:tcW w:w="2610" w:type="dxa"/>
            <w:shd w:val="clear" w:color="auto" w:fill="auto"/>
            <w:vAlign w:val="center"/>
            <w:hideMark/>
          </w:tcPr>
          <w:p w14:paraId="39F3815A"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Implementation is complex and </w:t>
            </w:r>
            <w:proofErr w:type="gramStart"/>
            <w:r w:rsidRPr="00025A13">
              <w:rPr>
                <w:rFonts w:eastAsia="Times New Roman"/>
                <w:sz w:val="16"/>
                <w:szCs w:val="16"/>
              </w:rPr>
              <w:t>data-intensive</w:t>
            </w:r>
            <w:proofErr w:type="gramEnd"/>
            <w:r w:rsidRPr="00025A13">
              <w:rPr>
                <w:rFonts w:eastAsia="Times New Roman"/>
                <w:sz w:val="16"/>
                <w:szCs w:val="16"/>
              </w:rPr>
              <w:t>. Based on travel behavior theories that assume people are rational and make choices maximizing net utility. Incorporates heterogeneity in preferences for people in the same area.</w:t>
            </w:r>
          </w:p>
        </w:tc>
        <w:tc>
          <w:tcPr>
            <w:tcW w:w="1890" w:type="dxa"/>
            <w:shd w:val="clear" w:color="auto" w:fill="auto"/>
            <w:vAlign w:val="center"/>
            <w:hideMark/>
          </w:tcPr>
          <w:p w14:paraId="4DB62812"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Estimate the economic benefits different groups of people would receive from a set of different </w:t>
            </w:r>
            <w:proofErr w:type="gramStart"/>
            <w:r w:rsidRPr="00025A13">
              <w:rPr>
                <w:rFonts w:eastAsia="Times New Roman"/>
                <w:sz w:val="16"/>
                <w:szCs w:val="16"/>
              </w:rPr>
              <w:t>opportunities, and</w:t>
            </w:r>
            <w:proofErr w:type="gramEnd"/>
            <w:r w:rsidRPr="00025A13">
              <w:rPr>
                <w:rFonts w:eastAsia="Times New Roman"/>
                <w:sz w:val="16"/>
                <w:szCs w:val="16"/>
              </w:rPr>
              <w:t xml:space="preserve"> identify the option providing the greatest monetary value.</w:t>
            </w:r>
          </w:p>
        </w:tc>
        <w:tc>
          <w:tcPr>
            <w:tcW w:w="934" w:type="dxa"/>
            <w:shd w:val="clear" w:color="auto" w:fill="auto"/>
            <w:vAlign w:val="center"/>
            <w:hideMark/>
          </w:tcPr>
          <w:p w14:paraId="602C143A" w14:textId="18641DC8" w:rsidR="00025A13" w:rsidRPr="00025A13" w:rsidRDefault="00CB0A73"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{"citationID":"m6bqvMwz","properties":{"formattedCitation":"(Ben-Akiva &amp; Lerman, 1985)","plainCitation":"(Ben-Akiva &amp; Lerman, 1985)","noteIndex":0},"citationItems":[{"id":916,"uris":["http://zotero.org/users/5090392/items/YN82FL6W"],"itemData":{"id":916,"type":"book","abstract":"Discrete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planning.The methods of discrete choice analysis and their applications in the modelling of transportation systems constitute a comparatively new field that has largely evolved over the past 15 years. Since its inception, however, the field has developed rapidly, and this is the first text and reference work to cover the material systematically, bringing together the scattered and often inaccessible results for graduate students and professionals. Discrete Choice Analysis presents these results in such a way that they are fully accessible to the range of students and professionals who are involved in modelling demand and consumer behavior in general or specifically in transportation - whether from the point of view of the design of transit systems, urban and transport economics, public policy, operations research, or systems management and planning. The introductory chapter presents the background of discrete choice analysis and context of transportation demand forecasting. Subsequent chapters cover, among other topics, the theories of individual choice behavior, binary and multinomial choice models, aggregate forecasting techniques, estimation methods, tests used in the process of model development, sampling theory, the nested-logit model, and systems of models. Discrete Choice Analysis is ninth in the MIT Press Series in Transportation Studies, edited by Marvin Manheim.","ISBN":"978-0-262-53640-0","language":"en","note":"Google-Books-ID: 7L34DwAAQBAJ","number-of-pages":"414","publisher":"MIT Press","source":"Google Books","title":"Discrete Choice Analysis: Theory and Application to Travel Demand","title-short":"Discrete Choice Analysis","author":[{"family":"Ben-Akiva","given":"Moshe"},{"family":"Lerman","given":"Steven R."}],"issued":{"date-parts":[["1985"]]}}}],"schema":"https://github.com/citation-style-language/schema/raw/master/csl-citation.json"} </w:instrText>
            </w:r>
            <w:r>
              <w:rPr>
                <w:rFonts w:eastAsia="Times New Roman"/>
                <w:sz w:val="16"/>
                <w:szCs w:val="16"/>
              </w:rPr>
              <w:fldChar w:fldCharType="separate"/>
            </w:r>
            <w:r w:rsidR="00967900" w:rsidRPr="00967900">
              <w:rPr>
                <w:sz w:val="16"/>
              </w:rPr>
              <w:t>(Ben-Akiva &amp; Lerman, 1985)</w:t>
            </w:r>
            <w:r>
              <w:rPr>
                <w:rFonts w:eastAsia="Times New Roman"/>
                <w:sz w:val="16"/>
                <w:szCs w:val="16"/>
              </w:rPr>
              <w:fldChar w:fldCharType="end"/>
            </w:r>
          </w:p>
        </w:tc>
        <w:tc>
          <w:tcPr>
            <w:tcW w:w="1946" w:type="dxa"/>
            <w:shd w:val="clear" w:color="auto" w:fill="auto"/>
            <w:vAlign w:val="center"/>
            <w:hideMark/>
          </w:tcPr>
          <w:p w14:paraId="1610DF2C"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Which opportunity provides the greatest economic benefit given a set of rational preferences?</w:t>
            </w:r>
          </w:p>
        </w:tc>
      </w:tr>
      <w:tr w:rsidR="00025A13" w:rsidRPr="00025A13" w14:paraId="50921E75" w14:textId="77777777" w:rsidTr="002A20AB">
        <w:trPr>
          <w:trHeight w:val="2520"/>
        </w:trPr>
        <w:tc>
          <w:tcPr>
            <w:tcW w:w="2790" w:type="dxa"/>
            <w:shd w:val="clear" w:color="auto" w:fill="auto"/>
            <w:vAlign w:val="center"/>
            <w:hideMark/>
          </w:tcPr>
          <w:p w14:paraId="784FC916" w14:textId="244BCFCD" w:rsidR="00025A13" w:rsidRPr="00025A13" w:rsidRDefault="00025A13" w:rsidP="00025A13">
            <w:pPr>
              <w:spacing w:after="0" w:line="240" w:lineRule="auto"/>
              <w:rPr>
                <w:rFonts w:eastAsia="Times New Roman"/>
                <w:sz w:val="16"/>
                <w:szCs w:val="16"/>
              </w:rPr>
            </w:pPr>
            <w:r w:rsidRPr="00025A13">
              <w:rPr>
                <w:rFonts w:eastAsia="Times New Roman"/>
                <w:sz w:val="16"/>
                <w:szCs w:val="16"/>
              </w:rPr>
              <w:t>Space-time prisms, which can be converted into projected path areas in 2D, delineate the areas people can feasibly reach given their various spatial and temporal constraints. Opportunities are reachable if they intersect the STP or PPA.</w:t>
            </w:r>
            <w:r w:rsidR="00B810FC">
              <w:rPr>
                <w:rFonts w:eastAsia="Times New Roman"/>
                <w:sz w:val="16"/>
                <w:szCs w:val="16"/>
              </w:rPr>
              <w:t xml:space="preserve"> Additional temporal information about facilities and individual time budget, trip-chaining behavior, and activity patterns are also used to delimit the opportunities accessible to people.</w:t>
            </w:r>
          </w:p>
        </w:tc>
        <w:tc>
          <w:tcPr>
            <w:tcW w:w="2790" w:type="dxa"/>
            <w:shd w:val="clear" w:color="auto" w:fill="auto"/>
            <w:vAlign w:val="center"/>
            <w:hideMark/>
          </w:tcPr>
          <w:p w14:paraId="27E24A27"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Space-time measures based on </w:t>
            </w:r>
            <w:proofErr w:type="spellStart"/>
            <w:r w:rsidRPr="00025A13">
              <w:rPr>
                <w:rFonts w:eastAsia="Times New Roman"/>
                <w:sz w:val="16"/>
                <w:szCs w:val="16"/>
              </w:rPr>
              <w:t>Hägerstrand</w:t>
            </w:r>
            <w:proofErr w:type="spellEnd"/>
            <w:r w:rsidRPr="00025A13">
              <w:rPr>
                <w:rFonts w:eastAsia="Times New Roman"/>
                <w:sz w:val="16"/>
                <w:szCs w:val="16"/>
              </w:rPr>
              <w:t xml:space="preserve"> (1970)’s time-geography framework that consider the possible areas (activity spaces) one can reach over time given a set of constraints.</w:t>
            </w:r>
          </w:p>
        </w:tc>
        <w:tc>
          <w:tcPr>
            <w:tcW w:w="2610" w:type="dxa"/>
            <w:shd w:val="clear" w:color="auto" w:fill="auto"/>
            <w:vAlign w:val="center"/>
            <w:hideMark/>
          </w:tcPr>
          <w:p w14:paraId="2F438912" w14:textId="77777777" w:rsidR="00025A13" w:rsidRPr="00025A13" w:rsidRDefault="00025A13" w:rsidP="00171A0C">
            <w:pPr>
              <w:spacing w:after="0" w:line="240" w:lineRule="auto"/>
              <w:rPr>
                <w:rFonts w:eastAsia="Times New Roman"/>
                <w:sz w:val="16"/>
                <w:szCs w:val="16"/>
              </w:rPr>
            </w:pPr>
            <w:r w:rsidRPr="00025A13">
              <w:rPr>
                <w:rFonts w:eastAsia="Times New Roman"/>
                <w:sz w:val="16"/>
                <w:szCs w:val="16"/>
              </w:rPr>
              <w:t xml:space="preserve">Implementation is complex and </w:t>
            </w:r>
            <w:proofErr w:type="gramStart"/>
            <w:r w:rsidRPr="00025A13">
              <w:rPr>
                <w:rFonts w:eastAsia="Times New Roman"/>
                <w:sz w:val="16"/>
                <w:szCs w:val="16"/>
              </w:rPr>
              <w:t>data-intensive</w:t>
            </w:r>
            <w:proofErr w:type="gramEnd"/>
            <w:r w:rsidRPr="00025A13">
              <w:rPr>
                <w:rFonts w:eastAsia="Times New Roman"/>
                <w:sz w:val="16"/>
                <w:szCs w:val="16"/>
              </w:rPr>
              <w:t>. More apt at accurately modeling people's mobility and capturing fine-grained time-aware situations.</w:t>
            </w:r>
          </w:p>
        </w:tc>
        <w:tc>
          <w:tcPr>
            <w:tcW w:w="1890" w:type="dxa"/>
            <w:shd w:val="clear" w:color="auto" w:fill="auto"/>
            <w:vAlign w:val="center"/>
            <w:hideMark/>
          </w:tcPr>
          <w:p w14:paraId="4CEE3548" w14:textId="77777777" w:rsidR="00025A13" w:rsidRPr="00025A13" w:rsidRDefault="00025A13" w:rsidP="00171A0C">
            <w:pPr>
              <w:spacing w:after="0" w:line="240" w:lineRule="auto"/>
              <w:rPr>
                <w:rFonts w:eastAsia="Times New Roman"/>
                <w:sz w:val="16"/>
                <w:szCs w:val="16"/>
              </w:rPr>
            </w:pPr>
            <w:r w:rsidRPr="00025A13">
              <w:rPr>
                <w:rFonts w:eastAsia="Times New Roman"/>
                <w:sz w:val="16"/>
                <w:szCs w:val="16"/>
              </w:rPr>
              <w:t xml:space="preserve">Consider people's mobility and fixed/non-fixed activity patterns over time as well as the restrictions on their ability to travel to and participate in </w:t>
            </w:r>
            <w:proofErr w:type="spellStart"/>
            <w:r w:rsidRPr="00025A13">
              <w:rPr>
                <w:rFonts w:eastAsia="Times New Roman"/>
                <w:sz w:val="16"/>
                <w:szCs w:val="16"/>
              </w:rPr>
              <w:t>activties</w:t>
            </w:r>
            <w:proofErr w:type="spellEnd"/>
            <w:r w:rsidRPr="00025A13">
              <w:rPr>
                <w:rFonts w:eastAsia="Times New Roman"/>
                <w:sz w:val="16"/>
                <w:szCs w:val="16"/>
              </w:rPr>
              <w:t>.</w:t>
            </w:r>
          </w:p>
        </w:tc>
        <w:tc>
          <w:tcPr>
            <w:tcW w:w="934" w:type="dxa"/>
            <w:shd w:val="clear" w:color="auto" w:fill="auto"/>
            <w:vAlign w:val="center"/>
            <w:hideMark/>
          </w:tcPr>
          <w:p w14:paraId="697ED868" w14:textId="3568E54E" w:rsidR="00025A13" w:rsidRPr="00025A13" w:rsidRDefault="00CB0A73"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{"citationID":"gLqHzSqQ","properties":{"formattedCitation":"(H.-M. Kim &amp; Kwan, 2003; Kwan, 1998, p. 199; H. J. Miller, 1991)","plainCitation":"(H.-M. Kim &amp; Kwan, 2003; Kwan, 1998, p. 199; H. J. Miller, 1991)","noteIndex":0},"citationItems":[{"id":820,"uris":["http://zotero.org/users/5090392/items/QD4SKWPE"],"itemData":{"id":820,"type":"article-journal","abstract":"Space-time accessibility measures have received much attention in recent years due to their sensitivity to differences in individual ability to participate in activities in space and time. Despite the conceptual attractiveness and robustness of space-time measures, only few attempts have been made to operationalize them to date. Research that seeks to improve space-time accessibility measures is still sorely needed. This study seeks to enhance space-time accessibility measures through developing a new operational method and GIS-based algorithm that better represents the space-time characteristics of urban opportunities (e.g. their geographical distribution and opening hours) and human activity-travel behavior (e.g. delay times, minimum activity participation time, and maximum travel time threshold). The proposed method not only takes into account the number and size of opportunities, but also the possible activity duration at each activity location given its opening hours and the effect of transport network topology (e.g. one-way streets, turn restrictions and over-pass). Incorporating these elements into space-time measures helps overcome several shortcomings of previous approaches to evaluating space-time accessibility.","container-title":"Journal of Geographical Systems","DOI":"10.1007/s101090300104","ISSN":"1435-5930","issue":"1","journalAbbreviation":"J Geograph Syst","language":"en","page":"71-91","source":"Springer Link","title":"Space-time accessibility measures: A geocomputational algorithm with a focus on the feasible opportunity set and possible activity duration","title-short":"Space-time accessibility measures","URL":"https://doi.org/10.1007/s101090300104","volume":"5","author":[{"family":"Kim","given":"Hyun-Mi"},{"family":"Kwan","given":"Mei-Po"}],"accessed":{"date-parts":[["2021",2,4]]},"issued":{"date-parts":[["2003",5,1]]}}},{"id":744,"uris":["http://zotero.org/users/5090392/items/9P9XWARX"],"itemData":{"id":744,"type":"article-journal","abstract":"Conventional integral measures of accessibility, although valuable as indicators of place accessibility, have several limitations when used to evaluate individual accessibility. Two alternatives for overcoming some of the difficulties involved are explored in this study. One is to adapt these measures for evaluating individual accessibility using a disaggregate, nonzonal approach. The other is to develop different types of measures based on an alternative conceptual framework. To pursue the former alternative, this study specifies and examines eighteen gravity-type and cumulative-opportunity accessibility measures using a point-based spatial framework. For the latter option, twelve space-time accessibility measures are developed based on the construct of a prism-constrained feasible opportunity set. This paper compares the relationships and spatial patterns of these thirty measures using network-based GIS procedures. Travel diary data collected in Columbus, Ohio, and a digital data set of 10,727 selected land parcels are used for all computation. Results of this study indicate that space-time and integral indices are distinctive types of accessibility measures which reflect different dimensions of the accessibility experience of individuals. Since space-time measures are more capable of capturing interpersonal differences, especially the effect of space-time constraints, they are more “gender sensitive” and helpful for unraveling gender/ethnic differences in accessibility. An important methodological implication is that whether accessibility is observed to be important or different between individuals depends heavily on whether the measure used is capable of revealing the kind of differences the analyst intends to observe.","container-title":"Geographical Analysis","DOI":"https://doi.org/10.1111/j.1538-4632.1998.tb00396.x","ISSN":"1538-4632","issue":"3","language":"en","note":"_eprint: https://onlinelibrary.wiley.com/doi/pdf/10.1111/j.1538-4632.1998.tb00396.x","page":"191-216","source":"Wiley Online Library","title":"Space-Time and Integral Measures of Individual Accessibility: A Comparative Analysis Using a Point-based Framework","title-short":"Space-Time and Integral Measures of Individual Accessibility","URL":"https://onlinelibrary.wiley.com/doi/abs/10.1111/j.1538-4632.1998.tb00396.x","volume":"30","author":[{"family":"Kwan","given":"Mei-Po"}],"accessed":{"date-parts":[["2021",1,11]]},"issued":{"date-parts":[["1998"]]}},"locator":"199"},{"id":834,"uris":["http://zotero.org/users/5090392/items/NUPEY98B"],"itemData":{"id":834,"type":"article-journal","abstract":"The space-time 0 .. time geographical framework is a powerful perspective from which to analyse human behaviour. One of the central concepts in this framework is the space-time prism, which models individual accessibility to an environment. In this paper, the derivation and manipulation of space-time prism concepts within a geographical information system (GIS) are discussed. The required system inputs and desired outputs are identified and a generic GIS based procedure is presented. Given these basic requirements, issues are discussed which can determine the feasibility of current GIS technology to handle the derivation of space-time prism concepts.","container-title":"International journal of geographical information systems","DOI":"10.1080/02693799108927856","ISSN":"0269-3798","issue":"3","journalAbbreviation":"International journal of geographical information systems","language":"en","page":"287-301","source":"DOI.org (Crossref)","title":"Modelling accessibility using space-time prism concepts within geographical information systems","URL":"http://www.tandfonline.com/doi/abs/10.1080/02693799108927856","volume":"5","author":[{"family":"Miller","given":"Harvey J."}],"accessed":{"date-parts":[["2021",2,7]]},"issued":{"date-parts":[["1991",1]]}}}],"schema":"https://github.com/citation-style-language/schema/raw/master/csl-citation.json"} </w:instrText>
            </w:r>
            <w:r>
              <w:rPr>
                <w:rFonts w:eastAsia="Times New Roman"/>
                <w:sz w:val="16"/>
                <w:szCs w:val="16"/>
              </w:rPr>
              <w:fldChar w:fldCharType="separate"/>
            </w:r>
            <w:r w:rsidR="00967900" w:rsidRPr="00967900">
              <w:rPr>
                <w:sz w:val="16"/>
              </w:rPr>
              <w:t>(H.-M. Kim &amp; Kwan, 2003; Kwan, 1998, p. 199; H. J. Miller, 1991)</w:t>
            </w:r>
            <w:r>
              <w:rPr>
                <w:rFonts w:eastAsia="Times New Roman"/>
                <w:sz w:val="16"/>
                <w:szCs w:val="16"/>
              </w:rPr>
              <w:fldChar w:fldCharType="end"/>
            </w:r>
          </w:p>
        </w:tc>
        <w:tc>
          <w:tcPr>
            <w:tcW w:w="1946" w:type="dxa"/>
            <w:shd w:val="clear" w:color="auto" w:fill="auto"/>
            <w:vAlign w:val="center"/>
            <w:hideMark/>
          </w:tcPr>
          <w:p w14:paraId="4240F209"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What areas are reachable given an individual's set of spatiotemporal constraints? Which opportunities can people both travel to and participate in given </w:t>
            </w:r>
            <w:proofErr w:type="spellStart"/>
            <w:r w:rsidRPr="00025A13">
              <w:rPr>
                <w:rFonts w:eastAsia="Times New Roman"/>
                <w:sz w:val="16"/>
                <w:szCs w:val="16"/>
              </w:rPr>
              <w:t>theese</w:t>
            </w:r>
            <w:proofErr w:type="spellEnd"/>
            <w:r w:rsidRPr="00025A13">
              <w:rPr>
                <w:rFonts w:eastAsia="Times New Roman"/>
                <w:sz w:val="16"/>
                <w:szCs w:val="16"/>
              </w:rPr>
              <w:t xml:space="preserve"> constraints?</w:t>
            </w:r>
          </w:p>
        </w:tc>
      </w:tr>
      <w:tr w:rsidR="00025A13" w:rsidRPr="00025A13" w14:paraId="64A0BD77" w14:textId="77777777" w:rsidTr="002A20AB">
        <w:trPr>
          <w:trHeight w:val="1800"/>
        </w:trPr>
        <w:tc>
          <w:tcPr>
            <w:tcW w:w="2790" w:type="dxa"/>
            <w:shd w:val="clear" w:color="auto" w:fill="auto"/>
            <w:vAlign w:val="center"/>
            <w:hideMark/>
          </w:tcPr>
          <w:p w14:paraId="10A74A85"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lastRenderedPageBreak/>
              <w:t xml:space="preserve">Triangulate summary statistics of realized accessibility patterns in individuals' daily travels with coding of major themes discussed in semi-structured interviews to understand their motivations and experiences in reaching and participating in different </w:t>
            </w:r>
            <w:proofErr w:type="spellStart"/>
            <w:r w:rsidRPr="00025A13">
              <w:rPr>
                <w:rFonts w:eastAsia="Times New Roman"/>
                <w:sz w:val="16"/>
                <w:szCs w:val="16"/>
              </w:rPr>
              <w:t>oppportunities</w:t>
            </w:r>
            <w:proofErr w:type="spellEnd"/>
            <w:r w:rsidRPr="00025A13">
              <w:rPr>
                <w:rFonts w:eastAsia="Times New Roman"/>
                <w:sz w:val="16"/>
                <w:szCs w:val="16"/>
              </w:rPr>
              <w:t>.</w:t>
            </w:r>
          </w:p>
        </w:tc>
        <w:tc>
          <w:tcPr>
            <w:tcW w:w="2790" w:type="dxa"/>
            <w:shd w:val="clear" w:color="auto" w:fill="auto"/>
            <w:vAlign w:val="center"/>
            <w:hideMark/>
          </w:tcPr>
          <w:p w14:paraId="7CE285E3"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Relational accessibility that focuses on the circumstances and situations of people to contextualize the opportunities they visit and their accessibility to different places.</w:t>
            </w:r>
          </w:p>
        </w:tc>
        <w:tc>
          <w:tcPr>
            <w:tcW w:w="2610" w:type="dxa"/>
            <w:shd w:val="clear" w:color="auto" w:fill="auto"/>
            <w:vAlign w:val="center"/>
            <w:hideMark/>
          </w:tcPr>
          <w:p w14:paraId="193750CD"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Difficult to scale. Coding highly contingent upon researcher; interpretation of interviews may be very different between person to person.</w:t>
            </w:r>
          </w:p>
        </w:tc>
        <w:tc>
          <w:tcPr>
            <w:tcW w:w="1890" w:type="dxa"/>
            <w:shd w:val="clear" w:color="auto" w:fill="auto"/>
            <w:vAlign w:val="center"/>
            <w:hideMark/>
          </w:tcPr>
          <w:p w14:paraId="7A237B59"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Consider the social relations that shape an individual's realized access and their travel behaviors.</w:t>
            </w:r>
          </w:p>
        </w:tc>
        <w:tc>
          <w:tcPr>
            <w:tcW w:w="934" w:type="dxa"/>
            <w:shd w:val="clear" w:color="auto" w:fill="auto"/>
            <w:vAlign w:val="center"/>
            <w:hideMark/>
          </w:tcPr>
          <w:p w14:paraId="3E3FEBFC" w14:textId="2A64A409" w:rsidR="00025A13" w:rsidRPr="00025A13" w:rsidRDefault="00B810FC" w:rsidP="00025A13">
            <w:pPr>
              <w:spacing w:after="0" w:line="240" w:lineRule="auto"/>
              <w:rPr>
                <w:rFonts w:eastAsia="Times New Roman"/>
                <w:sz w:val="16"/>
                <w:szCs w:val="16"/>
              </w:rPr>
            </w:pPr>
            <w:r>
              <w:rPr>
                <w:rFonts w:eastAsia="Times New Roman"/>
                <w:sz w:val="16"/>
                <w:szCs w:val="16"/>
              </w:rPr>
              <w:fldChar w:fldCharType="begin"/>
            </w:r>
            <w:r w:rsidR="00A2482B">
              <w:rPr>
                <w:rFonts w:eastAsia="Times New Roman"/>
                <w:sz w:val="16"/>
                <w:szCs w:val="16"/>
              </w:rPr>
              <w:instrText xml:space="preserve"> ADDIN ZOTERO_ITEM CSL_CITATION {"citationID":"OHcKrW5U","properties":{"formattedCitation":"(Carolan, 2021; Shannon &amp; Christian, 2017)","plainCitation":"(Carolan, 2021; Shannon &amp; Christian, 2017)","noteIndex":0},"citationItems":[{"id":1625,"uris":["http://zotero.org/users/5090392/items/GIHUSPZH"],"itemData":{"id":1625,"type":"article-journal","abstract":"This paper adopts a relational, also known as a topological, approach to food accessibility—the idea that food spaces are best understood as relational becomings rather than as voids filled exclusively with mass (immutable materiality) and address (geospatial coordinates). It is animated by an experimental spirit, in terms of the methods employed, the data collected, and by how those data are brought together, which together better enriches inductive theorizing. The project looks at the daily macro-mobilities—trips from one GPS coordinate to another—of 70 Coloradoans, triangulated with qualitative semi-structured interview data. Data collection occurred over three phases: baseline interviews, which lasted approximately 45 min; 30-day study period, which involved using a GPS tracking app. on their mobile phones; and follow-up interviews that lasted roughly two hours. The paper, through inductive theorizing and methodological experimentation, contributes to the critical food mapping scholarship in three ways: first, by looking at rural and urban food environments and livelihoods (as opposed to focusing exclusively on the latter); second, by focusing on mobilities as opposed to fixities (an example of the former: mapping projects that reduce food access to Euclidean coordinates); and, lastly, by its conceptual innovations attributed to phenomena such as life course and geographies of care.","container-title":"Agriculture and Human Values","DOI":"10.1007/s10460-020-10149-y","ISSN":"0889-048X, 1572-8366","issue":"1","journalAbbreviation":"Agric Hum Values","language":"en","page":"243-256","source":"DOI.org (Crossref)","title":"Putting food access in its topological place: thinking in terms of relational becomings when mapping space","title-short":"Putting food access in its topological place","URL":"https://link.springer.com/10.1007/s10460-020-10149-y","volume":"38","author":[{"family":"Carolan","given":"Michael"}],"accessed":{"date-parts":[["2022",4,13]]},"issued":{"date-parts":[["2021",2]]}}},{"id":1845,"uris":["http://zotero.org/users/5090392/items/AG2J3DKV"],"itemData":{"id":1845,"type":"article-journal","abstract":"Recent research on food access has increasingly focused on how individuals’ daily mobility, much of it based on activity spaces created from GPS data. In this paper, we expand this research through an analysis of a large transit survey (n = 21,298 households) from Minneapolis/St. Paul, Minnesota. We do this using relational approach focused on the topological connections found in household travel patterns rather than measures of exposure based on geographic distance. Our exploratory data analysis analyzes both grocery shopping and eating out across the metropolitan area, focusing on the position of utilized food sources relative to home and work locations, utilized modes of transit, and other daily activities often combined with food shopping. Households often used food sources located outside their residential neighborhoods, usually moving toward the central city to do so. Eating out occurred farther from home than grocery shopping, though in many cases close to work. Automobile use was most common for grocery shopping trips, but less so in the lowest income households and in the central city. Our findings show that a relational approach can identify distinctive patterns in everyday food provisioning by emphasizing the connections between food shopping and other everyday household activities.","container-title":"GeoJournal","DOI":"10.1007/s10708-016-9716-0","ISSN":"1572-9893","issue":"4","journalAbbreviation":"GeoJournal","language":"en","page":"769-785","source":"Springer Link","title":"What is the relationship between food shopping and daily mobility? A relational approach to analysis of food access","title-short":"What is the relationship between food shopping and daily mobility?","URL":"https://doi.org/10.1007/s10708-016-9716-0","volume":"82","author":[{"family":"Shannon","given":"Jerry"},{"family":"Christian","given":"W. Jay"}],"accessed":{"date-parts":[["2022",7,21]]},"issued":{"date-parts":[["2017",8,1]]}}}],"schema":"https://github.com/citation-style-language/schema/raw/master/csl-citation.json"} </w:instrText>
            </w:r>
            <w:r>
              <w:rPr>
                <w:rFonts w:eastAsia="Times New Roman"/>
                <w:sz w:val="16"/>
                <w:szCs w:val="16"/>
              </w:rPr>
              <w:fldChar w:fldCharType="separate"/>
            </w:r>
            <w:r w:rsidR="00967900" w:rsidRPr="00967900">
              <w:rPr>
                <w:sz w:val="16"/>
              </w:rPr>
              <w:t>(Carolan, 2021; Shannon &amp; Christian, 2017)</w:t>
            </w:r>
            <w:r>
              <w:rPr>
                <w:rFonts w:eastAsia="Times New Roman"/>
                <w:sz w:val="16"/>
                <w:szCs w:val="16"/>
              </w:rPr>
              <w:fldChar w:fldCharType="end"/>
            </w:r>
          </w:p>
        </w:tc>
        <w:tc>
          <w:tcPr>
            <w:tcW w:w="1946" w:type="dxa"/>
            <w:shd w:val="clear" w:color="auto" w:fill="auto"/>
            <w:vAlign w:val="center"/>
            <w:hideMark/>
          </w:tcPr>
          <w:p w14:paraId="354CF6B1"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Beyond conventional measurements of accessibility rooted in Euclidean space logic, how can accessibility studied relationally improve understanding of the different processes and actors also in play?</w:t>
            </w:r>
          </w:p>
        </w:tc>
      </w:tr>
      <w:tr w:rsidR="00025A13" w:rsidRPr="00025A13" w14:paraId="6842ADEB" w14:textId="77777777" w:rsidTr="002A20AB">
        <w:trPr>
          <w:trHeight w:val="1800"/>
        </w:trPr>
        <w:tc>
          <w:tcPr>
            <w:tcW w:w="2790" w:type="dxa"/>
            <w:shd w:val="clear" w:color="auto" w:fill="auto"/>
            <w:vAlign w:val="center"/>
            <w:hideMark/>
          </w:tcPr>
          <w:p w14:paraId="05915DE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Surveys inquiring into different components (comfort, safety, functionality, etc.) of the transport system and people's travel experiences with items evaluated on a scale between 1 to n. Structural equation modeling is used to analyze the validity of different constructs.</w:t>
            </w:r>
          </w:p>
        </w:tc>
        <w:tc>
          <w:tcPr>
            <w:tcW w:w="2790" w:type="dxa"/>
            <w:shd w:val="clear" w:color="auto" w:fill="auto"/>
            <w:vAlign w:val="center"/>
            <w:hideMark/>
          </w:tcPr>
          <w:p w14:paraId="34CCB220"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Perceived accessibility captures the subjective experiences and attitudes of people to reach desired opportunities and participate in desired activities; "how easy it is to live a satisfactory life using the transport system" (</w:t>
            </w:r>
            <w:proofErr w:type="spellStart"/>
            <w:r w:rsidRPr="00025A13">
              <w:rPr>
                <w:rFonts w:eastAsia="Times New Roman"/>
                <w:sz w:val="16"/>
                <w:szCs w:val="16"/>
              </w:rPr>
              <w:t>Lättman</w:t>
            </w:r>
            <w:proofErr w:type="spellEnd"/>
            <w:r w:rsidRPr="00025A13">
              <w:rPr>
                <w:rFonts w:eastAsia="Times New Roman"/>
                <w:sz w:val="16"/>
                <w:szCs w:val="16"/>
              </w:rPr>
              <w:t xml:space="preserve"> et al., 2016)</w:t>
            </w:r>
          </w:p>
        </w:tc>
        <w:tc>
          <w:tcPr>
            <w:tcW w:w="2610" w:type="dxa"/>
            <w:shd w:val="clear" w:color="auto" w:fill="auto"/>
            <w:vAlign w:val="center"/>
            <w:hideMark/>
          </w:tcPr>
          <w:p w14:paraId="2BDA407B"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Difficult to retrieve people's </w:t>
            </w:r>
            <w:proofErr w:type="spellStart"/>
            <w:r w:rsidRPr="00025A13">
              <w:rPr>
                <w:rFonts w:eastAsia="Times New Roman"/>
                <w:sz w:val="16"/>
                <w:szCs w:val="16"/>
              </w:rPr>
              <w:t>perpceptions</w:t>
            </w:r>
            <w:proofErr w:type="spellEnd"/>
            <w:r w:rsidRPr="00025A13">
              <w:rPr>
                <w:rFonts w:eastAsia="Times New Roman"/>
                <w:sz w:val="16"/>
                <w:szCs w:val="16"/>
              </w:rPr>
              <w:t>. Focus is on perceived aspects of the transport system with little reference to perceptions about other aspects including opportunities.</w:t>
            </w:r>
          </w:p>
        </w:tc>
        <w:tc>
          <w:tcPr>
            <w:tcW w:w="1890" w:type="dxa"/>
            <w:shd w:val="clear" w:color="auto" w:fill="auto"/>
            <w:vAlign w:val="center"/>
            <w:hideMark/>
          </w:tcPr>
          <w:p w14:paraId="6EE873C4"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Consider the different perceived experiences and elements affecting one's accessibility.</w:t>
            </w:r>
          </w:p>
        </w:tc>
        <w:tc>
          <w:tcPr>
            <w:tcW w:w="934" w:type="dxa"/>
            <w:shd w:val="clear" w:color="auto" w:fill="auto"/>
            <w:vAlign w:val="center"/>
            <w:hideMark/>
          </w:tcPr>
          <w:p w14:paraId="66AE122C" w14:textId="0751BC6E" w:rsidR="00025A13" w:rsidRPr="00025A13" w:rsidRDefault="000D64F7" w:rsidP="00025A13">
            <w:pPr>
              <w:spacing w:after="0" w:line="240" w:lineRule="auto"/>
              <w:rPr>
                <w:rFonts w:eastAsia="Times New Roman"/>
                <w:sz w:val="16"/>
                <w:szCs w:val="16"/>
              </w:rPr>
            </w:pPr>
            <w:r>
              <w:rPr>
                <w:rFonts w:eastAsia="Times New Roman"/>
                <w:sz w:val="16"/>
                <w:szCs w:val="16"/>
              </w:rPr>
              <w:fldChar w:fldCharType="begin"/>
            </w:r>
            <w:r>
              <w:rPr>
                <w:rFonts w:eastAsia="Times New Roman"/>
                <w:sz w:val="16"/>
                <w:szCs w:val="16"/>
              </w:rPr>
              <w:instrText xml:space="preserve"> ADDIN ZOTERO_ITEM CSL_CITATION {"citationID":"Bh6xnMGa","properties":{"formattedCitation":"(Friman et al., 2020; L\\uc0\\u228{}ttman et al., 2016; Pot et al., 2021; van der Vlugt et al., 2022)","plainCitation":"(Friman et al., 2020; Lättman et al., 2016; Pot et al., 2021; van der Vlugt et al., 2022)","noteIndex":0},"citationItems":[{"id":1720,"uris":["http://zotero.org/users/5090392/items/T6FZEF9A"],"itemData":{"id":1720,"type":"article-journal","abstract":"Service quality in public transport is proposed as a key determinant of perceived accessibility, the ease to live the life one wants with the help of the transport system, as low service quality may be a barrier for use, decreasing the ease to participate in daily activities. The first aim was to validate the direct relationship between public transport quality and perceived accessibility. Secondly, we analyzed the mediating role of safety perceptions to better explain the link between service quality and perceived accessibility. Public transport travelers (n = 4944) from five northern European cities were surveyed. Results from PLS-SEM modeling show that service quality has a significant and direct relationship with perceived accessibility, especially regarding functionality. An indirect relationship through travel safety perceptions was also observed, highlighting information and comfort as main drivers. High car use, low public transport use, increasing age, and being a woman were also associated with greater perceived accessibility. City comparisons yielded a number of significant differences. Our results contribute to the research literature by highlighting the importance of service quality in public transport for perceptions of accessibility in daily travel. In particular, we argue that functionality is the core attribute to focus on, and that attributes related to travel safety perceptions should be carefully considered when planning for sustainable transport.","container-title":"Sustainability","DOI":"10.3390/su12093563","ISSN":"2071-1050","issue":"9","language":"en","license":"http://creativecommons.org/licenses/by/3.0/","note":"number: 9\npublisher: Multidisciplinary Digital Publishing Institute","page":"3563","source":"www.mdpi.com","title":"Public Transport Quality, Safety, and Perceived Accessibility","URL":"https://www.mdpi.com/2071-1050/12/9/3563","volume":"12","author":[{"family":"Friman","given":"Margareta"},{"family":"Lättman","given":"Katrin"},{"family":"Olsson","given":"Lars E."}],"accessed":{"date-parts":[["2022",4,26]]},"issued":{"date-parts":[["2020",1]]}}},{"id":960,"uris":["http://zotero.org/users/5090392/items/VY9GEEN2"],"itemData":{"id":960,"type":"article-journal","abstract":"Perceived accessibility, defined as “how easy it is to live a satisfactory life using the transport system”, is proposed to be a complementary measure to conventional, objective measures of accessibility. Aiming at capturing the subjective element of accessibility, as opposed to conventional accessibility that is based on the same objective attributes for large areas or groups of people, the authors developed and tested a measure of perceived accessibility; the four items self-reported Perceived Accessibility Scale (PAC). In study 1, 237 users of public transport rated PAC. The results showed that PAC is a reliable measure. The PAC was further validated and proved reliable in two waves (study 2) in altered conditions (Wave 1, N=246, Wave 2, N=259). Based on this, an overall PAC index was constructed. PAC can be used to determine the traveler's (or possible travelers) opinion of accessibility in transport planning or accessibility-mapping, or for directing interventions aimed at improving accessibility to where they are best needed according to the individuals. Further development of the PAC and its potential within transport research and planning, and its future validation is discussed.","container-title":"Journal of Transport Geography","DOI":"10.1016/j.jtrangeo.2016.06.015","ISSN":"0966-6923","journalAbbreviation":"Journal of Transport Geography","language":"en","page":"257-263","source":"ScienceDirect","title":"Development and test of the Perceived Accessibility Scale (PAC) in public transport","URL":"https://www.sciencedirect.com/science/article/pii/S0966692316303295","volume":"54","author":[{"family":"Lättman","given":"Katrin"},{"family":"Olsson","given":"Lars E."},{"family":"Friman","given":"Margareta"}],"accessed":{"date-parts":[["2021",3,2]]},"issued":{"date-parts":[["2016",6,1]]}}},{"id":1195,"uris":["http://zotero.org/users/5090392/items/WEWGP49U"],"itemData":{"id":1195,"type":"article-journal","abstract":"Accessibility is usually evaluated using indicators calculated from spatial data. However, perceived accessibility, defined as the perceived potential to participate in spatially dispersed opportunities, is often poorly reflected by these calculated measures. This paper sets out to explain the mechanisms that lead to these mismatches. A conceptual model is constructed to establish what factors shape perceived accessibility. A schematic framework shows that mismatches between a calculated indicator and perceptions can stem from inaccuracies in awareness as well as from inaccuracies in the measure if the measure fails to take account of the subjective evaluations of accessibility components. When evaluating the performance of land-use and transport system configurations, calculated measures based on spatial and transport data only serve as proxies for how accessibility is actually experienced. This paper argues that bringing perceived accessibility to the fore of accessibility-based planning, by acknowledging and evaluating potential mismatches with calculated accessibility indicators, will advance the evolution from mobility-based to accessibility-based planning.","container-title":"Journal of Transport Geography","DOI":"10.1016/j.jtrangeo.2021.103090","ISSN":"0966-6923","journalAbbreviation":"Journal of Transport Geography","language":"en","page":"103090","source":"ScienceDirect","title":"Perceived accessibility: What it is and why it differs from calculated accessibility measures based on spatial data","title-short":"Perceived accessibility","URL":"https://www.sciencedirect.com/science/article/pii/S0966692321001435","volume":"94","author":[{"family":"Pot","given":"Felix Johan"},{"family":"Wee","given":"Bert","non-dropping-particle":"van"},{"family":"Tillema","given":"Taede"}],"accessed":{"date-parts":[["2021",10,11]]},"issued":{"date-parts":[["2021",6,1]]}}},{"id":1723,"uris":["http://zotero.org/users/5090392/items/LSVY34PV"],"itemData":{"id":1723,"type":"article-journal","abstract":"People are driven by their perceptions. Perceptions of the environment shape mobility decisions and represent the “lived reality” of accessibility but are mostly disregarded in common accessibility analysis. This paper explores the role of perceived accessibility. By using a structural equation modelling (SEM) approach, we investigate multiple relations between travel attitudes, socio-demographic factors, objective walking accessibility, perceived walking accessibility and realised walking behaviour in three steps. Firstly, we analyse the influence of objective walking accessibility and travel attitudes on perceived walking accessibility. Secondly, we look at perceived walking accessibility as a mediator variable and, finally, we investigate the association between perceived walking accessibility and walking behaviour. Key results imply that travel attitudes are important in understanding variations in perceptions, in terms of direct effects and as mediator variables. Perceived walking accessibility directly affects the probability of walking and plays, therefore, an important role in understanding travel behaviour. The implications of our results are discussed with regard to future research gaps and policy.","container-title":"Travel Behaviour and Society","DOI":"10.1016/j.tbs.2021.11.002","ISSN":"2214-367X","journalAbbreviation":"Travel Behaviour and Society","language":"en","page":"47-56","source":"ScienceDirect","title":"The influence of travel attitudes on perceived walking accessibility and walking behaviour","URL":"https://www.sciencedirect.com/science/article/pii/S2214367X2100106X","volume":"27","author":[{"family":"Vlugt","given":"Anna-Lena","non-dropping-particle":"van der"},{"family":"Curl","given":"Angela"},{"family":"Scheiner","given":"Joachim"}],"accessed":{"date-parts":[["2022",4,26]]},"issued":{"date-parts":[["2022",4,1]]}}}],"schema":"https://github.com/citation-style-language/schema/raw/master/csl-citation.json"} </w:instrText>
            </w:r>
            <w:r>
              <w:rPr>
                <w:rFonts w:eastAsia="Times New Roman"/>
                <w:sz w:val="16"/>
                <w:szCs w:val="16"/>
              </w:rPr>
              <w:fldChar w:fldCharType="separate"/>
            </w:r>
            <w:r w:rsidR="00967900" w:rsidRPr="00967900">
              <w:rPr>
                <w:sz w:val="16"/>
              </w:rPr>
              <w:t>(Friman et al., 2020; Lättman et al., 2016; Pot et al., 2021; van der Vlugt et al., 2022)</w:t>
            </w:r>
            <w:r>
              <w:rPr>
                <w:rFonts w:eastAsia="Times New Roman"/>
                <w:sz w:val="16"/>
                <w:szCs w:val="16"/>
              </w:rPr>
              <w:fldChar w:fldCharType="end"/>
            </w:r>
          </w:p>
        </w:tc>
        <w:tc>
          <w:tcPr>
            <w:tcW w:w="1946" w:type="dxa"/>
            <w:shd w:val="clear" w:color="auto" w:fill="auto"/>
            <w:vAlign w:val="center"/>
            <w:hideMark/>
          </w:tcPr>
          <w:p w14:paraId="3EFC1872" w14:textId="77777777" w:rsidR="00025A13" w:rsidRPr="00025A13" w:rsidRDefault="00025A13" w:rsidP="00025A13">
            <w:pPr>
              <w:spacing w:after="0" w:line="240" w:lineRule="auto"/>
              <w:rPr>
                <w:rFonts w:eastAsia="Times New Roman"/>
                <w:sz w:val="16"/>
                <w:szCs w:val="16"/>
              </w:rPr>
            </w:pPr>
            <w:r w:rsidRPr="00025A13">
              <w:rPr>
                <w:rFonts w:eastAsia="Times New Roman"/>
                <w:sz w:val="16"/>
                <w:szCs w:val="16"/>
              </w:rPr>
              <w:t xml:space="preserve">How do travel attitudes affect perceived accessibility by foot or transit? </w:t>
            </w:r>
          </w:p>
        </w:tc>
      </w:tr>
    </w:tbl>
    <w:p w14:paraId="278C3303" w14:textId="70DF6DCC" w:rsidR="00EC36AE" w:rsidRDefault="00EC36AE" w:rsidP="00C560D5">
      <w:pPr>
        <w:rPr>
          <w:b/>
          <w:bCs/>
        </w:rPr>
      </w:pPr>
    </w:p>
    <w:p w14:paraId="38BA6D68" w14:textId="77777777" w:rsidR="00EC36AE" w:rsidRDefault="00EC36AE" w:rsidP="00C560D5">
      <w:pPr>
        <w:rPr>
          <w:b/>
          <w:bCs/>
        </w:rPr>
        <w:sectPr w:rsidR="00EC36AE" w:rsidSect="00642DB7">
          <w:pgSz w:w="15840" w:h="12240" w:orient="landscape"/>
          <w:pgMar w:top="1440" w:right="1440" w:bottom="1440" w:left="1440" w:header="720" w:footer="720" w:gutter="0"/>
          <w:cols w:space="720"/>
          <w:docGrid w:linePitch="360"/>
        </w:sectPr>
      </w:pPr>
    </w:p>
    <w:p w14:paraId="55AD3537" w14:textId="62D9B3E3" w:rsidR="00E423FE" w:rsidRDefault="00EC36AE" w:rsidP="00EC36AE">
      <w:pPr>
        <w:pStyle w:val="Heading1"/>
        <w:spacing w:after="240"/>
        <w:jc w:val="center"/>
        <w:rPr>
          <w:rFonts w:ascii="Times New Roman" w:hAnsi="Times New Roman" w:cs="Times New Roman"/>
          <w:b/>
          <w:bCs/>
          <w:color w:val="auto"/>
        </w:rPr>
      </w:pPr>
      <w:bookmarkStart w:id="174" w:name="_Toc114258072"/>
      <w:r w:rsidRPr="00EC36AE">
        <w:rPr>
          <w:rFonts w:ascii="Times New Roman" w:hAnsi="Times New Roman" w:cs="Times New Roman"/>
          <w:b/>
          <w:bCs/>
          <w:color w:val="auto"/>
        </w:rPr>
        <w:lastRenderedPageBreak/>
        <w:t>VITA</w:t>
      </w:r>
      <w:bookmarkEnd w:id="174"/>
    </w:p>
    <w:p w14:paraId="54D6F197" w14:textId="0C6F2774" w:rsidR="00EC36AE" w:rsidRPr="00EC36AE" w:rsidRDefault="00EC36AE" w:rsidP="00A43D75">
      <w:pPr>
        <w:spacing w:line="480" w:lineRule="auto"/>
      </w:pPr>
      <w:r>
        <w:tab/>
        <w:t xml:space="preserve">Jimmy Feng was born </w:t>
      </w:r>
      <w:r w:rsidR="00A43D75">
        <w:t xml:space="preserve">and raised </w:t>
      </w:r>
      <w:r>
        <w:t>in Brooklyn, New York</w:t>
      </w:r>
      <w:r w:rsidR="00A43D75">
        <w:t>. He received a bachelor’s degree in Geography with minors in Asian Studies and Urban Studies from the State University of New York at Geneseo (Geneseo, NY) in 2018 before enrolling in the doctoral program in Geography at the University of Tennessee, Knoxville (UTK) in the Fall of 2018.</w:t>
      </w:r>
    </w:p>
    <w:sectPr w:rsidR="00EC36AE" w:rsidRPr="00EC36AE" w:rsidSect="00EC36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eng, Jimmy" w:date="2022-08-17T16:23:00Z" w:initials="FJ">
    <w:p w14:paraId="21FFD78B" w14:textId="3FC3CC90" w:rsidR="007313AF" w:rsidRDefault="007313AF">
      <w:pPr>
        <w:pStyle w:val="CommentText"/>
      </w:pPr>
      <w:r>
        <w:rPr>
          <w:rStyle w:val="CommentReference"/>
        </w:rPr>
        <w:annotationRef/>
      </w:r>
      <w:r>
        <w:t xml:space="preserve">QW: </w:t>
      </w:r>
      <w:r w:rsidRPr="007313AF">
        <w:t>At the end of the abstract, add a sentence or two discussing the contribution of your dissertation.</w:t>
      </w:r>
    </w:p>
  </w:comment>
  <w:comment w:id="1" w:author="Feng, Jimmy" w:date="2022-08-18T13:16:00Z" w:initials="FJ">
    <w:p w14:paraId="368AD174" w14:textId="1A43A24B" w:rsidR="00DF7E68" w:rsidRDefault="00DF7E68">
      <w:pPr>
        <w:pStyle w:val="CommentText"/>
      </w:pPr>
      <w:r>
        <w:rPr>
          <w:rStyle w:val="CommentReference"/>
        </w:rPr>
        <w:annotationRef/>
      </w:r>
      <w:r w:rsidR="001B0A17">
        <w:t>How’s the next sentence?</w:t>
      </w:r>
    </w:p>
  </w:comment>
  <w:comment w:id="5" w:author="Feng, Jimmy" w:date="2022-09-09T18:39:00Z" w:initials="FJ">
    <w:p w14:paraId="0CC811E0" w14:textId="7B210B83" w:rsidR="007E3C05" w:rsidRDefault="007E3C05">
      <w:pPr>
        <w:pStyle w:val="CommentText"/>
      </w:pPr>
      <w:r>
        <w:rPr>
          <w:rStyle w:val="CommentReference"/>
        </w:rPr>
        <w:annotationRef/>
      </w:r>
      <w:r>
        <w:t>SLS: Why is “food access” chosen in this study?</w:t>
      </w:r>
    </w:p>
  </w:comment>
  <w:comment w:id="6" w:author="Feng, Jimmy" w:date="2022-09-09T18:39:00Z" w:initials="FJ">
    <w:p w14:paraId="0F6F7A2C" w14:textId="017DB529" w:rsidR="007E3C05" w:rsidRDefault="007E3C05">
      <w:pPr>
        <w:pStyle w:val="CommentText"/>
      </w:pPr>
      <w:r>
        <w:rPr>
          <w:rStyle w:val="CommentReference"/>
        </w:rPr>
        <w:annotationRef/>
      </w:r>
      <w:r>
        <w:t>I provide a justification for food access in the next few sentences.</w:t>
      </w:r>
    </w:p>
  </w:comment>
  <w:comment w:id="9" w:author="Feng, Jimmy" w:date="2022-09-09T19:04:00Z" w:initials="FJ">
    <w:p w14:paraId="42D37437" w14:textId="68E98FF7" w:rsidR="00FF35E9" w:rsidRDefault="00FF35E9">
      <w:pPr>
        <w:pStyle w:val="CommentText"/>
      </w:pPr>
      <w:r>
        <w:rPr>
          <w:rStyle w:val="CommentReference"/>
        </w:rPr>
        <w:annotationRef/>
      </w:r>
      <w:r>
        <w:t xml:space="preserve">SLS: Why did you choose this </w:t>
      </w:r>
      <w:proofErr w:type="gramStart"/>
      <w:r>
        <w:t>particular method</w:t>
      </w:r>
      <w:proofErr w:type="gramEnd"/>
      <w:r>
        <w:t xml:space="preserve"> here?</w:t>
      </w:r>
    </w:p>
  </w:comment>
  <w:comment w:id="10" w:author="Feng, Jimmy" w:date="2022-09-09T19:04:00Z" w:initials="FJ">
    <w:p w14:paraId="191655F5" w14:textId="129F63A9" w:rsidR="00FF35E9" w:rsidRDefault="00FF35E9">
      <w:pPr>
        <w:pStyle w:val="CommentText"/>
      </w:pPr>
      <w:r>
        <w:rPr>
          <w:rStyle w:val="CommentReference"/>
        </w:rPr>
        <w:annotationRef/>
      </w:r>
      <w:r>
        <w:t>I included 2SFCA because of its popularity in the literature but it is not without shortcomings. I discuss two shortcomings at the end of the paragraph.</w:t>
      </w:r>
    </w:p>
  </w:comment>
  <w:comment w:id="11" w:author="Feng, Jimmy" w:date="2022-09-09T18:41:00Z" w:initials="FJ">
    <w:p w14:paraId="1B7C3239" w14:textId="1D5E238C" w:rsidR="00C3677B" w:rsidRDefault="00C3677B">
      <w:pPr>
        <w:pStyle w:val="CommentText"/>
      </w:pPr>
      <w:r>
        <w:rPr>
          <w:rStyle w:val="CommentReference"/>
        </w:rPr>
        <w:annotationRef/>
      </w:r>
      <w:r>
        <w:t>SLS: Do they have to be weighted equally?</w:t>
      </w:r>
    </w:p>
  </w:comment>
  <w:comment w:id="12" w:author="Feng, Jimmy" w:date="2022-09-09T18:41:00Z" w:initials="FJ">
    <w:p w14:paraId="02AB64A5" w14:textId="1D3CFF2E" w:rsidR="00C3677B" w:rsidRDefault="00C3677B">
      <w:pPr>
        <w:pStyle w:val="CommentText"/>
      </w:pPr>
      <w:r>
        <w:rPr>
          <w:rStyle w:val="CommentReference"/>
        </w:rPr>
        <w:annotationRef/>
      </w:r>
      <w:proofErr w:type="gramStart"/>
      <w:r>
        <w:t>No</w:t>
      </w:r>
      <w:proofErr w:type="gramEnd"/>
      <w:r>
        <w:t xml:space="preserve"> they do not, but the conventional use of cumulative opportunity measures implicitly assumes a same weight.</w:t>
      </w:r>
    </w:p>
  </w:comment>
  <w:comment w:id="13" w:author="Feng, Jimmy" w:date="2022-09-09T18:42:00Z" w:initials="FJ">
    <w:p w14:paraId="4E4D6921" w14:textId="34D98AB5" w:rsidR="000C1FEC" w:rsidRDefault="000C1FEC">
      <w:pPr>
        <w:pStyle w:val="CommentText"/>
      </w:pPr>
      <w:r>
        <w:rPr>
          <w:rStyle w:val="CommentReference"/>
        </w:rPr>
        <w:annotationRef/>
      </w:r>
      <w:r>
        <w:t>SLS:</w:t>
      </w:r>
      <w:r w:rsidRPr="000C1FEC">
        <w:t xml:space="preserve"> </w:t>
      </w:r>
      <w:r>
        <w:t>Why are they called “place-based” measures?  What is the meaning of “place” here?</w:t>
      </w:r>
    </w:p>
  </w:comment>
  <w:comment w:id="14" w:author="Feng, Jimmy" w:date="2022-09-09T18:42:00Z" w:initials="FJ">
    <w:p w14:paraId="25C72144" w14:textId="72751163" w:rsidR="000C1FEC" w:rsidRDefault="000C1FEC">
      <w:pPr>
        <w:pStyle w:val="CommentText"/>
      </w:pPr>
      <w:r>
        <w:rPr>
          <w:rStyle w:val="CommentReference"/>
        </w:rPr>
        <w:annotationRef/>
      </w:r>
      <w:r>
        <w:t>In lieu of place</w:t>
      </w:r>
      <w:r w:rsidR="00F31418">
        <w:t xml:space="preserve"> which is interpreted differently by geographic subdiscipline</w:t>
      </w:r>
      <w:r>
        <w:t xml:space="preserve">, I use location instead, and </w:t>
      </w:r>
      <w:r w:rsidR="00F31418">
        <w:t>I discuss why these are called location-based measures.</w:t>
      </w:r>
    </w:p>
  </w:comment>
  <w:comment w:id="19" w:author="Feng, Jimmy" w:date="2022-08-18T13:43:00Z" w:initials="FJ">
    <w:p w14:paraId="3F1CCFD1" w14:textId="384B9EC2" w:rsidR="008153BD" w:rsidRDefault="008153BD">
      <w:pPr>
        <w:pStyle w:val="CommentText"/>
      </w:pPr>
      <w:r>
        <w:rPr>
          <w:rStyle w:val="CommentReference"/>
        </w:rPr>
        <w:annotationRef/>
      </w:r>
      <w:r>
        <w:t>SLS: This is a questionable statement.  Perceptions and attitudes were studied to a good degree in the 1970s and 1980s under the perspective of behavioral geography.</w:t>
      </w:r>
    </w:p>
  </w:comment>
  <w:comment w:id="20" w:author="Feng, Jimmy" w:date="2022-08-18T13:43:00Z" w:initials="FJ">
    <w:p w14:paraId="48163BD6" w14:textId="0388252C" w:rsidR="008153BD" w:rsidRDefault="008153BD">
      <w:pPr>
        <w:pStyle w:val="CommentText"/>
      </w:pPr>
      <w:r>
        <w:rPr>
          <w:rStyle w:val="CommentReference"/>
        </w:rPr>
        <w:annotationRef/>
      </w:r>
      <w:r>
        <w:t>Edited</w:t>
      </w:r>
      <w:r w:rsidR="001F00A1">
        <w:t xml:space="preserve"> so that the sentiment is that including human perceptions is a challenge requiring greater attention; and not that it has not been explored</w:t>
      </w:r>
      <w:r>
        <w:t>.</w:t>
      </w:r>
    </w:p>
  </w:comment>
  <w:comment w:id="22" w:author="Feng, Jimmy" w:date="2022-08-18T14:50:00Z" w:initials="FJ">
    <w:p w14:paraId="1061CE0A" w14:textId="7D7304F4" w:rsidR="00FE2585" w:rsidRDefault="00FE2585">
      <w:pPr>
        <w:pStyle w:val="CommentText"/>
      </w:pPr>
      <w:r>
        <w:rPr>
          <w:rStyle w:val="CommentReference"/>
        </w:rPr>
        <w:annotationRef/>
      </w:r>
      <w:r w:rsidR="00D97DD5">
        <w:t>SLS: Provide URL here.</w:t>
      </w:r>
    </w:p>
  </w:comment>
  <w:comment w:id="23" w:author="Feng, Jimmy" w:date="2022-09-09T10:59:00Z" w:initials="FJ">
    <w:p w14:paraId="5DBD833A" w14:textId="36058341" w:rsidR="001F00A1" w:rsidRDefault="001F00A1">
      <w:pPr>
        <w:pStyle w:val="CommentText"/>
      </w:pPr>
      <w:r>
        <w:rPr>
          <w:rStyle w:val="CommentReference"/>
        </w:rPr>
        <w:annotationRef/>
      </w:r>
      <w:r>
        <w:t>Done!</w:t>
      </w:r>
    </w:p>
  </w:comment>
  <w:comment w:id="24" w:author="Feng, Jimmy" w:date="2022-08-18T14:51:00Z" w:initials="FJ">
    <w:p w14:paraId="2D3526E7" w14:textId="6FDC8EEF" w:rsidR="003E3144" w:rsidRDefault="003E3144">
      <w:pPr>
        <w:pStyle w:val="CommentText"/>
      </w:pPr>
      <w:r>
        <w:rPr>
          <w:rStyle w:val="CommentReference"/>
        </w:rPr>
        <w:annotationRef/>
      </w:r>
      <w:r>
        <w:t>SLS: Is it “lives” or “levels”?</w:t>
      </w:r>
    </w:p>
  </w:comment>
  <w:comment w:id="25" w:author="Feng, Jimmy" w:date="2022-08-18T14:51:00Z" w:initials="FJ">
    <w:p w14:paraId="66C22D30" w14:textId="6C363EA9" w:rsidR="003E3144" w:rsidRDefault="003E3144">
      <w:pPr>
        <w:pStyle w:val="CommentText"/>
      </w:pPr>
      <w:r>
        <w:rPr>
          <w:rStyle w:val="CommentReference"/>
        </w:rPr>
        <w:annotationRef/>
      </w:r>
      <w:r>
        <w:t>Added ‘level’ before lives.</w:t>
      </w:r>
    </w:p>
  </w:comment>
  <w:comment w:id="26" w:author="Feng, Jimmy" w:date="2022-08-17T16:51:00Z" w:initials="FJ">
    <w:p w14:paraId="0862EDD1" w14:textId="46CEDCCF" w:rsidR="00A906A7" w:rsidRDefault="00A906A7">
      <w:pPr>
        <w:pStyle w:val="CommentText"/>
      </w:pPr>
      <w:r>
        <w:rPr>
          <w:rStyle w:val="CommentReference"/>
        </w:rPr>
        <w:annotationRef/>
      </w:r>
      <w:r>
        <w:t>SLS: You need to expand it to summarize why “food access” is a good use study for this research.</w:t>
      </w:r>
    </w:p>
  </w:comment>
  <w:comment w:id="27" w:author="Feng, Jimmy" w:date="2022-08-31T15:37:00Z" w:initials="FJ">
    <w:p w14:paraId="433BE7DF" w14:textId="24AC1BCB" w:rsidR="00E80E6E" w:rsidRDefault="00E80E6E">
      <w:pPr>
        <w:pStyle w:val="CommentText"/>
      </w:pPr>
      <w:r>
        <w:rPr>
          <w:rStyle w:val="CommentReference"/>
        </w:rPr>
        <w:annotationRef/>
      </w:r>
      <w:r>
        <w:t>How is the following paragraph?</w:t>
      </w:r>
    </w:p>
  </w:comment>
  <w:comment w:id="30" w:author="Feng, Jimmy" w:date="2022-08-17T16:54:00Z" w:initials="FJ">
    <w:p w14:paraId="30C33ED3" w14:textId="77777777" w:rsidR="00973DA9" w:rsidRDefault="00973DA9" w:rsidP="00973DA9">
      <w:pPr>
        <w:pStyle w:val="CommentText"/>
      </w:pPr>
      <w:r>
        <w:rPr>
          <w:rStyle w:val="CommentReference"/>
        </w:rPr>
        <w:annotationRef/>
      </w:r>
      <w:r>
        <w:rPr>
          <w:rStyle w:val="CommentReference"/>
        </w:rPr>
        <w:annotationRef/>
      </w:r>
      <w:r>
        <w:t>SLS: Not just “social relations”.  It can cover all kinds of relations (including coupling relations).  Rephrase it.</w:t>
      </w:r>
    </w:p>
  </w:comment>
  <w:comment w:id="31" w:author="Feng, Jimmy" w:date="2022-09-09T10:59:00Z" w:initials="FJ">
    <w:p w14:paraId="4D4DEAA3" w14:textId="77777777" w:rsidR="00973DA9" w:rsidRDefault="00973DA9" w:rsidP="00973DA9">
      <w:pPr>
        <w:pStyle w:val="CommentText"/>
      </w:pPr>
      <w:r>
        <w:rPr>
          <w:rStyle w:val="CommentReference"/>
        </w:rPr>
        <w:annotationRef/>
      </w:r>
      <w:r>
        <w:t>Relations and interactions</w:t>
      </w:r>
    </w:p>
  </w:comment>
  <w:comment w:id="33" w:author="Feng, Jimmy" w:date="2022-08-17T16:54:00Z" w:initials="FJ">
    <w:p w14:paraId="142B91E6" w14:textId="57E64E1A" w:rsidR="002B353D" w:rsidRDefault="002B353D">
      <w:pPr>
        <w:pStyle w:val="CommentText"/>
      </w:pPr>
      <w:r>
        <w:rPr>
          <w:rStyle w:val="CommentReference"/>
        </w:rPr>
        <w:annotationRef/>
      </w:r>
      <w:r>
        <w:t>SLS: You should also discuss here other similar problems that can be studied using this framework</w:t>
      </w:r>
    </w:p>
  </w:comment>
  <w:comment w:id="34" w:author="Feng, Jimmy" w:date="2022-08-31T16:01:00Z" w:initials="FJ">
    <w:p w14:paraId="1832DF39" w14:textId="2B67E5CF" w:rsidR="0085588B" w:rsidRDefault="0085588B">
      <w:pPr>
        <w:pStyle w:val="CommentText"/>
      </w:pPr>
      <w:r>
        <w:rPr>
          <w:rStyle w:val="CommentReference"/>
        </w:rPr>
        <w:annotationRef/>
      </w:r>
      <w:r>
        <w:t>See previous sentence which I just added.</w:t>
      </w:r>
    </w:p>
  </w:comment>
  <w:comment w:id="35" w:author="Feng, Jimmy" w:date="2022-08-17T16:53:00Z" w:initials="FJ">
    <w:p w14:paraId="05287841" w14:textId="2A1A260B" w:rsidR="009269A9" w:rsidRDefault="009269A9">
      <w:pPr>
        <w:pStyle w:val="CommentText"/>
      </w:pPr>
      <w:r>
        <w:rPr>
          <w:rStyle w:val="CommentReference"/>
        </w:rPr>
        <w:annotationRef/>
      </w:r>
      <w:r>
        <w:t>SLS: Not just “social relations”.  It can cover all kinds of relations (including coupling relations).  Rephrase it.</w:t>
      </w:r>
    </w:p>
  </w:comment>
  <w:comment w:id="36" w:author="Feng, Jimmy" w:date="2022-09-09T10:58:00Z" w:initials="FJ">
    <w:p w14:paraId="42DFF6F2" w14:textId="03B5B51F" w:rsidR="000E1D78" w:rsidRDefault="000E1D78">
      <w:pPr>
        <w:pStyle w:val="CommentText"/>
      </w:pPr>
      <w:r>
        <w:rPr>
          <w:rStyle w:val="CommentReference"/>
        </w:rPr>
        <w:annotationRef/>
      </w:r>
      <w:r>
        <w:t xml:space="preserve">I removed ‘social’ and included interactions as well to </w:t>
      </w:r>
      <w:r w:rsidR="001F00A1">
        <w:t>capture relationships and interactions with people and other entities.</w:t>
      </w:r>
    </w:p>
  </w:comment>
  <w:comment w:id="38" w:author="Feng, Jimmy" w:date="2022-08-17T16:54:00Z" w:initials="FJ">
    <w:p w14:paraId="06029935" w14:textId="10CFFC2B" w:rsidR="009A2441" w:rsidRDefault="009A2441">
      <w:pPr>
        <w:pStyle w:val="CommentText"/>
      </w:pPr>
      <w:r>
        <w:rPr>
          <w:rStyle w:val="CommentReference"/>
        </w:rPr>
        <w:annotationRef/>
      </w:r>
      <w:r>
        <w:t>SLS: You discuss the challenges in this section, but it falls short of providing some feasible solutions to address these challenges.  In other words, reviewers and readers may not be able to see your solid contributions.</w:t>
      </w:r>
    </w:p>
  </w:comment>
  <w:comment w:id="39" w:author="Feng, Jimmy" w:date="2022-08-31T15:06:00Z" w:initials="FJ">
    <w:p w14:paraId="5B0131D5" w14:textId="29E7EC6E" w:rsidR="007E4DA1" w:rsidRDefault="007E4DA1">
      <w:pPr>
        <w:pStyle w:val="CommentText"/>
      </w:pPr>
      <w:r>
        <w:rPr>
          <w:rStyle w:val="CommentReference"/>
        </w:rPr>
        <w:annotationRef/>
      </w:r>
      <w:r>
        <w:t>I attempted to provide some feasible solutions throughout the discussion</w:t>
      </w:r>
      <w:r w:rsidR="00875238">
        <w:t xml:space="preserve">s of each dimension. Some of these solutions are also applied in the GIS </w:t>
      </w:r>
      <w:proofErr w:type="gramStart"/>
      <w:r w:rsidR="00875238">
        <w:t>and also</w:t>
      </w:r>
      <w:proofErr w:type="gramEnd"/>
      <w:r w:rsidR="00875238">
        <w:t xml:space="preserve"> touched upon in the discussion of the methodology and case studies.</w:t>
      </w:r>
    </w:p>
  </w:comment>
  <w:comment w:id="41" w:author="Feng, Jimmy" w:date="2022-08-17T16:55:00Z" w:initials="FJ">
    <w:p w14:paraId="5F4C30E9" w14:textId="6E8FCAA1" w:rsidR="00E61262" w:rsidRDefault="00E61262">
      <w:pPr>
        <w:pStyle w:val="CommentText"/>
      </w:pPr>
      <w:r>
        <w:t xml:space="preserve">SLS: </w:t>
      </w:r>
      <w:r>
        <w:rPr>
          <w:rStyle w:val="CommentReference"/>
        </w:rPr>
        <w:annotationRef/>
      </w:r>
      <w:r>
        <w:t>Can you suggest some feasible ways of quantifying such expanded opportunities?</w:t>
      </w:r>
    </w:p>
  </w:comment>
  <w:comment w:id="42" w:author="Feng, Jimmy" w:date="2022-08-22T09:25:00Z" w:initials="FJ">
    <w:p w14:paraId="25B3388E" w14:textId="5706BDA6" w:rsidR="004501C8" w:rsidRDefault="004501C8">
      <w:pPr>
        <w:pStyle w:val="CommentText"/>
      </w:pPr>
      <w:r>
        <w:rPr>
          <w:rStyle w:val="CommentReference"/>
        </w:rPr>
        <w:annotationRef/>
      </w:r>
      <w:r w:rsidR="00227B88">
        <w:t xml:space="preserve">I attempt to provide a possible way to quantify these expanded opportunities in the </w:t>
      </w:r>
      <w:r>
        <w:t xml:space="preserve">rest of </w:t>
      </w:r>
      <w:r w:rsidR="00227B88">
        <w:t xml:space="preserve">the </w:t>
      </w:r>
      <w:r>
        <w:t>paragraph.</w:t>
      </w:r>
    </w:p>
  </w:comment>
  <w:comment w:id="43" w:author="Feng, Jimmy" w:date="2022-08-17T16:55:00Z" w:initials="FJ">
    <w:p w14:paraId="51FECA4D" w14:textId="166D5745" w:rsidR="00444240" w:rsidRDefault="00444240">
      <w:pPr>
        <w:pStyle w:val="CommentText"/>
      </w:pPr>
      <w:r>
        <w:rPr>
          <w:rStyle w:val="CommentReference"/>
        </w:rPr>
        <w:annotationRef/>
      </w:r>
      <w:r>
        <w:t>SLS: Can you suggest possible ways of measuring it?</w:t>
      </w:r>
    </w:p>
  </w:comment>
  <w:comment w:id="44" w:author="Feng, Jimmy" w:date="2022-08-22T08:58:00Z" w:initials="FJ">
    <w:p w14:paraId="02E77D3F" w14:textId="2A431F61" w:rsidR="00F45D32" w:rsidRDefault="00F45D32">
      <w:pPr>
        <w:pStyle w:val="CommentText"/>
      </w:pPr>
      <w:r>
        <w:rPr>
          <w:rStyle w:val="CommentReference"/>
        </w:rPr>
        <w:annotationRef/>
      </w:r>
      <w:r>
        <w:t>See rest of the paragraph.</w:t>
      </w:r>
    </w:p>
  </w:comment>
  <w:comment w:id="46" w:author="Feng, Jimmy" w:date="2022-08-17T16:56:00Z" w:initials="FJ">
    <w:p w14:paraId="4095DA6E" w14:textId="6BFC0ECF" w:rsidR="000E272E" w:rsidRDefault="000E272E">
      <w:pPr>
        <w:pStyle w:val="CommentText"/>
      </w:pPr>
      <w:r>
        <w:t xml:space="preserve">SLS: </w:t>
      </w:r>
      <w:r>
        <w:rPr>
          <w:rStyle w:val="CommentReference"/>
        </w:rPr>
        <w:annotationRef/>
      </w:r>
      <w:r>
        <w:t>How can this model be used in your research?</w:t>
      </w:r>
    </w:p>
  </w:comment>
  <w:comment w:id="47" w:author="Feng, Jimmy" w:date="2022-08-19T16:41:00Z" w:initials="FJ">
    <w:p w14:paraId="4959F7A5" w14:textId="06C57EB3" w:rsidR="004A659C" w:rsidRDefault="004A659C">
      <w:pPr>
        <w:pStyle w:val="CommentText"/>
      </w:pPr>
      <w:r>
        <w:rPr>
          <w:rStyle w:val="CommentReference"/>
        </w:rPr>
        <w:annotationRef/>
      </w:r>
      <w:r>
        <w:t>See next two sentences.</w:t>
      </w:r>
    </w:p>
  </w:comment>
  <w:comment w:id="48" w:author="Feng, Jimmy" w:date="2022-08-17T16:57:00Z" w:initials="FJ">
    <w:p w14:paraId="194B004A" w14:textId="5C3E4E9E" w:rsidR="00255769" w:rsidRDefault="00255769">
      <w:pPr>
        <w:pStyle w:val="CommentText"/>
      </w:pPr>
      <w:r>
        <w:rPr>
          <w:rStyle w:val="CommentReference"/>
        </w:rPr>
        <w:annotationRef/>
      </w:r>
      <w:r>
        <w:t>SLS: Can you suggest possible ways of measuring it?</w:t>
      </w:r>
    </w:p>
  </w:comment>
  <w:comment w:id="49" w:author="Feng, Jimmy" w:date="2022-08-19T16:53:00Z" w:initials="FJ">
    <w:p w14:paraId="3AF87EC0" w14:textId="2505FA30" w:rsidR="00C00363" w:rsidRDefault="00C00363">
      <w:pPr>
        <w:pStyle w:val="CommentText"/>
      </w:pPr>
      <w:r>
        <w:rPr>
          <w:rStyle w:val="CommentReference"/>
        </w:rPr>
        <w:annotationRef/>
      </w:r>
      <w:r>
        <w:t>See next few sentences.</w:t>
      </w:r>
    </w:p>
  </w:comment>
  <w:comment w:id="51" w:author="Feng, Jimmy" w:date="2022-08-17T16:57:00Z" w:initials="FJ">
    <w:p w14:paraId="55A2931A" w14:textId="5BE89BDC" w:rsidR="0067436A" w:rsidRDefault="0067436A">
      <w:pPr>
        <w:pStyle w:val="CommentText"/>
      </w:pPr>
      <w:r>
        <w:rPr>
          <w:rStyle w:val="CommentReference"/>
        </w:rPr>
        <w:annotationRef/>
      </w:r>
      <w:r>
        <w:t xml:space="preserve">SLS: This is a narrow understanding of relational space by focusing on social relations/social infrastructure.  For example, relational space can be between a person and a computer server as you discussed it </w:t>
      </w:r>
      <w:proofErr w:type="gramStart"/>
      <w:r>
        <w:t>later on</w:t>
      </w:r>
      <w:proofErr w:type="gramEnd"/>
      <w:r>
        <w:t xml:space="preserve"> in this paragraph.</w:t>
      </w:r>
    </w:p>
  </w:comment>
  <w:comment w:id="52" w:author="Feng, Jimmy" w:date="2022-08-22T12:18:00Z" w:initials="FJ">
    <w:p w14:paraId="48A74794" w14:textId="0833AA7F" w:rsidR="000D03FA" w:rsidRDefault="000D03FA">
      <w:pPr>
        <w:pStyle w:val="CommentText"/>
      </w:pPr>
      <w:r>
        <w:rPr>
          <w:rStyle w:val="CommentReference"/>
        </w:rPr>
        <w:annotationRef/>
      </w:r>
      <w:r>
        <w:t>Added conjunction to this sentence to also include ‘new forms of interactions’</w:t>
      </w:r>
      <w:r w:rsidR="00036A73">
        <w:t xml:space="preserve"> that are not necessarily between people</w:t>
      </w:r>
      <w:r w:rsidR="00022FAA">
        <w:t xml:space="preserve"> (but also other entities</w:t>
      </w:r>
      <w:r w:rsidR="00036A73">
        <w:t>.</w:t>
      </w:r>
      <w:r w:rsidR="00022FAA">
        <w:t>)</w:t>
      </w:r>
    </w:p>
  </w:comment>
  <w:comment w:id="54" w:author="Feng, Jimmy" w:date="2022-08-17T16:58:00Z" w:initials="FJ">
    <w:p w14:paraId="7D91F970" w14:textId="5C309D36" w:rsidR="00BA6E19" w:rsidRDefault="00BA6E19">
      <w:pPr>
        <w:pStyle w:val="CommentText"/>
      </w:pPr>
      <w:r>
        <w:rPr>
          <w:rStyle w:val="CommentReference"/>
        </w:rPr>
        <w:annotationRef/>
      </w:r>
      <w:r>
        <w:t>SLS: Can you suggest possible ways of measuring these differences?</w:t>
      </w:r>
    </w:p>
  </w:comment>
  <w:comment w:id="55" w:author="Feng, Jimmy" w:date="2022-08-19T17:16:00Z" w:initials="FJ">
    <w:p w14:paraId="31C79433" w14:textId="27A795E3" w:rsidR="002912A0" w:rsidRDefault="002912A0">
      <w:pPr>
        <w:pStyle w:val="CommentText"/>
      </w:pPr>
      <w:r>
        <w:rPr>
          <w:rStyle w:val="CommentReference"/>
        </w:rPr>
        <w:annotationRef/>
      </w:r>
      <w:r>
        <w:t xml:space="preserve">See ending of the </w:t>
      </w:r>
      <w:r w:rsidR="00FE35DE">
        <w:t>paragraph.</w:t>
      </w:r>
    </w:p>
  </w:comment>
  <w:comment w:id="56" w:author="Feng, Jimmy" w:date="2022-08-17T16:59:00Z" w:initials="FJ">
    <w:p w14:paraId="7DA96B9E" w14:textId="0CA4E1C9" w:rsidR="00641984" w:rsidRDefault="00641984">
      <w:pPr>
        <w:pStyle w:val="CommentText"/>
      </w:pPr>
      <w:r>
        <w:rPr>
          <w:rStyle w:val="CommentReference"/>
        </w:rPr>
        <w:annotationRef/>
      </w:r>
      <w:r>
        <w:t>SLS: How do psychological economists measure perceived willingness?  Can their methods be used in your research?</w:t>
      </w:r>
    </w:p>
  </w:comment>
  <w:comment w:id="57" w:author="Feng, Jimmy" w:date="2022-08-19T19:10:00Z" w:initials="FJ">
    <w:p w14:paraId="483FB3E6" w14:textId="098F4886" w:rsidR="008969B9" w:rsidRDefault="008969B9">
      <w:pPr>
        <w:pStyle w:val="CommentText"/>
      </w:pPr>
      <w:r>
        <w:rPr>
          <w:rStyle w:val="CommentReference"/>
        </w:rPr>
        <w:annotationRef/>
      </w:r>
      <w:r>
        <w:t>See the next paragraph.</w:t>
      </w:r>
    </w:p>
  </w:comment>
  <w:comment w:id="59" w:author="Feng, Jimmy" w:date="2022-08-17T16:59:00Z" w:initials="FJ">
    <w:p w14:paraId="7E70F5A7" w14:textId="7F00A506" w:rsidR="000E36BF" w:rsidRDefault="000E36BF">
      <w:pPr>
        <w:pStyle w:val="CommentText"/>
      </w:pPr>
      <w:r>
        <w:rPr>
          <w:rStyle w:val="CommentReference"/>
        </w:rPr>
        <w:annotationRef/>
      </w:r>
      <w:r>
        <w:t>SLS: Can you suggest possible ways of measuring it?</w:t>
      </w:r>
    </w:p>
  </w:comment>
  <w:comment w:id="60" w:author="Feng, Jimmy" w:date="2022-08-22T10:59:00Z" w:initials="FJ">
    <w:p w14:paraId="0A684306" w14:textId="2BC53E03" w:rsidR="007A2456" w:rsidRDefault="007A2456">
      <w:pPr>
        <w:pStyle w:val="CommentText"/>
      </w:pPr>
      <w:r>
        <w:rPr>
          <w:rStyle w:val="CommentReference"/>
        </w:rPr>
        <w:annotationRef/>
      </w:r>
      <w:r>
        <w:t>See below.</w:t>
      </w:r>
    </w:p>
  </w:comment>
  <w:comment w:id="61" w:author="Feng, Jimmy" w:date="2022-08-17T17:00:00Z" w:initials="FJ">
    <w:p w14:paraId="447E5B57" w14:textId="18F922D4" w:rsidR="000E36BF" w:rsidRDefault="000E36BF">
      <w:pPr>
        <w:pStyle w:val="CommentText"/>
      </w:pPr>
      <w:r>
        <w:t xml:space="preserve">SLS: </w:t>
      </w:r>
      <w:r>
        <w:rPr>
          <w:rStyle w:val="CommentReference"/>
        </w:rPr>
        <w:annotationRef/>
      </w:r>
      <w:r>
        <w:t>Can you suggest possible ways of measuring it?</w:t>
      </w:r>
    </w:p>
  </w:comment>
  <w:comment w:id="62" w:author="Feng, Jimmy" w:date="2022-08-22T11:52:00Z" w:initials="FJ">
    <w:p w14:paraId="778B2F9F" w14:textId="1F3E4EAF" w:rsidR="00E95559" w:rsidRDefault="00E95559">
      <w:pPr>
        <w:pStyle w:val="CommentText"/>
      </w:pPr>
      <w:r>
        <w:rPr>
          <w:rStyle w:val="CommentReference"/>
        </w:rPr>
        <w:annotationRef/>
      </w:r>
      <w:r>
        <w:t>See next paragraph.</w:t>
      </w:r>
    </w:p>
  </w:comment>
  <w:comment w:id="67" w:author="Feng, Jimmy" w:date="2022-08-17T17:00:00Z" w:initials="FJ">
    <w:p w14:paraId="52E90645" w14:textId="77777777" w:rsidR="001C6F59" w:rsidRDefault="001C6F59" w:rsidP="001C6F59">
      <w:pPr>
        <w:pStyle w:val="CommentText"/>
        <w:numPr>
          <w:ilvl w:val="0"/>
          <w:numId w:val="23"/>
        </w:numPr>
      </w:pPr>
      <w:r>
        <w:rPr>
          <w:rStyle w:val="CommentReference"/>
        </w:rPr>
        <w:annotationRef/>
      </w:r>
      <w:r>
        <w:t>SLS: How comfortable are you with these “new definitions”?  Can you defend these new definitions well when they are challenged by other scholars?</w:t>
      </w:r>
    </w:p>
    <w:p w14:paraId="50A26A4B" w14:textId="77777777" w:rsidR="001C6F59" w:rsidRDefault="001C6F59" w:rsidP="001C6F59">
      <w:pPr>
        <w:pStyle w:val="CommentText"/>
        <w:numPr>
          <w:ilvl w:val="0"/>
          <w:numId w:val="23"/>
        </w:numPr>
      </w:pPr>
      <w:r>
        <w:t>Is this a good way of summarizing Chapter 3?</w:t>
      </w:r>
    </w:p>
  </w:comment>
  <w:comment w:id="68" w:author="Feng, Jimmy" w:date="2022-08-31T15:04:00Z" w:initials="FJ">
    <w:p w14:paraId="0B26F88C" w14:textId="1487ABEA" w:rsidR="00A23366" w:rsidRDefault="00D2762E">
      <w:pPr>
        <w:pStyle w:val="CommentText"/>
      </w:pPr>
      <w:r>
        <w:t xml:space="preserve">I understand that these definitions may be a bit brief and not entirely encompassing of all proposed concepts </w:t>
      </w:r>
      <w:r w:rsidR="00A23366">
        <w:rPr>
          <w:rStyle w:val="CommentReference"/>
        </w:rPr>
        <w:annotationRef/>
      </w:r>
      <w:r>
        <w:t xml:space="preserve">but I think they </w:t>
      </w:r>
      <w:r w:rsidR="00852D88">
        <w:t>summarize them in a concise manner. I think I can defend these definitions. I also i</w:t>
      </w:r>
      <w:r w:rsidR="00BF4E14">
        <w:t>ncluded</w:t>
      </w:r>
      <w:r w:rsidR="00852D88">
        <w:t xml:space="preserve"> some considerations (pages 50-53) and</w:t>
      </w:r>
      <w:r w:rsidR="00BF4E14">
        <w:t xml:space="preserve"> summarizing thoughts</w:t>
      </w:r>
      <w:r w:rsidR="00852D88">
        <w:t xml:space="preserve"> (pages 55-56</w:t>
      </w:r>
      <w:r w:rsidR="00BF4E14">
        <w:t>.</w:t>
      </w:r>
      <w:r w:rsidR="00852D88">
        <w:t>)</w:t>
      </w:r>
    </w:p>
  </w:comment>
  <w:comment w:id="72" w:author="Feng, Jimmy" w:date="2022-08-17T17:01:00Z" w:initials="FJ">
    <w:p w14:paraId="5A16C99C" w14:textId="6F33D8AB" w:rsidR="00A90BAF" w:rsidRDefault="00A90BAF">
      <w:pPr>
        <w:pStyle w:val="CommentText"/>
      </w:pPr>
      <w:r>
        <w:rPr>
          <w:rStyle w:val="CommentReference"/>
        </w:rPr>
        <w:annotationRef/>
      </w:r>
      <w:r>
        <w:t>SLS: This draft copy sometimes reads more like a technical report rather than an academic paper.  In several places, you focused mainly on “what you did” instead of “how they are done in details” and “why they are done in a particular way or using a particular method”.  This is an important component that you need to learn in a Ph.D. program.  You need to improve the writing to make your research reproducible/replicable.</w:t>
      </w:r>
    </w:p>
  </w:comment>
  <w:comment w:id="73" w:author="Feng, Jimmy" w:date="2022-08-31T14:59:00Z" w:initials="FJ">
    <w:p w14:paraId="493C6998" w14:textId="40EE3A3B" w:rsidR="00842E94" w:rsidRDefault="00690021">
      <w:pPr>
        <w:pStyle w:val="CommentText"/>
      </w:pPr>
      <w:r>
        <w:t>I understand your sentiment</w:t>
      </w:r>
      <w:r w:rsidR="000E5817">
        <w:t xml:space="preserve">, thanks for pointing this out to me. I made </w:t>
      </w:r>
      <w:r w:rsidR="00842E94">
        <w:rPr>
          <w:rStyle w:val="CommentReference"/>
        </w:rPr>
        <w:annotationRef/>
      </w:r>
      <w:r w:rsidR="000E5817">
        <w:t>n</w:t>
      </w:r>
      <w:r w:rsidR="00842E94">
        <w:t>ew edits throughout section 4</w:t>
      </w:r>
      <w:r w:rsidR="00AE0926">
        <w:t xml:space="preserve"> that try to convey the ‘how’ and ‘why’</w:t>
      </w:r>
      <w:r w:rsidR="00842E94">
        <w:t xml:space="preserve">; hopefully it </w:t>
      </w:r>
      <w:r w:rsidR="00AE0926">
        <w:t>reads less like a technical report</w:t>
      </w:r>
    </w:p>
  </w:comment>
  <w:comment w:id="78" w:author="Feng, Jimmy" w:date="2022-08-18T21:40:00Z" w:initials="FJ">
    <w:p w14:paraId="56F5A7F8" w14:textId="16112766" w:rsidR="00CA5920" w:rsidRDefault="00CA5920">
      <w:pPr>
        <w:pStyle w:val="CommentText"/>
      </w:pPr>
      <w:r>
        <w:rPr>
          <w:rStyle w:val="CommentReference"/>
        </w:rPr>
        <w:annotationRef/>
      </w:r>
      <w:r>
        <w:t>SLS: How are these five topics quantified?</w:t>
      </w:r>
    </w:p>
  </w:comment>
  <w:comment w:id="79" w:author="Feng, Jimmy" w:date="2022-08-18T22:00:00Z" w:initials="FJ">
    <w:p w14:paraId="04D453D3" w14:textId="6C0CE60C" w:rsidR="0026621C" w:rsidRDefault="0026621C">
      <w:pPr>
        <w:pStyle w:val="CommentText"/>
      </w:pPr>
      <w:r>
        <w:rPr>
          <w:rStyle w:val="CommentReference"/>
        </w:rPr>
        <w:annotationRef/>
      </w:r>
      <w:r>
        <w:t>See</w:t>
      </w:r>
      <w:r w:rsidR="00776D9A">
        <w:t xml:space="preserve"> </w:t>
      </w:r>
      <w:r>
        <w:t>paragraph</w:t>
      </w:r>
      <w:r w:rsidR="00690021">
        <w:t>s</w:t>
      </w:r>
      <w:r>
        <w:t xml:space="preserve"> below</w:t>
      </w:r>
      <w:r w:rsidR="00690021">
        <w:t xml:space="preserve"> (pages 70-73</w:t>
      </w:r>
      <w:r>
        <w:t>.</w:t>
      </w:r>
      <w:r w:rsidR="00690021">
        <w:t>)</w:t>
      </w:r>
    </w:p>
  </w:comment>
  <w:comment w:id="80" w:author="Feng, Jimmy" w:date="2022-08-25T20:54:00Z" w:initials="FJ">
    <w:p w14:paraId="285D2747" w14:textId="4A3392F1" w:rsidR="00642E35" w:rsidRPr="00642E35" w:rsidRDefault="00642E35" w:rsidP="00642E35">
      <w:pPr>
        <w:spacing w:line="480" w:lineRule="auto"/>
        <w:rPr>
          <w:color w:val="000000"/>
          <w:sz w:val="20"/>
          <w:szCs w:val="20"/>
          <w:shd w:val="clear" w:color="auto" w:fill="FFFFFF"/>
        </w:rPr>
      </w:pPr>
      <w:r>
        <w:rPr>
          <w:rStyle w:val="CommentReference"/>
        </w:rPr>
        <w:annotationRef/>
      </w:r>
      <w:r>
        <w:t xml:space="preserve">MS: </w:t>
      </w:r>
      <w:r>
        <w:rPr>
          <w:color w:val="000000"/>
          <w:sz w:val="20"/>
          <w:szCs w:val="20"/>
          <w:shd w:val="clear" w:color="auto" w:fill="FFFFFF"/>
        </w:rPr>
        <w:t>Not all people leave comments/reviews, especially those who belong to the low-income/poorer/less aware genre OR even others who really don't care to leave reviews about any issue. How do you adjust for those people/groups who might have been left out/not captured in these programmed commands?  I understand that this may be difficult for any researcher. As such, you probably need to add few sentences in your research design or final conclusions about how some of these can be an issue and not a complete picture of the questions you want to research. These are aspects of data limitations.</w:t>
      </w:r>
    </w:p>
  </w:comment>
  <w:comment w:id="81" w:author="Feng, Jimmy" w:date="2022-09-09T10:52:00Z" w:initials="FJ">
    <w:p w14:paraId="5F52F316" w14:textId="45509525" w:rsidR="008A3FF8" w:rsidRDefault="008A3FF8">
      <w:pPr>
        <w:pStyle w:val="CommentText"/>
      </w:pPr>
      <w:r>
        <w:rPr>
          <w:rStyle w:val="CommentReference"/>
        </w:rPr>
        <w:annotationRef/>
      </w:r>
      <w:r>
        <w:t>I discuss th</w:t>
      </w:r>
      <w:r w:rsidR="00690021">
        <w:t>is research limitation following the highlighted portion.</w:t>
      </w:r>
    </w:p>
  </w:comment>
  <w:comment w:id="82" w:author="Feng, Jimmy" w:date="2022-08-18T22:03:00Z" w:initials="FJ">
    <w:p w14:paraId="58E0DAB4" w14:textId="41376229" w:rsidR="005956C9" w:rsidRDefault="005956C9">
      <w:pPr>
        <w:pStyle w:val="CommentText"/>
      </w:pPr>
      <w:r>
        <w:rPr>
          <w:rStyle w:val="CommentReference"/>
        </w:rPr>
        <w:annotationRef/>
      </w:r>
      <w:r>
        <w:t>SLS: How does this manual classification work?  Need explanation and reference.</w:t>
      </w:r>
    </w:p>
  </w:comment>
  <w:comment w:id="83" w:author="Feng, Jimmy" w:date="2022-08-18T23:06:00Z" w:initials="FJ">
    <w:p w14:paraId="7A121BAD" w14:textId="7C3A3011" w:rsidR="003E6A8D" w:rsidRDefault="003E6A8D">
      <w:pPr>
        <w:pStyle w:val="CommentText"/>
      </w:pPr>
      <w:r>
        <w:rPr>
          <w:rStyle w:val="CommentReference"/>
        </w:rPr>
        <w:annotationRef/>
      </w:r>
      <w:r>
        <w:t>See following sentences and paragraph after bullet-point list.</w:t>
      </w:r>
      <w:r w:rsidR="008A3FF8">
        <w:t xml:space="preserve"> (</w:t>
      </w:r>
      <w:proofErr w:type="gramStart"/>
      <w:r w:rsidR="008A3FF8">
        <w:t>pages</w:t>
      </w:r>
      <w:proofErr w:type="gramEnd"/>
      <w:r w:rsidR="008A3FF8">
        <w:t xml:space="preserve"> 75-76)</w:t>
      </w:r>
    </w:p>
  </w:comment>
  <w:comment w:id="84" w:author="Feng, Jimmy" w:date="2022-08-18T23:07:00Z" w:initials="FJ">
    <w:p w14:paraId="006E1585" w14:textId="63517406" w:rsidR="00305963" w:rsidRDefault="00305963">
      <w:pPr>
        <w:pStyle w:val="CommentText"/>
      </w:pPr>
      <w:r>
        <w:t xml:space="preserve">SLS: </w:t>
      </w:r>
      <w:r>
        <w:rPr>
          <w:rStyle w:val="CommentReference"/>
        </w:rPr>
        <w:annotationRef/>
      </w:r>
      <w:r>
        <w:t>What is the outcome of this manual ground-truthing? 70%, 80% or x% correct?</w:t>
      </w:r>
    </w:p>
  </w:comment>
  <w:comment w:id="85" w:author="Feng, Jimmy" w:date="2022-08-31T16:14:00Z" w:initials="FJ">
    <w:p w14:paraId="502BAF5D" w14:textId="5FB055B1" w:rsidR="0047250B" w:rsidRDefault="0047250B">
      <w:pPr>
        <w:pStyle w:val="CommentText"/>
      </w:pPr>
      <w:r>
        <w:rPr>
          <w:rStyle w:val="CommentReference"/>
        </w:rPr>
        <w:annotationRef/>
      </w:r>
      <w:r>
        <w:t xml:space="preserve">The store types by Google aren’t </w:t>
      </w:r>
      <w:r w:rsidR="00EA0331">
        <w:t>incorrect per se but rather that some store types occur very infrequently in the entire dataset</w:t>
      </w:r>
      <w:r w:rsidR="007A5416">
        <w:t>. Additionally,</w:t>
      </w:r>
      <w:r w:rsidR="00EA0331">
        <w:t xml:space="preserve"> some stores </w:t>
      </w:r>
      <w:r w:rsidR="007A5416">
        <w:t xml:space="preserve">have both a restaurant and retail food store </w:t>
      </w:r>
      <w:r w:rsidR="00537CAC">
        <w:t>component but are generally labelled as restaurants. I provide a more thorough explanation describing my justification for how I classified stores in the following sentences.</w:t>
      </w:r>
    </w:p>
  </w:comment>
  <w:comment w:id="89" w:author="Feng, Jimmy" w:date="2022-08-18T23:12:00Z" w:initials="FJ">
    <w:p w14:paraId="0E3135DD" w14:textId="6C75C001" w:rsidR="0098566C" w:rsidRDefault="0098566C">
      <w:pPr>
        <w:pStyle w:val="CommentText"/>
      </w:pPr>
      <w:r>
        <w:rPr>
          <w:rStyle w:val="CommentReference"/>
        </w:rPr>
        <w:annotationRef/>
      </w:r>
      <w:r>
        <w:t>SLS: How many synthetic persons were created in this study?  What are the distribution patterns of various characteristics?</w:t>
      </w:r>
    </w:p>
  </w:comment>
  <w:comment w:id="90" w:author="Feng, Jimmy" w:date="2022-08-18T23:12:00Z" w:initials="FJ">
    <w:p w14:paraId="5C5754D2" w14:textId="75EDFCA1" w:rsidR="0098566C" w:rsidRDefault="0098566C">
      <w:pPr>
        <w:pStyle w:val="CommentText"/>
      </w:pPr>
      <w:r>
        <w:rPr>
          <w:rStyle w:val="CommentReference"/>
        </w:rPr>
        <w:annotationRef/>
      </w:r>
      <w:r w:rsidR="00D7073E">
        <w:t>See last paragraph in this sub-sub-section</w:t>
      </w:r>
      <w:r w:rsidR="000E30AE">
        <w:t xml:space="preserve"> (end of page 80 – page 81</w:t>
      </w:r>
      <w:r w:rsidR="00D7073E">
        <w:t>.</w:t>
      </w:r>
      <w:r w:rsidR="000E30AE">
        <w:t>)</w:t>
      </w:r>
    </w:p>
  </w:comment>
  <w:comment w:id="94" w:author="Feng, Jimmy" w:date="2022-08-18T23:17:00Z" w:initials="FJ">
    <w:p w14:paraId="52479859" w14:textId="6D414103" w:rsidR="00035637" w:rsidRDefault="00035637">
      <w:pPr>
        <w:pStyle w:val="CommentText"/>
      </w:pPr>
      <w:r>
        <w:rPr>
          <w:rStyle w:val="CommentReference"/>
        </w:rPr>
        <w:annotationRef/>
      </w:r>
      <w:r>
        <w:t>SLS: Figure #?</w:t>
      </w:r>
    </w:p>
  </w:comment>
  <w:comment w:id="95" w:author="Feng, Jimmy" w:date="2022-09-09T10:49:00Z" w:initials="FJ">
    <w:p w14:paraId="51312E71" w14:textId="31164812" w:rsidR="000E30AE" w:rsidRDefault="000E30AE">
      <w:pPr>
        <w:pStyle w:val="CommentText"/>
      </w:pPr>
      <w:r>
        <w:rPr>
          <w:rStyle w:val="CommentReference"/>
        </w:rPr>
        <w:annotationRef/>
      </w:r>
      <w:r>
        <w:t>Added figure # and caption.</w:t>
      </w:r>
    </w:p>
  </w:comment>
  <w:comment w:id="97" w:author="Feng, Jimmy" w:date="2022-08-18T23:18:00Z" w:initials="FJ">
    <w:p w14:paraId="4E03EE3E" w14:textId="7926FA87" w:rsidR="004701AD" w:rsidRDefault="004701AD">
      <w:pPr>
        <w:pStyle w:val="CommentText"/>
      </w:pPr>
      <w:r>
        <w:rPr>
          <w:rStyle w:val="CommentReference"/>
        </w:rPr>
        <w:annotationRef/>
      </w:r>
      <w:r>
        <w:t>SLS</w:t>
      </w:r>
      <w:proofErr w:type="gramStart"/>
      <w:r>
        <w:t>: ???</w:t>
      </w:r>
      <w:proofErr w:type="gramEnd"/>
    </w:p>
  </w:comment>
  <w:comment w:id="98" w:author="Feng, Jimmy" w:date="2022-09-09T10:49:00Z" w:initials="FJ">
    <w:p w14:paraId="22F49B74" w14:textId="46E16D76" w:rsidR="000E30AE" w:rsidRDefault="000E30AE">
      <w:pPr>
        <w:pStyle w:val="CommentText"/>
      </w:pPr>
      <w:r>
        <w:rPr>
          <w:rStyle w:val="CommentReference"/>
        </w:rPr>
        <w:annotationRef/>
      </w:r>
      <w:r>
        <w:t>Revised sentence to hopefully reduce confusion.</w:t>
      </w:r>
    </w:p>
  </w:comment>
  <w:comment w:id="99" w:author="Feng, Jimmy" w:date="2022-08-18T23:18:00Z" w:initials="FJ">
    <w:p w14:paraId="306163D7" w14:textId="2DE8F441" w:rsidR="000B3B82" w:rsidRDefault="000B3B82">
      <w:pPr>
        <w:pStyle w:val="CommentText"/>
      </w:pPr>
      <w:r>
        <w:rPr>
          <w:rStyle w:val="CommentReference"/>
        </w:rPr>
        <w:annotationRef/>
      </w:r>
      <w:r>
        <w:t>SLS: How about “digital access”?</w:t>
      </w:r>
    </w:p>
  </w:comment>
  <w:comment w:id="100" w:author="Feng, Jimmy" w:date="2022-08-19T12:38:00Z" w:initials="FJ">
    <w:p w14:paraId="13262ABF" w14:textId="327DE630" w:rsidR="0029160E" w:rsidRDefault="0029160E">
      <w:pPr>
        <w:pStyle w:val="CommentText"/>
      </w:pPr>
      <w:r>
        <w:rPr>
          <w:rStyle w:val="CommentReference"/>
        </w:rPr>
        <w:annotationRef/>
      </w:r>
      <w:r>
        <w:t>Edited to include access to computer and Internet</w:t>
      </w:r>
      <w:r w:rsidR="000E30AE">
        <w:t>.</w:t>
      </w:r>
    </w:p>
  </w:comment>
  <w:comment w:id="101" w:author="Feng, Jimmy" w:date="2022-08-18T23:19:00Z" w:initials="FJ">
    <w:p w14:paraId="29ACEBD6" w14:textId="79D27EA8" w:rsidR="003230FF" w:rsidRDefault="003230FF">
      <w:pPr>
        <w:pStyle w:val="CommentText"/>
      </w:pPr>
      <w:r>
        <w:rPr>
          <w:rStyle w:val="CommentReference"/>
        </w:rPr>
        <w:annotationRef/>
      </w:r>
      <w:r>
        <w:t>SLS: I did not find it in Figure 6.  Please explain.</w:t>
      </w:r>
    </w:p>
  </w:comment>
  <w:comment w:id="102" w:author="Feng, Jimmy" w:date="2022-08-18T23:19:00Z" w:initials="FJ">
    <w:p w14:paraId="6955923C" w14:textId="34F400EF" w:rsidR="003230FF" w:rsidRDefault="003230FF">
      <w:pPr>
        <w:pStyle w:val="CommentText"/>
      </w:pPr>
      <w:r>
        <w:rPr>
          <w:rStyle w:val="CommentReference"/>
        </w:rPr>
        <w:annotationRef/>
      </w:r>
      <w:r>
        <w:t xml:space="preserve">Corrected to Figure </w:t>
      </w:r>
      <w:r w:rsidR="00D316A8">
        <w:t>8</w:t>
      </w:r>
      <w:r>
        <w:t>.</w:t>
      </w:r>
    </w:p>
  </w:comment>
  <w:comment w:id="87" w:author="Feng, Jimmy" w:date="2022-08-17T16:24:00Z" w:initials="FJ">
    <w:p w14:paraId="2B6DA7E9" w14:textId="3A1E0DAF" w:rsidR="000959C5" w:rsidRDefault="000959C5">
      <w:pPr>
        <w:pStyle w:val="CommentText"/>
      </w:pPr>
      <w:r>
        <w:rPr>
          <w:rStyle w:val="CommentReference"/>
        </w:rPr>
        <w:annotationRef/>
      </w:r>
      <w:r>
        <w:t xml:space="preserve">QW: </w:t>
      </w:r>
      <w:r w:rsidRPr="000959C5">
        <w:t>You mentioned that the second and third datasets (i.e., characteristics of individual residents and their travel patterns) were created by yourself. You might need to discuss the uncertainty and representativeness of the hypothetical datasets.</w:t>
      </w:r>
    </w:p>
  </w:comment>
  <w:comment w:id="88" w:author="Feng, Jimmy" w:date="2022-08-19T12:36:00Z" w:initials="FJ">
    <w:p w14:paraId="3456C4A0" w14:textId="4C74DAB4" w:rsidR="000C3FC5" w:rsidRDefault="000E30AE">
      <w:pPr>
        <w:pStyle w:val="CommentText"/>
      </w:pPr>
      <w:r>
        <w:t xml:space="preserve">Thanks for </w:t>
      </w:r>
      <w:r w:rsidR="002D19A2">
        <w:t xml:space="preserve">raising this concern to me. </w:t>
      </w:r>
      <w:r w:rsidR="000C3FC5">
        <w:rPr>
          <w:rStyle w:val="CommentReference"/>
        </w:rPr>
        <w:annotationRef/>
      </w:r>
      <w:r w:rsidR="000C3FC5">
        <w:t>See last few paragraphs of this sub-sub-section</w:t>
      </w:r>
      <w:r>
        <w:t xml:space="preserve"> (end of page 80 – page 81)</w:t>
      </w:r>
      <w:r w:rsidR="002D19A2">
        <w:t xml:space="preserve"> for a write-up on the uncertainty and representativeness of the synthesized datasets.</w:t>
      </w:r>
    </w:p>
  </w:comment>
  <w:comment w:id="104" w:author="Feng, Jimmy" w:date="2022-08-18T23:20:00Z" w:initials="FJ">
    <w:p w14:paraId="3BB7DF71" w14:textId="228F0A1F" w:rsidR="009F6D9C" w:rsidRDefault="009F6D9C">
      <w:pPr>
        <w:pStyle w:val="CommentText"/>
      </w:pPr>
      <w:r>
        <w:rPr>
          <w:rStyle w:val="CommentReference"/>
        </w:rPr>
        <w:annotationRef/>
      </w:r>
      <w:r>
        <w:t xml:space="preserve">SLS: You </w:t>
      </w:r>
      <w:proofErr w:type="spellStart"/>
      <w:r>
        <w:t>sya</w:t>
      </w:r>
      <w:proofErr w:type="spellEnd"/>
      <w:r>
        <w:t xml:space="preserve"> “15”, but there are “19” in the list</w:t>
      </w:r>
      <w:proofErr w:type="gramStart"/>
      <w:r>
        <w:t>.  ???</w:t>
      </w:r>
      <w:proofErr w:type="gramEnd"/>
    </w:p>
  </w:comment>
  <w:comment w:id="105" w:author="Feng, Jimmy" w:date="2022-09-09T10:47:00Z" w:initials="FJ">
    <w:p w14:paraId="061AD1D2" w14:textId="5B9A6B1B" w:rsidR="009206B2" w:rsidRDefault="009206B2">
      <w:pPr>
        <w:pStyle w:val="CommentText"/>
      </w:pPr>
      <w:r>
        <w:rPr>
          <w:rStyle w:val="CommentReference"/>
        </w:rPr>
        <w:annotationRef/>
      </w:r>
      <w:r>
        <w:t xml:space="preserve">My mistake, I edited this paragraph to describe how there are 19 variables, and 15 of those are </w:t>
      </w:r>
      <w:r w:rsidR="00D316A8">
        <w:t>in the CDC’s SVI while the other 4 are additionally relevant to food access.</w:t>
      </w:r>
    </w:p>
  </w:comment>
  <w:comment w:id="107" w:author="Feng, Jimmy" w:date="2022-08-18T23:22:00Z" w:initials="FJ">
    <w:p w14:paraId="4FE1EDBA" w14:textId="333028FB" w:rsidR="00073F13" w:rsidRDefault="00073F13">
      <w:pPr>
        <w:pStyle w:val="CommentText"/>
      </w:pPr>
      <w:r>
        <w:rPr>
          <w:rStyle w:val="CommentReference"/>
        </w:rPr>
        <w:annotationRef/>
      </w:r>
      <w:r>
        <w:t>SLS: This section reads like a simplified User’s Guide rather than an academic paper.  You need to improve it by (1) connecting the functions in this prototype GIS system with various theories/concepts discussed in earlier chapters of this dissertation, and (2) making sure that readers can use this prototype GIS system successfully based on the information provided in this section.</w:t>
      </w:r>
    </w:p>
  </w:comment>
  <w:comment w:id="108" w:author="Feng, Jimmy" w:date="2022-08-31T14:58:00Z" w:initials="FJ">
    <w:p w14:paraId="78997D33" w14:textId="30C679D3" w:rsidR="001C6E6F" w:rsidRDefault="001C6E6F">
      <w:pPr>
        <w:pStyle w:val="CommentText"/>
      </w:pPr>
      <w:r>
        <w:rPr>
          <w:rStyle w:val="CommentReference"/>
        </w:rPr>
        <w:annotationRef/>
      </w:r>
      <w:r>
        <w:t>This subsection was revised to</w:t>
      </w:r>
      <w:r w:rsidR="00A35679">
        <w:t xml:space="preserve"> include how the functions relate to the various theories and concepts discussed earlier. The prototype still works but it may take some time for users to load; I included a note that mentions how some users may need to wait</w:t>
      </w:r>
      <w:r w:rsidR="00842E94">
        <w:t>.</w:t>
      </w:r>
    </w:p>
  </w:comment>
  <w:comment w:id="110" w:author="Feng, Jimmy" w:date="2022-08-18T23:24:00Z" w:initials="FJ">
    <w:p w14:paraId="26D87025" w14:textId="77777777" w:rsidR="002E13AA" w:rsidRDefault="002E13AA" w:rsidP="002E13AA">
      <w:pPr>
        <w:pStyle w:val="CommentText"/>
      </w:pPr>
      <w:r>
        <w:rPr>
          <w:rStyle w:val="CommentReference"/>
        </w:rPr>
        <w:annotationRef/>
      </w:r>
      <w:r>
        <w:t>SLS: Some panels did not update properly when I chose a particular person in S-T path panel.</w:t>
      </w:r>
    </w:p>
  </w:comment>
  <w:comment w:id="111" w:author="Feng, Jimmy" w:date="2022-09-09T10:46:00Z" w:initials="FJ">
    <w:p w14:paraId="585305D8" w14:textId="77777777" w:rsidR="002E13AA" w:rsidRDefault="002E13AA" w:rsidP="002E13AA">
      <w:pPr>
        <w:pStyle w:val="CommentText"/>
      </w:pPr>
      <w:r>
        <w:rPr>
          <w:rStyle w:val="CommentReference"/>
        </w:rPr>
        <w:annotationRef/>
      </w:r>
      <w:r>
        <w:t xml:space="preserve">It may take some time load; I double-checked the </w:t>
      </w:r>
      <w:proofErr w:type="gramStart"/>
      <w:r>
        <w:t>GIS</w:t>
      </w:r>
      <w:proofErr w:type="gramEnd"/>
      <w:r>
        <w:t xml:space="preserve"> and it should be working.</w:t>
      </w:r>
    </w:p>
  </w:comment>
  <w:comment w:id="114" w:author="Feng, Jimmy" w:date="2022-08-17T16:25:00Z" w:initials="FJ">
    <w:p w14:paraId="3E495FE1" w14:textId="2512F1C5" w:rsidR="007118DB" w:rsidRDefault="007118DB">
      <w:pPr>
        <w:pStyle w:val="CommentText"/>
      </w:pPr>
      <w:r>
        <w:rPr>
          <w:rStyle w:val="CommentReference"/>
        </w:rPr>
        <w:annotationRef/>
      </w:r>
      <w:r>
        <w:t xml:space="preserve">QW: </w:t>
      </w:r>
      <w:r w:rsidRPr="007118DB">
        <w:t>The food network graph seems quite crowded. It is illegible when zoomed in.</w:t>
      </w:r>
    </w:p>
  </w:comment>
  <w:comment w:id="115" w:author="Feng, Jimmy" w:date="2022-08-17T16:25:00Z" w:initials="FJ">
    <w:p w14:paraId="2833BCCE" w14:textId="01D5B175" w:rsidR="007118DB" w:rsidRDefault="007118DB">
      <w:pPr>
        <w:pStyle w:val="CommentText"/>
      </w:pPr>
      <w:r>
        <w:rPr>
          <w:rStyle w:val="CommentReference"/>
        </w:rPr>
        <w:annotationRef/>
      </w:r>
      <w:r w:rsidR="00BB76FE">
        <w:t xml:space="preserve">Edited the first paragraph to discuss how parameter options can be altered to change the aesthetic of the network visualization. Also provided a </w:t>
      </w:r>
      <w:r w:rsidR="008F0B2D">
        <w:t xml:space="preserve">layout </w:t>
      </w:r>
      <w:r w:rsidR="00BB76FE">
        <w:t>suggestion</w:t>
      </w:r>
      <w:r w:rsidR="008F0B2D">
        <w:t xml:space="preserve"> for larger datasets</w:t>
      </w:r>
      <w:r w:rsidR="00BB76FE">
        <w:t xml:space="preserve"> in the bullet point for ‘Layout.’</w:t>
      </w:r>
    </w:p>
  </w:comment>
  <w:comment w:id="118" w:author="Feng, Jimmy" w:date="2022-08-17T16:26:00Z" w:initials="FJ">
    <w:p w14:paraId="59A6AF28" w14:textId="77777777" w:rsidR="00F545AF" w:rsidRDefault="00F545AF">
      <w:pPr>
        <w:pStyle w:val="CommentText"/>
      </w:pPr>
      <w:r>
        <w:rPr>
          <w:rStyle w:val="CommentReference"/>
        </w:rPr>
        <w:annotationRef/>
      </w:r>
      <w:r>
        <w:t xml:space="preserve">QW: </w:t>
      </w:r>
      <w:r w:rsidRPr="00F545AF">
        <w:t>The case studies are mostly descriptive. Although traditional accessibility measures have limitations, they have quantitative metrics as an indicator of accessibility. I understand that your goal is to go beyond the traditional approach by introducing the five access dimensions in a hybrid space. Is it possible to compare the accessibility of different people quantitatively in a hybrid space beyond qualitative? For example, how do you know a person has better accessibility to something than other people in a hybrid space?</w:t>
      </w:r>
    </w:p>
    <w:p w14:paraId="45461CF2" w14:textId="77777777" w:rsidR="009E468F" w:rsidRDefault="009E468F">
      <w:pPr>
        <w:pStyle w:val="CommentText"/>
      </w:pPr>
    </w:p>
    <w:p w14:paraId="7A0C9C44" w14:textId="77777777" w:rsidR="009E468F" w:rsidRDefault="009E468F">
      <w:pPr>
        <w:pStyle w:val="CommentText"/>
      </w:pPr>
      <w:r>
        <w:t xml:space="preserve">WZ: </w:t>
      </w:r>
      <w:r w:rsidRPr="009E468F">
        <w:t>With my quick reading (which means my understanding might not be accurate), the core contribution is a GIS visualization tool/prototype following accessibility theories. It looks great and will help you make engaging presentations. Kudos on resolving all the technical elements of it.</w:t>
      </w:r>
      <w:r>
        <w:t xml:space="preserve"> </w:t>
      </w:r>
      <w:r w:rsidRPr="009E468F">
        <w:t>When describing it, it would be nice to reconnect and point out linkage to your theoretic framework, not just a user manual. I guess for a Ph.D. thesis, depending on the field, I usually am eager to learn newer, in-depth theories (i.e., generalizable knowledge).</w:t>
      </w:r>
    </w:p>
    <w:p w14:paraId="6B4A1C8A" w14:textId="77777777" w:rsidR="00D906A6" w:rsidRDefault="00D906A6">
      <w:pPr>
        <w:pStyle w:val="CommentText"/>
      </w:pPr>
    </w:p>
    <w:p w14:paraId="4139CA76" w14:textId="178A1F2E" w:rsidR="00D906A6" w:rsidRDefault="00D906A6">
      <w:pPr>
        <w:pStyle w:val="CommentText"/>
      </w:pPr>
      <w:r>
        <w:t>SLS: Each case study in this chapter should clearly connect to SPECIFIC theories/concepts/challenges discussed in the previous chapters. Each case study should also clearly indicate its contributions to the research community of food access and BEYOND.  It is important to write this chapter in a clear and to-the-point manner.  In addition, discussions in this chapter are descriptive and visualization only.  It falls short of incorporating specific analysis functions.  This draft copy has rooms for improvements.</w:t>
      </w:r>
    </w:p>
  </w:comment>
  <w:comment w:id="119" w:author="Feng, Jimmy" w:date="2022-08-31T14:46:00Z" w:initials="FJ">
    <w:p w14:paraId="3A3D54F2" w14:textId="0678B2D7" w:rsidR="00697CEC" w:rsidRDefault="00697CEC">
      <w:pPr>
        <w:pStyle w:val="CommentText"/>
      </w:pPr>
      <w:r>
        <w:rPr>
          <w:rStyle w:val="CommentReference"/>
        </w:rPr>
        <w:annotationRef/>
      </w:r>
      <w:r w:rsidR="00A43309">
        <w:t xml:space="preserve">Response to QW: </w:t>
      </w:r>
      <w:r>
        <w:t xml:space="preserve">I have revised this entire section to </w:t>
      </w:r>
      <w:r w:rsidR="004E193E">
        <w:t xml:space="preserve">detail the number of opportunities that can be accessed between individuals. </w:t>
      </w:r>
      <w:r w:rsidR="00A43309">
        <w:t>In other words, access between people can be quantitatively compared.</w:t>
      </w:r>
      <w:r w:rsidR="00534719">
        <w:t xml:space="preserve"> I offer remarks on the differences in the total number of opportunities that change </w:t>
      </w:r>
      <w:proofErr w:type="gramStart"/>
      <w:r w:rsidR="00534719">
        <w:t>as a result of</w:t>
      </w:r>
      <w:proofErr w:type="gramEnd"/>
      <w:r w:rsidR="00534719">
        <w:t xml:space="preserve"> </w:t>
      </w:r>
      <w:r w:rsidR="00F436EA">
        <w:t xml:space="preserve">including </w:t>
      </w:r>
      <w:r w:rsidR="00534719">
        <w:t>the proposed GIS features and functions.</w:t>
      </w:r>
    </w:p>
    <w:p w14:paraId="735A9C34" w14:textId="77777777" w:rsidR="00A43309" w:rsidRDefault="00A43309">
      <w:pPr>
        <w:pStyle w:val="CommentText"/>
      </w:pPr>
    </w:p>
    <w:p w14:paraId="25645135" w14:textId="77777777" w:rsidR="00A43309" w:rsidRDefault="00A43309">
      <w:pPr>
        <w:pStyle w:val="CommentText"/>
      </w:pPr>
      <w:r>
        <w:t>Response to WZ: I</w:t>
      </w:r>
      <w:r w:rsidR="00167018">
        <w:t xml:space="preserve"> attempted to relate the different concepts in the proposed conceptual framework throughout the explanations of the four case studies.</w:t>
      </w:r>
    </w:p>
    <w:p w14:paraId="5CD8E15F" w14:textId="77777777" w:rsidR="00F436EA" w:rsidRDefault="00F436EA">
      <w:pPr>
        <w:pStyle w:val="CommentText"/>
      </w:pPr>
    </w:p>
    <w:p w14:paraId="2F61C999" w14:textId="0E5D2819" w:rsidR="00F436EA" w:rsidRDefault="00F436EA">
      <w:pPr>
        <w:pStyle w:val="CommentText"/>
      </w:pPr>
      <w:r>
        <w:t xml:space="preserve">Response to SLS: I revised this section to connect specific theories/concepts/challenges </w:t>
      </w:r>
      <w:r w:rsidR="003E525B">
        <w:t>that are relevant in each case study. In addition, I discuss different analysis functions that were used to improve understanding of access.</w:t>
      </w:r>
      <w:r w:rsidR="00536BFB">
        <w:t xml:space="preserve"> Throughout each study, but mostly in the last paragraph of each subsection</w:t>
      </w:r>
      <w:r w:rsidR="00DB7C35">
        <w:t>, I also articulate the contribution(s) of each case study.</w:t>
      </w:r>
    </w:p>
  </w:comment>
  <w:comment w:id="121" w:author="Feng, Jimmy" w:date="2022-08-18T23:26:00Z" w:initials="FJ">
    <w:p w14:paraId="34BEA809" w14:textId="2C20EBA1" w:rsidR="009F5377" w:rsidRDefault="009F5377" w:rsidP="009F5377">
      <w:pPr>
        <w:pStyle w:val="CommentText"/>
      </w:pPr>
      <w:r>
        <w:rPr>
          <w:rStyle w:val="CommentReference"/>
        </w:rPr>
        <w:annotationRef/>
      </w:r>
      <w:r>
        <w:t>SLS: Is this statement correct (see the statement highlighted in yellow color above)?  Does this person work on Saturday?</w:t>
      </w:r>
    </w:p>
    <w:p w14:paraId="2EAAD384" w14:textId="1141326C" w:rsidR="009F5377" w:rsidRDefault="009F5377">
      <w:pPr>
        <w:pStyle w:val="CommentText"/>
      </w:pPr>
    </w:p>
  </w:comment>
  <w:comment w:id="122" w:author="Feng, Jimmy" w:date="2022-08-19T11:12:00Z" w:initials="FJ">
    <w:p w14:paraId="55F00652" w14:textId="37D9A614" w:rsidR="00331098" w:rsidRDefault="00331098">
      <w:pPr>
        <w:pStyle w:val="CommentText"/>
      </w:pPr>
      <w:r>
        <w:rPr>
          <w:rStyle w:val="CommentReference"/>
        </w:rPr>
        <w:annotationRef/>
      </w:r>
      <w:r>
        <w:t>Edited; description was incorrect – works between Monday and Saturday.</w:t>
      </w:r>
    </w:p>
  </w:comment>
  <w:comment w:id="125" w:author="Feng, Jimmy" w:date="2022-08-18T23:25:00Z" w:initials="FJ">
    <w:p w14:paraId="6788DF02" w14:textId="690275B8" w:rsidR="00880FED" w:rsidRDefault="00880FED">
      <w:pPr>
        <w:pStyle w:val="CommentText"/>
      </w:pPr>
      <w:r>
        <w:rPr>
          <w:rStyle w:val="CommentReference"/>
        </w:rPr>
        <w:annotationRef/>
      </w:r>
      <w:r>
        <w:t>SLS: Is this statement correct (see the statement highlighted in yellow color above)?  Does this person work on Saturday?</w:t>
      </w:r>
    </w:p>
  </w:comment>
  <w:comment w:id="126" w:author="Feng, Jimmy" w:date="2022-08-19T11:12:00Z" w:initials="FJ">
    <w:p w14:paraId="6BE4B148" w14:textId="1A702584" w:rsidR="008C22EE" w:rsidRDefault="008C22EE">
      <w:pPr>
        <w:pStyle w:val="CommentText"/>
      </w:pPr>
      <w:r>
        <w:rPr>
          <w:rStyle w:val="CommentReference"/>
        </w:rPr>
        <w:annotationRef/>
      </w:r>
      <w:r>
        <w:t>Edited; description was incorrect – works between Monday and Saturday.</w:t>
      </w:r>
    </w:p>
  </w:comment>
  <w:comment w:id="135" w:author="Feng, Jimmy" w:date="2022-08-19T12:52:00Z" w:initials="FJ">
    <w:p w14:paraId="05C574E5" w14:textId="77777777" w:rsidR="00B07527" w:rsidRDefault="00B07527" w:rsidP="00B07527">
      <w:pPr>
        <w:pStyle w:val="CommentText"/>
      </w:pPr>
      <w:r>
        <w:rPr>
          <w:rStyle w:val="CommentReference"/>
        </w:rPr>
        <w:annotationRef/>
      </w:r>
      <w:r>
        <w:t xml:space="preserve">SLS: For example, this is related to the “relative space” concept in my </w:t>
      </w:r>
      <w:proofErr w:type="spellStart"/>
      <w:r>
        <w:t>splatial</w:t>
      </w:r>
      <w:proofErr w:type="spellEnd"/>
      <w:r>
        <w:t xml:space="preserve"> framework.  You need to connect the discussions in this chapter to the theories and concepts discussed in earlier chapter.</w:t>
      </w:r>
    </w:p>
  </w:comment>
  <w:comment w:id="136" w:author="Feng, Jimmy" w:date="2022-09-02T09:04:00Z" w:initials="FJ">
    <w:p w14:paraId="03223B54" w14:textId="77777777" w:rsidR="00B07527" w:rsidRDefault="00B07527" w:rsidP="00B07527">
      <w:pPr>
        <w:pStyle w:val="CommentText"/>
      </w:pPr>
      <w:r>
        <w:rPr>
          <w:rStyle w:val="CommentReference"/>
        </w:rPr>
        <w:annotationRef/>
      </w:r>
      <w:r>
        <w:t>I’ve edited this section to include a description of a relative space approach (see the end of this paragraph.)</w:t>
      </w:r>
    </w:p>
  </w:comment>
  <w:comment w:id="139" w:author="Feng, Jimmy" w:date="2022-08-19T12:48:00Z" w:initials="FJ">
    <w:p w14:paraId="397EC5DF" w14:textId="4808F625" w:rsidR="00D75E0C" w:rsidRDefault="00D75E0C">
      <w:pPr>
        <w:pStyle w:val="CommentText"/>
      </w:pPr>
      <w:r>
        <w:rPr>
          <w:rStyle w:val="CommentReference"/>
        </w:rPr>
        <w:annotationRef/>
      </w:r>
      <w:r>
        <w:t xml:space="preserve">SLS: It’s unlikely to go beyond the second-order or, at the most, the </w:t>
      </w:r>
      <w:proofErr w:type="gramStart"/>
      <w:r>
        <w:t>third-order</w:t>
      </w:r>
      <w:proofErr w:type="gramEnd"/>
      <w:r>
        <w:t xml:space="preserve"> in the real world.</w:t>
      </w:r>
    </w:p>
  </w:comment>
  <w:comment w:id="140" w:author="Feng, Jimmy" w:date="2022-08-19T12:48:00Z" w:initials="FJ">
    <w:p w14:paraId="14ED5C0F" w14:textId="72D9DABF" w:rsidR="00D75E0C" w:rsidRDefault="00D75E0C">
      <w:pPr>
        <w:pStyle w:val="CommentText"/>
      </w:pPr>
      <w:r>
        <w:rPr>
          <w:rStyle w:val="CommentReference"/>
        </w:rPr>
        <w:annotationRef/>
      </w:r>
      <w:r>
        <w:t>Added sentence to end of next paragraph describing how the GIS possesses functionality to identify n-</w:t>
      </w:r>
      <w:proofErr w:type="spellStart"/>
      <w:r>
        <w:t>th</w:t>
      </w:r>
      <w:proofErr w:type="spellEnd"/>
      <w:r>
        <w:t xml:space="preserve"> order opportunities but that reality is such that </w:t>
      </w:r>
      <w:r w:rsidR="00A4667A">
        <w:t>it is unlikely.</w:t>
      </w:r>
    </w:p>
  </w:comment>
  <w:comment w:id="151" w:author="Feng, Jimmy" w:date="2022-08-17T16:26:00Z" w:initials="FJ">
    <w:p w14:paraId="7A8378CB" w14:textId="7811AE11" w:rsidR="00D03119" w:rsidRDefault="00F545AF" w:rsidP="00413506">
      <w:pPr>
        <w:pStyle w:val="CommentText"/>
      </w:pPr>
      <w:r>
        <w:rPr>
          <w:rStyle w:val="CommentReference"/>
        </w:rPr>
        <w:annotationRef/>
      </w:r>
      <w:r w:rsidR="00413506">
        <w:t>WZ: I would encourage you to think about the generalizable knowledge coming out of your research. What should people learn and do, after reading your thesis?</w:t>
      </w:r>
    </w:p>
    <w:p w14:paraId="2997B6FB" w14:textId="77777777" w:rsidR="00091F2A" w:rsidRDefault="00413506" w:rsidP="00091F2A">
      <w:pPr>
        <w:pStyle w:val="CommentText"/>
      </w:pPr>
      <w:r>
        <w:t>For example, suppose you claim that accessibility should be multidimensional, did you highlight that without the multidimensional perspective, people missed key insights?</w:t>
      </w:r>
    </w:p>
    <w:p w14:paraId="6A9D7A79" w14:textId="77777777" w:rsidR="00091F2A" w:rsidRDefault="00091F2A" w:rsidP="00091F2A">
      <w:pPr>
        <w:pStyle w:val="CommentText"/>
      </w:pPr>
    </w:p>
    <w:p w14:paraId="03669A92" w14:textId="38E73205" w:rsidR="003C6103" w:rsidRDefault="00091F2A" w:rsidP="00091F2A">
      <w:pPr>
        <w:pStyle w:val="CommentText"/>
      </w:pPr>
      <w:r>
        <w:t>SLS: This final chapter has rooms for improvements. It should concisely indicate: (1) why this is an important research topic, (2) what the major contributions of this research are, and (3) what the future research direction should be</w:t>
      </w:r>
      <w:r w:rsidR="003C6103" w:rsidRPr="003C6103">
        <w:rPr>
          <w:color w:val="000000"/>
          <w:shd w:val="clear" w:color="auto" w:fill="FFFFFF"/>
        </w:rPr>
        <w:t>.</w:t>
      </w:r>
    </w:p>
  </w:comment>
  <w:comment w:id="152" w:author="Feng, Jimmy" w:date="2022-09-09T11:35:00Z" w:initials="FJ">
    <w:p w14:paraId="01077378" w14:textId="77777777" w:rsidR="00997180" w:rsidRDefault="00997180">
      <w:pPr>
        <w:pStyle w:val="CommentText"/>
      </w:pPr>
      <w:r>
        <w:rPr>
          <w:rStyle w:val="CommentReference"/>
        </w:rPr>
        <w:annotationRef/>
      </w:r>
      <w:r w:rsidR="005F23BE">
        <w:t>Response to WZ: I</w:t>
      </w:r>
      <w:r w:rsidR="005D5D64">
        <w:t xml:space="preserve">n this section, I summarize my argument for research on access to go beyond simplistic notions of physical proximity and space-time flexibility, and to also include other important </w:t>
      </w:r>
      <w:r w:rsidR="006D5560">
        <w:t>drivers of access (local environment, relations and interactions to other people and entities, and mental perceptions.) This is also further elaborated at the end of each case study (Chapter 5.)</w:t>
      </w:r>
    </w:p>
    <w:p w14:paraId="210BC9E7" w14:textId="77777777" w:rsidR="00AB72A2" w:rsidRDefault="00AB72A2">
      <w:pPr>
        <w:pStyle w:val="CommentText"/>
      </w:pPr>
    </w:p>
    <w:p w14:paraId="0B02B92E" w14:textId="6642561E" w:rsidR="00AB72A2" w:rsidRDefault="00AB72A2">
      <w:pPr>
        <w:pStyle w:val="CommentText"/>
      </w:pPr>
      <w:r>
        <w:t>Response to SLS: I tried to better articulate the importance of the research topic (first parag</w:t>
      </w:r>
      <w:r w:rsidR="008C1492">
        <w:t>raph in this section/page 138)</w:t>
      </w:r>
      <w:r>
        <w:t>, the major contributions of the research topic</w:t>
      </w:r>
      <w:r w:rsidR="008C1492">
        <w:t xml:space="preserve"> (first paragraph in page 139) and future directions (page 147)</w:t>
      </w:r>
    </w:p>
  </w:comment>
  <w:comment w:id="154" w:author="Feng, Jimmy" w:date="2022-09-02T11:33:00Z" w:initials="FJ">
    <w:p w14:paraId="2961E511" w14:textId="77777777" w:rsidR="004E0C7E" w:rsidRDefault="004E0C7E" w:rsidP="004E0C7E">
      <w:pPr>
        <w:pStyle w:val="CommentText"/>
      </w:pPr>
      <w:r>
        <w:rPr>
          <w:rStyle w:val="CommentReference"/>
        </w:rPr>
        <w:annotationRef/>
      </w:r>
      <w:r>
        <w:t xml:space="preserve">SLS: You also need to summarize and highlight the specific contributions of this research </w:t>
      </w:r>
      <w:proofErr w:type="gramStart"/>
      <w:r>
        <w:t>in a clear and concise way</w:t>
      </w:r>
      <w:proofErr w:type="gramEnd"/>
      <w:r>
        <w:t>.</w:t>
      </w:r>
    </w:p>
    <w:p w14:paraId="2B9D8F4C" w14:textId="77777777" w:rsidR="004E0C7E" w:rsidRDefault="004E0C7E" w:rsidP="004E0C7E">
      <w:pPr>
        <w:pStyle w:val="NormalWeb"/>
        <w:shd w:val="clear" w:color="auto" w:fill="FFFFFF"/>
        <w:spacing w:before="0" w:beforeAutospacing="0" w:after="160" w:afterAutospacing="0"/>
        <w:rPr>
          <w:color w:val="000000"/>
          <w:shd w:val="clear" w:color="auto" w:fill="FFFFFF"/>
        </w:rPr>
      </w:pPr>
    </w:p>
    <w:p w14:paraId="568F3372" w14:textId="77777777" w:rsidR="004E0C7E" w:rsidRDefault="004E0C7E" w:rsidP="004E0C7E">
      <w:pPr>
        <w:pStyle w:val="NormalWeb"/>
        <w:shd w:val="clear" w:color="auto" w:fill="FFFFFF"/>
        <w:spacing w:before="0" w:beforeAutospacing="0" w:after="160" w:afterAutospacing="0"/>
        <w:rPr>
          <w:color w:val="000000"/>
          <w:sz w:val="20"/>
          <w:szCs w:val="20"/>
        </w:rPr>
      </w:pPr>
      <w:r>
        <w:rPr>
          <w:color w:val="000000"/>
          <w:shd w:val="clear" w:color="auto" w:fill="FFFFFF"/>
        </w:rPr>
        <w:t>MS: p. 93, last para -- I think you have summarized your contributions well. You could elaborate a little more on your contributions and make a stronger claim about each aspect and each type of contribution you have made to science -- academic knowledge, new method to measure accessibility, policy implication, social/racial human justice, etc. You have also added methodology to food geography, even though you sued food just as an example to showcase your contribution. You need to mention that.</w:t>
      </w:r>
    </w:p>
    <w:p w14:paraId="4B4E972D" w14:textId="4EB57847" w:rsidR="004E0C7E" w:rsidRDefault="004E0C7E">
      <w:pPr>
        <w:pStyle w:val="CommentText"/>
      </w:pPr>
    </w:p>
  </w:comment>
  <w:comment w:id="155" w:author="Feng, Jimmy" w:date="2022-09-09T10:36:00Z" w:initials="FJ">
    <w:p w14:paraId="1C4C30E1" w14:textId="454AC91A" w:rsidR="00BC1A53" w:rsidRDefault="00BC1A53">
      <w:pPr>
        <w:pStyle w:val="CommentText"/>
      </w:pPr>
      <w:r>
        <w:t>Response to SLS: I attempted to summarize my contributions in this paragraph, and I further elaborate on these contributions throughout this entire discussion and conclusion section.</w:t>
      </w:r>
    </w:p>
    <w:p w14:paraId="6111D01F" w14:textId="77777777" w:rsidR="00BC1A53" w:rsidRDefault="00BC1A53">
      <w:pPr>
        <w:pStyle w:val="CommentText"/>
      </w:pPr>
    </w:p>
    <w:p w14:paraId="2DB11AA2" w14:textId="64C8EB96" w:rsidR="00997FBF" w:rsidRDefault="00BC1A53">
      <w:pPr>
        <w:pStyle w:val="CommentText"/>
      </w:pPr>
      <w:r>
        <w:t xml:space="preserve">Response to MS: </w:t>
      </w:r>
      <w:r w:rsidR="00997FBF">
        <w:rPr>
          <w:rStyle w:val="CommentReference"/>
        </w:rPr>
        <w:annotationRef/>
      </w:r>
      <w:r>
        <w:t xml:space="preserve">Throughout this section, I attempted to </w:t>
      </w:r>
      <w:r w:rsidR="00997180">
        <w:t>discuss in more detail about each type of contribution as well as included contribution to food geography methodology.</w:t>
      </w:r>
    </w:p>
  </w:comment>
  <w:comment w:id="156" w:author="Feng, Jimmy" w:date="2022-08-24T13:42:00Z" w:initials="FJ">
    <w:p w14:paraId="13F16A4A" w14:textId="77777777" w:rsidR="00225CCF" w:rsidRDefault="00225CCF" w:rsidP="00225CCF">
      <w:pPr>
        <w:pStyle w:val="CommentText"/>
      </w:pPr>
      <w:r>
        <w:rPr>
          <w:rStyle w:val="CommentReference"/>
        </w:rPr>
        <w:annotationRef/>
      </w:r>
      <w:r>
        <w:t xml:space="preserve">MS: </w:t>
      </w:r>
      <w:r w:rsidRPr="00065C03">
        <w:t xml:space="preserve">p. 92: ", this dissertation proposes a conceptual framework for access to" -- you already completed the work, so you should say -- 'proposed' -- you have competed your work and now it is time to claim it as </w:t>
      </w:r>
      <w:proofErr w:type="spellStart"/>
      <w:r w:rsidRPr="00065C03">
        <w:t>your's</w:t>
      </w:r>
      <w:proofErr w:type="spellEnd"/>
      <w:r w:rsidRPr="00065C03">
        <w:t>.</w:t>
      </w:r>
    </w:p>
  </w:comment>
  <w:comment w:id="157" w:author="Feng, Jimmy" w:date="2022-08-24T13:42:00Z" w:initials="FJ">
    <w:p w14:paraId="2F875AD2" w14:textId="77777777" w:rsidR="00225CCF" w:rsidRDefault="00225CCF" w:rsidP="00225CCF">
      <w:pPr>
        <w:pStyle w:val="CommentText"/>
      </w:pPr>
      <w:r>
        <w:rPr>
          <w:rStyle w:val="CommentReference"/>
        </w:rPr>
        <w:annotationRef/>
      </w:r>
      <w:r>
        <w:t>Changed tense.</w:t>
      </w:r>
    </w:p>
  </w:comment>
  <w:comment w:id="158" w:author="Feng, Jimmy" w:date="2022-08-19T12:42:00Z" w:initials="FJ">
    <w:p w14:paraId="5AEA2649" w14:textId="1DF74AE8" w:rsidR="00593A8C" w:rsidRDefault="00593A8C">
      <w:pPr>
        <w:pStyle w:val="CommentText"/>
      </w:pPr>
      <w:r>
        <w:rPr>
          <w:rStyle w:val="CommentReference"/>
        </w:rPr>
        <w:annotationRef/>
      </w:r>
      <w:r>
        <w:t xml:space="preserve">SLS: You also need to clearly summarize and highlight why the four specific case studies were chosen in this research and how each case study demonstrates the power of the GIS system to address </w:t>
      </w:r>
      <w:proofErr w:type="gramStart"/>
      <w:r>
        <w:t>particular shortcomings</w:t>
      </w:r>
      <w:proofErr w:type="gramEnd"/>
      <w:r>
        <w:t xml:space="preserve"> of current approaches.</w:t>
      </w:r>
    </w:p>
  </w:comment>
  <w:comment w:id="159" w:author="Feng, Jimmy" w:date="2022-09-09T10:35:00Z" w:initials="FJ">
    <w:p w14:paraId="1DCDA90C" w14:textId="78FD6FA6" w:rsidR="006B57CF" w:rsidRDefault="006B57CF">
      <w:pPr>
        <w:pStyle w:val="CommentText"/>
      </w:pPr>
      <w:r>
        <w:rPr>
          <w:rStyle w:val="CommentReference"/>
        </w:rPr>
        <w:annotationRef/>
      </w:r>
      <w:r w:rsidR="00997FBF">
        <w:t xml:space="preserve">In the next five paragraphs, </w:t>
      </w:r>
      <w:r>
        <w:t>I attempted t</w:t>
      </w:r>
      <w:r w:rsidR="00997FBF">
        <w:t xml:space="preserve">o articulate the importance of the four case studies and how each of them demonstrates the power of the GIS system to address </w:t>
      </w:r>
      <w:proofErr w:type="gramStart"/>
      <w:r w:rsidR="00997FBF">
        <w:t>particular shortcomings</w:t>
      </w:r>
      <w:proofErr w:type="gramEnd"/>
      <w:r w:rsidR="00997FBF">
        <w:t xml:space="preserve"> in extant approaches.</w:t>
      </w:r>
    </w:p>
  </w:comment>
  <w:comment w:id="160" w:author="Feng, Jimmy" w:date="2022-09-09T11:24:00Z" w:initials="FJ">
    <w:p w14:paraId="1A6023CF" w14:textId="4590DBAA" w:rsidR="00480832" w:rsidRDefault="00480832">
      <w:pPr>
        <w:pStyle w:val="CommentText"/>
      </w:pPr>
      <w:r>
        <w:rPr>
          <w:rStyle w:val="CommentReference"/>
        </w:rPr>
        <w:annotationRef/>
      </w:r>
      <w:r>
        <w:t xml:space="preserve">QW: </w:t>
      </w:r>
      <w:r w:rsidRPr="00F545AF">
        <w:t>The conceptual framework can potentially be applicable to many other things, such as hospitals, schools, restaurants, parks, etc. In the discussion, you should go beyond food access and discuss how the proposed framework can be useful for other accessibility research.</w:t>
      </w:r>
    </w:p>
  </w:comment>
  <w:comment w:id="161" w:author="Feng, Jimmy" w:date="2022-09-09T11:24:00Z" w:initials="FJ">
    <w:p w14:paraId="6147DC4D" w14:textId="6BBF2566" w:rsidR="00480832" w:rsidRDefault="00480832">
      <w:pPr>
        <w:pStyle w:val="CommentText"/>
      </w:pPr>
      <w:r>
        <w:rPr>
          <w:rStyle w:val="CommentReference"/>
        </w:rPr>
        <w:annotationRef/>
      </w:r>
      <w:r>
        <w:t>I also discuss this point in my latest edits in the case study section (last paragraph of each individual subsection in Section 4.)</w:t>
      </w:r>
    </w:p>
  </w:comment>
  <w:comment w:id="162" w:author="Feng, Jimmy" w:date="2022-09-02T19:45:00Z" w:initials="FJ">
    <w:p w14:paraId="532F667E" w14:textId="77777777" w:rsidR="00DB4CE9" w:rsidRDefault="00DB4CE9" w:rsidP="00DB4CE9">
      <w:pPr>
        <w:pStyle w:val="NormalWeb"/>
        <w:shd w:val="clear" w:color="auto" w:fill="FFFFFF"/>
        <w:spacing w:before="0" w:beforeAutospacing="0" w:after="160" w:afterAutospacing="0"/>
        <w:rPr>
          <w:color w:val="000000"/>
          <w:sz w:val="20"/>
          <w:szCs w:val="20"/>
        </w:rPr>
      </w:pPr>
      <w:r>
        <w:rPr>
          <w:rStyle w:val="CommentReference"/>
        </w:rPr>
        <w:annotationRef/>
      </w:r>
      <w:r>
        <w:t xml:space="preserve">MS: </w:t>
      </w:r>
      <w:r>
        <w:rPr>
          <w:color w:val="000000"/>
          <w:shd w:val="clear" w:color="auto" w:fill="FFFFFF"/>
        </w:rPr>
        <w:t>Somewhere/somehow, you also need to succinctly highlight and link these findings with the geography of segregated/unequal spaces/poverty, etc. -- in few sentences in the lit review or in the findings/analysis part. Your contribution to access is also adding to the body of literature of segregation wherein specific food desserts exist due to the segregationist policies, which impact not only the availability of groceries, etc., but also the digital divide, the quality of groceries, and the long-lasting effects on communities living around. So, your work is contributing in many other ways than what you have claimed. You need to mention some of these too. </w:t>
      </w:r>
    </w:p>
    <w:p w14:paraId="426511D5" w14:textId="5C7BE256" w:rsidR="00DB4CE9" w:rsidRDefault="00DB4CE9">
      <w:pPr>
        <w:pStyle w:val="CommentText"/>
      </w:pPr>
    </w:p>
  </w:comment>
  <w:comment w:id="163" w:author="Feng, Jimmy" w:date="2022-09-02T19:45:00Z" w:initials="FJ">
    <w:p w14:paraId="22E13695" w14:textId="652B99BA" w:rsidR="00DB4CE9" w:rsidRDefault="00DB4CE9">
      <w:pPr>
        <w:pStyle w:val="CommentText"/>
      </w:pPr>
      <w:r>
        <w:rPr>
          <w:rStyle w:val="CommentReference"/>
        </w:rPr>
        <w:annotationRef/>
      </w:r>
      <w:r>
        <w:t>I attempted to tie together literature on the geography of segregation and unequal spaces with food access</w:t>
      </w:r>
      <w:r w:rsidR="00C47E42">
        <w:t xml:space="preserve"> in this paragraph.</w:t>
      </w:r>
    </w:p>
  </w:comment>
  <w:comment w:id="165" w:author="Feng, Jimmy" w:date="2022-08-19T12:41:00Z" w:initials="FJ">
    <w:p w14:paraId="7C185FDF" w14:textId="6D2FDD27" w:rsidR="007512B2" w:rsidRDefault="007512B2">
      <w:pPr>
        <w:pStyle w:val="CommentText"/>
      </w:pPr>
      <w:r>
        <w:rPr>
          <w:rStyle w:val="CommentReference"/>
        </w:rPr>
        <w:annotationRef/>
      </w:r>
      <w:r>
        <w:t>SLS: This research already moved to integrate person- and place-based accessibility. Rephrase it.</w:t>
      </w:r>
    </w:p>
  </w:comment>
  <w:comment w:id="166" w:author="Feng, Jimmy" w:date="2022-08-26T17:07:00Z" w:initials="FJ">
    <w:p w14:paraId="6CF2262A" w14:textId="362E672B" w:rsidR="00313E94" w:rsidRDefault="00313E94">
      <w:pPr>
        <w:pStyle w:val="CommentText"/>
      </w:pPr>
      <w:r>
        <w:rPr>
          <w:rStyle w:val="CommentReference"/>
        </w:rPr>
        <w:annotationRef/>
      </w:r>
      <w:r>
        <w:t>‘</w:t>
      </w:r>
      <w:proofErr w:type="gramStart"/>
      <w:r>
        <w:t>further</w:t>
      </w:r>
      <w:proofErr w:type="gramEnd"/>
      <w:r>
        <w:t xml:space="preserve"> unite</w:t>
      </w:r>
      <w:r w:rsidR="00F05A9E">
        <w:t>’ instead of ‘reconcile’</w:t>
      </w:r>
    </w:p>
  </w:comment>
  <w:comment w:id="167" w:author="Feng, Jimmy" w:date="2022-08-19T12:41:00Z" w:initials="FJ">
    <w:p w14:paraId="7A9F86F2" w14:textId="6929BE79" w:rsidR="0059209A" w:rsidRDefault="0059209A">
      <w:pPr>
        <w:pStyle w:val="CommentText"/>
      </w:pPr>
      <w:r>
        <w:rPr>
          <w:rStyle w:val="CommentReference"/>
        </w:rPr>
        <w:annotationRef/>
      </w:r>
      <w:r>
        <w:t>SLS: Can you be more specific on what analytical functions and data sources should be developed?</w:t>
      </w:r>
    </w:p>
  </w:comment>
  <w:comment w:id="168" w:author="Feng, Jimmy" w:date="2022-09-08T18:46:00Z" w:initials="FJ">
    <w:p w14:paraId="0E75EBBC" w14:textId="5F36E906" w:rsidR="00C87811" w:rsidRDefault="00C87811">
      <w:pPr>
        <w:pStyle w:val="CommentText"/>
      </w:pPr>
      <w:r>
        <w:rPr>
          <w:rStyle w:val="CommentReference"/>
        </w:rPr>
        <w:annotationRef/>
      </w:r>
      <w:r w:rsidR="008F0D2C">
        <w:t xml:space="preserve">I attempted to better </w:t>
      </w:r>
      <w:r w:rsidR="00B22B44">
        <w:t>articulate what analytical functions and data sources should be explored/developed in the following five paragraphs.</w:t>
      </w:r>
    </w:p>
  </w:comment>
  <w:comment w:id="169" w:author="Feng, Jimmy" w:date="2022-08-19T12:41:00Z" w:initials="FJ">
    <w:p w14:paraId="67A360F6" w14:textId="5A5BE037" w:rsidR="00AB18E3" w:rsidRDefault="00AB18E3">
      <w:pPr>
        <w:pStyle w:val="CommentText"/>
      </w:pPr>
      <w:r>
        <w:t xml:space="preserve">SLS: </w:t>
      </w:r>
      <w:r>
        <w:rPr>
          <w:rStyle w:val="CommentReference"/>
        </w:rPr>
        <w:annotationRef/>
      </w:r>
      <w:r>
        <w:t>Can you be specific on what are covered in this GIS system and what are not covered in the GIS system?</w:t>
      </w:r>
    </w:p>
  </w:comment>
  <w:comment w:id="170" w:author="Feng, Jimmy" w:date="2022-09-08T21:41:00Z" w:initials="FJ">
    <w:p w14:paraId="558D81E0" w14:textId="47AEF3D9" w:rsidR="00C30A80" w:rsidRDefault="00C30A80">
      <w:pPr>
        <w:pStyle w:val="CommentText"/>
      </w:pPr>
      <w:r>
        <w:rPr>
          <w:rStyle w:val="CommentReference"/>
        </w:rPr>
        <w:annotationRef/>
      </w:r>
      <w:r w:rsidR="006B57CF">
        <w:rPr>
          <w:rStyle w:val="CommentReference"/>
        </w:rPr>
        <w:t>The previous paragraph summarizes what is covered in the GIS system while this paragraph discusses what is not covered (but could be explored further) in the GIS system.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FFD78B" w15:done="0"/>
  <w15:commentEx w15:paraId="368AD174" w15:paraIdParent="21FFD78B" w15:done="0"/>
  <w15:commentEx w15:paraId="0CC811E0" w15:done="0"/>
  <w15:commentEx w15:paraId="0F6F7A2C" w15:paraIdParent="0CC811E0" w15:done="0"/>
  <w15:commentEx w15:paraId="42D37437" w15:done="0"/>
  <w15:commentEx w15:paraId="191655F5" w15:paraIdParent="42D37437" w15:done="0"/>
  <w15:commentEx w15:paraId="1B7C3239" w15:done="0"/>
  <w15:commentEx w15:paraId="02AB64A5" w15:paraIdParent="1B7C3239" w15:done="0"/>
  <w15:commentEx w15:paraId="4E4D6921" w15:done="0"/>
  <w15:commentEx w15:paraId="25C72144" w15:paraIdParent="4E4D6921" w15:done="0"/>
  <w15:commentEx w15:paraId="3F1CCFD1" w15:done="0"/>
  <w15:commentEx w15:paraId="48163BD6" w15:paraIdParent="3F1CCFD1" w15:done="0"/>
  <w15:commentEx w15:paraId="1061CE0A" w15:done="0"/>
  <w15:commentEx w15:paraId="5DBD833A" w15:paraIdParent="1061CE0A" w15:done="0"/>
  <w15:commentEx w15:paraId="2D3526E7" w15:done="0"/>
  <w15:commentEx w15:paraId="66C22D30" w15:paraIdParent="2D3526E7" w15:done="0"/>
  <w15:commentEx w15:paraId="0862EDD1" w15:done="0"/>
  <w15:commentEx w15:paraId="433BE7DF" w15:paraIdParent="0862EDD1" w15:done="0"/>
  <w15:commentEx w15:paraId="30C33ED3" w15:done="0"/>
  <w15:commentEx w15:paraId="4D4DEAA3" w15:paraIdParent="30C33ED3" w15:done="0"/>
  <w15:commentEx w15:paraId="142B91E6" w15:done="0"/>
  <w15:commentEx w15:paraId="1832DF39" w15:paraIdParent="142B91E6" w15:done="0"/>
  <w15:commentEx w15:paraId="05287841" w15:done="0"/>
  <w15:commentEx w15:paraId="42DFF6F2" w15:paraIdParent="05287841" w15:done="0"/>
  <w15:commentEx w15:paraId="06029935" w15:done="0"/>
  <w15:commentEx w15:paraId="5B0131D5" w15:paraIdParent="06029935" w15:done="0"/>
  <w15:commentEx w15:paraId="5F4C30E9" w15:done="0"/>
  <w15:commentEx w15:paraId="25B3388E" w15:paraIdParent="5F4C30E9" w15:done="0"/>
  <w15:commentEx w15:paraId="51FECA4D" w15:done="0"/>
  <w15:commentEx w15:paraId="02E77D3F" w15:paraIdParent="51FECA4D" w15:done="0"/>
  <w15:commentEx w15:paraId="4095DA6E" w15:done="0"/>
  <w15:commentEx w15:paraId="4959F7A5" w15:paraIdParent="4095DA6E" w15:done="0"/>
  <w15:commentEx w15:paraId="194B004A" w15:done="0"/>
  <w15:commentEx w15:paraId="3AF87EC0" w15:paraIdParent="194B004A" w15:done="0"/>
  <w15:commentEx w15:paraId="55A2931A" w15:done="0"/>
  <w15:commentEx w15:paraId="48A74794" w15:paraIdParent="55A2931A" w15:done="0"/>
  <w15:commentEx w15:paraId="7D91F970" w15:done="0"/>
  <w15:commentEx w15:paraId="31C79433" w15:paraIdParent="7D91F970" w15:done="0"/>
  <w15:commentEx w15:paraId="7DA96B9E" w15:done="0"/>
  <w15:commentEx w15:paraId="483FB3E6" w15:paraIdParent="7DA96B9E" w15:done="0"/>
  <w15:commentEx w15:paraId="7E70F5A7" w15:done="0"/>
  <w15:commentEx w15:paraId="0A684306" w15:paraIdParent="7E70F5A7" w15:done="0"/>
  <w15:commentEx w15:paraId="447E5B57" w15:done="0"/>
  <w15:commentEx w15:paraId="778B2F9F" w15:paraIdParent="447E5B57" w15:done="0"/>
  <w15:commentEx w15:paraId="50A26A4B" w15:done="0"/>
  <w15:commentEx w15:paraId="0B26F88C" w15:paraIdParent="50A26A4B" w15:done="0"/>
  <w15:commentEx w15:paraId="5A16C99C" w15:done="0"/>
  <w15:commentEx w15:paraId="493C6998" w15:paraIdParent="5A16C99C" w15:done="0"/>
  <w15:commentEx w15:paraId="56F5A7F8" w15:done="0"/>
  <w15:commentEx w15:paraId="04D453D3" w15:paraIdParent="56F5A7F8" w15:done="0"/>
  <w15:commentEx w15:paraId="285D2747" w15:done="0"/>
  <w15:commentEx w15:paraId="5F52F316" w15:paraIdParent="285D2747" w15:done="0"/>
  <w15:commentEx w15:paraId="58E0DAB4" w15:done="0"/>
  <w15:commentEx w15:paraId="7A121BAD" w15:paraIdParent="58E0DAB4" w15:done="0"/>
  <w15:commentEx w15:paraId="006E1585" w15:done="0"/>
  <w15:commentEx w15:paraId="502BAF5D" w15:paraIdParent="006E1585" w15:done="0"/>
  <w15:commentEx w15:paraId="0E3135DD" w15:done="0"/>
  <w15:commentEx w15:paraId="5C5754D2" w15:paraIdParent="0E3135DD" w15:done="0"/>
  <w15:commentEx w15:paraId="52479859" w15:done="0"/>
  <w15:commentEx w15:paraId="51312E71" w15:paraIdParent="52479859" w15:done="0"/>
  <w15:commentEx w15:paraId="4E03EE3E" w15:done="0"/>
  <w15:commentEx w15:paraId="22F49B74" w15:paraIdParent="4E03EE3E" w15:done="0"/>
  <w15:commentEx w15:paraId="306163D7" w15:done="0"/>
  <w15:commentEx w15:paraId="13262ABF" w15:paraIdParent="306163D7" w15:done="0"/>
  <w15:commentEx w15:paraId="29ACEBD6" w15:done="0"/>
  <w15:commentEx w15:paraId="6955923C" w15:paraIdParent="29ACEBD6" w15:done="0"/>
  <w15:commentEx w15:paraId="2B6DA7E9" w15:done="0"/>
  <w15:commentEx w15:paraId="3456C4A0" w15:paraIdParent="2B6DA7E9" w15:done="0"/>
  <w15:commentEx w15:paraId="3BB7DF71" w15:done="0"/>
  <w15:commentEx w15:paraId="061AD1D2" w15:paraIdParent="3BB7DF71" w15:done="0"/>
  <w15:commentEx w15:paraId="4FE1EDBA" w15:done="0"/>
  <w15:commentEx w15:paraId="78997D33" w15:paraIdParent="4FE1EDBA" w15:done="0"/>
  <w15:commentEx w15:paraId="26D87025" w15:done="0"/>
  <w15:commentEx w15:paraId="585305D8" w15:paraIdParent="26D87025" w15:done="0"/>
  <w15:commentEx w15:paraId="3E495FE1" w15:done="0"/>
  <w15:commentEx w15:paraId="2833BCCE" w15:paraIdParent="3E495FE1" w15:done="0"/>
  <w15:commentEx w15:paraId="4139CA76" w15:done="0"/>
  <w15:commentEx w15:paraId="2F61C999" w15:paraIdParent="4139CA76" w15:done="0"/>
  <w15:commentEx w15:paraId="2EAAD384" w15:done="0"/>
  <w15:commentEx w15:paraId="55F00652" w15:paraIdParent="2EAAD384" w15:done="0"/>
  <w15:commentEx w15:paraId="6788DF02" w15:done="0"/>
  <w15:commentEx w15:paraId="6BE4B148" w15:paraIdParent="6788DF02" w15:done="0"/>
  <w15:commentEx w15:paraId="05C574E5" w15:done="0"/>
  <w15:commentEx w15:paraId="03223B54" w15:paraIdParent="05C574E5" w15:done="0"/>
  <w15:commentEx w15:paraId="397EC5DF" w15:done="0"/>
  <w15:commentEx w15:paraId="14ED5C0F" w15:paraIdParent="397EC5DF" w15:done="0"/>
  <w15:commentEx w15:paraId="03669A92" w15:done="0"/>
  <w15:commentEx w15:paraId="0B02B92E" w15:paraIdParent="03669A92" w15:done="0"/>
  <w15:commentEx w15:paraId="4B4E972D" w15:done="0"/>
  <w15:commentEx w15:paraId="2DB11AA2" w15:paraIdParent="4B4E972D" w15:done="0"/>
  <w15:commentEx w15:paraId="13F16A4A" w15:done="0"/>
  <w15:commentEx w15:paraId="2F875AD2" w15:paraIdParent="13F16A4A" w15:done="0"/>
  <w15:commentEx w15:paraId="5AEA2649" w15:done="0"/>
  <w15:commentEx w15:paraId="1DCDA90C" w15:paraIdParent="5AEA2649" w15:done="0"/>
  <w15:commentEx w15:paraId="1A6023CF" w15:done="0"/>
  <w15:commentEx w15:paraId="6147DC4D" w15:paraIdParent="1A6023CF" w15:done="0"/>
  <w15:commentEx w15:paraId="426511D5" w15:done="0"/>
  <w15:commentEx w15:paraId="22E13695" w15:paraIdParent="426511D5" w15:done="0"/>
  <w15:commentEx w15:paraId="7C185FDF" w15:done="0"/>
  <w15:commentEx w15:paraId="6CF2262A" w15:paraIdParent="7C185FDF" w15:done="0"/>
  <w15:commentEx w15:paraId="7A9F86F2" w15:done="0"/>
  <w15:commentEx w15:paraId="0E75EBBC" w15:paraIdParent="7A9F86F2" w15:done="0"/>
  <w15:commentEx w15:paraId="67A360F6" w15:done="0"/>
  <w15:commentEx w15:paraId="558D81E0" w15:paraIdParent="67A360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7947B" w16cex:dateUtc="2022-08-17T20:23:00Z"/>
  <w16cex:commentExtensible w16cex:durableId="26A8BA23" w16cex:dateUtc="2022-08-18T17:16:00Z"/>
  <w16cex:commentExtensible w16cex:durableId="26C606C6" w16cex:dateUtc="2022-09-09T23:39:00Z"/>
  <w16cex:commentExtensible w16cex:durableId="26C606CA" w16cex:dateUtc="2022-09-09T23:39:00Z"/>
  <w16cex:commentExtensible w16cex:durableId="26C60CAB" w16cex:dateUtc="2022-09-10T00:04:00Z"/>
  <w16cex:commentExtensible w16cex:durableId="26C60CAE" w16cex:dateUtc="2022-09-10T00:04:00Z"/>
  <w16cex:commentExtensible w16cex:durableId="26C6075D" w16cex:dateUtc="2022-09-09T23:41:00Z"/>
  <w16cex:commentExtensible w16cex:durableId="26C60760" w16cex:dateUtc="2022-09-09T23:41:00Z"/>
  <w16cex:commentExtensible w16cex:durableId="26C6078F" w16cex:dateUtc="2022-09-09T23:42:00Z"/>
  <w16cex:commentExtensible w16cex:durableId="26C60792" w16cex:dateUtc="2022-09-09T23:42:00Z"/>
  <w16cex:commentExtensible w16cex:durableId="26A8C08C" w16cex:dateUtc="2022-08-18T17:43:00Z"/>
  <w16cex:commentExtensible w16cex:durableId="26A8C095" w16cex:dateUtc="2022-08-18T17:43:00Z"/>
  <w16cex:commentExtensible w16cex:durableId="26A8D04E" w16cex:dateUtc="2022-08-18T18:50:00Z"/>
  <w16cex:commentExtensible w16cex:durableId="26C59B1F" w16cex:dateUtc="2022-09-09T15:59:00Z"/>
  <w16cex:commentExtensible w16cex:durableId="26A8D069" w16cex:dateUtc="2022-08-18T18:51:00Z"/>
  <w16cex:commentExtensible w16cex:durableId="26A8D06E" w16cex:dateUtc="2022-08-18T18:51:00Z"/>
  <w16cex:commentExtensible w16cex:durableId="26A79B0D" w16cex:dateUtc="2022-08-17T20:51:00Z"/>
  <w16cex:commentExtensible w16cex:durableId="26B9FEC2" w16cex:dateUtc="2022-08-31T20:37:00Z"/>
  <w16cex:commentExtensible w16cex:durableId="26A79BCD" w16cex:dateUtc="2022-08-17T20:54:00Z"/>
  <w16cex:commentExtensible w16cex:durableId="26C59B08" w16cex:dateUtc="2022-09-09T15:59:00Z"/>
  <w16cex:commentExtensible w16cex:durableId="26A79BC3" w16cex:dateUtc="2022-08-17T20:54:00Z"/>
  <w16cex:commentExtensible w16cex:durableId="26BA045B" w16cex:dateUtc="2022-08-31T21:01:00Z"/>
  <w16cex:commentExtensible w16cex:durableId="26A79BA1" w16cex:dateUtc="2022-08-17T20:53:00Z"/>
  <w16cex:commentExtensible w16cex:durableId="26C59AD8" w16cex:dateUtc="2022-09-09T15:58:00Z"/>
  <w16cex:commentExtensible w16cex:durableId="26A79BDD" w16cex:dateUtc="2022-08-17T20:54:00Z"/>
  <w16cex:commentExtensible w16cex:durableId="26B9F774" w16cex:dateUtc="2022-08-31T20:06:00Z"/>
  <w16cex:commentExtensible w16cex:durableId="26A79C00" w16cex:dateUtc="2022-08-17T20:55:00Z"/>
  <w16cex:commentExtensible w16cex:durableId="26ADCA11" w16cex:dateUtc="2022-08-22T13:25:00Z"/>
  <w16cex:commentExtensible w16cex:durableId="26A79C10" w16cex:dateUtc="2022-08-17T20:55:00Z"/>
  <w16cex:commentExtensible w16cex:durableId="26ADC3A6" w16cex:dateUtc="2022-08-22T12:58:00Z"/>
  <w16cex:commentExtensible w16cex:durableId="26A79C50" w16cex:dateUtc="2022-08-17T20:56:00Z"/>
  <w16cex:commentExtensible w16cex:durableId="26AA3BA8" w16cex:dateUtc="2022-08-19T20:41:00Z"/>
  <w16cex:commentExtensible w16cex:durableId="26A79C61" w16cex:dateUtc="2022-08-17T20:57:00Z"/>
  <w16cex:commentExtensible w16cex:durableId="26AA3E83" w16cex:dateUtc="2022-08-19T20:53:00Z"/>
  <w16cex:commentExtensible w16cex:durableId="26A79C97" w16cex:dateUtc="2022-08-17T20:57:00Z"/>
  <w16cex:commentExtensible w16cex:durableId="26ADF29C" w16cex:dateUtc="2022-08-22T16:18:00Z"/>
  <w16cex:commentExtensible w16cex:durableId="26A79CAD" w16cex:dateUtc="2022-08-17T20:58:00Z"/>
  <w16cex:commentExtensible w16cex:durableId="26AA4407" w16cex:dateUtc="2022-08-19T21:16:00Z"/>
  <w16cex:commentExtensible w16cex:durableId="26A79CF0" w16cex:dateUtc="2022-08-17T20:59:00Z"/>
  <w16cex:commentExtensible w16cex:durableId="26AA5EA4" w16cex:dateUtc="2022-08-19T23:10:00Z"/>
  <w16cex:commentExtensible w16cex:durableId="26A79D0A" w16cex:dateUtc="2022-08-17T20:59:00Z"/>
  <w16cex:commentExtensible w16cex:durableId="26ADE00A" w16cex:dateUtc="2022-08-22T14:59:00Z"/>
  <w16cex:commentExtensible w16cex:durableId="26A79D18" w16cex:dateUtc="2022-08-17T21:00:00Z"/>
  <w16cex:commentExtensible w16cex:durableId="26ADEC77" w16cex:dateUtc="2022-08-22T15:52:00Z"/>
  <w16cex:commentExtensible w16cex:durableId="26A79D28" w16cex:dateUtc="2022-08-17T21:00:00Z"/>
  <w16cex:commentExtensible w16cex:durableId="26B9F6F4" w16cex:dateUtc="2022-08-31T20:04:00Z"/>
  <w16cex:commentExtensible w16cex:durableId="26A79D65" w16cex:dateUtc="2022-08-17T21:01:00Z"/>
  <w16cex:commentExtensible w16cex:durableId="26B9F5DF" w16cex:dateUtc="2022-08-31T19:59:00Z"/>
  <w16cex:commentExtensible w16cex:durableId="26A93030" w16cex:dateUtc="2022-08-19T01:40:00Z"/>
  <w16cex:commentExtensible w16cex:durableId="26A934FC" w16cex:dateUtc="2022-08-19T02:00:00Z"/>
  <w16cex:commentExtensible w16cex:durableId="26B25FFA" w16cex:dateUtc="2022-08-26T00:54:00Z"/>
  <w16cex:commentExtensible w16cex:durableId="26C5996B" w16cex:dateUtc="2022-09-09T15:52:00Z"/>
  <w16cex:commentExtensible w16cex:durableId="26A935BE" w16cex:dateUtc="2022-08-19T02:03:00Z"/>
  <w16cex:commentExtensible w16cex:durableId="26A94461" w16cex:dateUtc="2022-08-19T03:06:00Z"/>
  <w16cex:commentExtensible w16cex:durableId="26A944B3" w16cex:dateUtc="2022-08-19T03:07:00Z"/>
  <w16cex:commentExtensible w16cex:durableId="26BA076D" w16cex:dateUtc="2022-08-31T21:14:00Z"/>
  <w16cex:commentExtensible w16cex:durableId="26A945D7" w16cex:dateUtc="2022-08-19T03:12:00Z"/>
  <w16cex:commentExtensible w16cex:durableId="26A945DB" w16cex:dateUtc="2022-08-19T03:12:00Z"/>
  <w16cex:commentExtensible w16cex:durableId="26A94706" w16cex:dateUtc="2022-08-19T03:17:00Z"/>
  <w16cex:commentExtensible w16cex:durableId="26C598C8" w16cex:dateUtc="2022-09-09T15:49:00Z"/>
  <w16cex:commentExtensible w16cex:durableId="26A94731" w16cex:dateUtc="2022-08-19T03:18:00Z"/>
  <w16cex:commentExtensible w16cex:durableId="26C598A8" w16cex:dateUtc="2022-09-09T15:49:00Z"/>
  <w16cex:commentExtensible w16cex:durableId="26A9474A" w16cex:dateUtc="2022-08-19T03:18:00Z"/>
  <w16cex:commentExtensible w16cex:durableId="26AA02E1" w16cex:dateUtc="2022-08-19T16:38:00Z"/>
  <w16cex:commentExtensible w16cex:durableId="26A94778" w16cex:dateUtc="2022-08-19T03:19:00Z"/>
  <w16cex:commentExtensible w16cex:durableId="26A9477B" w16cex:dateUtc="2022-08-19T03:19:00Z"/>
  <w16cex:commentExtensible w16cex:durableId="26A794C2" w16cex:dateUtc="2022-08-17T20:24:00Z"/>
  <w16cex:commentExtensible w16cex:durableId="26AA024E" w16cex:dateUtc="2022-08-19T16:36:00Z"/>
  <w16cex:commentExtensible w16cex:durableId="26A947A4" w16cex:dateUtc="2022-08-19T03:20:00Z"/>
  <w16cex:commentExtensible w16cex:durableId="26C59843" w16cex:dateUtc="2022-09-09T15:47:00Z"/>
  <w16cex:commentExtensible w16cex:durableId="26A94845" w16cex:dateUtc="2022-08-19T03:22:00Z"/>
  <w16cex:commentExtensible w16cex:durableId="26B9F57B" w16cex:dateUtc="2022-08-31T19:58:00Z"/>
  <w16cex:commentExtensible w16cex:durableId="26A94890" w16cex:dateUtc="2022-08-19T03:24:00Z"/>
  <w16cex:commentExtensible w16cex:durableId="26C597F2" w16cex:dateUtc="2022-09-09T15:46:00Z"/>
  <w16cex:commentExtensible w16cex:durableId="26A794F4" w16cex:dateUtc="2022-08-17T20:25:00Z"/>
  <w16cex:commentExtensible w16cex:durableId="26A79500" w16cex:dateUtc="2022-08-17T20:25:00Z"/>
  <w16cex:commentExtensible w16cex:durableId="26A79552" w16cex:dateUtc="2022-08-17T20:26:00Z"/>
  <w16cex:commentExtensible w16cex:durableId="26B9F2D9" w16cex:dateUtc="2022-08-31T19:46:00Z"/>
  <w16cex:commentExtensible w16cex:durableId="26A9492A" w16cex:dateUtc="2022-08-19T03:26:00Z"/>
  <w16cex:commentExtensible w16cex:durableId="26A9EE91" w16cex:dateUtc="2022-08-19T15:12:00Z"/>
  <w16cex:commentExtensible w16cex:durableId="26A94900" w16cex:dateUtc="2022-08-19T03:25:00Z"/>
  <w16cex:commentExtensible w16cex:durableId="26A9EEAC" w16cex:dateUtc="2022-08-19T15:12:00Z"/>
  <w16cex:commentExtensible w16cex:durableId="26AA0621" w16cex:dateUtc="2022-08-19T16:52:00Z"/>
  <w16cex:commentExtensible w16cex:durableId="26BC4589" w16cex:dateUtc="2022-09-02T14:04:00Z"/>
  <w16cex:commentExtensible w16cex:durableId="26AA0506" w16cex:dateUtc="2022-08-19T16:48:00Z"/>
  <w16cex:commentExtensible w16cex:durableId="26AA0509" w16cex:dateUtc="2022-08-19T16:48:00Z"/>
  <w16cex:commentExtensible w16cex:durableId="26A7953C" w16cex:dateUtc="2022-08-17T20:26:00Z"/>
  <w16cex:commentExtensible w16cex:durableId="26C5A36E" w16cex:dateUtc="2022-09-09T16:35:00Z"/>
  <w16cex:commentExtensible w16cex:durableId="26BC688C" w16cex:dateUtc="2022-09-02T16:33:00Z"/>
  <w16cex:commentExtensible w16cex:durableId="26C595CA" w16cex:dateUtc="2022-09-09T15:36:00Z"/>
  <w16cex:commentExtensible w16cex:durableId="26B0A945" w16cex:dateUtc="2022-08-24T17:42:00Z"/>
  <w16cex:commentExtensible w16cex:durableId="26B0A950" w16cex:dateUtc="2022-08-24T17:42:00Z"/>
  <w16cex:commentExtensible w16cex:durableId="26AA03A2" w16cex:dateUtc="2022-08-19T16:42:00Z"/>
  <w16cex:commentExtensible w16cex:durableId="26C59585" w16cex:dateUtc="2022-09-09T15:35:00Z"/>
  <w16cex:commentExtensible w16cex:durableId="26C5A0DF" w16cex:dateUtc="2022-09-09T16:24:00Z"/>
  <w16cex:commentExtensible w16cex:durableId="26C5A0E8" w16cex:dateUtc="2022-09-09T16:24:00Z"/>
  <w16cex:commentExtensible w16cex:durableId="26BCDBCC" w16cex:dateUtc="2022-09-03T00:45:00Z"/>
  <w16cex:commentExtensible w16cex:durableId="26BCDBD4" w16cex:dateUtc="2022-09-03T00:45:00Z"/>
  <w16cex:commentExtensible w16cex:durableId="26AA0391" w16cex:dateUtc="2022-08-19T16:41:00Z"/>
  <w16cex:commentExtensible w16cex:durableId="26B37C6F" w16cex:dateUtc="2022-08-26T22:07:00Z"/>
  <w16cex:commentExtensible w16cex:durableId="26AA037F" w16cex:dateUtc="2022-08-19T16:41:00Z"/>
  <w16cex:commentExtensible w16cex:durableId="26C4B707" w16cex:dateUtc="2022-09-08T23:46:00Z"/>
  <w16cex:commentExtensible w16cex:durableId="26AA0362" w16cex:dateUtc="2022-08-19T16:41:00Z"/>
  <w16cex:commentExtensible w16cex:durableId="26C4E006" w16cex:dateUtc="2022-09-09T0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FFD78B" w16cid:durableId="26A7947B"/>
  <w16cid:commentId w16cid:paraId="368AD174" w16cid:durableId="26A8BA23"/>
  <w16cid:commentId w16cid:paraId="0CC811E0" w16cid:durableId="26C606C6"/>
  <w16cid:commentId w16cid:paraId="0F6F7A2C" w16cid:durableId="26C606CA"/>
  <w16cid:commentId w16cid:paraId="42D37437" w16cid:durableId="26C60CAB"/>
  <w16cid:commentId w16cid:paraId="191655F5" w16cid:durableId="26C60CAE"/>
  <w16cid:commentId w16cid:paraId="1B7C3239" w16cid:durableId="26C6075D"/>
  <w16cid:commentId w16cid:paraId="02AB64A5" w16cid:durableId="26C60760"/>
  <w16cid:commentId w16cid:paraId="4E4D6921" w16cid:durableId="26C6078F"/>
  <w16cid:commentId w16cid:paraId="25C72144" w16cid:durableId="26C60792"/>
  <w16cid:commentId w16cid:paraId="3F1CCFD1" w16cid:durableId="26A8C08C"/>
  <w16cid:commentId w16cid:paraId="48163BD6" w16cid:durableId="26A8C095"/>
  <w16cid:commentId w16cid:paraId="1061CE0A" w16cid:durableId="26A8D04E"/>
  <w16cid:commentId w16cid:paraId="5DBD833A" w16cid:durableId="26C59B1F"/>
  <w16cid:commentId w16cid:paraId="2D3526E7" w16cid:durableId="26A8D069"/>
  <w16cid:commentId w16cid:paraId="66C22D30" w16cid:durableId="26A8D06E"/>
  <w16cid:commentId w16cid:paraId="0862EDD1" w16cid:durableId="26A79B0D"/>
  <w16cid:commentId w16cid:paraId="433BE7DF" w16cid:durableId="26B9FEC2"/>
  <w16cid:commentId w16cid:paraId="30C33ED3" w16cid:durableId="26A79BCD"/>
  <w16cid:commentId w16cid:paraId="4D4DEAA3" w16cid:durableId="26C59B08"/>
  <w16cid:commentId w16cid:paraId="142B91E6" w16cid:durableId="26A79BC3"/>
  <w16cid:commentId w16cid:paraId="1832DF39" w16cid:durableId="26BA045B"/>
  <w16cid:commentId w16cid:paraId="05287841" w16cid:durableId="26A79BA1"/>
  <w16cid:commentId w16cid:paraId="42DFF6F2" w16cid:durableId="26C59AD8"/>
  <w16cid:commentId w16cid:paraId="06029935" w16cid:durableId="26A79BDD"/>
  <w16cid:commentId w16cid:paraId="5B0131D5" w16cid:durableId="26B9F774"/>
  <w16cid:commentId w16cid:paraId="5F4C30E9" w16cid:durableId="26A79C00"/>
  <w16cid:commentId w16cid:paraId="25B3388E" w16cid:durableId="26ADCA11"/>
  <w16cid:commentId w16cid:paraId="51FECA4D" w16cid:durableId="26A79C10"/>
  <w16cid:commentId w16cid:paraId="02E77D3F" w16cid:durableId="26ADC3A6"/>
  <w16cid:commentId w16cid:paraId="4095DA6E" w16cid:durableId="26A79C50"/>
  <w16cid:commentId w16cid:paraId="4959F7A5" w16cid:durableId="26AA3BA8"/>
  <w16cid:commentId w16cid:paraId="194B004A" w16cid:durableId="26A79C61"/>
  <w16cid:commentId w16cid:paraId="3AF87EC0" w16cid:durableId="26AA3E83"/>
  <w16cid:commentId w16cid:paraId="55A2931A" w16cid:durableId="26A79C97"/>
  <w16cid:commentId w16cid:paraId="48A74794" w16cid:durableId="26ADF29C"/>
  <w16cid:commentId w16cid:paraId="7D91F970" w16cid:durableId="26A79CAD"/>
  <w16cid:commentId w16cid:paraId="31C79433" w16cid:durableId="26AA4407"/>
  <w16cid:commentId w16cid:paraId="7DA96B9E" w16cid:durableId="26A79CF0"/>
  <w16cid:commentId w16cid:paraId="483FB3E6" w16cid:durableId="26AA5EA4"/>
  <w16cid:commentId w16cid:paraId="7E70F5A7" w16cid:durableId="26A79D0A"/>
  <w16cid:commentId w16cid:paraId="0A684306" w16cid:durableId="26ADE00A"/>
  <w16cid:commentId w16cid:paraId="447E5B57" w16cid:durableId="26A79D18"/>
  <w16cid:commentId w16cid:paraId="778B2F9F" w16cid:durableId="26ADEC77"/>
  <w16cid:commentId w16cid:paraId="50A26A4B" w16cid:durableId="26A79D28"/>
  <w16cid:commentId w16cid:paraId="0B26F88C" w16cid:durableId="26B9F6F4"/>
  <w16cid:commentId w16cid:paraId="5A16C99C" w16cid:durableId="26A79D65"/>
  <w16cid:commentId w16cid:paraId="493C6998" w16cid:durableId="26B9F5DF"/>
  <w16cid:commentId w16cid:paraId="56F5A7F8" w16cid:durableId="26A93030"/>
  <w16cid:commentId w16cid:paraId="04D453D3" w16cid:durableId="26A934FC"/>
  <w16cid:commentId w16cid:paraId="285D2747" w16cid:durableId="26B25FFA"/>
  <w16cid:commentId w16cid:paraId="5F52F316" w16cid:durableId="26C5996B"/>
  <w16cid:commentId w16cid:paraId="58E0DAB4" w16cid:durableId="26A935BE"/>
  <w16cid:commentId w16cid:paraId="7A121BAD" w16cid:durableId="26A94461"/>
  <w16cid:commentId w16cid:paraId="006E1585" w16cid:durableId="26A944B3"/>
  <w16cid:commentId w16cid:paraId="502BAF5D" w16cid:durableId="26BA076D"/>
  <w16cid:commentId w16cid:paraId="0E3135DD" w16cid:durableId="26A945D7"/>
  <w16cid:commentId w16cid:paraId="5C5754D2" w16cid:durableId="26A945DB"/>
  <w16cid:commentId w16cid:paraId="52479859" w16cid:durableId="26A94706"/>
  <w16cid:commentId w16cid:paraId="51312E71" w16cid:durableId="26C598C8"/>
  <w16cid:commentId w16cid:paraId="4E03EE3E" w16cid:durableId="26A94731"/>
  <w16cid:commentId w16cid:paraId="22F49B74" w16cid:durableId="26C598A8"/>
  <w16cid:commentId w16cid:paraId="306163D7" w16cid:durableId="26A9474A"/>
  <w16cid:commentId w16cid:paraId="13262ABF" w16cid:durableId="26AA02E1"/>
  <w16cid:commentId w16cid:paraId="29ACEBD6" w16cid:durableId="26A94778"/>
  <w16cid:commentId w16cid:paraId="6955923C" w16cid:durableId="26A9477B"/>
  <w16cid:commentId w16cid:paraId="2B6DA7E9" w16cid:durableId="26A794C2"/>
  <w16cid:commentId w16cid:paraId="3456C4A0" w16cid:durableId="26AA024E"/>
  <w16cid:commentId w16cid:paraId="3BB7DF71" w16cid:durableId="26A947A4"/>
  <w16cid:commentId w16cid:paraId="061AD1D2" w16cid:durableId="26C59843"/>
  <w16cid:commentId w16cid:paraId="4FE1EDBA" w16cid:durableId="26A94845"/>
  <w16cid:commentId w16cid:paraId="78997D33" w16cid:durableId="26B9F57B"/>
  <w16cid:commentId w16cid:paraId="26D87025" w16cid:durableId="26A94890"/>
  <w16cid:commentId w16cid:paraId="585305D8" w16cid:durableId="26C597F2"/>
  <w16cid:commentId w16cid:paraId="3E495FE1" w16cid:durableId="26A794F4"/>
  <w16cid:commentId w16cid:paraId="2833BCCE" w16cid:durableId="26A79500"/>
  <w16cid:commentId w16cid:paraId="4139CA76" w16cid:durableId="26A79552"/>
  <w16cid:commentId w16cid:paraId="2F61C999" w16cid:durableId="26B9F2D9"/>
  <w16cid:commentId w16cid:paraId="2EAAD384" w16cid:durableId="26A9492A"/>
  <w16cid:commentId w16cid:paraId="55F00652" w16cid:durableId="26A9EE91"/>
  <w16cid:commentId w16cid:paraId="6788DF02" w16cid:durableId="26A94900"/>
  <w16cid:commentId w16cid:paraId="6BE4B148" w16cid:durableId="26A9EEAC"/>
  <w16cid:commentId w16cid:paraId="05C574E5" w16cid:durableId="26AA0621"/>
  <w16cid:commentId w16cid:paraId="03223B54" w16cid:durableId="26BC4589"/>
  <w16cid:commentId w16cid:paraId="397EC5DF" w16cid:durableId="26AA0506"/>
  <w16cid:commentId w16cid:paraId="14ED5C0F" w16cid:durableId="26AA0509"/>
  <w16cid:commentId w16cid:paraId="03669A92" w16cid:durableId="26A7953C"/>
  <w16cid:commentId w16cid:paraId="0B02B92E" w16cid:durableId="26C5A36E"/>
  <w16cid:commentId w16cid:paraId="4B4E972D" w16cid:durableId="26BC688C"/>
  <w16cid:commentId w16cid:paraId="2DB11AA2" w16cid:durableId="26C595CA"/>
  <w16cid:commentId w16cid:paraId="13F16A4A" w16cid:durableId="26B0A945"/>
  <w16cid:commentId w16cid:paraId="2F875AD2" w16cid:durableId="26B0A950"/>
  <w16cid:commentId w16cid:paraId="5AEA2649" w16cid:durableId="26AA03A2"/>
  <w16cid:commentId w16cid:paraId="1DCDA90C" w16cid:durableId="26C59585"/>
  <w16cid:commentId w16cid:paraId="1A6023CF" w16cid:durableId="26C5A0DF"/>
  <w16cid:commentId w16cid:paraId="6147DC4D" w16cid:durableId="26C5A0E8"/>
  <w16cid:commentId w16cid:paraId="426511D5" w16cid:durableId="26BCDBCC"/>
  <w16cid:commentId w16cid:paraId="22E13695" w16cid:durableId="26BCDBD4"/>
  <w16cid:commentId w16cid:paraId="7C185FDF" w16cid:durableId="26AA0391"/>
  <w16cid:commentId w16cid:paraId="6CF2262A" w16cid:durableId="26B37C6F"/>
  <w16cid:commentId w16cid:paraId="7A9F86F2" w16cid:durableId="26AA037F"/>
  <w16cid:commentId w16cid:paraId="0E75EBBC" w16cid:durableId="26C4B707"/>
  <w16cid:commentId w16cid:paraId="67A360F6" w16cid:durableId="26AA0362"/>
  <w16cid:commentId w16cid:paraId="558D81E0" w16cid:durableId="26C4E0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C8FBE" w14:textId="77777777" w:rsidR="00E0535C" w:rsidRDefault="00E0535C" w:rsidP="007F755C">
      <w:pPr>
        <w:spacing w:after="0" w:line="240" w:lineRule="auto"/>
      </w:pPr>
      <w:r>
        <w:separator/>
      </w:r>
    </w:p>
  </w:endnote>
  <w:endnote w:type="continuationSeparator" w:id="0">
    <w:p w14:paraId="55619717" w14:textId="77777777" w:rsidR="00E0535C" w:rsidRDefault="00E0535C" w:rsidP="007F7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449239"/>
      <w:docPartObj>
        <w:docPartGallery w:val="Page Numbers (Bottom of Page)"/>
        <w:docPartUnique/>
      </w:docPartObj>
    </w:sdtPr>
    <w:sdtEndPr>
      <w:rPr>
        <w:noProof/>
      </w:rPr>
    </w:sdtEndPr>
    <w:sdtContent>
      <w:p w14:paraId="4D1B18CD" w14:textId="64E16D5F" w:rsidR="007F755C" w:rsidRDefault="007F75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A6B268" w14:textId="77777777" w:rsidR="007F755C" w:rsidRDefault="007F7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65054" w14:textId="77777777" w:rsidR="00E0535C" w:rsidRDefault="00E0535C" w:rsidP="007F755C">
      <w:pPr>
        <w:spacing w:after="0" w:line="240" w:lineRule="auto"/>
      </w:pPr>
      <w:r>
        <w:separator/>
      </w:r>
    </w:p>
  </w:footnote>
  <w:footnote w:type="continuationSeparator" w:id="0">
    <w:p w14:paraId="4902A3EB" w14:textId="77777777" w:rsidR="00E0535C" w:rsidRDefault="00E0535C" w:rsidP="007F7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3B84" w14:textId="77777777" w:rsidR="006D7382" w:rsidRDefault="006D7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AB5"/>
    <w:multiLevelType w:val="hybridMultilevel"/>
    <w:tmpl w:val="48F2D208"/>
    <w:lvl w:ilvl="0" w:tplc="A39411E2">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C3B7B"/>
    <w:multiLevelType w:val="multilevel"/>
    <w:tmpl w:val="BC4C31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981846"/>
    <w:multiLevelType w:val="hybridMultilevel"/>
    <w:tmpl w:val="701C4F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6A693B"/>
    <w:multiLevelType w:val="hybridMultilevel"/>
    <w:tmpl w:val="1256F0EC"/>
    <w:lvl w:ilvl="0" w:tplc="D2F240DE">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80280"/>
    <w:multiLevelType w:val="hybridMultilevel"/>
    <w:tmpl w:val="3BF81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908A7"/>
    <w:multiLevelType w:val="hybridMultilevel"/>
    <w:tmpl w:val="34A40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405CE"/>
    <w:multiLevelType w:val="hybridMultilevel"/>
    <w:tmpl w:val="FD2ACC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B850EE"/>
    <w:multiLevelType w:val="multilevel"/>
    <w:tmpl w:val="01A43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A6E5D"/>
    <w:multiLevelType w:val="hybridMultilevel"/>
    <w:tmpl w:val="7D103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B3D58"/>
    <w:multiLevelType w:val="multilevel"/>
    <w:tmpl w:val="1CD2297E"/>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7923B45"/>
    <w:multiLevelType w:val="hybridMultilevel"/>
    <w:tmpl w:val="793EB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8A4ECD"/>
    <w:multiLevelType w:val="hybridMultilevel"/>
    <w:tmpl w:val="706C6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8B1A52"/>
    <w:multiLevelType w:val="hybridMultilevel"/>
    <w:tmpl w:val="701C4F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0922A4"/>
    <w:multiLevelType w:val="multilevel"/>
    <w:tmpl w:val="66FE9A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6D0ACC"/>
    <w:multiLevelType w:val="hybridMultilevel"/>
    <w:tmpl w:val="3A2058E4"/>
    <w:lvl w:ilvl="0" w:tplc="DA56BAD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7A7979"/>
    <w:multiLevelType w:val="hybridMultilevel"/>
    <w:tmpl w:val="263C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603EF"/>
    <w:multiLevelType w:val="hybridMultilevel"/>
    <w:tmpl w:val="19C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3B6598"/>
    <w:multiLevelType w:val="hybridMultilevel"/>
    <w:tmpl w:val="75AA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1867ED"/>
    <w:multiLevelType w:val="multilevel"/>
    <w:tmpl w:val="736A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7C1F42"/>
    <w:multiLevelType w:val="multilevel"/>
    <w:tmpl w:val="BC4C31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C4276CA"/>
    <w:multiLevelType w:val="hybridMultilevel"/>
    <w:tmpl w:val="CD385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D458C5"/>
    <w:multiLevelType w:val="hybridMultilevel"/>
    <w:tmpl w:val="940AC1FC"/>
    <w:lvl w:ilvl="0" w:tplc="903610AE">
      <w:start w:val="1"/>
      <w:numFmt w:val="decimal"/>
      <w:lvlText w:val="%1."/>
      <w:lvlJc w:val="left"/>
      <w:pPr>
        <w:ind w:left="720" w:hanging="360"/>
      </w:pPr>
      <w:rPr>
        <w:rFonts w:ascii="Times New Roman" w:eastAsiaTheme="minorEastAsia"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2C1FB0"/>
    <w:multiLevelType w:val="multilevel"/>
    <w:tmpl w:val="AC12CE3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9CE2237"/>
    <w:multiLevelType w:val="hybridMultilevel"/>
    <w:tmpl w:val="A756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D33760"/>
    <w:multiLevelType w:val="hybridMultilevel"/>
    <w:tmpl w:val="2BDA8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795C4D"/>
    <w:multiLevelType w:val="multilevel"/>
    <w:tmpl w:val="60867F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967D91"/>
    <w:multiLevelType w:val="hybridMultilevel"/>
    <w:tmpl w:val="5CFA4F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8"/>
  </w:num>
  <w:num w:numId="3">
    <w:abstractNumId w:val="23"/>
  </w:num>
  <w:num w:numId="4">
    <w:abstractNumId w:val="6"/>
  </w:num>
  <w:num w:numId="5">
    <w:abstractNumId w:val="0"/>
  </w:num>
  <w:num w:numId="6">
    <w:abstractNumId w:val="11"/>
  </w:num>
  <w:num w:numId="7">
    <w:abstractNumId w:val="2"/>
  </w:num>
  <w:num w:numId="8">
    <w:abstractNumId w:val="1"/>
  </w:num>
  <w:num w:numId="9">
    <w:abstractNumId w:val="22"/>
  </w:num>
  <w:num w:numId="10">
    <w:abstractNumId w:val="17"/>
  </w:num>
  <w:num w:numId="11">
    <w:abstractNumId w:val="3"/>
  </w:num>
  <w:num w:numId="12">
    <w:abstractNumId w:val="24"/>
  </w:num>
  <w:num w:numId="13">
    <w:abstractNumId w:val="4"/>
  </w:num>
  <w:num w:numId="14">
    <w:abstractNumId w:val="13"/>
  </w:num>
  <w:num w:numId="15">
    <w:abstractNumId w:val="5"/>
  </w:num>
  <w:num w:numId="16">
    <w:abstractNumId w:val="21"/>
  </w:num>
  <w:num w:numId="17">
    <w:abstractNumId w:val="14"/>
  </w:num>
  <w:num w:numId="18">
    <w:abstractNumId w:val="9"/>
  </w:num>
  <w:num w:numId="19">
    <w:abstractNumId w:val="10"/>
  </w:num>
  <w:num w:numId="20">
    <w:abstractNumId w:val="16"/>
  </w:num>
  <w:num w:numId="21">
    <w:abstractNumId w:val="15"/>
  </w:num>
  <w:num w:numId="22">
    <w:abstractNumId w:val="8"/>
  </w:num>
  <w:num w:numId="23">
    <w:abstractNumId w:val="20"/>
  </w:num>
  <w:num w:numId="24">
    <w:abstractNumId w:val="26"/>
  </w:num>
  <w:num w:numId="25">
    <w:abstractNumId w:val="25"/>
  </w:num>
  <w:num w:numId="26">
    <w:abstractNumId w:val="7"/>
  </w:num>
  <w:num w:numId="27">
    <w:abstractNumId w:val="1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eng, Jimmy">
    <w15:presenceInfo w15:providerId="None" w15:userId="Feng, Jim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854"/>
    <w:rsid w:val="00000776"/>
    <w:rsid w:val="00001F27"/>
    <w:rsid w:val="000024B8"/>
    <w:rsid w:val="00002C87"/>
    <w:rsid w:val="00002D27"/>
    <w:rsid w:val="00002E11"/>
    <w:rsid w:val="0000310E"/>
    <w:rsid w:val="000038A9"/>
    <w:rsid w:val="000045B4"/>
    <w:rsid w:val="00004B51"/>
    <w:rsid w:val="00005A54"/>
    <w:rsid w:val="00005E94"/>
    <w:rsid w:val="000067B0"/>
    <w:rsid w:val="000072AE"/>
    <w:rsid w:val="00007A40"/>
    <w:rsid w:val="00007AA3"/>
    <w:rsid w:val="000110FC"/>
    <w:rsid w:val="000114AC"/>
    <w:rsid w:val="00012F1D"/>
    <w:rsid w:val="0001307A"/>
    <w:rsid w:val="000134D2"/>
    <w:rsid w:val="0001407B"/>
    <w:rsid w:val="000148FF"/>
    <w:rsid w:val="000150FF"/>
    <w:rsid w:val="000156D4"/>
    <w:rsid w:val="00015ED6"/>
    <w:rsid w:val="000175B5"/>
    <w:rsid w:val="000178C6"/>
    <w:rsid w:val="00017BA8"/>
    <w:rsid w:val="00017D02"/>
    <w:rsid w:val="00020DF0"/>
    <w:rsid w:val="0002167D"/>
    <w:rsid w:val="00021ADD"/>
    <w:rsid w:val="00021AF6"/>
    <w:rsid w:val="00021FCF"/>
    <w:rsid w:val="00022AC3"/>
    <w:rsid w:val="00022D97"/>
    <w:rsid w:val="00022E96"/>
    <w:rsid w:val="00022FAA"/>
    <w:rsid w:val="00023088"/>
    <w:rsid w:val="00024845"/>
    <w:rsid w:val="00024DCB"/>
    <w:rsid w:val="00025A0C"/>
    <w:rsid w:val="00025A13"/>
    <w:rsid w:val="00025C80"/>
    <w:rsid w:val="00026445"/>
    <w:rsid w:val="0002724C"/>
    <w:rsid w:val="00027829"/>
    <w:rsid w:val="00027F16"/>
    <w:rsid w:val="00030174"/>
    <w:rsid w:val="00030BB6"/>
    <w:rsid w:val="00031BBD"/>
    <w:rsid w:val="00032653"/>
    <w:rsid w:val="00032816"/>
    <w:rsid w:val="00032C1C"/>
    <w:rsid w:val="00032D54"/>
    <w:rsid w:val="000335B1"/>
    <w:rsid w:val="00033859"/>
    <w:rsid w:val="00033BF5"/>
    <w:rsid w:val="00033C48"/>
    <w:rsid w:val="00034CB3"/>
    <w:rsid w:val="0003518E"/>
    <w:rsid w:val="0003561B"/>
    <w:rsid w:val="00035637"/>
    <w:rsid w:val="00036A73"/>
    <w:rsid w:val="00036FE6"/>
    <w:rsid w:val="00037B48"/>
    <w:rsid w:val="00037D82"/>
    <w:rsid w:val="000408AD"/>
    <w:rsid w:val="0004091E"/>
    <w:rsid w:val="00040E0A"/>
    <w:rsid w:val="000410D8"/>
    <w:rsid w:val="000416C4"/>
    <w:rsid w:val="00042BCF"/>
    <w:rsid w:val="00043751"/>
    <w:rsid w:val="00043CE8"/>
    <w:rsid w:val="00044782"/>
    <w:rsid w:val="000453FF"/>
    <w:rsid w:val="0004564B"/>
    <w:rsid w:val="000466D5"/>
    <w:rsid w:val="0004700F"/>
    <w:rsid w:val="000472B4"/>
    <w:rsid w:val="0004763E"/>
    <w:rsid w:val="00047FB4"/>
    <w:rsid w:val="00050190"/>
    <w:rsid w:val="00050256"/>
    <w:rsid w:val="0005048F"/>
    <w:rsid w:val="00051AD5"/>
    <w:rsid w:val="00051EBC"/>
    <w:rsid w:val="00052974"/>
    <w:rsid w:val="00052BD5"/>
    <w:rsid w:val="00054379"/>
    <w:rsid w:val="000543E5"/>
    <w:rsid w:val="000546BF"/>
    <w:rsid w:val="00054EEB"/>
    <w:rsid w:val="000550D6"/>
    <w:rsid w:val="00055442"/>
    <w:rsid w:val="000554DA"/>
    <w:rsid w:val="00056A5F"/>
    <w:rsid w:val="00056C07"/>
    <w:rsid w:val="00056E35"/>
    <w:rsid w:val="00057340"/>
    <w:rsid w:val="000573C0"/>
    <w:rsid w:val="00060F66"/>
    <w:rsid w:val="0006231E"/>
    <w:rsid w:val="00063C41"/>
    <w:rsid w:val="00063DC6"/>
    <w:rsid w:val="000647C4"/>
    <w:rsid w:val="000649E9"/>
    <w:rsid w:val="00065C03"/>
    <w:rsid w:val="00066819"/>
    <w:rsid w:val="00066D25"/>
    <w:rsid w:val="00067134"/>
    <w:rsid w:val="00067573"/>
    <w:rsid w:val="00070957"/>
    <w:rsid w:val="00071302"/>
    <w:rsid w:val="000714F2"/>
    <w:rsid w:val="00071A67"/>
    <w:rsid w:val="00072103"/>
    <w:rsid w:val="0007221B"/>
    <w:rsid w:val="00073351"/>
    <w:rsid w:val="00073375"/>
    <w:rsid w:val="000737F0"/>
    <w:rsid w:val="00073B60"/>
    <w:rsid w:val="00073F13"/>
    <w:rsid w:val="000741BF"/>
    <w:rsid w:val="00074F2A"/>
    <w:rsid w:val="0007566E"/>
    <w:rsid w:val="000759EF"/>
    <w:rsid w:val="00076C0F"/>
    <w:rsid w:val="00076C72"/>
    <w:rsid w:val="00076CF1"/>
    <w:rsid w:val="00076D10"/>
    <w:rsid w:val="00076FA4"/>
    <w:rsid w:val="00077C2C"/>
    <w:rsid w:val="00081214"/>
    <w:rsid w:val="000830D6"/>
    <w:rsid w:val="0008362A"/>
    <w:rsid w:val="00083CEE"/>
    <w:rsid w:val="00084DCB"/>
    <w:rsid w:val="00085BB9"/>
    <w:rsid w:val="00085BE5"/>
    <w:rsid w:val="00086239"/>
    <w:rsid w:val="00086C92"/>
    <w:rsid w:val="000875EF"/>
    <w:rsid w:val="000901FB"/>
    <w:rsid w:val="000907AA"/>
    <w:rsid w:val="000919F1"/>
    <w:rsid w:val="00091F2A"/>
    <w:rsid w:val="00092405"/>
    <w:rsid w:val="00092CFF"/>
    <w:rsid w:val="0009320E"/>
    <w:rsid w:val="00093575"/>
    <w:rsid w:val="000935BF"/>
    <w:rsid w:val="0009451D"/>
    <w:rsid w:val="00094D10"/>
    <w:rsid w:val="00094FD5"/>
    <w:rsid w:val="00095441"/>
    <w:rsid w:val="000959C5"/>
    <w:rsid w:val="00096991"/>
    <w:rsid w:val="00096DC9"/>
    <w:rsid w:val="00096E64"/>
    <w:rsid w:val="000975E9"/>
    <w:rsid w:val="000977B6"/>
    <w:rsid w:val="00097B3B"/>
    <w:rsid w:val="00097BE3"/>
    <w:rsid w:val="000A021E"/>
    <w:rsid w:val="000A0D15"/>
    <w:rsid w:val="000A13D0"/>
    <w:rsid w:val="000A3C31"/>
    <w:rsid w:val="000A46B5"/>
    <w:rsid w:val="000A4D10"/>
    <w:rsid w:val="000A57E5"/>
    <w:rsid w:val="000A5BA9"/>
    <w:rsid w:val="000A6121"/>
    <w:rsid w:val="000A6946"/>
    <w:rsid w:val="000A6AAD"/>
    <w:rsid w:val="000A7538"/>
    <w:rsid w:val="000A768B"/>
    <w:rsid w:val="000A7712"/>
    <w:rsid w:val="000A7846"/>
    <w:rsid w:val="000B0C39"/>
    <w:rsid w:val="000B194E"/>
    <w:rsid w:val="000B1A03"/>
    <w:rsid w:val="000B1A64"/>
    <w:rsid w:val="000B2116"/>
    <w:rsid w:val="000B25F0"/>
    <w:rsid w:val="000B2E52"/>
    <w:rsid w:val="000B399F"/>
    <w:rsid w:val="000B3B82"/>
    <w:rsid w:val="000B3E5A"/>
    <w:rsid w:val="000B4123"/>
    <w:rsid w:val="000B44F5"/>
    <w:rsid w:val="000B54B5"/>
    <w:rsid w:val="000B64B2"/>
    <w:rsid w:val="000B6B11"/>
    <w:rsid w:val="000B796C"/>
    <w:rsid w:val="000C04C1"/>
    <w:rsid w:val="000C1140"/>
    <w:rsid w:val="000C14E2"/>
    <w:rsid w:val="000C1AEE"/>
    <w:rsid w:val="000C1C35"/>
    <w:rsid w:val="000C1E54"/>
    <w:rsid w:val="000C1F20"/>
    <w:rsid w:val="000C1F30"/>
    <w:rsid w:val="000C1FEC"/>
    <w:rsid w:val="000C288F"/>
    <w:rsid w:val="000C2EE4"/>
    <w:rsid w:val="000C3C5F"/>
    <w:rsid w:val="000C3CF3"/>
    <w:rsid w:val="000C3DF8"/>
    <w:rsid w:val="000C3FC5"/>
    <w:rsid w:val="000C4E58"/>
    <w:rsid w:val="000C5B5A"/>
    <w:rsid w:val="000C69FD"/>
    <w:rsid w:val="000C6BAA"/>
    <w:rsid w:val="000C6C12"/>
    <w:rsid w:val="000C6D18"/>
    <w:rsid w:val="000C6E63"/>
    <w:rsid w:val="000C74CE"/>
    <w:rsid w:val="000C77CA"/>
    <w:rsid w:val="000C7E26"/>
    <w:rsid w:val="000C7E9C"/>
    <w:rsid w:val="000D00C5"/>
    <w:rsid w:val="000D03FA"/>
    <w:rsid w:val="000D07B2"/>
    <w:rsid w:val="000D0A85"/>
    <w:rsid w:val="000D0ACD"/>
    <w:rsid w:val="000D110F"/>
    <w:rsid w:val="000D1685"/>
    <w:rsid w:val="000D2154"/>
    <w:rsid w:val="000D2A68"/>
    <w:rsid w:val="000D2EC0"/>
    <w:rsid w:val="000D529E"/>
    <w:rsid w:val="000D5564"/>
    <w:rsid w:val="000D603F"/>
    <w:rsid w:val="000D64F7"/>
    <w:rsid w:val="000D66DB"/>
    <w:rsid w:val="000D6C33"/>
    <w:rsid w:val="000D76B9"/>
    <w:rsid w:val="000D7780"/>
    <w:rsid w:val="000E0473"/>
    <w:rsid w:val="000E0790"/>
    <w:rsid w:val="000E0B4C"/>
    <w:rsid w:val="000E13DD"/>
    <w:rsid w:val="000E1487"/>
    <w:rsid w:val="000E18EF"/>
    <w:rsid w:val="000E1D78"/>
    <w:rsid w:val="000E21B2"/>
    <w:rsid w:val="000E272E"/>
    <w:rsid w:val="000E30AE"/>
    <w:rsid w:val="000E32E9"/>
    <w:rsid w:val="000E36BF"/>
    <w:rsid w:val="000E3DBA"/>
    <w:rsid w:val="000E41E3"/>
    <w:rsid w:val="000E4950"/>
    <w:rsid w:val="000E4A84"/>
    <w:rsid w:val="000E4F77"/>
    <w:rsid w:val="000E5036"/>
    <w:rsid w:val="000E511C"/>
    <w:rsid w:val="000E5246"/>
    <w:rsid w:val="000E532A"/>
    <w:rsid w:val="000E5667"/>
    <w:rsid w:val="000E5817"/>
    <w:rsid w:val="000E6A52"/>
    <w:rsid w:val="000E6A5A"/>
    <w:rsid w:val="000E6B60"/>
    <w:rsid w:val="000E6BB8"/>
    <w:rsid w:val="000E71B6"/>
    <w:rsid w:val="000E7624"/>
    <w:rsid w:val="000E7832"/>
    <w:rsid w:val="000E7B55"/>
    <w:rsid w:val="000F0159"/>
    <w:rsid w:val="000F07F5"/>
    <w:rsid w:val="000F0B3C"/>
    <w:rsid w:val="000F0C68"/>
    <w:rsid w:val="000F0D17"/>
    <w:rsid w:val="000F1917"/>
    <w:rsid w:val="000F2239"/>
    <w:rsid w:val="000F224C"/>
    <w:rsid w:val="000F2280"/>
    <w:rsid w:val="000F2616"/>
    <w:rsid w:val="000F2A07"/>
    <w:rsid w:val="000F2C30"/>
    <w:rsid w:val="000F2D4D"/>
    <w:rsid w:val="000F3466"/>
    <w:rsid w:val="000F367C"/>
    <w:rsid w:val="000F3936"/>
    <w:rsid w:val="000F4178"/>
    <w:rsid w:val="000F47FD"/>
    <w:rsid w:val="000F499B"/>
    <w:rsid w:val="000F4D9A"/>
    <w:rsid w:val="000F4FEB"/>
    <w:rsid w:val="000F6236"/>
    <w:rsid w:val="000F62EA"/>
    <w:rsid w:val="000F6BD2"/>
    <w:rsid w:val="000F721E"/>
    <w:rsid w:val="000F7399"/>
    <w:rsid w:val="000F7A60"/>
    <w:rsid w:val="000F7CD2"/>
    <w:rsid w:val="00100155"/>
    <w:rsid w:val="00100353"/>
    <w:rsid w:val="00100491"/>
    <w:rsid w:val="0010115E"/>
    <w:rsid w:val="0010276D"/>
    <w:rsid w:val="0010308E"/>
    <w:rsid w:val="00103135"/>
    <w:rsid w:val="00103349"/>
    <w:rsid w:val="00103AA9"/>
    <w:rsid w:val="00103CAA"/>
    <w:rsid w:val="001040CB"/>
    <w:rsid w:val="001041AA"/>
    <w:rsid w:val="001042AF"/>
    <w:rsid w:val="001043F7"/>
    <w:rsid w:val="001045E9"/>
    <w:rsid w:val="00104774"/>
    <w:rsid w:val="001047B0"/>
    <w:rsid w:val="001051F9"/>
    <w:rsid w:val="0010521C"/>
    <w:rsid w:val="001054B7"/>
    <w:rsid w:val="001056E1"/>
    <w:rsid w:val="00106300"/>
    <w:rsid w:val="00106506"/>
    <w:rsid w:val="001070DF"/>
    <w:rsid w:val="0010755D"/>
    <w:rsid w:val="001077D7"/>
    <w:rsid w:val="00107D0C"/>
    <w:rsid w:val="0011139C"/>
    <w:rsid w:val="00112551"/>
    <w:rsid w:val="00113146"/>
    <w:rsid w:val="0011386D"/>
    <w:rsid w:val="0011415A"/>
    <w:rsid w:val="0011466D"/>
    <w:rsid w:val="00115C3A"/>
    <w:rsid w:val="001162CE"/>
    <w:rsid w:val="00116408"/>
    <w:rsid w:val="00116BCB"/>
    <w:rsid w:val="00116F2A"/>
    <w:rsid w:val="00117051"/>
    <w:rsid w:val="00117252"/>
    <w:rsid w:val="00117B83"/>
    <w:rsid w:val="00117CB2"/>
    <w:rsid w:val="00117D5D"/>
    <w:rsid w:val="0012022A"/>
    <w:rsid w:val="001202A2"/>
    <w:rsid w:val="00120CAB"/>
    <w:rsid w:val="00120D2D"/>
    <w:rsid w:val="00120E60"/>
    <w:rsid w:val="001210DC"/>
    <w:rsid w:val="0012144D"/>
    <w:rsid w:val="00122ECD"/>
    <w:rsid w:val="00122ED2"/>
    <w:rsid w:val="0012349B"/>
    <w:rsid w:val="00123922"/>
    <w:rsid w:val="00123E77"/>
    <w:rsid w:val="0012463A"/>
    <w:rsid w:val="001250B5"/>
    <w:rsid w:val="001252C1"/>
    <w:rsid w:val="001266AC"/>
    <w:rsid w:val="00126986"/>
    <w:rsid w:val="00126E06"/>
    <w:rsid w:val="00127E68"/>
    <w:rsid w:val="00130342"/>
    <w:rsid w:val="00130D9C"/>
    <w:rsid w:val="00130F7E"/>
    <w:rsid w:val="0013170F"/>
    <w:rsid w:val="0013185F"/>
    <w:rsid w:val="00132013"/>
    <w:rsid w:val="00132D99"/>
    <w:rsid w:val="001338AC"/>
    <w:rsid w:val="001345BD"/>
    <w:rsid w:val="00134802"/>
    <w:rsid w:val="00134C34"/>
    <w:rsid w:val="00134FE5"/>
    <w:rsid w:val="0013507A"/>
    <w:rsid w:val="00136CFA"/>
    <w:rsid w:val="00137AB7"/>
    <w:rsid w:val="00137C87"/>
    <w:rsid w:val="00137E91"/>
    <w:rsid w:val="00140100"/>
    <w:rsid w:val="0014053F"/>
    <w:rsid w:val="00141524"/>
    <w:rsid w:val="00141618"/>
    <w:rsid w:val="00141D9E"/>
    <w:rsid w:val="00142471"/>
    <w:rsid w:val="0014265C"/>
    <w:rsid w:val="00142912"/>
    <w:rsid w:val="00142B27"/>
    <w:rsid w:val="00142F9A"/>
    <w:rsid w:val="00143460"/>
    <w:rsid w:val="001453F4"/>
    <w:rsid w:val="0014621F"/>
    <w:rsid w:val="00146579"/>
    <w:rsid w:val="00146C6E"/>
    <w:rsid w:val="00146DE2"/>
    <w:rsid w:val="00147682"/>
    <w:rsid w:val="0015006E"/>
    <w:rsid w:val="0015061B"/>
    <w:rsid w:val="001508F7"/>
    <w:rsid w:val="00151037"/>
    <w:rsid w:val="00151668"/>
    <w:rsid w:val="00151AD5"/>
    <w:rsid w:val="00152AAA"/>
    <w:rsid w:val="00152D13"/>
    <w:rsid w:val="0015326F"/>
    <w:rsid w:val="0015399E"/>
    <w:rsid w:val="00154A7F"/>
    <w:rsid w:val="00154CD4"/>
    <w:rsid w:val="00155BBD"/>
    <w:rsid w:val="0015684F"/>
    <w:rsid w:val="00156BEA"/>
    <w:rsid w:val="00157279"/>
    <w:rsid w:val="0015733F"/>
    <w:rsid w:val="00157C54"/>
    <w:rsid w:val="00157D01"/>
    <w:rsid w:val="00157E66"/>
    <w:rsid w:val="00157ECF"/>
    <w:rsid w:val="00160F60"/>
    <w:rsid w:val="001613CE"/>
    <w:rsid w:val="001624C9"/>
    <w:rsid w:val="00162592"/>
    <w:rsid w:val="00162B32"/>
    <w:rsid w:val="00163D0C"/>
    <w:rsid w:val="00164A9E"/>
    <w:rsid w:val="00164AF2"/>
    <w:rsid w:val="0016533F"/>
    <w:rsid w:val="00166A10"/>
    <w:rsid w:val="00166F93"/>
    <w:rsid w:val="00167018"/>
    <w:rsid w:val="0016719E"/>
    <w:rsid w:val="00167454"/>
    <w:rsid w:val="0017008C"/>
    <w:rsid w:val="00170C3F"/>
    <w:rsid w:val="00171641"/>
    <w:rsid w:val="00171805"/>
    <w:rsid w:val="00171A0C"/>
    <w:rsid w:val="001723E7"/>
    <w:rsid w:val="0017297C"/>
    <w:rsid w:val="00172FE8"/>
    <w:rsid w:val="00173142"/>
    <w:rsid w:val="0017327C"/>
    <w:rsid w:val="00174962"/>
    <w:rsid w:val="001754A3"/>
    <w:rsid w:val="00177D81"/>
    <w:rsid w:val="0018030D"/>
    <w:rsid w:val="00180312"/>
    <w:rsid w:val="001809EE"/>
    <w:rsid w:val="00180C26"/>
    <w:rsid w:val="00180DD7"/>
    <w:rsid w:val="00180EC6"/>
    <w:rsid w:val="00181D5D"/>
    <w:rsid w:val="0018269E"/>
    <w:rsid w:val="001826FA"/>
    <w:rsid w:val="00183314"/>
    <w:rsid w:val="001839E9"/>
    <w:rsid w:val="00184008"/>
    <w:rsid w:val="00185A30"/>
    <w:rsid w:val="001861B8"/>
    <w:rsid w:val="00187920"/>
    <w:rsid w:val="001903FB"/>
    <w:rsid w:val="00190B62"/>
    <w:rsid w:val="001911AA"/>
    <w:rsid w:val="0019131F"/>
    <w:rsid w:val="00191544"/>
    <w:rsid w:val="001917F3"/>
    <w:rsid w:val="00191A2E"/>
    <w:rsid w:val="001926B3"/>
    <w:rsid w:val="00192977"/>
    <w:rsid w:val="00192ADD"/>
    <w:rsid w:val="00192F13"/>
    <w:rsid w:val="0019370E"/>
    <w:rsid w:val="00194935"/>
    <w:rsid w:val="00194FE2"/>
    <w:rsid w:val="00195234"/>
    <w:rsid w:val="00195448"/>
    <w:rsid w:val="001957C1"/>
    <w:rsid w:val="00195E3B"/>
    <w:rsid w:val="001960D2"/>
    <w:rsid w:val="001965B4"/>
    <w:rsid w:val="00197357"/>
    <w:rsid w:val="00197A89"/>
    <w:rsid w:val="001A027A"/>
    <w:rsid w:val="001A03BF"/>
    <w:rsid w:val="001A1705"/>
    <w:rsid w:val="001A1803"/>
    <w:rsid w:val="001A30E6"/>
    <w:rsid w:val="001A3201"/>
    <w:rsid w:val="001A3854"/>
    <w:rsid w:val="001A3C3C"/>
    <w:rsid w:val="001A3DD7"/>
    <w:rsid w:val="001A3F4E"/>
    <w:rsid w:val="001A42E0"/>
    <w:rsid w:val="001A4379"/>
    <w:rsid w:val="001A50FD"/>
    <w:rsid w:val="001A5537"/>
    <w:rsid w:val="001A6014"/>
    <w:rsid w:val="001A65FF"/>
    <w:rsid w:val="001A6880"/>
    <w:rsid w:val="001A6A09"/>
    <w:rsid w:val="001A6CAB"/>
    <w:rsid w:val="001A782F"/>
    <w:rsid w:val="001B053B"/>
    <w:rsid w:val="001B0756"/>
    <w:rsid w:val="001B0A17"/>
    <w:rsid w:val="001B0AF2"/>
    <w:rsid w:val="001B0FE9"/>
    <w:rsid w:val="001B116C"/>
    <w:rsid w:val="001B1770"/>
    <w:rsid w:val="001B1CFF"/>
    <w:rsid w:val="001B1E54"/>
    <w:rsid w:val="001B1E6A"/>
    <w:rsid w:val="001B1F0D"/>
    <w:rsid w:val="001B3C8E"/>
    <w:rsid w:val="001B4574"/>
    <w:rsid w:val="001B4B6D"/>
    <w:rsid w:val="001B5BFB"/>
    <w:rsid w:val="001B5F0D"/>
    <w:rsid w:val="001B6082"/>
    <w:rsid w:val="001B6463"/>
    <w:rsid w:val="001B6F0B"/>
    <w:rsid w:val="001B71F1"/>
    <w:rsid w:val="001B75F9"/>
    <w:rsid w:val="001B77A0"/>
    <w:rsid w:val="001B7EEB"/>
    <w:rsid w:val="001C09E7"/>
    <w:rsid w:val="001C118E"/>
    <w:rsid w:val="001C133E"/>
    <w:rsid w:val="001C1EBC"/>
    <w:rsid w:val="001C291B"/>
    <w:rsid w:val="001C3094"/>
    <w:rsid w:val="001C31C2"/>
    <w:rsid w:val="001C3E87"/>
    <w:rsid w:val="001C4668"/>
    <w:rsid w:val="001C479D"/>
    <w:rsid w:val="001C4B0E"/>
    <w:rsid w:val="001C50CD"/>
    <w:rsid w:val="001C5223"/>
    <w:rsid w:val="001C5C17"/>
    <w:rsid w:val="001C64A7"/>
    <w:rsid w:val="001C68C9"/>
    <w:rsid w:val="001C6CDE"/>
    <w:rsid w:val="001C6E6F"/>
    <w:rsid w:val="001C6F59"/>
    <w:rsid w:val="001C704D"/>
    <w:rsid w:val="001C70AA"/>
    <w:rsid w:val="001C710D"/>
    <w:rsid w:val="001C72C5"/>
    <w:rsid w:val="001C7BFA"/>
    <w:rsid w:val="001D0069"/>
    <w:rsid w:val="001D03A9"/>
    <w:rsid w:val="001D09ED"/>
    <w:rsid w:val="001D0FFF"/>
    <w:rsid w:val="001D1416"/>
    <w:rsid w:val="001D25FA"/>
    <w:rsid w:val="001D2CE1"/>
    <w:rsid w:val="001D36C6"/>
    <w:rsid w:val="001D3AD2"/>
    <w:rsid w:val="001D3E7F"/>
    <w:rsid w:val="001D4089"/>
    <w:rsid w:val="001D4800"/>
    <w:rsid w:val="001D4A42"/>
    <w:rsid w:val="001D4A7A"/>
    <w:rsid w:val="001D51A2"/>
    <w:rsid w:val="001D574B"/>
    <w:rsid w:val="001D5D68"/>
    <w:rsid w:val="001D6295"/>
    <w:rsid w:val="001D6C9D"/>
    <w:rsid w:val="001D79E5"/>
    <w:rsid w:val="001E00B8"/>
    <w:rsid w:val="001E0301"/>
    <w:rsid w:val="001E0860"/>
    <w:rsid w:val="001E0B85"/>
    <w:rsid w:val="001E1ED5"/>
    <w:rsid w:val="001E2346"/>
    <w:rsid w:val="001E29B0"/>
    <w:rsid w:val="001E2C9D"/>
    <w:rsid w:val="001E2E06"/>
    <w:rsid w:val="001E314E"/>
    <w:rsid w:val="001E3829"/>
    <w:rsid w:val="001E46E3"/>
    <w:rsid w:val="001E48AD"/>
    <w:rsid w:val="001E4AAE"/>
    <w:rsid w:val="001E4F56"/>
    <w:rsid w:val="001E5628"/>
    <w:rsid w:val="001E5731"/>
    <w:rsid w:val="001E5B04"/>
    <w:rsid w:val="001E5EBA"/>
    <w:rsid w:val="001E623C"/>
    <w:rsid w:val="001E632E"/>
    <w:rsid w:val="001E65F1"/>
    <w:rsid w:val="001E6A31"/>
    <w:rsid w:val="001E6FEB"/>
    <w:rsid w:val="001E73ED"/>
    <w:rsid w:val="001E73F4"/>
    <w:rsid w:val="001F00A1"/>
    <w:rsid w:val="001F0DFB"/>
    <w:rsid w:val="001F157B"/>
    <w:rsid w:val="001F1A78"/>
    <w:rsid w:val="001F28A0"/>
    <w:rsid w:val="001F2B15"/>
    <w:rsid w:val="001F2F6D"/>
    <w:rsid w:val="001F30A4"/>
    <w:rsid w:val="001F3C90"/>
    <w:rsid w:val="001F3EC4"/>
    <w:rsid w:val="001F45F9"/>
    <w:rsid w:val="001F52EE"/>
    <w:rsid w:val="001F5453"/>
    <w:rsid w:val="001F5E92"/>
    <w:rsid w:val="001F63DF"/>
    <w:rsid w:val="001F6FA7"/>
    <w:rsid w:val="001F77ED"/>
    <w:rsid w:val="001F7BB0"/>
    <w:rsid w:val="001F7C97"/>
    <w:rsid w:val="001F7DAE"/>
    <w:rsid w:val="001F7EC6"/>
    <w:rsid w:val="002005A7"/>
    <w:rsid w:val="00200621"/>
    <w:rsid w:val="0020090D"/>
    <w:rsid w:val="00201161"/>
    <w:rsid w:val="0020158A"/>
    <w:rsid w:val="00202F6A"/>
    <w:rsid w:val="00203177"/>
    <w:rsid w:val="002054A8"/>
    <w:rsid w:val="00205988"/>
    <w:rsid w:val="00205E1B"/>
    <w:rsid w:val="002065DB"/>
    <w:rsid w:val="00206D57"/>
    <w:rsid w:val="002070B6"/>
    <w:rsid w:val="0021008E"/>
    <w:rsid w:val="00210F17"/>
    <w:rsid w:val="00211649"/>
    <w:rsid w:val="00212736"/>
    <w:rsid w:val="00212AB7"/>
    <w:rsid w:val="00212DB3"/>
    <w:rsid w:val="00212EE9"/>
    <w:rsid w:val="00212EF4"/>
    <w:rsid w:val="002131F6"/>
    <w:rsid w:val="00213E8C"/>
    <w:rsid w:val="0021416E"/>
    <w:rsid w:val="002142B2"/>
    <w:rsid w:val="00215695"/>
    <w:rsid w:val="00215869"/>
    <w:rsid w:val="00216271"/>
    <w:rsid w:val="0021696B"/>
    <w:rsid w:val="00220460"/>
    <w:rsid w:val="002206DD"/>
    <w:rsid w:val="00220769"/>
    <w:rsid w:val="002208D6"/>
    <w:rsid w:val="00221624"/>
    <w:rsid w:val="00221E76"/>
    <w:rsid w:val="00221FC1"/>
    <w:rsid w:val="00222579"/>
    <w:rsid w:val="00222641"/>
    <w:rsid w:val="002227EB"/>
    <w:rsid w:val="00223DD6"/>
    <w:rsid w:val="002247D1"/>
    <w:rsid w:val="002247F6"/>
    <w:rsid w:val="0022538B"/>
    <w:rsid w:val="00225541"/>
    <w:rsid w:val="00225CCF"/>
    <w:rsid w:val="00226169"/>
    <w:rsid w:val="002262E2"/>
    <w:rsid w:val="00226B69"/>
    <w:rsid w:val="0022730C"/>
    <w:rsid w:val="00227B88"/>
    <w:rsid w:val="0023010E"/>
    <w:rsid w:val="0023019E"/>
    <w:rsid w:val="00230D89"/>
    <w:rsid w:val="00231E60"/>
    <w:rsid w:val="00231E97"/>
    <w:rsid w:val="0023297C"/>
    <w:rsid w:val="00232C6F"/>
    <w:rsid w:val="002334E8"/>
    <w:rsid w:val="002337D6"/>
    <w:rsid w:val="002339B5"/>
    <w:rsid w:val="00233F5F"/>
    <w:rsid w:val="002342AF"/>
    <w:rsid w:val="00234869"/>
    <w:rsid w:val="00234872"/>
    <w:rsid w:val="00234B2B"/>
    <w:rsid w:val="00234D0F"/>
    <w:rsid w:val="0023573C"/>
    <w:rsid w:val="00235AC5"/>
    <w:rsid w:val="00237C93"/>
    <w:rsid w:val="00237EB8"/>
    <w:rsid w:val="00240062"/>
    <w:rsid w:val="00240476"/>
    <w:rsid w:val="00242171"/>
    <w:rsid w:val="00242D94"/>
    <w:rsid w:val="00243588"/>
    <w:rsid w:val="00243A32"/>
    <w:rsid w:val="00244040"/>
    <w:rsid w:val="00244059"/>
    <w:rsid w:val="0024468A"/>
    <w:rsid w:val="002447EE"/>
    <w:rsid w:val="00244842"/>
    <w:rsid w:val="00245081"/>
    <w:rsid w:val="002451EE"/>
    <w:rsid w:val="002465D7"/>
    <w:rsid w:val="00247851"/>
    <w:rsid w:val="002478D2"/>
    <w:rsid w:val="0025041A"/>
    <w:rsid w:val="002507B3"/>
    <w:rsid w:val="00250D0D"/>
    <w:rsid w:val="002515D1"/>
    <w:rsid w:val="00251D4B"/>
    <w:rsid w:val="00251E0F"/>
    <w:rsid w:val="002525EF"/>
    <w:rsid w:val="00252827"/>
    <w:rsid w:val="0025336A"/>
    <w:rsid w:val="00253531"/>
    <w:rsid w:val="002535BE"/>
    <w:rsid w:val="0025361A"/>
    <w:rsid w:val="002539BE"/>
    <w:rsid w:val="00253D07"/>
    <w:rsid w:val="00253EB4"/>
    <w:rsid w:val="00254385"/>
    <w:rsid w:val="002546E1"/>
    <w:rsid w:val="00254A3C"/>
    <w:rsid w:val="002551A0"/>
    <w:rsid w:val="002551C3"/>
    <w:rsid w:val="00255464"/>
    <w:rsid w:val="00255769"/>
    <w:rsid w:val="00255FFC"/>
    <w:rsid w:val="00256335"/>
    <w:rsid w:val="00256E46"/>
    <w:rsid w:val="00257CFB"/>
    <w:rsid w:val="0026020C"/>
    <w:rsid w:val="00260CAA"/>
    <w:rsid w:val="00260CB5"/>
    <w:rsid w:val="00260EBA"/>
    <w:rsid w:val="002610DB"/>
    <w:rsid w:val="00261281"/>
    <w:rsid w:val="00262ED7"/>
    <w:rsid w:val="00262EF5"/>
    <w:rsid w:val="002630CA"/>
    <w:rsid w:val="0026315B"/>
    <w:rsid w:val="0026372F"/>
    <w:rsid w:val="00263CC5"/>
    <w:rsid w:val="00264811"/>
    <w:rsid w:val="00264958"/>
    <w:rsid w:val="00264D07"/>
    <w:rsid w:val="002657D2"/>
    <w:rsid w:val="0026621C"/>
    <w:rsid w:val="0026742D"/>
    <w:rsid w:val="00267A0C"/>
    <w:rsid w:val="002714F7"/>
    <w:rsid w:val="00272DF6"/>
    <w:rsid w:val="00272F80"/>
    <w:rsid w:val="0027374C"/>
    <w:rsid w:val="00273F3D"/>
    <w:rsid w:val="002747EC"/>
    <w:rsid w:val="00274E2C"/>
    <w:rsid w:val="0027527F"/>
    <w:rsid w:val="00276767"/>
    <w:rsid w:val="00276F43"/>
    <w:rsid w:val="00277343"/>
    <w:rsid w:val="0027746F"/>
    <w:rsid w:val="0027751E"/>
    <w:rsid w:val="0028015A"/>
    <w:rsid w:val="00281432"/>
    <w:rsid w:val="00281B56"/>
    <w:rsid w:val="00281D1D"/>
    <w:rsid w:val="002823D2"/>
    <w:rsid w:val="00282E7C"/>
    <w:rsid w:val="002832D8"/>
    <w:rsid w:val="0028467C"/>
    <w:rsid w:val="00284B63"/>
    <w:rsid w:val="00284BCA"/>
    <w:rsid w:val="00284BF6"/>
    <w:rsid w:val="002852C9"/>
    <w:rsid w:val="00285999"/>
    <w:rsid w:val="002859A7"/>
    <w:rsid w:val="00286D45"/>
    <w:rsid w:val="002872F9"/>
    <w:rsid w:val="002877E2"/>
    <w:rsid w:val="002878D3"/>
    <w:rsid w:val="00287C81"/>
    <w:rsid w:val="00287EBF"/>
    <w:rsid w:val="002912A0"/>
    <w:rsid w:val="0029160E"/>
    <w:rsid w:val="00291AD9"/>
    <w:rsid w:val="00291B66"/>
    <w:rsid w:val="00292611"/>
    <w:rsid w:val="00292C87"/>
    <w:rsid w:val="002938BB"/>
    <w:rsid w:val="00294ED7"/>
    <w:rsid w:val="0029555D"/>
    <w:rsid w:val="00297410"/>
    <w:rsid w:val="00297453"/>
    <w:rsid w:val="002975B8"/>
    <w:rsid w:val="00297E0D"/>
    <w:rsid w:val="002A056C"/>
    <w:rsid w:val="002A0A57"/>
    <w:rsid w:val="002A0CCA"/>
    <w:rsid w:val="002A0E65"/>
    <w:rsid w:val="002A1787"/>
    <w:rsid w:val="002A18C1"/>
    <w:rsid w:val="002A1972"/>
    <w:rsid w:val="002A20AB"/>
    <w:rsid w:val="002A2406"/>
    <w:rsid w:val="002A367A"/>
    <w:rsid w:val="002A3F53"/>
    <w:rsid w:val="002A4F8B"/>
    <w:rsid w:val="002A54EE"/>
    <w:rsid w:val="002A58D3"/>
    <w:rsid w:val="002A69C1"/>
    <w:rsid w:val="002A7160"/>
    <w:rsid w:val="002A7443"/>
    <w:rsid w:val="002A776A"/>
    <w:rsid w:val="002A7E1C"/>
    <w:rsid w:val="002B0800"/>
    <w:rsid w:val="002B1671"/>
    <w:rsid w:val="002B1709"/>
    <w:rsid w:val="002B183A"/>
    <w:rsid w:val="002B198B"/>
    <w:rsid w:val="002B19E1"/>
    <w:rsid w:val="002B1A4F"/>
    <w:rsid w:val="002B1B33"/>
    <w:rsid w:val="002B2C9B"/>
    <w:rsid w:val="002B353D"/>
    <w:rsid w:val="002B36F2"/>
    <w:rsid w:val="002B43C7"/>
    <w:rsid w:val="002B4F73"/>
    <w:rsid w:val="002B59DC"/>
    <w:rsid w:val="002B5FE5"/>
    <w:rsid w:val="002B600D"/>
    <w:rsid w:val="002B61FE"/>
    <w:rsid w:val="002B6207"/>
    <w:rsid w:val="002B67B7"/>
    <w:rsid w:val="002B75BC"/>
    <w:rsid w:val="002C08EF"/>
    <w:rsid w:val="002C102B"/>
    <w:rsid w:val="002C1974"/>
    <w:rsid w:val="002C19D1"/>
    <w:rsid w:val="002C1CA4"/>
    <w:rsid w:val="002C2239"/>
    <w:rsid w:val="002C2680"/>
    <w:rsid w:val="002C27D3"/>
    <w:rsid w:val="002C2B49"/>
    <w:rsid w:val="002C2B5A"/>
    <w:rsid w:val="002C3241"/>
    <w:rsid w:val="002C38E7"/>
    <w:rsid w:val="002C3B2C"/>
    <w:rsid w:val="002C3D6C"/>
    <w:rsid w:val="002C4688"/>
    <w:rsid w:val="002C4C04"/>
    <w:rsid w:val="002C5E58"/>
    <w:rsid w:val="002C5FE2"/>
    <w:rsid w:val="002C6169"/>
    <w:rsid w:val="002C6CC0"/>
    <w:rsid w:val="002C6D3C"/>
    <w:rsid w:val="002C70B4"/>
    <w:rsid w:val="002C70DE"/>
    <w:rsid w:val="002C7C27"/>
    <w:rsid w:val="002C7C46"/>
    <w:rsid w:val="002C7E80"/>
    <w:rsid w:val="002C7EAF"/>
    <w:rsid w:val="002D03C2"/>
    <w:rsid w:val="002D0650"/>
    <w:rsid w:val="002D0832"/>
    <w:rsid w:val="002D0CC6"/>
    <w:rsid w:val="002D1653"/>
    <w:rsid w:val="002D19A2"/>
    <w:rsid w:val="002D26DF"/>
    <w:rsid w:val="002D2705"/>
    <w:rsid w:val="002D2794"/>
    <w:rsid w:val="002D3849"/>
    <w:rsid w:val="002D3AB7"/>
    <w:rsid w:val="002D484B"/>
    <w:rsid w:val="002D5C4A"/>
    <w:rsid w:val="002D5DE6"/>
    <w:rsid w:val="002D6567"/>
    <w:rsid w:val="002D6ED0"/>
    <w:rsid w:val="002D731E"/>
    <w:rsid w:val="002D733E"/>
    <w:rsid w:val="002E13AA"/>
    <w:rsid w:val="002E1F98"/>
    <w:rsid w:val="002E2012"/>
    <w:rsid w:val="002E2936"/>
    <w:rsid w:val="002E2E3D"/>
    <w:rsid w:val="002E342E"/>
    <w:rsid w:val="002E40F2"/>
    <w:rsid w:val="002E456C"/>
    <w:rsid w:val="002E4901"/>
    <w:rsid w:val="002E5CBD"/>
    <w:rsid w:val="002E61A6"/>
    <w:rsid w:val="002E63AC"/>
    <w:rsid w:val="002E6DCB"/>
    <w:rsid w:val="002E7454"/>
    <w:rsid w:val="002E7D42"/>
    <w:rsid w:val="002F0237"/>
    <w:rsid w:val="002F050E"/>
    <w:rsid w:val="002F113E"/>
    <w:rsid w:val="002F171D"/>
    <w:rsid w:val="002F17E7"/>
    <w:rsid w:val="002F1E84"/>
    <w:rsid w:val="002F289C"/>
    <w:rsid w:val="002F291C"/>
    <w:rsid w:val="002F2FFE"/>
    <w:rsid w:val="002F35BB"/>
    <w:rsid w:val="002F3699"/>
    <w:rsid w:val="002F3F74"/>
    <w:rsid w:val="002F4796"/>
    <w:rsid w:val="002F5E3B"/>
    <w:rsid w:val="002F630E"/>
    <w:rsid w:val="002F67E6"/>
    <w:rsid w:val="002F75FB"/>
    <w:rsid w:val="002F77F4"/>
    <w:rsid w:val="0030095C"/>
    <w:rsid w:val="00300E95"/>
    <w:rsid w:val="00301247"/>
    <w:rsid w:val="00301749"/>
    <w:rsid w:val="00301E26"/>
    <w:rsid w:val="00301F0A"/>
    <w:rsid w:val="00302113"/>
    <w:rsid w:val="00302A70"/>
    <w:rsid w:val="00302D02"/>
    <w:rsid w:val="0030326F"/>
    <w:rsid w:val="003033D1"/>
    <w:rsid w:val="00303CC3"/>
    <w:rsid w:val="003048C2"/>
    <w:rsid w:val="003048DF"/>
    <w:rsid w:val="00304AEA"/>
    <w:rsid w:val="00304B1A"/>
    <w:rsid w:val="00304F50"/>
    <w:rsid w:val="00305164"/>
    <w:rsid w:val="0030545E"/>
    <w:rsid w:val="00305963"/>
    <w:rsid w:val="003064BC"/>
    <w:rsid w:val="0030686D"/>
    <w:rsid w:val="00306D77"/>
    <w:rsid w:val="00307137"/>
    <w:rsid w:val="00307567"/>
    <w:rsid w:val="0030781C"/>
    <w:rsid w:val="00307A69"/>
    <w:rsid w:val="00312600"/>
    <w:rsid w:val="0031265E"/>
    <w:rsid w:val="003133AE"/>
    <w:rsid w:val="00313E94"/>
    <w:rsid w:val="003147E5"/>
    <w:rsid w:val="003147F2"/>
    <w:rsid w:val="00314F15"/>
    <w:rsid w:val="003163A6"/>
    <w:rsid w:val="0031674C"/>
    <w:rsid w:val="0031686B"/>
    <w:rsid w:val="00316B13"/>
    <w:rsid w:val="00316B82"/>
    <w:rsid w:val="00317570"/>
    <w:rsid w:val="00317679"/>
    <w:rsid w:val="003201D1"/>
    <w:rsid w:val="00320236"/>
    <w:rsid w:val="0032093C"/>
    <w:rsid w:val="00320C53"/>
    <w:rsid w:val="0032100C"/>
    <w:rsid w:val="0032170E"/>
    <w:rsid w:val="0032171B"/>
    <w:rsid w:val="00321877"/>
    <w:rsid w:val="00321B78"/>
    <w:rsid w:val="00321FF0"/>
    <w:rsid w:val="00322109"/>
    <w:rsid w:val="00322381"/>
    <w:rsid w:val="003226D9"/>
    <w:rsid w:val="00322C1C"/>
    <w:rsid w:val="003230FF"/>
    <w:rsid w:val="0032329D"/>
    <w:rsid w:val="0032339A"/>
    <w:rsid w:val="00323F58"/>
    <w:rsid w:val="00324990"/>
    <w:rsid w:val="00324A75"/>
    <w:rsid w:val="00324AE9"/>
    <w:rsid w:val="00324D8D"/>
    <w:rsid w:val="00324EF0"/>
    <w:rsid w:val="0032502F"/>
    <w:rsid w:val="0032526E"/>
    <w:rsid w:val="003254F2"/>
    <w:rsid w:val="0032623C"/>
    <w:rsid w:val="00326D8C"/>
    <w:rsid w:val="00327383"/>
    <w:rsid w:val="003302CC"/>
    <w:rsid w:val="00330328"/>
    <w:rsid w:val="00331098"/>
    <w:rsid w:val="003310E5"/>
    <w:rsid w:val="003317EC"/>
    <w:rsid w:val="003329E0"/>
    <w:rsid w:val="00332B53"/>
    <w:rsid w:val="00332E44"/>
    <w:rsid w:val="003334D3"/>
    <w:rsid w:val="003348BF"/>
    <w:rsid w:val="003352BD"/>
    <w:rsid w:val="003356DF"/>
    <w:rsid w:val="00335975"/>
    <w:rsid w:val="00335E9F"/>
    <w:rsid w:val="00335F91"/>
    <w:rsid w:val="00336787"/>
    <w:rsid w:val="00337A7F"/>
    <w:rsid w:val="00337E11"/>
    <w:rsid w:val="00340C1B"/>
    <w:rsid w:val="00341408"/>
    <w:rsid w:val="003415E6"/>
    <w:rsid w:val="0034249C"/>
    <w:rsid w:val="00342BF1"/>
    <w:rsid w:val="00343DF8"/>
    <w:rsid w:val="00344267"/>
    <w:rsid w:val="00344459"/>
    <w:rsid w:val="003446F3"/>
    <w:rsid w:val="00344F47"/>
    <w:rsid w:val="00345239"/>
    <w:rsid w:val="003452CE"/>
    <w:rsid w:val="003469BD"/>
    <w:rsid w:val="003469F8"/>
    <w:rsid w:val="00350061"/>
    <w:rsid w:val="00350F34"/>
    <w:rsid w:val="00351269"/>
    <w:rsid w:val="0035131C"/>
    <w:rsid w:val="0035239C"/>
    <w:rsid w:val="00352BBA"/>
    <w:rsid w:val="0035305C"/>
    <w:rsid w:val="003530E2"/>
    <w:rsid w:val="00353A66"/>
    <w:rsid w:val="00354285"/>
    <w:rsid w:val="0035653B"/>
    <w:rsid w:val="0035661E"/>
    <w:rsid w:val="0035672B"/>
    <w:rsid w:val="003568B3"/>
    <w:rsid w:val="00357549"/>
    <w:rsid w:val="00360C9F"/>
    <w:rsid w:val="003613E6"/>
    <w:rsid w:val="0036177C"/>
    <w:rsid w:val="0036333C"/>
    <w:rsid w:val="00363BF2"/>
    <w:rsid w:val="0036617D"/>
    <w:rsid w:val="00366ECF"/>
    <w:rsid w:val="003673CD"/>
    <w:rsid w:val="00367B30"/>
    <w:rsid w:val="00370825"/>
    <w:rsid w:val="00371320"/>
    <w:rsid w:val="003713D3"/>
    <w:rsid w:val="00372912"/>
    <w:rsid w:val="00372E73"/>
    <w:rsid w:val="00373824"/>
    <w:rsid w:val="00373AF3"/>
    <w:rsid w:val="003742C8"/>
    <w:rsid w:val="00374C9E"/>
    <w:rsid w:val="00375180"/>
    <w:rsid w:val="003752EF"/>
    <w:rsid w:val="00376CF8"/>
    <w:rsid w:val="00376EE8"/>
    <w:rsid w:val="003772CD"/>
    <w:rsid w:val="00377358"/>
    <w:rsid w:val="003776C2"/>
    <w:rsid w:val="003779F1"/>
    <w:rsid w:val="00377EC0"/>
    <w:rsid w:val="0038069C"/>
    <w:rsid w:val="00382A76"/>
    <w:rsid w:val="00383186"/>
    <w:rsid w:val="00384C61"/>
    <w:rsid w:val="0038591B"/>
    <w:rsid w:val="00385AAC"/>
    <w:rsid w:val="00386132"/>
    <w:rsid w:val="003861EA"/>
    <w:rsid w:val="00386768"/>
    <w:rsid w:val="00386C96"/>
    <w:rsid w:val="00386CCD"/>
    <w:rsid w:val="0038765A"/>
    <w:rsid w:val="00390183"/>
    <w:rsid w:val="0039044C"/>
    <w:rsid w:val="0039089F"/>
    <w:rsid w:val="003908AC"/>
    <w:rsid w:val="00390CED"/>
    <w:rsid w:val="00390EE7"/>
    <w:rsid w:val="003918FC"/>
    <w:rsid w:val="00392B74"/>
    <w:rsid w:val="00393B5B"/>
    <w:rsid w:val="00393C2C"/>
    <w:rsid w:val="003947E7"/>
    <w:rsid w:val="00394A33"/>
    <w:rsid w:val="0039506E"/>
    <w:rsid w:val="003950B7"/>
    <w:rsid w:val="00395183"/>
    <w:rsid w:val="003958E1"/>
    <w:rsid w:val="00395996"/>
    <w:rsid w:val="003962E9"/>
    <w:rsid w:val="003964F1"/>
    <w:rsid w:val="003974BC"/>
    <w:rsid w:val="00397945"/>
    <w:rsid w:val="00397D5F"/>
    <w:rsid w:val="003A02D9"/>
    <w:rsid w:val="003A1DDB"/>
    <w:rsid w:val="003A2152"/>
    <w:rsid w:val="003A327C"/>
    <w:rsid w:val="003A3F08"/>
    <w:rsid w:val="003A5159"/>
    <w:rsid w:val="003A5443"/>
    <w:rsid w:val="003A66AC"/>
    <w:rsid w:val="003A6CB3"/>
    <w:rsid w:val="003B08F2"/>
    <w:rsid w:val="003B1445"/>
    <w:rsid w:val="003B1B9D"/>
    <w:rsid w:val="003B24B1"/>
    <w:rsid w:val="003B3700"/>
    <w:rsid w:val="003B38A0"/>
    <w:rsid w:val="003B3CB1"/>
    <w:rsid w:val="003B4131"/>
    <w:rsid w:val="003B4D9E"/>
    <w:rsid w:val="003B51B6"/>
    <w:rsid w:val="003B5A0C"/>
    <w:rsid w:val="003B60D0"/>
    <w:rsid w:val="003B6FE2"/>
    <w:rsid w:val="003B7A20"/>
    <w:rsid w:val="003C0259"/>
    <w:rsid w:val="003C0803"/>
    <w:rsid w:val="003C09CC"/>
    <w:rsid w:val="003C0BF2"/>
    <w:rsid w:val="003C0D4C"/>
    <w:rsid w:val="003C1250"/>
    <w:rsid w:val="003C1BAA"/>
    <w:rsid w:val="003C2274"/>
    <w:rsid w:val="003C2329"/>
    <w:rsid w:val="003C3ECD"/>
    <w:rsid w:val="003C460D"/>
    <w:rsid w:val="003C463F"/>
    <w:rsid w:val="003C4BDA"/>
    <w:rsid w:val="003C4D6B"/>
    <w:rsid w:val="003C4FDB"/>
    <w:rsid w:val="003C6103"/>
    <w:rsid w:val="003C628A"/>
    <w:rsid w:val="003C6611"/>
    <w:rsid w:val="003C7DB3"/>
    <w:rsid w:val="003D0EF3"/>
    <w:rsid w:val="003D3FFD"/>
    <w:rsid w:val="003D49B9"/>
    <w:rsid w:val="003D4D4F"/>
    <w:rsid w:val="003D565F"/>
    <w:rsid w:val="003D57E6"/>
    <w:rsid w:val="003D5868"/>
    <w:rsid w:val="003D6CC8"/>
    <w:rsid w:val="003D6E8F"/>
    <w:rsid w:val="003D6FBB"/>
    <w:rsid w:val="003D737D"/>
    <w:rsid w:val="003D7893"/>
    <w:rsid w:val="003D7BAD"/>
    <w:rsid w:val="003E1576"/>
    <w:rsid w:val="003E184E"/>
    <w:rsid w:val="003E1A20"/>
    <w:rsid w:val="003E2F26"/>
    <w:rsid w:val="003E3102"/>
    <w:rsid w:val="003E3144"/>
    <w:rsid w:val="003E31B9"/>
    <w:rsid w:val="003E3A76"/>
    <w:rsid w:val="003E40CB"/>
    <w:rsid w:val="003E42AC"/>
    <w:rsid w:val="003E4432"/>
    <w:rsid w:val="003E5251"/>
    <w:rsid w:val="003E525B"/>
    <w:rsid w:val="003E5ACF"/>
    <w:rsid w:val="003E5C63"/>
    <w:rsid w:val="003E5D51"/>
    <w:rsid w:val="003E5EBE"/>
    <w:rsid w:val="003E6A8D"/>
    <w:rsid w:val="003E6DAD"/>
    <w:rsid w:val="003F00DF"/>
    <w:rsid w:val="003F02E8"/>
    <w:rsid w:val="003F0380"/>
    <w:rsid w:val="003F060F"/>
    <w:rsid w:val="003F0978"/>
    <w:rsid w:val="003F0E35"/>
    <w:rsid w:val="003F113F"/>
    <w:rsid w:val="003F1EFC"/>
    <w:rsid w:val="003F22BA"/>
    <w:rsid w:val="003F3880"/>
    <w:rsid w:val="003F3E62"/>
    <w:rsid w:val="003F4855"/>
    <w:rsid w:val="003F5305"/>
    <w:rsid w:val="003F531B"/>
    <w:rsid w:val="003F5969"/>
    <w:rsid w:val="003F5D1F"/>
    <w:rsid w:val="003F6B1F"/>
    <w:rsid w:val="003F6CB0"/>
    <w:rsid w:val="003F6F98"/>
    <w:rsid w:val="003F7123"/>
    <w:rsid w:val="004001D3"/>
    <w:rsid w:val="00400936"/>
    <w:rsid w:val="0040094D"/>
    <w:rsid w:val="00400A67"/>
    <w:rsid w:val="00401A8D"/>
    <w:rsid w:val="004030C0"/>
    <w:rsid w:val="00403475"/>
    <w:rsid w:val="004035EE"/>
    <w:rsid w:val="00403A43"/>
    <w:rsid w:val="0040430F"/>
    <w:rsid w:val="0040479C"/>
    <w:rsid w:val="00404BD3"/>
    <w:rsid w:val="00406154"/>
    <w:rsid w:val="00406B8C"/>
    <w:rsid w:val="00406DAB"/>
    <w:rsid w:val="00407704"/>
    <w:rsid w:val="00410D61"/>
    <w:rsid w:val="004111B8"/>
    <w:rsid w:val="00411708"/>
    <w:rsid w:val="00411EA9"/>
    <w:rsid w:val="00412329"/>
    <w:rsid w:val="0041244D"/>
    <w:rsid w:val="00412490"/>
    <w:rsid w:val="00412597"/>
    <w:rsid w:val="00412E48"/>
    <w:rsid w:val="00412ED6"/>
    <w:rsid w:val="004130C1"/>
    <w:rsid w:val="00413450"/>
    <w:rsid w:val="00413506"/>
    <w:rsid w:val="0041408C"/>
    <w:rsid w:val="004145EF"/>
    <w:rsid w:val="00414CD5"/>
    <w:rsid w:val="00415C2B"/>
    <w:rsid w:val="00415CED"/>
    <w:rsid w:val="004172DD"/>
    <w:rsid w:val="00422697"/>
    <w:rsid w:val="0042274B"/>
    <w:rsid w:val="00422936"/>
    <w:rsid w:val="00423849"/>
    <w:rsid w:val="004239B1"/>
    <w:rsid w:val="00423BA1"/>
    <w:rsid w:val="00423EAF"/>
    <w:rsid w:val="0042441E"/>
    <w:rsid w:val="00424EAA"/>
    <w:rsid w:val="00424F7A"/>
    <w:rsid w:val="00424FFA"/>
    <w:rsid w:val="0042548A"/>
    <w:rsid w:val="0042553A"/>
    <w:rsid w:val="00425DAD"/>
    <w:rsid w:val="00426153"/>
    <w:rsid w:val="0043112D"/>
    <w:rsid w:val="00431380"/>
    <w:rsid w:val="004313C4"/>
    <w:rsid w:val="00431CA0"/>
    <w:rsid w:val="00432DB6"/>
    <w:rsid w:val="00433148"/>
    <w:rsid w:val="004331D3"/>
    <w:rsid w:val="004336CC"/>
    <w:rsid w:val="00435025"/>
    <w:rsid w:val="004352AE"/>
    <w:rsid w:val="00435823"/>
    <w:rsid w:val="00435D32"/>
    <w:rsid w:val="00436054"/>
    <w:rsid w:val="004365F7"/>
    <w:rsid w:val="00436CA3"/>
    <w:rsid w:val="00436D28"/>
    <w:rsid w:val="004374BF"/>
    <w:rsid w:val="00437690"/>
    <w:rsid w:val="00437C61"/>
    <w:rsid w:val="004402DF"/>
    <w:rsid w:val="0044073F"/>
    <w:rsid w:val="00440812"/>
    <w:rsid w:val="004412A5"/>
    <w:rsid w:val="00441C43"/>
    <w:rsid w:val="004421CD"/>
    <w:rsid w:val="00442215"/>
    <w:rsid w:val="00443017"/>
    <w:rsid w:val="004433B9"/>
    <w:rsid w:val="0044356E"/>
    <w:rsid w:val="004436C7"/>
    <w:rsid w:val="00444029"/>
    <w:rsid w:val="00444240"/>
    <w:rsid w:val="0044455E"/>
    <w:rsid w:val="00444E49"/>
    <w:rsid w:val="004450A2"/>
    <w:rsid w:val="004453A0"/>
    <w:rsid w:val="0044617C"/>
    <w:rsid w:val="00446569"/>
    <w:rsid w:val="00446584"/>
    <w:rsid w:val="0044718C"/>
    <w:rsid w:val="004471E5"/>
    <w:rsid w:val="0044724C"/>
    <w:rsid w:val="00447289"/>
    <w:rsid w:val="00447698"/>
    <w:rsid w:val="00447AB6"/>
    <w:rsid w:val="004501C8"/>
    <w:rsid w:val="0045026B"/>
    <w:rsid w:val="0045041B"/>
    <w:rsid w:val="00450EAA"/>
    <w:rsid w:val="00450F2A"/>
    <w:rsid w:val="00451A8D"/>
    <w:rsid w:val="00451F49"/>
    <w:rsid w:val="00452321"/>
    <w:rsid w:val="004524A2"/>
    <w:rsid w:val="00452F93"/>
    <w:rsid w:val="004540B3"/>
    <w:rsid w:val="00454308"/>
    <w:rsid w:val="00455B8C"/>
    <w:rsid w:val="00455BFE"/>
    <w:rsid w:val="00455F4F"/>
    <w:rsid w:val="00456605"/>
    <w:rsid w:val="004567C1"/>
    <w:rsid w:val="00456AAF"/>
    <w:rsid w:val="00457478"/>
    <w:rsid w:val="00457846"/>
    <w:rsid w:val="00457BE0"/>
    <w:rsid w:val="00457D28"/>
    <w:rsid w:val="00460078"/>
    <w:rsid w:val="00460113"/>
    <w:rsid w:val="00460134"/>
    <w:rsid w:val="00461305"/>
    <w:rsid w:val="00461512"/>
    <w:rsid w:val="0046197E"/>
    <w:rsid w:val="00463094"/>
    <w:rsid w:val="004635CA"/>
    <w:rsid w:val="0046370E"/>
    <w:rsid w:val="004638D1"/>
    <w:rsid w:val="00464A3C"/>
    <w:rsid w:val="00465226"/>
    <w:rsid w:val="00465FCD"/>
    <w:rsid w:val="004662CF"/>
    <w:rsid w:val="004668CA"/>
    <w:rsid w:val="00467238"/>
    <w:rsid w:val="004677D8"/>
    <w:rsid w:val="0046797B"/>
    <w:rsid w:val="00467CBF"/>
    <w:rsid w:val="004701AD"/>
    <w:rsid w:val="004703A0"/>
    <w:rsid w:val="00470438"/>
    <w:rsid w:val="00470705"/>
    <w:rsid w:val="00470BD1"/>
    <w:rsid w:val="00471605"/>
    <w:rsid w:val="0047179A"/>
    <w:rsid w:val="0047245D"/>
    <w:rsid w:val="0047250B"/>
    <w:rsid w:val="004725F5"/>
    <w:rsid w:val="00473796"/>
    <w:rsid w:val="00473878"/>
    <w:rsid w:val="00474243"/>
    <w:rsid w:val="00474EF4"/>
    <w:rsid w:val="00475113"/>
    <w:rsid w:val="00475A29"/>
    <w:rsid w:val="00476477"/>
    <w:rsid w:val="00476899"/>
    <w:rsid w:val="00476F94"/>
    <w:rsid w:val="00477C86"/>
    <w:rsid w:val="00480087"/>
    <w:rsid w:val="00480613"/>
    <w:rsid w:val="00480832"/>
    <w:rsid w:val="004808FB"/>
    <w:rsid w:val="00480D79"/>
    <w:rsid w:val="00481087"/>
    <w:rsid w:val="0048131E"/>
    <w:rsid w:val="004816C1"/>
    <w:rsid w:val="00481AA4"/>
    <w:rsid w:val="00481F7A"/>
    <w:rsid w:val="00481FA9"/>
    <w:rsid w:val="0048242B"/>
    <w:rsid w:val="004832B6"/>
    <w:rsid w:val="00483302"/>
    <w:rsid w:val="0048368A"/>
    <w:rsid w:val="00484157"/>
    <w:rsid w:val="00484FE4"/>
    <w:rsid w:val="00485559"/>
    <w:rsid w:val="0048560D"/>
    <w:rsid w:val="00485E1C"/>
    <w:rsid w:val="0048634A"/>
    <w:rsid w:val="00487830"/>
    <w:rsid w:val="0049047B"/>
    <w:rsid w:val="004904BE"/>
    <w:rsid w:val="00490FD3"/>
    <w:rsid w:val="004918B6"/>
    <w:rsid w:val="00492DC0"/>
    <w:rsid w:val="00493144"/>
    <w:rsid w:val="00493473"/>
    <w:rsid w:val="0049392E"/>
    <w:rsid w:val="00493A19"/>
    <w:rsid w:val="0049462F"/>
    <w:rsid w:val="00494E1A"/>
    <w:rsid w:val="0049564D"/>
    <w:rsid w:val="00495BFA"/>
    <w:rsid w:val="004971C8"/>
    <w:rsid w:val="00497A08"/>
    <w:rsid w:val="00497AD0"/>
    <w:rsid w:val="004A0577"/>
    <w:rsid w:val="004A0B3D"/>
    <w:rsid w:val="004A187D"/>
    <w:rsid w:val="004A2015"/>
    <w:rsid w:val="004A20C5"/>
    <w:rsid w:val="004A2FCD"/>
    <w:rsid w:val="004A310E"/>
    <w:rsid w:val="004A3E09"/>
    <w:rsid w:val="004A3EC6"/>
    <w:rsid w:val="004A4613"/>
    <w:rsid w:val="004A4867"/>
    <w:rsid w:val="004A58CF"/>
    <w:rsid w:val="004A5C29"/>
    <w:rsid w:val="004A659C"/>
    <w:rsid w:val="004A6D04"/>
    <w:rsid w:val="004B06FF"/>
    <w:rsid w:val="004B0C6C"/>
    <w:rsid w:val="004B0F60"/>
    <w:rsid w:val="004B1CBB"/>
    <w:rsid w:val="004B2E17"/>
    <w:rsid w:val="004B2FE2"/>
    <w:rsid w:val="004B36BC"/>
    <w:rsid w:val="004B37EE"/>
    <w:rsid w:val="004B4461"/>
    <w:rsid w:val="004B45A2"/>
    <w:rsid w:val="004B463D"/>
    <w:rsid w:val="004B47EA"/>
    <w:rsid w:val="004B5324"/>
    <w:rsid w:val="004B580B"/>
    <w:rsid w:val="004B5C0C"/>
    <w:rsid w:val="004B5EBA"/>
    <w:rsid w:val="004B6558"/>
    <w:rsid w:val="004B6A40"/>
    <w:rsid w:val="004B71E6"/>
    <w:rsid w:val="004B7421"/>
    <w:rsid w:val="004B7CC3"/>
    <w:rsid w:val="004C032C"/>
    <w:rsid w:val="004C0B74"/>
    <w:rsid w:val="004C0C0C"/>
    <w:rsid w:val="004C160C"/>
    <w:rsid w:val="004C1A98"/>
    <w:rsid w:val="004C1B08"/>
    <w:rsid w:val="004C1D4A"/>
    <w:rsid w:val="004C2BFA"/>
    <w:rsid w:val="004C2C7E"/>
    <w:rsid w:val="004C3373"/>
    <w:rsid w:val="004C34C4"/>
    <w:rsid w:val="004C3BF8"/>
    <w:rsid w:val="004C57B3"/>
    <w:rsid w:val="004C5AAD"/>
    <w:rsid w:val="004C5CFE"/>
    <w:rsid w:val="004C5FA8"/>
    <w:rsid w:val="004C65FB"/>
    <w:rsid w:val="004C6833"/>
    <w:rsid w:val="004C6AAC"/>
    <w:rsid w:val="004C6E9B"/>
    <w:rsid w:val="004C78B5"/>
    <w:rsid w:val="004C78C8"/>
    <w:rsid w:val="004C7BAB"/>
    <w:rsid w:val="004C7C6B"/>
    <w:rsid w:val="004D0366"/>
    <w:rsid w:val="004D0938"/>
    <w:rsid w:val="004D0C93"/>
    <w:rsid w:val="004D1C40"/>
    <w:rsid w:val="004D34FC"/>
    <w:rsid w:val="004D4265"/>
    <w:rsid w:val="004D55AE"/>
    <w:rsid w:val="004D5C5E"/>
    <w:rsid w:val="004D65F3"/>
    <w:rsid w:val="004D7F34"/>
    <w:rsid w:val="004E000B"/>
    <w:rsid w:val="004E01EC"/>
    <w:rsid w:val="004E05E4"/>
    <w:rsid w:val="004E0C05"/>
    <w:rsid w:val="004E0C7E"/>
    <w:rsid w:val="004E193E"/>
    <w:rsid w:val="004E1BE7"/>
    <w:rsid w:val="004E1D76"/>
    <w:rsid w:val="004E217E"/>
    <w:rsid w:val="004E2B00"/>
    <w:rsid w:val="004E4735"/>
    <w:rsid w:val="004E47CC"/>
    <w:rsid w:val="004E5A11"/>
    <w:rsid w:val="004E6927"/>
    <w:rsid w:val="004E6D7F"/>
    <w:rsid w:val="004E70DE"/>
    <w:rsid w:val="004E7528"/>
    <w:rsid w:val="004F04A6"/>
    <w:rsid w:val="004F1B61"/>
    <w:rsid w:val="004F242D"/>
    <w:rsid w:val="004F25AC"/>
    <w:rsid w:val="004F2BC8"/>
    <w:rsid w:val="004F392C"/>
    <w:rsid w:val="004F3BF1"/>
    <w:rsid w:val="004F3D9D"/>
    <w:rsid w:val="004F3E65"/>
    <w:rsid w:val="004F3FAF"/>
    <w:rsid w:val="004F4DF5"/>
    <w:rsid w:val="004F5A6F"/>
    <w:rsid w:val="004F5DEC"/>
    <w:rsid w:val="004F6BAA"/>
    <w:rsid w:val="004F6C70"/>
    <w:rsid w:val="004F6ED4"/>
    <w:rsid w:val="004F7009"/>
    <w:rsid w:val="004F7B1F"/>
    <w:rsid w:val="004F7B9D"/>
    <w:rsid w:val="00500F4C"/>
    <w:rsid w:val="00500FDC"/>
    <w:rsid w:val="005013CA"/>
    <w:rsid w:val="005013D8"/>
    <w:rsid w:val="00501DFE"/>
    <w:rsid w:val="0050239E"/>
    <w:rsid w:val="0050249E"/>
    <w:rsid w:val="00502F3E"/>
    <w:rsid w:val="0050358C"/>
    <w:rsid w:val="0050390E"/>
    <w:rsid w:val="00503EFB"/>
    <w:rsid w:val="005043C4"/>
    <w:rsid w:val="00504415"/>
    <w:rsid w:val="005054E4"/>
    <w:rsid w:val="005055C2"/>
    <w:rsid w:val="005064E6"/>
    <w:rsid w:val="00507524"/>
    <w:rsid w:val="00507741"/>
    <w:rsid w:val="005077E9"/>
    <w:rsid w:val="00507989"/>
    <w:rsid w:val="00510FE6"/>
    <w:rsid w:val="005112D4"/>
    <w:rsid w:val="005125DE"/>
    <w:rsid w:val="005129FC"/>
    <w:rsid w:val="00512E2D"/>
    <w:rsid w:val="00513897"/>
    <w:rsid w:val="00513A9D"/>
    <w:rsid w:val="005142E5"/>
    <w:rsid w:val="00514FB6"/>
    <w:rsid w:val="005153AA"/>
    <w:rsid w:val="0051702D"/>
    <w:rsid w:val="005203E6"/>
    <w:rsid w:val="00520592"/>
    <w:rsid w:val="0052117D"/>
    <w:rsid w:val="005231DB"/>
    <w:rsid w:val="00523BBF"/>
    <w:rsid w:val="00523F16"/>
    <w:rsid w:val="005246E3"/>
    <w:rsid w:val="00526F71"/>
    <w:rsid w:val="00527196"/>
    <w:rsid w:val="005274FB"/>
    <w:rsid w:val="0052757D"/>
    <w:rsid w:val="0052767F"/>
    <w:rsid w:val="0052770D"/>
    <w:rsid w:val="00527CD5"/>
    <w:rsid w:val="005303DE"/>
    <w:rsid w:val="005303F9"/>
    <w:rsid w:val="0053162A"/>
    <w:rsid w:val="0053168B"/>
    <w:rsid w:val="00531794"/>
    <w:rsid w:val="00531A17"/>
    <w:rsid w:val="00531D93"/>
    <w:rsid w:val="00532860"/>
    <w:rsid w:val="00532A89"/>
    <w:rsid w:val="00534220"/>
    <w:rsid w:val="00534223"/>
    <w:rsid w:val="005344C5"/>
    <w:rsid w:val="00534719"/>
    <w:rsid w:val="00534A0F"/>
    <w:rsid w:val="005360BA"/>
    <w:rsid w:val="0053694A"/>
    <w:rsid w:val="00536B83"/>
    <w:rsid w:val="00536BFB"/>
    <w:rsid w:val="0053738A"/>
    <w:rsid w:val="00537CAC"/>
    <w:rsid w:val="00541AA2"/>
    <w:rsid w:val="0054243A"/>
    <w:rsid w:val="00543379"/>
    <w:rsid w:val="00543B37"/>
    <w:rsid w:val="00543BC9"/>
    <w:rsid w:val="0054549D"/>
    <w:rsid w:val="00545C59"/>
    <w:rsid w:val="00545D6B"/>
    <w:rsid w:val="0054645D"/>
    <w:rsid w:val="00546AC0"/>
    <w:rsid w:val="00547854"/>
    <w:rsid w:val="00547A50"/>
    <w:rsid w:val="0055131D"/>
    <w:rsid w:val="00551E0E"/>
    <w:rsid w:val="0055302A"/>
    <w:rsid w:val="00553228"/>
    <w:rsid w:val="00553976"/>
    <w:rsid w:val="00554FAB"/>
    <w:rsid w:val="00554FE2"/>
    <w:rsid w:val="00555130"/>
    <w:rsid w:val="00555862"/>
    <w:rsid w:val="00555CCB"/>
    <w:rsid w:val="00555FF2"/>
    <w:rsid w:val="00556200"/>
    <w:rsid w:val="00556461"/>
    <w:rsid w:val="00556ACA"/>
    <w:rsid w:val="00556C3D"/>
    <w:rsid w:val="00556D03"/>
    <w:rsid w:val="00557241"/>
    <w:rsid w:val="00557E1A"/>
    <w:rsid w:val="00557FE7"/>
    <w:rsid w:val="005602C5"/>
    <w:rsid w:val="005611F4"/>
    <w:rsid w:val="00561289"/>
    <w:rsid w:val="00561540"/>
    <w:rsid w:val="005617D9"/>
    <w:rsid w:val="00561F70"/>
    <w:rsid w:val="00563033"/>
    <w:rsid w:val="00563566"/>
    <w:rsid w:val="00563A06"/>
    <w:rsid w:val="005641E0"/>
    <w:rsid w:val="00564816"/>
    <w:rsid w:val="00564BEF"/>
    <w:rsid w:val="00564E93"/>
    <w:rsid w:val="00564EC9"/>
    <w:rsid w:val="00564FB9"/>
    <w:rsid w:val="00565067"/>
    <w:rsid w:val="00565223"/>
    <w:rsid w:val="00565C60"/>
    <w:rsid w:val="00565FA4"/>
    <w:rsid w:val="00566A0F"/>
    <w:rsid w:val="00567ECF"/>
    <w:rsid w:val="00570692"/>
    <w:rsid w:val="005712A4"/>
    <w:rsid w:val="005718D4"/>
    <w:rsid w:val="00572072"/>
    <w:rsid w:val="00573E21"/>
    <w:rsid w:val="00573F04"/>
    <w:rsid w:val="005746B9"/>
    <w:rsid w:val="005760CB"/>
    <w:rsid w:val="00576343"/>
    <w:rsid w:val="005763AA"/>
    <w:rsid w:val="00576410"/>
    <w:rsid w:val="005768D1"/>
    <w:rsid w:val="005772EA"/>
    <w:rsid w:val="00577794"/>
    <w:rsid w:val="00580240"/>
    <w:rsid w:val="005808C5"/>
    <w:rsid w:val="005812AF"/>
    <w:rsid w:val="00583231"/>
    <w:rsid w:val="00583335"/>
    <w:rsid w:val="00583981"/>
    <w:rsid w:val="00583B7F"/>
    <w:rsid w:val="005840FA"/>
    <w:rsid w:val="00585546"/>
    <w:rsid w:val="0058570B"/>
    <w:rsid w:val="00585D51"/>
    <w:rsid w:val="00586413"/>
    <w:rsid w:val="005867C2"/>
    <w:rsid w:val="00586C72"/>
    <w:rsid w:val="005871BB"/>
    <w:rsid w:val="00587677"/>
    <w:rsid w:val="00587837"/>
    <w:rsid w:val="00590681"/>
    <w:rsid w:val="00590761"/>
    <w:rsid w:val="0059126C"/>
    <w:rsid w:val="00591424"/>
    <w:rsid w:val="00591542"/>
    <w:rsid w:val="005918D0"/>
    <w:rsid w:val="0059209A"/>
    <w:rsid w:val="00593534"/>
    <w:rsid w:val="00593A8C"/>
    <w:rsid w:val="005943B5"/>
    <w:rsid w:val="00594469"/>
    <w:rsid w:val="0059448C"/>
    <w:rsid w:val="00594626"/>
    <w:rsid w:val="00594665"/>
    <w:rsid w:val="005948F7"/>
    <w:rsid w:val="0059490B"/>
    <w:rsid w:val="00595095"/>
    <w:rsid w:val="005956C9"/>
    <w:rsid w:val="00595D4D"/>
    <w:rsid w:val="00596EBD"/>
    <w:rsid w:val="00597B72"/>
    <w:rsid w:val="005A06BF"/>
    <w:rsid w:val="005A1166"/>
    <w:rsid w:val="005A20F7"/>
    <w:rsid w:val="005A2C72"/>
    <w:rsid w:val="005A2E1E"/>
    <w:rsid w:val="005A317D"/>
    <w:rsid w:val="005A3494"/>
    <w:rsid w:val="005A3C7F"/>
    <w:rsid w:val="005A3C9B"/>
    <w:rsid w:val="005A3FFF"/>
    <w:rsid w:val="005A4098"/>
    <w:rsid w:val="005A51DD"/>
    <w:rsid w:val="005A667B"/>
    <w:rsid w:val="005A679B"/>
    <w:rsid w:val="005A6970"/>
    <w:rsid w:val="005A6994"/>
    <w:rsid w:val="005A6C51"/>
    <w:rsid w:val="005A6D05"/>
    <w:rsid w:val="005A733E"/>
    <w:rsid w:val="005A7352"/>
    <w:rsid w:val="005A7447"/>
    <w:rsid w:val="005A7567"/>
    <w:rsid w:val="005B0209"/>
    <w:rsid w:val="005B0511"/>
    <w:rsid w:val="005B0F62"/>
    <w:rsid w:val="005B170B"/>
    <w:rsid w:val="005B19D8"/>
    <w:rsid w:val="005B26AE"/>
    <w:rsid w:val="005B2A2F"/>
    <w:rsid w:val="005B4014"/>
    <w:rsid w:val="005B40B8"/>
    <w:rsid w:val="005B45B1"/>
    <w:rsid w:val="005B4A30"/>
    <w:rsid w:val="005B5993"/>
    <w:rsid w:val="005B5D90"/>
    <w:rsid w:val="005B62A3"/>
    <w:rsid w:val="005B70D2"/>
    <w:rsid w:val="005B77B1"/>
    <w:rsid w:val="005C0126"/>
    <w:rsid w:val="005C041D"/>
    <w:rsid w:val="005C0F38"/>
    <w:rsid w:val="005C151A"/>
    <w:rsid w:val="005C172A"/>
    <w:rsid w:val="005C1D4F"/>
    <w:rsid w:val="005C234D"/>
    <w:rsid w:val="005C24AE"/>
    <w:rsid w:val="005C46AC"/>
    <w:rsid w:val="005C5776"/>
    <w:rsid w:val="005C5BD4"/>
    <w:rsid w:val="005C65AB"/>
    <w:rsid w:val="005C65D5"/>
    <w:rsid w:val="005C70BC"/>
    <w:rsid w:val="005C793A"/>
    <w:rsid w:val="005D09B3"/>
    <w:rsid w:val="005D111C"/>
    <w:rsid w:val="005D113B"/>
    <w:rsid w:val="005D1860"/>
    <w:rsid w:val="005D1B0B"/>
    <w:rsid w:val="005D1C2B"/>
    <w:rsid w:val="005D2A61"/>
    <w:rsid w:val="005D2DA1"/>
    <w:rsid w:val="005D316E"/>
    <w:rsid w:val="005D3AEE"/>
    <w:rsid w:val="005D3D09"/>
    <w:rsid w:val="005D3E6E"/>
    <w:rsid w:val="005D45F2"/>
    <w:rsid w:val="005D489C"/>
    <w:rsid w:val="005D4B9C"/>
    <w:rsid w:val="005D5515"/>
    <w:rsid w:val="005D5C77"/>
    <w:rsid w:val="005D5D64"/>
    <w:rsid w:val="005D5F67"/>
    <w:rsid w:val="005D641C"/>
    <w:rsid w:val="005D72AF"/>
    <w:rsid w:val="005E0C66"/>
    <w:rsid w:val="005E0D99"/>
    <w:rsid w:val="005E130B"/>
    <w:rsid w:val="005E13E7"/>
    <w:rsid w:val="005E1865"/>
    <w:rsid w:val="005E1A26"/>
    <w:rsid w:val="005E2014"/>
    <w:rsid w:val="005E2B64"/>
    <w:rsid w:val="005E2F70"/>
    <w:rsid w:val="005E2FFA"/>
    <w:rsid w:val="005E472F"/>
    <w:rsid w:val="005E492B"/>
    <w:rsid w:val="005E5A8E"/>
    <w:rsid w:val="005E639A"/>
    <w:rsid w:val="005E63F7"/>
    <w:rsid w:val="005E6C14"/>
    <w:rsid w:val="005F03FB"/>
    <w:rsid w:val="005F0587"/>
    <w:rsid w:val="005F0621"/>
    <w:rsid w:val="005F125B"/>
    <w:rsid w:val="005F23BE"/>
    <w:rsid w:val="005F2720"/>
    <w:rsid w:val="005F2C92"/>
    <w:rsid w:val="005F3D80"/>
    <w:rsid w:val="005F3F8F"/>
    <w:rsid w:val="005F42CC"/>
    <w:rsid w:val="005F4581"/>
    <w:rsid w:val="005F4C45"/>
    <w:rsid w:val="005F4E86"/>
    <w:rsid w:val="005F4E8C"/>
    <w:rsid w:val="005F4F1A"/>
    <w:rsid w:val="005F57FD"/>
    <w:rsid w:val="005F589F"/>
    <w:rsid w:val="005F59CC"/>
    <w:rsid w:val="005F5FC3"/>
    <w:rsid w:val="005F67DE"/>
    <w:rsid w:val="005F6E9E"/>
    <w:rsid w:val="005F743B"/>
    <w:rsid w:val="005F7506"/>
    <w:rsid w:val="005F755E"/>
    <w:rsid w:val="005F795E"/>
    <w:rsid w:val="005F7A43"/>
    <w:rsid w:val="005F7C27"/>
    <w:rsid w:val="005F7E67"/>
    <w:rsid w:val="0060001F"/>
    <w:rsid w:val="00600374"/>
    <w:rsid w:val="00600C3D"/>
    <w:rsid w:val="006019F8"/>
    <w:rsid w:val="00601D9A"/>
    <w:rsid w:val="006028AD"/>
    <w:rsid w:val="00604710"/>
    <w:rsid w:val="00604C89"/>
    <w:rsid w:val="00604E07"/>
    <w:rsid w:val="00605CE7"/>
    <w:rsid w:val="00606AC3"/>
    <w:rsid w:val="00606E55"/>
    <w:rsid w:val="006070B9"/>
    <w:rsid w:val="00607D2D"/>
    <w:rsid w:val="00611547"/>
    <w:rsid w:val="006116D3"/>
    <w:rsid w:val="00612C5C"/>
    <w:rsid w:val="00613393"/>
    <w:rsid w:val="0061354B"/>
    <w:rsid w:val="0061373C"/>
    <w:rsid w:val="0061374A"/>
    <w:rsid w:val="006146DD"/>
    <w:rsid w:val="0061474C"/>
    <w:rsid w:val="006148DF"/>
    <w:rsid w:val="00614CB3"/>
    <w:rsid w:val="00615BFB"/>
    <w:rsid w:val="00616422"/>
    <w:rsid w:val="00616897"/>
    <w:rsid w:val="006168E2"/>
    <w:rsid w:val="00617462"/>
    <w:rsid w:val="00620A49"/>
    <w:rsid w:val="00620CBD"/>
    <w:rsid w:val="006210CF"/>
    <w:rsid w:val="00621C37"/>
    <w:rsid w:val="00621CAF"/>
    <w:rsid w:val="006226DE"/>
    <w:rsid w:val="00622D7D"/>
    <w:rsid w:val="006248A3"/>
    <w:rsid w:val="00624A4D"/>
    <w:rsid w:val="00624AD0"/>
    <w:rsid w:val="00624FC7"/>
    <w:rsid w:val="00626044"/>
    <w:rsid w:val="0062678C"/>
    <w:rsid w:val="006270D4"/>
    <w:rsid w:val="00627155"/>
    <w:rsid w:val="00627808"/>
    <w:rsid w:val="00627D09"/>
    <w:rsid w:val="00627E74"/>
    <w:rsid w:val="00627ED7"/>
    <w:rsid w:val="00630096"/>
    <w:rsid w:val="00630545"/>
    <w:rsid w:val="00630A23"/>
    <w:rsid w:val="0063224B"/>
    <w:rsid w:val="00632C1C"/>
    <w:rsid w:val="0063394F"/>
    <w:rsid w:val="00633AA5"/>
    <w:rsid w:val="00633B3A"/>
    <w:rsid w:val="00633D35"/>
    <w:rsid w:val="00634288"/>
    <w:rsid w:val="006344BE"/>
    <w:rsid w:val="006348F7"/>
    <w:rsid w:val="00634A79"/>
    <w:rsid w:val="006350B4"/>
    <w:rsid w:val="00635670"/>
    <w:rsid w:val="00635919"/>
    <w:rsid w:val="00636311"/>
    <w:rsid w:val="00636D2B"/>
    <w:rsid w:val="00637E3A"/>
    <w:rsid w:val="0064072D"/>
    <w:rsid w:val="00641396"/>
    <w:rsid w:val="00641984"/>
    <w:rsid w:val="006423BA"/>
    <w:rsid w:val="00642BA8"/>
    <w:rsid w:val="00642DB7"/>
    <w:rsid w:val="00642DE0"/>
    <w:rsid w:val="00642E35"/>
    <w:rsid w:val="0064337F"/>
    <w:rsid w:val="00643B83"/>
    <w:rsid w:val="006441EB"/>
    <w:rsid w:val="0064453B"/>
    <w:rsid w:val="00644763"/>
    <w:rsid w:val="00644BFB"/>
    <w:rsid w:val="00644C95"/>
    <w:rsid w:val="0064557F"/>
    <w:rsid w:val="0064627D"/>
    <w:rsid w:val="00646803"/>
    <w:rsid w:val="00646D42"/>
    <w:rsid w:val="00647E72"/>
    <w:rsid w:val="00650527"/>
    <w:rsid w:val="00650F45"/>
    <w:rsid w:val="00652A9C"/>
    <w:rsid w:val="00652DD1"/>
    <w:rsid w:val="006541D4"/>
    <w:rsid w:val="006548FE"/>
    <w:rsid w:val="0065653B"/>
    <w:rsid w:val="006601B9"/>
    <w:rsid w:val="0066062A"/>
    <w:rsid w:val="0066157B"/>
    <w:rsid w:val="00661870"/>
    <w:rsid w:val="00662649"/>
    <w:rsid w:val="006629A5"/>
    <w:rsid w:val="00663E08"/>
    <w:rsid w:val="006641D1"/>
    <w:rsid w:val="006642A7"/>
    <w:rsid w:val="00665658"/>
    <w:rsid w:val="00665D3D"/>
    <w:rsid w:val="006668F5"/>
    <w:rsid w:val="006674DF"/>
    <w:rsid w:val="00667C42"/>
    <w:rsid w:val="00670449"/>
    <w:rsid w:val="00670BBC"/>
    <w:rsid w:val="0067114B"/>
    <w:rsid w:val="00671174"/>
    <w:rsid w:val="00672391"/>
    <w:rsid w:val="006735CE"/>
    <w:rsid w:val="00673A8D"/>
    <w:rsid w:val="0067436A"/>
    <w:rsid w:val="00674994"/>
    <w:rsid w:val="00674E03"/>
    <w:rsid w:val="00674E59"/>
    <w:rsid w:val="006750CF"/>
    <w:rsid w:val="0067531F"/>
    <w:rsid w:val="006755B5"/>
    <w:rsid w:val="00676895"/>
    <w:rsid w:val="00676AF0"/>
    <w:rsid w:val="00677247"/>
    <w:rsid w:val="00677406"/>
    <w:rsid w:val="00680F1D"/>
    <w:rsid w:val="006814B8"/>
    <w:rsid w:val="0068194C"/>
    <w:rsid w:val="00681D59"/>
    <w:rsid w:val="00681FF2"/>
    <w:rsid w:val="00682008"/>
    <w:rsid w:val="006820E3"/>
    <w:rsid w:val="00682AA6"/>
    <w:rsid w:val="0068399D"/>
    <w:rsid w:val="00683AE1"/>
    <w:rsid w:val="00683D61"/>
    <w:rsid w:val="00683FB6"/>
    <w:rsid w:val="0068443C"/>
    <w:rsid w:val="00684896"/>
    <w:rsid w:val="00685440"/>
    <w:rsid w:val="00685577"/>
    <w:rsid w:val="006856A1"/>
    <w:rsid w:val="00685F05"/>
    <w:rsid w:val="00685F1F"/>
    <w:rsid w:val="00686008"/>
    <w:rsid w:val="0068618E"/>
    <w:rsid w:val="0068622E"/>
    <w:rsid w:val="006863BB"/>
    <w:rsid w:val="006866CB"/>
    <w:rsid w:val="00686D5D"/>
    <w:rsid w:val="00690021"/>
    <w:rsid w:val="0069004E"/>
    <w:rsid w:val="006903EC"/>
    <w:rsid w:val="00690478"/>
    <w:rsid w:val="006907F1"/>
    <w:rsid w:val="00690B61"/>
    <w:rsid w:val="006911EF"/>
    <w:rsid w:val="00691F38"/>
    <w:rsid w:val="00692453"/>
    <w:rsid w:val="00692850"/>
    <w:rsid w:val="00692D0C"/>
    <w:rsid w:val="00692F25"/>
    <w:rsid w:val="00693FA3"/>
    <w:rsid w:val="00694124"/>
    <w:rsid w:val="006943AD"/>
    <w:rsid w:val="006947C7"/>
    <w:rsid w:val="00694C22"/>
    <w:rsid w:val="00694D9B"/>
    <w:rsid w:val="00694F09"/>
    <w:rsid w:val="00695463"/>
    <w:rsid w:val="006967DB"/>
    <w:rsid w:val="00697517"/>
    <w:rsid w:val="00697680"/>
    <w:rsid w:val="00697A6B"/>
    <w:rsid w:val="00697CEC"/>
    <w:rsid w:val="00697DDF"/>
    <w:rsid w:val="006A0F30"/>
    <w:rsid w:val="006A1348"/>
    <w:rsid w:val="006A17D2"/>
    <w:rsid w:val="006A1955"/>
    <w:rsid w:val="006A239D"/>
    <w:rsid w:val="006A2462"/>
    <w:rsid w:val="006A28AD"/>
    <w:rsid w:val="006A29C9"/>
    <w:rsid w:val="006A2B4E"/>
    <w:rsid w:val="006A2E49"/>
    <w:rsid w:val="006A2F90"/>
    <w:rsid w:val="006A4F81"/>
    <w:rsid w:val="006A5532"/>
    <w:rsid w:val="006A598D"/>
    <w:rsid w:val="006A614F"/>
    <w:rsid w:val="006A6418"/>
    <w:rsid w:val="006A6A45"/>
    <w:rsid w:val="006A6B58"/>
    <w:rsid w:val="006A7785"/>
    <w:rsid w:val="006B069E"/>
    <w:rsid w:val="006B07C7"/>
    <w:rsid w:val="006B0987"/>
    <w:rsid w:val="006B16CD"/>
    <w:rsid w:val="006B1A94"/>
    <w:rsid w:val="006B2067"/>
    <w:rsid w:val="006B2140"/>
    <w:rsid w:val="006B232B"/>
    <w:rsid w:val="006B3655"/>
    <w:rsid w:val="006B3A6A"/>
    <w:rsid w:val="006B3FE6"/>
    <w:rsid w:val="006B4106"/>
    <w:rsid w:val="006B4770"/>
    <w:rsid w:val="006B4F3D"/>
    <w:rsid w:val="006B4F76"/>
    <w:rsid w:val="006B57CF"/>
    <w:rsid w:val="006B6499"/>
    <w:rsid w:val="006B71D6"/>
    <w:rsid w:val="006B75F0"/>
    <w:rsid w:val="006B7A5E"/>
    <w:rsid w:val="006B7F7E"/>
    <w:rsid w:val="006C0950"/>
    <w:rsid w:val="006C0D0A"/>
    <w:rsid w:val="006C0DEA"/>
    <w:rsid w:val="006C10FF"/>
    <w:rsid w:val="006C2094"/>
    <w:rsid w:val="006C22EF"/>
    <w:rsid w:val="006C263B"/>
    <w:rsid w:val="006C3627"/>
    <w:rsid w:val="006C3B31"/>
    <w:rsid w:val="006C463C"/>
    <w:rsid w:val="006C4F2B"/>
    <w:rsid w:val="006C5E68"/>
    <w:rsid w:val="006C66F0"/>
    <w:rsid w:val="006C6B60"/>
    <w:rsid w:val="006C79FD"/>
    <w:rsid w:val="006C7E28"/>
    <w:rsid w:val="006C7EFD"/>
    <w:rsid w:val="006C7F48"/>
    <w:rsid w:val="006C7FF7"/>
    <w:rsid w:val="006D078F"/>
    <w:rsid w:val="006D0874"/>
    <w:rsid w:val="006D0F6C"/>
    <w:rsid w:val="006D190F"/>
    <w:rsid w:val="006D2383"/>
    <w:rsid w:val="006D2731"/>
    <w:rsid w:val="006D32F5"/>
    <w:rsid w:val="006D35CC"/>
    <w:rsid w:val="006D3786"/>
    <w:rsid w:val="006D40FA"/>
    <w:rsid w:val="006D4E42"/>
    <w:rsid w:val="006D4FB7"/>
    <w:rsid w:val="006D51E3"/>
    <w:rsid w:val="006D526E"/>
    <w:rsid w:val="006D5560"/>
    <w:rsid w:val="006D5BE9"/>
    <w:rsid w:val="006D7382"/>
    <w:rsid w:val="006D74C0"/>
    <w:rsid w:val="006D7E86"/>
    <w:rsid w:val="006E01EE"/>
    <w:rsid w:val="006E07EF"/>
    <w:rsid w:val="006E091B"/>
    <w:rsid w:val="006E0C69"/>
    <w:rsid w:val="006E0F35"/>
    <w:rsid w:val="006E1205"/>
    <w:rsid w:val="006E17FB"/>
    <w:rsid w:val="006E1B9C"/>
    <w:rsid w:val="006E1DB2"/>
    <w:rsid w:val="006E227D"/>
    <w:rsid w:val="006E2809"/>
    <w:rsid w:val="006E28A7"/>
    <w:rsid w:val="006E2AD1"/>
    <w:rsid w:val="006E2BDD"/>
    <w:rsid w:val="006E32E6"/>
    <w:rsid w:val="006E5091"/>
    <w:rsid w:val="006E51EB"/>
    <w:rsid w:val="006E5332"/>
    <w:rsid w:val="006E69A0"/>
    <w:rsid w:val="006E6CAB"/>
    <w:rsid w:val="006E7070"/>
    <w:rsid w:val="006E76EE"/>
    <w:rsid w:val="006E7CD0"/>
    <w:rsid w:val="006F113A"/>
    <w:rsid w:val="006F14E1"/>
    <w:rsid w:val="006F1DBD"/>
    <w:rsid w:val="006F2026"/>
    <w:rsid w:val="006F21D3"/>
    <w:rsid w:val="006F2A28"/>
    <w:rsid w:val="006F2C9B"/>
    <w:rsid w:val="006F36A5"/>
    <w:rsid w:val="006F3ACA"/>
    <w:rsid w:val="006F4101"/>
    <w:rsid w:val="006F4D37"/>
    <w:rsid w:val="006F4EED"/>
    <w:rsid w:val="006F54A7"/>
    <w:rsid w:val="006F59C4"/>
    <w:rsid w:val="006F5F69"/>
    <w:rsid w:val="006F6035"/>
    <w:rsid w:val="006F65CF"/>
    <w:rsid w:val="006F6E9F"/>
    <w:rsid w:val="006F708D"/>
    <w:rsid w:val="006F7A17"/>
    <w:rsid w:val="006F7C19"/>
    <w:rsid w:val="007009E6"/>
    <w:rsid w:val="00701C02"/>
    <w:rsid w:val="00701E34"/>
    <w:rsid w:val="007024E8"/>
    <w:rsid w:val="00702525"/>
    <w:rsid w:val="00703F21"/>
    <w:rsid w:val="00704152"/>
    <w:rsid w:val="00704425"/>
    <w:rsid w:val="00704948"/>
    <w:rsid w:val="00704DB2"/>
    <w:rsid w:val="00705609"/>
    <w:rsid w:val="007056CC"/>
    <w:rsid w:val="0070659F"/>
    <w:rsid w:val="00707228"/>
    <w:rsid w:val="00710358"/>
    <w:rsid w:val="007104B4"/>
    <w:rsid w:val="0071065B"/>
    <w:rsid w:val="00710FE8"/>
    <w:rsid w:val="007118DB"/>
    <w:rsid w:val="007128E2"/>
    <w:rsid w:val="0071291D"/>
    <w:rsid w:val="00712DF3"/>
    <w:rsid w:val="00713710"/>
    <w:rsid w:val="00713C39"/>
    <w:rsid w:val="00713F2A"/>
    <w:rsid w:val="00714B70"/>
    <w:rsid w:val="007159D1"/>
    <w:rsid w:val="0071628D"/>
    <w:rsid w:val="007164C1"/>
    <w:rsid w:val="00716E7F"/>
    <w:rsid w:val="007176AD"/>
    <w:rsid w:val="00717BA4"/>
    <w:rsid w:val="007203D1"/>
    <w:rsid w:val="00720412"/>
    <w:rsid w:val="0072066D"/>
    <w:rsid w:val="00720CDB"/>
    <w:rsid w:val="0072289D"/>
    <w:rsid w:val="00723E9E"/>
    <w:rsid w:val="00723ED2"/>
    <w:rsid w:val="00724168"/>
    <w:rsid w:val="00725750"/>
    <w:rsid w:val="00725C8B"/>
    <w:rsid w:val="00726A03"/>
    <w:rsid w:val="00726B51"/>
    <w:rsid w:val="00727331"/>
    <w:rsid w:val="0072742B"/>
    <w:rsid w:val="0072791C"/>
    <w:rsid w:val="007279D5"/>
    <w:rsid w:val="00727AA4"/>
    <w:rsid w:val="00730128"/>
    <w:rsid w:val="0073061F"/>
    <w:rsid w:val="00730842"/>
    <w:rsid w:val="00730B63"/>
    <w:rsid w:val="007310B4"/>
    <w:rsid w:val="007313AF"/>
    <w:rsid w:val="00732002"/>
    <w:rsid w:val="0073299E"/>
    <w:rsid w:val="00732AAF"/>
    <w:rsid w:val="00732B64"/>
    <w:rsid w:val="00733A9A"/>
    <w:rsid w:val="0073510F"/>
    <w:rsid w:val="00735548"/>
    <w:rsid w:val="00735FF1"/>
    <w:rsid w:val="007360D4"/>
    <w:rsid w:val="0073638B"/>
    <w:rsid w:val="007364C5"/>
    <w:rsid w:val="00736531"/>
    <w:rsid w:val="0073726B"/>
    <w:rsid w:val="00737680"/>
    <w:rsid w:val="00737BA5"/>
    <w:rsid w:val="00737DA3"/>
    <w:rsid w:val="007405CA"/>
    <w:rsid w:val="00741FCE"/>
    <w:rsid w:val="00743679"/>
    <w:rsid w:val="00743FEF"/>
    <w:rsid w:val="00744321"/>
    <w:rsid w:val="0074474C"/>
    <w:rsid w:val="00744926"/>
    <w:rsid w:val="0074560D"/>
    <w:rsid w:val="007460B0"/>
    <w:rsid w:val="00747B6F"/>
    <w:rsid w:val="0075007C"/>
    <w:rsid w:val="007505A6"/>
    <w:rsid w:val="007512B2"/>
    <w:rsid w:val="007516C5"/>
    <w:rsid w:val="007519B2"/>
    <w:rsid w:val="00751A0A"/>
    <w:rsid w:val="00751BD5"/>
    <w:rsid w:val="00751E74"/>
    <w:rsid w:val="007524D8"/>
    <w:rsid w:val="00752BAC"/>
    <w:rsid w:val="007533F8"/>
    <w:rsid w:val="00753693"/>
    <w:rsid w:val="00753723"/>
    <w:rsid w:val="00753D3B"/>
    <w:rsid w:val="00754925"/>
    <w:rsid w:val="00755DFA"/>
    <w:rsid w:val="00756616"/>
    <w:rsid w:val="00757FC3"/>
    <w:rsid w:val="00760342"/>
    <w:rsid w:val="00760528"/>
    <w:rsid w:val="00760D72"/>
    <w:rsid w:val="00761FA7"/>
    <w:rsid w:val="007620C1"/>
    <w:rsid w:val="00762554"/>
    <w:rsid w:val="00762946"/>
    <w:rsid w:val="007629C0"/>
    <w:rsid w:val="00762B75"/>
    <w:rsid w:val="00762D88"/>
    <w:rsid w:val="00762E9D"/>
    <w:rsid w:val="00762FEA"/>
    <w:rsid w:val="00763388"/>
    <w:rsid w:val="00763786"/>
    <w:rsid w:val="00764056"/>
    <w:rsid w:val="007653D4"/>
    <w:rsid w:val="00765588"/>
    <w:rsid w:val="0076730C"/>
    <w:rsid w:val="0076758D"/>
    <w:rsid w:val="00767A78"/>
    <w:rsid w:val="00767B51"/>
    <w:rsid w:val="00770041"/>
    <w:rsid w:val="00770080"/>
    <w:rsid w:val="00770215"/>
    <w:rsid w:val="0077195D"/>
    <w:rsid w:val="0077266F"/>
    <w:rsid w:val="00772D4F"/>
    <w:rsid w:val="00774082"/>
    <w:rsid w:val="007745E0"/>
    <w:rsid w:val="007754DA"/>
    <w:rsid w:val="00775654"/>
    <w:rsid w:val="0077676A"/>
    <w:rsid w:val="00776D9A"/>
    <w:rsid w:val="00776DD2"/>
    <w:rsid w:val="00776EC0"/>
    <w:rsid w:val="007771CF"/>
    <w:rsid w:val="00777644"/>
    <w:rsid w:val="00777916"/>
    <w:rsid w:val="00777F4A"/>
    <w:rsid w:val="007803D0"/>
    <w:rsid w:val="007804C1"/>
    <w:rsid w:val="00780B74"/>
    <w:rsid w:val="00781321"/>
    <w:rsid w:val="007829D4"/>
    <w:rsid w:val="00782E6E"/>
    <w:rsid w:val="00782EFC"/>
    <w:rsid w:val="00783E21"/>
    <w:rsid w:val="007841C5"/>
    <w:rsid w:val="00784679"/>
    <w:rsid w:val="00785D2C"/>
    <w:rsid w:val="00785EE5"/>
    <w:rsid w:val="00786050"/>
    <w:rsid w:val="00786169"/>
    <w:rsid w:val="007861CB"/>
    <w:rsid w:val="00786789"/>
    <w:rsid w:val="0078683A"/>
    <w:rsid w:val="007870FF"/>
    <w:rsid w:val="00787610"/>
    <w:rsid w:val="00787796"/>
    <w:rsid w:val="00787F2D"/>
    <w:rsid w:val="007913AE"/>
    <w:rsid w:val="007919FC"/>
    <w:rsid w:val="00792354"/>
    <w:rsid w:val="007925AD"/>
    <w:rsid w:val="00792B0C"/>
    <w:rsid w:val="00793AD2"/>
    <w:rsid w:val="00793F1A"/>
    <w:rsid w:val="007943E3"/>
    <w:rsid w:val="00794D51"/>
    <w:rsid w:val="00795127"/>
    <w:rsid w:val="00795195"/>
    <w:rsid w:val="007955CF"/>
    <w:rsid w:val="0079572B"/>
    <w:rsid w:val="00795ED0"/>
    <w:rsid w:val="00796E85"/>
    <w:rsid w:val="007974B7"/>
    <w:rsid w:val="007975F6"/>
    <w:rsid w:val="007A01C4"/>
    <w:rsid w:val="007A023D"/>
    <w:rsid w:val="007A064A"/>
    <w:rsid w:val="007A0EA3"/>
    <w:rsid w:val="007A1114"/>
    <w:rsid w:val="007A1391"/>
    <w:rsid w:val="007A1B20"/>
    <w:rsid w:val="007A2220"/>
    <w:rsid w:val="007A2456"/>
    <w:rsid w:val="007A2844"/>
    <w:rsid w:val="007A30FF"/>
    <w:rsid w:val="007A5416"/>
    <w:rsid w:val="007A5DA0"/>
    <w:rsid w:val="007A64B5"/>
    <w:rsid w:val="007A6785"/>
    <w:rsid w:val="007A6DA9"/>
    <w:rsid w:val="007A789A"/>
    <w:rsid w:val="007A7DAA"/>
    <w:rsid w:val="007A7DD5"/>
    <w:rsid w:val="007B0B92"/>
    <w:rsid w:val="007B0C1C"/>
    <w:rsid w:val="007B13F9"/>
    <w:rsid w:val="007B1B49"/>
    <w:rsid w:val="007B25B5"/>
    <w:rsid w:val="007B2865"/>
    <w:rsid w:val="007B342B"/>
    <w:rsid w:val="007B4433"/>
    <w:rsid w:val="007B448C"/>
    <w:rsid w:val="007B45C2"/>
    <w:rsid w:val="007B4A33"/>
    <w:rsid w:val="007B4DCB"/>
    <w:rsid w:val="007B5908"/>
    <w:rsid w:val="007B5B56"/>
    <w:rsid w:val="007B6161"/>
    <w:rsid w:val="007B7F92"/>
    <w:rsid w:val="007C06F2"/>
    <w:rsid w:val="007C07EC"/>
    <w:rsid w:val="007C0972"/>
    <w:rsid w:val="007C0986"/>
    <w:rsid w:val="007C1171"/>
    <w:rsid w:val="007C198B"/>
    <w:rsid w:val="007C1ED5"/>
    <w:rsid w:val="007C4B28"/>
    <w:rsid w:val="007C5157"/>
    <w:rsid w:val="007C53BA"/>
    <w:rsid w:val="007C68EB"/>
    <w:rsid w:val="007C693C"/>
    <w:rsid w:val="007C6DB0"/>
    <w:rsid w:val="007C7D35"/>
    <w:rsid w:val="007D009F"/>
    <w:rsid w:val="007D136F"/>
    <w:rsid w:val="007D155F"/>
    <w:rsid w:val="007D183E"/>
    <w:rsid w:val="007D1B28"/>
    <w:rsid w:val="007D28DB"/>
    <w:rsid w:val="007D29BF"/>
    <w:rsid w:val="007D2B2F"/>
    <w:rsid w:val="007D2BC6"/>
    <w:rsid w:val="007D2EB4"/>
    <w:rsid w:val="007D2F0F"/>
    <w:rsid w:val="007D320F"/>
    <w:rsid w:val="007D3A69"/>
    <w:rsid w:val="007D40EA"/>
    <w:rsid w:val="007D4326"/>
    <w:rsid w:val="007D6219"/>
    <w:rsid w:val="007D67EA"/>
    <w:rsid w:val="007D6FC2"/>
    <w:rsid w:val="007D70B5"/>
    <w:rsid w:val="007D7304"/>
    <w:rsid w:val="007E0045"/>
    <w:rsid w:val="007E0226"/>
    <w:rsid w:val="007E2226"/>
    <w:rsid w:val="007E2411"/>
    <w:rsid w:val="007E2428"/>
    <w:rsid w:val="007E2808"/>
    <w:rsid w:val="007E29DD"/>
    <w:rsid w:val="007E2DFD"/>
    <w:rsid w:val="007E3115"/>
    <w:rsid w:val="007E3378"/>
    <w:rsid w:val="007E3815"/>
    <w:rsid w:val="007E3C05"/>
    <w:rsid w:val="007E3F75"/>
    <w:rsid w:val="007E4288"/>
    <w:rsid w:val="007E4400"/>
    <w:rsid w:val="007E44B6"/>
    <w:rsid w:val="007E4A98"/>
    <w:rsid w:val="007E4DA1"/>
    <w:rsid w:val="007E5615"/>
    <w:rsid w:val="007E585B"/>
    <w:rsid w:val="007E5C0D"/>
    <w:rsid w:val="007E60AE"/>
    <w:rsid w:val="007E61F0"/>
    <w:rsid w:val="007E653D"/>
    <w:rsid w:val="007E6677"/>
    <w:rsid w:val="007E6E21"/>
    <w:rsid w:val="007E7C34"/>
    <w:rsid w:val="007F07A4"/>
    <w:rsid w:val="007F0F84"/>
    <w:rsid w:val="007F1487"/>
    <w:rsid w:val="007F199E"/>
    <w:rsid w:val="007F1C95"/>
    <w:rsid w:val="007F20B3"/>
    <w:rsid w:val="007F2496"/>
    <w:rsid w:val="007F2A8A"/>
    <w:rsid w:val="007F46F7"/>
    <w:rsid w:val="007F4957"/>
    <w:rsid w:val="007F5978"/>
    <w:rsid w:val="007F6202"/>
    <w:rsid w:val="007F67B8"/>
    <w:rsid w:val="007F68A9"/>
    <w:rsid w:val="007F6D7B"/>
    <w:rsid w:val="007F6FE2"/>
    <w:rsid w:val="007F735D"/>
    <w:rsid w:val="007F755C"/>
    <w:rsid w:val="008000A8"/>
    <w:rsid w:val="008001D9"/>
    <w:rsid w:val="0080203E"/>
    <w:rsid w:val="00802319"/>
    <w:rsid w:val="00802AE3"/>
    <w:rsid w:val="00802BB7"/>
    <w:rsid w:val="00803D22"/>
    <w:rsid w:val="008053D4"/>
    <w:rsid w:val="00805485"/>
    <w:rsid w:val="00805BFA"/>
    <w:rsid w:val="00805E5E"/>
    <w:rsid w:val="0080667D"/>
    <w:rsid w:val="00806BBA"/>
    <w:rsid w:val="00807523"/>
    <w:rsid w:val="008108C4"/>
    <w:rsid w:val="008121F5"/>
    <w:rsid w:val="008126C5"/>
    <w:rsid w:val="00812743"/>
    <w:rsid w:val="00813037"/>
    <w:rsid w:val="00814A62"/>
    <w:rsid w:val="00814CC9"/>
    <w:rsid w:val="00814E62"/>
    <w:rsid w:val="00814EF8"/>
    <w:rsid w:val="00814EF9"/>
    <w:rsid w:val="008153BD"/>
    <w:rsid w:val="008153F2"/>
    <w:rsid w:val="00815E65"/>
    <w:rsid w:val="008164F2"/>
    <w:rsid w:val="008166E8"/>
    <w:rsid w:val="00816A0F"/>
    <w:rsid w:val="00817445"/>
    <w:rsid w:val="00817898"/>
    <w:rsid w:val="0082032C"/>
    <w:rsid w:val="00820E90"/>
    <w:rsid w:val="0082160E"/>
    <w:rsid w:val="0082215A"/>
    <w:rsid w:val="008225A5"/>
    <w:rsid w:val="00823557"/>
    <w:rsid w:val="00823BDF"/>
    <w:rsid w:val="008243F9"/>
    <w:rsid w:val="008257C7"/>
    <w:rsid w:val="00825835"/>
    <w:rsid w:val="00825B86"/>
    <w:rsid w:val="00826261"/>
    <w:rsid w:val="00826806"/>
    <w:rsid w:val="00826C6B"/>
    <w:rsid w:val="00826EBF"/>
    <w:rsid w:val="00827101"/>
    <w:rsid w:val="0082771C"/>
    <w:rsid w:val="00827E1C"/>
    <w:rsid w:val="00830F0D"/>
    <w:rsid w:val="00831145"/>
    <w:rsid w:val="008316F1"/>
    <w:rsid w:val="00831967"/>
    <w:rsid w:val="00831D56"/>
    <w:rsid w:val="0083357A"/>
    <w:rsid w:val="0083411C"/>
    <w:rsid w:val="00835444"/>
    <w:rsid w:val="0083581A"/>
    <w:rsid w:val="00835EEB"/>
    <w:rsid w:val="00835EFF"/>
    <w:rsid w:val="00836370"/>
    <w:rsid w:val="00836657"/>
    <w:rsid w:val="00836857"/>
    <w:rsid w:val="00836EF3"/>
    <w:rsid w:val="00837B28"/>
    <w:rsid w:val="0084118C"/>
    <w:rsid w:val="008416C5"/>
    <w:rsid w:val="008419CA"/>
    <w:rsid w:val="0084224C"/>
    <w:rsid w:val="008428D8"/>
    <w:rsid w:val="00842E94"/>
    <w:rsid w:val="00844346"/>
    <w:rsid w:val="008450D6"/>
    <w:rsid w:val="00845492"/>
    <w:rsid w:val="008454D2"/>
    <w:rsid w:val="00845785"/>
    <w:rsid w:val="008457B1"/>
    <w:rsid w:val="00845DBA"/>
    <w:rsid w:val="00845E78"/>
    <w:rsid w:val="00846220"/>
    <w:rsid w:val="0084644A"/>
    <w:rsid w:val="00846A21"/>
    <w:rsid w:val="0084724A"/>
    <w:rsid w:val="008474F6"/>
    <w:rsid w:val="00847A2D"/>
    <w:rsid w:val="0085017F"/>
    <w:rsid w:val="00850479"/>
    <w:rsid w:val="00850BB5"/>
    <w:rsid w:val="00850D15"/>
    <w:rsid w:val="00851303"/>
    <w:rsid w:val="008518B8"/>
    <w:rsid w:val="00851B77"/>
    <w:rsid w:val="0085272F"/>
    <w:rsid w:val="00852D88"/>
    <w:rsid w:val="00853A0A"/>
    <w:rsid w:val="00853B70"/>
    <w:rsid w:val="00854107"/>
    <w:rsid w:val="0085440D"/>
    <w:rsid w:val="00854690"/>
    <w:rsid w:val="00854A8F"/>
    <w:rsid w:val="00854E2E"/>
    <w:rsid w:val="0085515F"/>
    <w:rsid w:val="008551C2"/>
    <w:rsid w:val="008551F5"/>
    <w:rsid w:val="0085588B"/>
    <w:rsid w:val="008558C5"/>
    <w:rsid w:val="00855D93"/>
    <w:rsid w:val="00856050"/>
    <w:rsid w:val="00856064"/>
    <w:rsid w:val="00860AB1"/>
    <w:rsid w:val="00860C14"/>
    <w:rsid w:val="00860FAD"/>
    <w:rsid w:val="008614D8"/>
    <w:rsid w:val="008624F2"/>
    <w:rsid w:val="00862D7F"/>
    <w:rsid w:val="0086317C"/>
    <w:rsid w:val="00863C6B"/>
    <w:rsid w:val="0086535B"/>
    <w:rsid w:val="0086549A"/>
    <w:rsid w:val="00865837"/>
    <w:rsid w:val="00865848"/>
    <w:rsid w:val="0086621B"/>
    <w:rsid w:val="00866901"/>
    <w:rsid w:val="008676E1"/>
    <w:rsid w:val="00867BE0"/>
    <w:rsid w:val="00870599"/>
    <w:rsid w:val="0087145F"/>
    <w:rsid w:val="008721F5"/>
    <w:rsid w:val="00872828"/>
    <w:rsid w:val="00872A05"/>
    <w:rsid w:val="00872B22"/>
    <w:rsid w:val="00872BF8"/>
    <w:rsid w:val="00872D42"/>
    <w:rsid w:val="00872D52"/>
    <w:rsid w:val="008735CB"/>
    <w:rsid w:val="008737D7"/>
    <w:rsid w:val="00873CAF"/>
    <w:rsid w:val="00873ED7"/>
    <w:rsid w:val="00874083"/>
    <w:rsid w:val="00874529"/>
    <w:rsid w:val="008746C1"/>
    <w:rsid w:val="00875238"/>
    <w:rsid w:val="008759D0"/>
    <w:rsid w:val="00875E79"/>
    <w:rsid w:val="0087638C"/>
    <w:rsid w:val="00876F16"/>
    <w:rsid w:val="00876FFE"/>
    <w:rsid w:val="0087779A"/>
    <w:rsid w:val="008777FA"/>
    <w:rsid w:val="0087797E"/>
    <w:rsid w:val="00877B36"/>
    <w:rsid w:val="008801C1"/>
    <w:rsid w:val="008806DF"/>
    <w:rsid w:val="00880D48"/>
    <w:rsid w:val="00880FED"/>
    <w:rsid w:val="00881159"/>
    <w:rsid w:val="0088196F"/>
    <w:rsid w:val="00881AD2"/>
    <w:rsid w:val="00881BBF"/>
    <w:rsid w:val="00882ECA"/>
    <w:rsid w:val="00883504"/>
    <w:rsid w:val="00883AFA"/>
    <w:rsid w:val="00884375"/>
    <w:rsid w:val="008843CF"/>
    <w:rsid w:val="00884508"/>
    <w:rsid w:val="008845C5"/>
    <w:rsid w:val="00884A34"/>
    <w:rsid w:val="00884E6E"/>
    <w:rsid w:val="008851B0"/>
    <w:rsid w:val="0088551F"/>
    <w:rsid w:val="00885D17"/>
    <w:rsid w:val="00885E9E"/>
    <w:rsid w:val="008862A5"/>
    <w:rsid w:val="0088645E"/>
    <w:rsid w:val="008869A1"/>
    <w:rsid w:val="00886BD3"/>
    <w:rsid w:val="00887492"/>
    <w:rsid w:val="008878D7"/>
    <w:rsid w:val="00887CE2"/>
    <w:rsid w:val="0089012B"/>
    <w:rsid w:val="0089037F"/>
    <w:rsid w:val="00890F15"/>
    <w:rsid w:val="00893136"/>
    <w:rsid w:val="00893405"/>
    <w:rsid w:val="00893488"/>
    <w:rsid w:val="00893D07"/>
    <w:rsid w:val="0089459A"/>
    <w:rsid w:val="00895D16"/>
    <w:rsid w:val="00896567"/>
    <w:rsid w:val="008969B9"/>
    <w:rsid w:val="00896B01"/>
    <w:rsid w:val="00896C2C"/>
    <w:rsid w:val="008970A9"/>
    <w:rsid w:val="00897B93"/>
    <w:rsid w:val="008A15AC"/>
    <w:rsid w:val="008A2049"/>
    <w:rsid w:val="008A2382"/>
    <w:rsid w:val="008A2A6B"/>
    <w:rsid w:val="008A37B3"/>
    <w:rsid w:val="008A3841"/>
    <w:rsid w:val="008A3ECF"/>
    <w:rsid w:val="008A3FF8"/>
    <w:rsid w:val="008A51BD"/>
    <w:rsid w:val="008A5AE3"/>
    <w:rsid w:val="008A5AE5"/>
    <w:rsid w:val="008A5F37"/>
    <w:rsid w:val="008A6427"/>
    <w:rsid w:val="008A670D"/>
    <w:rsid w:val="008A6C2C"/>
    <w:rsid w:val="008A7155"/>
    <w:rsid w:val="008A7E33"/>
    <w:rsid w:val="008B03F8"/>
    <w:rsid w:val="008B09D1"/>
    <w:rsid w:val="008B289B"/>
    <w:rsid w:val="008B3A3D"/>
    <w:rsid w:val="008B586A"/>
    <w:rsid w:val="008B5A4B"/>
    <w:rsid w:val="008B5ACE"/>
    <w:rsid w:val="008B5BF3"/>
    <w:rsid w:val="008B6567"/>
    <w:rsid w:val="008B6F6B"/>
    <w:rsid w:val="008B7EA9"/>
    <w:rsid w:val="008C0D9A"/>
    <w:rsid w:val="008C1492"/>
    <w:rsid w:val="008C183F"/>
    <w:rsid w:val="008C22EE"/>
    <w:rsid w:val="008C2FE8"/>
    <w:rsid w:val="008C4D2D"/>
    <w:rsid w:val="008C53A1"/>
    <w:rsid w:val="008C56F6"/>
    <w:rsid w:val="008C67AD"/>
    <w:rsid w:val="008C68D5"/>
    <w:rsid w:val="008C6AA3"/>
    <w:rsid w:val="008C70B0"/>
    <w:rsid w:val="008D001B"/>
    <w:rsid w:val="008D0282"/>
    <w:rsid w:val="008D0FD1"/>
    <w:rsid w:val="008D10E4"/>
    <w:rsid w:val="008D1FB7"/>
    <w:rsid w:val="008D269A"/>
    <w:rsid w:val="008D3590"/>
    <w:rsid w:val="008D35EF"/>
    <w:rsid w:val="008D3891"/>
    <w:rsid w:val="008D423B"/>
    <w:rsid w:val="008D429B"/>
    <w:rsid w:val="008D47EC"/>
    <w:rsid w:val="008D583E"/>
    <w:rsid w:val="008D667C"/>
    <w:rsid w:val="008D69AB"/>
    <w:rsid w:val="008D7812"/>
    <w:rsid w:val="008D7DA9"/>
    <w:rsid w:val="008D7F4E"/>
    <w:rsid w:val="008E1A6F"/>
    <w:rsid w:val="008E1F0D"/>
    <w:rsid w:val="008E3499"/>
    <w:rsid w:val="008E401A"/>
    <w:rsid w:val="008E56E0"/>
    <w:rsid w:val="008E572E"/>
    <w:rsid w:val="008E5AFA"/>
    <w:rsid w:val="008E6048"/>
    <w:rsid w:val="008E68CC"/>
    <w:rsid w:val="008E6C6A"/>
    <w:rsid w:val="008E70D2"/>
    <w:rsid w:val="008E7C35"/>
    <w:rsid w:val="008F0B2D"/>
    <w:rsid w:val="008F0D2C"/>
    <w:rsid w:val="008F1C5E"/>
    <w:rsid w:val="008F213E"/>
    <w:rsid w:val="008F2163"/>
    <w:rsid w:val="008F2545"/>
    <w:rsid w:val="008F2921"/>
    <w:rsid w:val="008F3055"/>
    <w:rsid w:val="008F317C"/>
    <w:rsid w:val="008F35A9"/>
    <w:rsid w:val="008F4525"/>
    <w:rsid w:val="008F500A"/>
    <w:rsid w:val="008F62D0"/>
    <w:rsid w:val="008F71F0"/>
    <w:rsid w:val="008F79B9"/>
    <w:rsid w:val="00900060"/>
    <w:rsid w:val="009002A6"/>
    <w:rsid w:val="00900ACF"/>
    <w:rsid w:val="00901036"/>
    <w:rsid w:val="009012B2"/>
    <w:rsid w:val="0090171C"/>
    <w:rsid w:val="0090236C"/>
    <w:rsid w:val="0090284D"/>
    <w:rsid w:val="009040C9"/>
    <w:rsid w:val="009047F4"/>
    <w:rsid w:val="00904E1E"/>
    <w:rsid w:val="00905707"/>
    <w:rsid w:val="00905BC1"/>
    <w:rsid w:val="00906567"/>
    <w:rsid w:val="0090693A"/>
    <w:rsid w:val="0090694C"/>
    <w:rsid w:val="00907E6C"/>
    <w:rsid w:val="00907F63"/>
    <w:rsid w:val="00907FB7"/>
    <w:rsid w:val="009103E2"/>
    <w:rsid w:val="00910719"/>
    <w:rsid w:val="00910F08"/>
    <w:rsid w:val="009110D4"/>
    <w:rsid w:val="00911999"/>
    <w:rsid w:val="00911CF9"/>
    <w:rsid w:val="00911FD9"/>
    <w:rsid w:val="00912879"/>
    <w:rsid w:val="00912E5A"/>
    <w:rsid w:val="009130C8"/>
    <w:rsid w:val="00913203"/>
    <w:rsid w:val="00913F93"/>
    <w:rsid w:val="00914EB9"/>
    <w:rsid w:val="00916188"/>
    <w:rsid w:val="00916F46"/>
    <w:rsid w:val="00917F9F"/>
    <w:rsid w:val="009203EB"/>
    <w:rsid w:val="009206B2"/>
    <w:rsid w:val="0092113C"/>
    <w:rsid w:val="00921551"/>
    <w:rsid w:val="00921A56"/>
    <w:rsid w:val="00921BF5"/>
    <w:rsid w:val="00922541"/>
    <w:rsid w:val="0092428C"/>
    <w:rsid w:val="0092443E"/>
    <w:rsid w:val="0092444F"/>
    <w:rsid w:val="0092596F"/>
    <w:rsid w:val="009269A9"/>
    <w:rsid w:val="00926B21"/>
    <w:rsid w:val="00927240"/>
    <w:rsid w:val="009278BB"/>
    <w:rsid w:val="00927F1C"/>
    <w:rsid w:val="0093238F"/>
    <w:rsid w:val="00932BFC"/>
    <w:rsid w:val="009331AB"/>
    <w:rsid w:val="009334C1"/>
    <w:rsid w:val="009337E0"/>
    <w:rsid w:val="00933959"/>
    <w:rsid w:val="00933A29"/>
    <w:rsid w:val="00934F1C"/>
    <w:rsid w:val="009352A1"/>
    <w:rsid w:val="00935700"/>
    <w:rsid w:val="00935C78"/>
    <w:rsid w:val="009362B9"/>
    <w:rsid w:val="009367A8"/>
    <w:rsid w:val="00936A1E"/>
    <w:rsid w:val="00936E69"/>
    <w:rsid w:val="00936F7F"/>
    <w:rsid w:val="00936FF9"/>
    <w:rsid w:val="0093751A"/>
    <w:rsid w:val="0094035D"/>
    <w:rsid w:val="00940832"/>
    <w:rsid w:val="00940E97"/>
    <w:rsid w:val="00941165"/>
    <w:rsid w:val="0094125E"/>
    <w:rsid w:val="00941436"/>
    <w:rsid w:val="00941441"/>
    <w:rsid w:val="009415F4"/>
    <w:rsid w:val="009419FA"/>
    <w:rsid w:val="00941A18"/>
    <w:rsid w:val="00942221"/>
    <w:rsid w:val="009427BE"/>
    <w:rsid w:val="0094372A"/>
    <w:rsid w:val="0094427C"/>
    <w:rsid w:val="0094469C"/>
    <w:rsid w:val="00944A20"/>
    <w:rsid w:val="00944EA5"/>
    <w:rsid w:val="009450CE"/>
    <w:rsid w:val="0094721F"/>
    <w:rsid w:val="00947686"/>
    <w:rsid w:val="00947A9F"/>
    <w:rsid w:val="00947B21"/>
    <w:rsid w:val="00947E27"/>
    <w:rsid w:val="00950263"/>
    <w:rsid w:val="009513DB"/>
    <w:rsid w:val="0095175E"/>
    <w:rsid w:val="00951A1C"/>
    <w:rsid w:val="00951A21"/>
    <w:rsid w:val="00951B51"/>
    <w:rsid w:val="00951CAD"/>
    <w:rsid w:val="00951D83"/>
    <w:rsid w:val="00951F4C"/>
    <w:rsid w:val="00952B43"/>
    <w:rsid w:val="00952B90"/>
    <w:rsid w:val="00952E69"/>
    <w:rsid w:val="0095301D"/>
    <w:rsid w:val="00953A92"/>
    <w:rsid w:val="0095472B"/>
    <w:rsid w:val="00955251"/>
    <w:rsid w:val="00955B45"/>
    <w:rsid w:val="00956707"/>
    <w:rsid w:val="00956ABE"/>
    <w:rsid w:val="009578DF"/>
    <w:rsid w:val="00957BA1"/>
    <w:rsid w:val="00960255"/>
    <w:rsid w:val="0096038C"/>
    <w:rsid w:val="00960E05"/>
    <w:rsid w:val="00961642"/>
    <w:rsid w:val="00961833"/>
    <w:rsid w:val="0096482F"/>
    <w:rsid w:val="00964D4B"/>
    <w:rsid w:val="00964DC2"/>
    <w:rsid w:val="0096509D"/>
    <w:rsid w:val="0096548A"/>
    <w:rsid w:val="009655CC"/>
    <w:rsid w:val="00966A8D"/>
    <w:rsid w:val="00967900"/>
    <w:rsid w:val="00967D11"/>
    <w:rsid w:val="00967D6A"/>
    <w:rsid w:val="0097046C"/>
    <w:rsid w:val="00970547"/>
    <w:rsid w:val="009708F9"/>
    <w:rsid w:val="00970A19"/>
    <w:rsid w:val="00970B34"/>
    <w:rsid w:val="00971278"/>
    <w:rsid w:val="00971584"/>
    <w:rsid w:val="00971C44"/>
    <w:rsid w:val="00971CE0"/>
    <w:rsid w:val="00971DFC"/>
    <w:rsid w:val="00972A49"/>
    <w:rsid w:val="0097356F"/>
    <w:rsid w:val="00973A76"/>
    <w:rsid w:val="00973DA9"/>
    <w:rsid w:val="0097537A"/>
    <w:rsid w:val="00975712"/>
    <w:rsid w:val="009757D9"/>
    <w:rsid w:val="00975D2C"/>
    <w:rsid w:val="0097779A"/>
    <w:rsid w:val="0097793D"/>
    <w:rsid w:val="0098069C"/>
    <w:rsid w:val="009809D9"/>
    <w:rsid w:val="00980C30"/>
    <w:rsid w:val="00980C54"/>
    <w:rsid w:val="00981481"/>
    <w:rsid w:val="009819D9"/>
    <w:rsid w:val="00981EB1"/>
    <w:rsid w:val="00982356"/>
    <w:rsid w:val="009837A3"/>
    <w:rsid w:val="009842EE"/>
    <w:rsid w:val="0098459A"/>
    <w:rsid w:val="00984E4E"/>
    <w:rsid w:val="0098566C"/>
    <w:rsid w:val="00985B59"/>
    <w:rsid w:val="00985E75"/>
    <w:rsid w:val="009866E1"/>
    <w:rsid w:val="0098673C"/>
    <w:rsid w:val="00986902"/>
    <w:rsid w:val="009875AC"/>
    <w:rsid w:val="009875BA"/>
    <w:rsid w:val="00987FEE"/>
    <w:rsid w:val="00990B08"/>
    <w:rsid w:val="00990D31"/>
    <w:rsid w:val="0099108E"/>
    <w:rsid w:val="00991C60"/>
    <w:rsid w:val="00991E2B"/>
    <w:rsid w:val="00991EBA"/>
    <w:rsid w:val="009920EC"/>
    <w:rsid w:val="00992D7B"/>
    <w:rsid w:val="00992EFE"/>
    <w:rsid w:val="00993871"/>
    <w:rsid w:val="00994C97"/>
    <w:rsid w:val="0099545F"/>
    <w:rsid w:val="009958C1"/>
    <w:rsid w:val="00995AAB"/>
    <w:rsid w:val="009964F0"/>
    <w:rsid w:val="009965F1"/>
    <w:rsid w:val="00996C5E"/>
    <w:rsid w:val="00997180"/>
    <w:rsid w:val="00997FBF"/>
    <w:rsid w:val="009A0575"/>
    <w:rsid w:val="009A06D0"/>
    <w:rsid w:val="009A1E29"/>
    <w:rsid w:val="009A2441"/>
    <w:rsid w:val="009A26F5"/>
    <w:rsid w:val="009A276F"/>
    <w:rsid w:val="009A2976"/>
    <w:rsid w:val="009A2D31"/>
    <w:rsid w:val="009A31B8"/>
    <w:rsid w:val="009A3714"/>
    <w:rsid w:val="009A42AC"/>
    <w:rsid w:val="009A435A"/>
    <w:rsid w:val="009A4CF4"/>
    <w:rsid w:val="009A55A6"/>
    <w:rsid w:val="009A5AAC"/>
    <w:rsid w:val="009A6959"/>
    <w:rsid w:val="009A7CF3"/>
    <w:rsid w:val="009A7DA3"/>
    <w:rsid w:val="009B0DED"/>
    <w:rsid w:val="009B127A"/>
    <w:rsid w:val="009B1528"/>
    <w:rsid w:val="009B165A"/>
    <w:rsid w:val="009B18DF"/>
    <w:rsid w:val="009B1F4A"/>
    <w:rsid w:val="009B25A1"/>
    <w:rsid w:val="009B28CE"/>
    <w:rsid w:val="009B2BB9"/>
    <w:rsid w:val="009B2C74"/>
    <w:rsid w:val="009B38D7"/>
    <w:rsid w:val="009B38EA"/>
    <w:rsid w:val="009B3D64"/>
    <w:rsid w:val="009B3F4F"/>
    <w:rsid w:val="009B45B5"/>
    <w:rsid w:val="009B4E09"/>
    <w:rsid w:val="009B4EC4"/>
    <w:rsid w:val="009B5AEB"/>
    <w:rsid w:val="009B6437"/>
    <w:rsid w:val="009B6614"/>
    <w:rsid w:val="009B7062"/>
    <w:rsid w:val="009B7EBE"/>
    <w:rsid w:val="009C030B"/>
    <w:rsid w:val="009C08C0"/>
    <w:rsid w:val="009C0C02"/>
    <w:rsid w:val="009C1DF4"/>
    <w:rsid w:val="009C1FF2"/>
    <w:rsid w:val="009C2C7D"/>
    <w:rsid w:val="009C2E1F"/>
    <w:rsid w:val="009C3498"/>
    <w:rsid w:val="009C3AFB"/>
    <w:rsid w:val="009C3E3C"/>
    <w:rsid w:val="009C3EEC"/>
    <w:rsid w:val="009C3F2E"/>
    <w:rsid w:val="009C4048"/>
    <w:rsid w:val="009C46E3"/>
    <w:rsid w:val="009C5056"/>
    <w:rsid w:val="009C5EA9"/>
    <w:rsid w:val="009C66AF"/>
    <w:rsid w:val="009C6707"/>
    <w:rsid w:val="009C6C4B"/>
    <w:rsid w:val="009C7D03"/>
    <w:rsid w:val="009C7EE1"/>
    <w:rsid w:val="009C7F73"/>
    <w:rsid w:val="009D00C7"/>
    <w:rsid w:val="009D05D6"/>
    <w:rsid w:val="009D077C"/>
    <w:rsid w:val="009D08C6"/>
    <w:rsid w:val="009D091B"/>
    <w:rsid w:val="009D0A3A"/>
    <w:rsid w:val="009D123D"/>
    <w:rsid w:val="009D16E9"/>
    <w:rsid w:val="009D1FDA"/>
    <w:rsid w:val="009D39BE"/>
    <w:rsid w:val="009D3F17"/>
    <w:rsid w:val="009D4293"/>
    <w:rsid w:val="009D4C3A"/>
    <w:rsid w:val="009D4F97"/>
    <w:rsid w:val="009D58A6"/>
    <w:rsid w:val="009D5C78"/>
    <w:rsid w:val="009D5F28"/>
    <w:rsid w:val="009D6024"/>
    <w:rsid w:val="009D64E9"/>
    <w:rsid w:val="009D7326"/>
    <w:rsid w:val="009D7D33"/>
    <w:rsid w:val="009D7D64"/>
    <w:rsid w:val="009E02B4"/>
    <w:rsid w:val="009E0815"/>
    <w:rsid w:val="009E08A8"/>
    <w:rsid w:val="009E0DA6"/>
    <w:rsid w:val="009E1B99"/>
    <w:rsid w:val="009E1D0F"/>
    <w:rsid w:val="009E1D16"/>
    <w:rsid w:val="009E2229"/>
    <w:rsid w:val="009E2847"/>
    <w:rsid w:val="009E2A45"/>
    <w:rsid w:val="009E2A4A"/>
    <w:rsid w:val="009E2CF0"/>
    <w:rsid w:val="009E3850"/>
    <w:rsid w:val="009E392D"/>
    <w:rsid w:val="009E468F"/>
    <w:rsid w:val="009E5068"/>
    <w:rsid w:val="009E511E"/>
    <w:rsid w:val="009E52D4"/>
    <w:rsid w:val="009E5886"/>
    <w:rsid w:val="009E6373"/>
    <w:rsid w:val="009E7CE8"/>
    <w:rsid w:val="009E7E74"/>
    <w:rsid w:val="009F065E"/>
    <w:rsid w:val="009F0A15"/>
    <w:rsid w:val="009F0A7E"/>
    <w:rsid w:val="009F41CA"/>
    <w:rsid w:val="009F4692"/>
    <w:rsid w:val="009F4D32"/>
    <w:rsid w:val="009F5377"/>
    <w:rsid w:val="009F5FFE"/>
    <w:rsid w:val="009F6060"/>
    <w:rsid w:val="009F6836"/>
    <w:rsid w:val="009F6854"/>
    <w:rsid w:val="009F69FB"/>
    <w:rsid w:val="009F6C25"/>
    <w:rsid w:val="009F6D9C"/>
    <w:rsid w:val="009F6FDE"/>
    <w:rsid w:val="009F71A8"/>
    <w:rsid w:val="00A016EF"/>
    <w:rsid w:val="00A01969"/>
    <w:rsid w:val="00A02B73"/>
    <w:rsid w:val="00A03B15"/>
    <w:rsid w:val="00A03E90"/>
    <w:rsid w:val="00A0488F"/>
    <w:rsid w:val="00A0557A"/>
    <w:rsid w:val="00A058BC"/>
    <w:rsid w:val="00A063D8"/>
    <w:rsid w:val="00A07A1F"/>
    <w:rsid w:val="00A11587"/>
    <w:rsid w:val="00A116CC"/>
    <w:rsid w:val="00A11F0F"/>
    <w:rsid w:val="00A120BE"/>
    <w:rsid w:val="00A123E2"/>
    <w:rsid w:val="00A128B2"/>
    <w:rsid w:val="00A135A8"/>
    <w:rsid w:val="00A13B15"/>
    <w:rsid w:val="00A13D59"/>
    <w:rsid w:val="00A13F47"/>
    <w:rsid w:val="00A141E3"/>
    <w:rsid w:val="00A1616C"/>
    <w:rsid w:val="00A16BCB"/>
    <w:rsid w:val="00A17920"/>
    <w:rsid w:val="00A17B09"/>
    <w:rsid w:val="00A20239"/>
    <w:rsid w:val="00A20A83"/>
    <w:rsid w:val="00A20AF5"/>
    <w:rsid w:val="00A20C8F"/>
    <w:rsid w:val="00A20D5C"/>
    <w:rsid w:val="00A20F3F"/>
    <w:rsid w:val="00A21DC6"/>
    <w:rsid w:val="00A224F5"/>
    <w:rsid w:val="00A23366"/>
    <w:rsid w:val="00A23CAF"/>
    <w:rsid w:val="00A23DEC"/>
    <w:rsid w:val="00A23F6F"/>
    <w:rsid w:val="00A2482B"/>
    <w:rsid w:val="00A249D4"/>
    <w:rsid w:val="00A25EF2"/>
    <w:rsid w:val="00A2691B"/>
    <w:rsid w:val="00A27AD5"/>
    <w:rsid w:val="00A30865"/>
    <w:rsid w:val="00A30EF2"/>
    <w:rsid w:val="00A3224A"/>
    <w:rsid w:val="00A32D5F"/>
    <w:rsid w:val="00A330A0"/>
    <w:rsid w:val="00A33332"/>
    <w:rsid w:val="00A338FE"/>
    <w:rsid w:val="00A33DCF"/>
    <w:rsid w:val="00A33FF1"/>
    <w:rsid w:val="00A34148"/>
    <w:rsid w:val="00A34183"/>
    <w:rsid w:val="00A3430C"/>
    <w:rsid w:val="00A3516F"/>
    <w:rsid w:val="00A35679"/>
    <w:rsid w:val="00A364C8"/>
    <w:rsid w:val="00A377AD"/>
    <w:rsid w:val="00A37CF0"/>
    <w:rsid w:val="00A400CD"/>
    <w:rsid w:val="00A40242"/>
    <w:rsid w:val="00A402D8"/>
    <w:rsid w:val="00A406C5"/>
    <w:rsid w:val="00A40CE7"/>
    <w:rsid w:val="00A4119F"/>
    <w:rsid w:val="00A419F3"/>
    <w:rsid w:val="00A41CB5"/>
    <w:rsid w:val="00A42533"/>
    <w:rsid w:val="00A42656"/>
    <w:rsid w:val="00A43309"/>
    <w:rsid w:val="00A435E8"/>
    <w:rsid w:val="00A43D75"/>
    <w:rsid w:val="00A43DE4"/>
    <w:rsid w:val="00A43F49"/>
    <w:rsid w:val="00A44039"/>
    <w:rsid w:val="00A44769"/>
    <w:rsid w:val="00A4634A"/>
    <w:rsid w:val="00A4667A"/>
    <w:rsid w:val="00A4740F"/>
    <w:rsid w:val="00A4743F"/>
    <w:rsid w:val="00A47CF6"/>
    <w:rsid w:val="00A50FAE"/>
    <w:rsid w:val="00A5109C"/>
    <w:rsid w:val="00A51290"/>
    <w:rsid w:val="00A516BB"/>
    <w:rsid w:val="00A5173A"/>
    <w:rsid w:val="00A51E7A"/>
    <w:rsid w:val="00A52138"/>
    <w:rsid w:val="00A52174"/>
    <w:rsid w:val="00A5238D"/>
    <w:rsid w:val="00A52BC9"/>
    <w:rsid w:val="00A53BAC"/>
    <w:rsid w:val="00A54067"/>
    <w:rsid w:val="00A546FF"/>
    <w:rsid w:val="00A5565D"/>
    <w:rsid w:val="00A56F3A"/>
    <w:rsid w:val="00A57478"/>
    <w:rsid w:val="00A57B3B"/>
    <w:rsid w:val="00A6095A"/>
    <w:rsid w:val="00A60B83"/>
    <w:rsid w:val="00A60D63"/>
    <w:rsid w:val="00A614CA"/>
    <w:rsid w:val="00A61F06"/>
    <w:rsid w:val="00A620D0"/>
    <w:rsid w:val="00A624C3"/>
    <w:rsid w:val="00A62961"/>
    <w:rsid w:val="00A62F54"/>
    <w:rsid w:val="00A63908"/>
    <w:rsid w:val="00A645A2"/>
    <w:rsid w:val="00A64D6F"/>
    <w:rsid w:val="00A65351"/>
    <w:rsid w:val="00A65BB5"/>
    <w:rsid w:val="00A6601D"/>
    <w:rsid w:val="00A66F3C"/>
    <w:rsid w:val="00A6730C"/>
    <w:rsid w:val="00A67AB9"/>
    <w:rsid w:val="00A67B7E"/>
    <w:rsid w:val="00A7054A"/>
    <w:rsid w:val="00A70BC5"/>
    <w:rsid w:val="00A70D4C"/>
    <w:rsid w:val="00A71078"/>
    <w:rsid w:val="00A714A4"/>
    <w:rsid w:val="00A715FF"/>
    <w:rsid w:val="00A719A3"/>
    <w:rsid w:val="00A71B66"/>
    <w:rsid w:val="00A71CE7"/>
    <w:rsid w:val="00A71E9E"/>
    <w:rsid w:val="00A72346"/>
    <w:rsid w:val="00A72D60"/>
    <w:rsid w:val="00A73347"/>
    <w:rsid w:val="00A73961"/>
    <w:rsid w:val="00A743FA"/>
    <w:rsid w:val="00A74487"/>
    <w:rsid w:val="00A74A51"/>
    <w:rsid w:val="00A74CD6"/>
    <w:rsid w:val="00A7614C"/>
    <w:rsid w:val="00A76737"/>
    <w:rsid w:val="00A76CC9"/>
    <w:rsid w:val="00A778BE"/>
    <w:rsid w:val="00A80BEF"/>
    <w:rsid w:val="00A819A6"/>
    <w:rsid w:val="00A821D8"/>
    <w:rsid w:val="00A822B7"/>
    <w:rsid w:val="00A8288E"/>
    <w:rsid w:val="00A82C0A"/>
    <w:rsid w:val="00A82ECC"/>
    <w:rsid w:val="00A82F0F"/>
    <w:rsid w:val="00A82FF5"/>
    <w:rsid w:val="00A837AE"/>
    <w:rsid w:val="00A85F3E"/>
    <w:rsid w:val="00A8626D"/>
    <w:rsid w:val="00A8682C"/>
    <w:rsid w:val="00A8686A"/>
    <w:rsid w:val="00A906A7"/>
    <w:rsid w:val="00A90A9B"/>
    <w:rsid w:val="00A90BAF"/>
    <w:rsid w:val="00A90FE1"/>
    <w:rsid w:val="00A91336"/>
    <w:rsid w:val="00A94AF0"/>
    <w:rsid w:val="00A94D97"/>
    <w:rsid w:val="00A95931"/>
    <w:rsid w:val="00A960D5"/>
    <w:rsid w:val="00A96244"/>
    <w:rsid w:val="00A962CA"/>
    <w:rsid w:val="00A963FF"/>
    <w:rsid w:val="00AA0146"/>
    <w:rsid w:val="00AA1D79"/>
    <w:rsid w:val="00AA2518"/>
    <w:rsid w:val="00AA27BD"/>
    <w:rsid w:val="00AA363F"/>
    <w:rsid w:val="00AA370A"/>
    <w:rsid w:val="00AA4211"/>
    <w:rsid w:val="00AA442A"/>
    <w:rsid w:val="00AA481B"/>
    <w:rsid w:val="00AA54F3"/>
    <w:rsid w:val="00AA5C98"/>
    <w:rsid w:val="00AA629B"/>
    <w:rsid w:val="00AA7707"/>
    <w:rsid w:val="00AA7BD8"/>
    <w:rsid w:val="00AB00C0"/>
    <w:rsid w:val="00AB08C1"/>
    <w:rsid w:val="00AB09A3"/>
    <w:rsid w:val="00AB0A65"/>
    <w:rsid w:val="00AB0F81"/>
    <w:rsid w:val="00AB18E3"/>
    <w:rsid w:val="00AB24A5"/>
    <w:rsid w:val="00AB2A55"/>
    <w:rsid w:val="00AB3717"/>
    <w:rsid w:val="00AB41B6"/>
    <w:rsid w:val="00AB422A"/>
    <w:rsid w:val="00AB42CA"/>
    <w:rsid w:val="00AB42E0"/>
    <w:rsid w:val="00AB518A"/>
    <w:rsid w:val="00AB5983"/>
    <w:rsid w:val="00AB652D"/>
    <w:rsid w:val="00AB67A9"/>
    <w:rsid w:val="00AB7035"/>
    <w:rsid w:val="00AB725C"/>
    <w:rsid w:val="00AB72A2"/>
    <w:rsid w:val="00AB75BB"/>
    <w:rsid w:val="00AB7737"/>
    <w:rsid w:val="00AB7E27"/>
    <w:rsid w:val="00AC0076"/>
    <w:rsid w:val="00AC04BF"/>
    <w:rsid w:val="00AC06C9"/>
    <w:rsid w:val="00AC08D2"/>
    <w:rsid w:val="00AC1F40"/>
    <w:rsid w:val="00AC2055"/>
    <w:rsid w:val="00AC21DD"/>
    <w:rsid w:val="00AC2818"/>
    <w:rsid w:val="00AC286C"/>
    <w:rsid w:val="00AC2EA7"/>
    <w:rsid w:val="00AC308E"/>
    <w:rsid w:val="00AC40F5"/>
    <w:rsid w:val="00AC457D"/>
    <w:rsid w:val="00AC4E82"/>
    <w:rsid w:val="00AC5C2A"/>
    <w:rsid w:val="00AC5D27"/>
    <w:rsid w:val="00AC5E85"/>
    <w:rsid w:val="00AC5F14"/>
    <w:rsid w:val="00AC708D"/>
    <w:rsid w:val="00AC7172"/>
    <w:rsid w:val="00AD0163"/>
    <w:rsid w:val="00AD063D"/>
    <w:rsid w:val="00AD07A2"/>
    <w:rsid w:val="00AD15EB"/>
    <w:rsid w:val="00AD1DE6"/>
    <w:rsid w:val="00AD1DE7"/>
    <w:rsid w:val="00AD2EA3"/>
    <w:rsid w:val="00AD328F"/>
    <w:rsid w:val="00AD417B"/>
    <w:rsid w:val="00AD45E8"/>
    <w:rsid w:val="00AD4BF1"/>
    <w:rsid w:val="00AD4EA3"/>
    <w:rsid w:val="00AD4FDA"/>
    <w:rsid w:val="00AD5ACD"/>
    <w:rsid w:val="00AD5FFF"/>
    <w:rsid w:val="00AD6107"/>
    <w:rsid w:val="00AD64C5"/>
    <w:rsid w:val="00AD68E2"/>
    <w:rsid w:val="00AD6C2C"/>
    <w:rsid w:val="00AD7281"/>
    <w:rsid w:val="00AD7F5E"/>
    <w:rsid w:val="00AE0007"/>
    <w:rsid w:val="00AE00F2"/>
    <w:rsid w:val="00AE013F"/>
    <w:rsid w:val="00AE0926"/>
    <w:rsid w:val="00AE12B4"/>
    <w:rsid w:val="00AE15B9"/>
    <w:rsid w:val="00AE18B2"/>
    <w:rsid w:val="00AE1C16"/>
    <w:rsid w:val="00AE20BC"/>
    <w:rsid w:val="00AE2365"/>
    <w:rsid w:val="00AE24AC"/>
    <w:rsid w:val="00AE2A82"/>
    <w:rsid w:val="00AE2C02"/>
    <w:rsid w:val="00AE2E08"/>
    <w:rsid w:val="00AE32F1"/>
    <w:rsid w:val="00AE3B97"/>
    <w:rsid w:val="00AE48E4"/>
    <w:rsid w:val="00AE4E11"/>
    <w:rsid w:val="00AE53B4"/>
    <w:rsid w:val="00AE6015"/>
    <w:rsid w:val="00AE6216"/>
    <w:rsid w:val="00AE63ED"/>
    <w:rsid w:val="00AE6718"/>
    <w:rsid w:val="00AE6D41"/>
    <w:rsid w:val="00AE702A"/>
    <w:rsid w:val="00AE7034"/>
    <w:rsid w:val="00AF0A8A"/>
    <w:rsid w:val="00AF0E4A"/>
    <w:rsid w:val="00AF16C9"/>
    <w:rsid w:val="00AF19E4"/>
    <w:rsid w:val="00AF23F8"/>
    <w:rsid w:val="00AF290D"/>
    <w:rsid w:val="00AF2C01"/>
    <w:rsid w:val="00AF363E"/>
    <w:rsid w:val="00AF4989"/>
    <w:rsid w:val="00AF4FC9"/>
    <w:rsid w:val="00AF5A9B"/>
    <w:rsid w:val="00AF5BB8"/>
    <w:rsid w:val="00AF64FB"/>
    <w:rsid w:val="00AF69FB"/>
    <w:rsid w:val="00AF79DE"/>
    <w:rsid w:val="00AF7F26"/>
    <w:rsid w:val="00B000A1"/>
    <w:rsid w:val="00B00185"/>
    <w:rsid w:val="00B0022A"/>
    <w:rsid w:val="00B009E0"/>
    <w:rsid w:val="00B00AC9"/>
    <w:rsid w:val="00B0142F"/>
    <w:rsid w:val="00B01E29"/>
    <w:rsid w:val="00B02423"/>
    <w:rsid w:val="00B03099"/>
    <w:rsid w:val="00B0317F"/>
    <w:rsid w:val="00B036C8"/>
    <w:rsid w:val="00B0390E"/>
    <w:rsid w:val="00B03A92"/>
    <w:rsid w:val="00B04AA8"/>
    <w:rsid w:val="00B04EFE"/>
    <w:rsid w:val="00B04F24"/>
    <w:rsid w:val="00B05210"/>
    <w:rsid w:val="00B056CC"/>
    <w:rsid w:val="00B05B03"/>
    <w:rsid w:val="00B0607C"/>
    <w:rsid w:val="00B06EF8"/>
    <w:rsid w:val="00B07357"/>
    <w:rsid w:val="00B07527"/>
    <w:rsid w:val="00B07764"/>
    <w:rsid w:val="00B0799C"/>
    <w:rsid w:val="00B109FF"/>
    <w:rsid w:val="00B10F8A"/>
    <w:rsid w:val="00B11361"/>
    <w:rsid w:val="00B119C4"/>
    <w:rsid w:val="00B11AB8"/>
    <w:rsid w:val="00B12453"/>
    <w:rsid w:val="00B12644"/>
    <w:rsid w:val="00B12745"/>
    <w:rsid w:val="00B12964"/>
    <w:rsid w:val="00B136F1"/>
    <w:rsid w:val="00B13957"/>
    <w:rsid w:val="00B13B44"/>
    <w:rsid w:val="00B13EFE"/>
    <w:rsid w:val="00B14289"/>
    <w:rsid w:val="00B14305"/>
    <w:rsid w:val="00B14CD9"/>
    <w:rsid w:val="00B152AE"/>
    <w:rsid w:val="00B16065"/>
    <w:rsid w:val="00B16631"/>
    <w:rsid w:val="00B16E17"/>
    <w:rsid w:val="00B20779"/>
    <w:rsid w:val="00B2156C"/>
    <w:rsid w:val="00B229BC"/>
    <w:rsid w:val="00B22B44"/>
    <w:rsid w:val="00B23383"/>
    <w:rsid w:val="00B2444D"/>
    <w:rsid w:val="00B24507"/>
    <w:rsid w:val="00B24C56"/>
    <w:rsid w:val="00B24D3B"/>
    <w:rsid w:val="00B24F85"/>
    <w:rsid w:val="00B25D83"/>
    <w:rsid w:val="00B26044"/>
    <w:rsid w:val="00B26217"/>
    <w:rsid w:val="00B26EF3"/>
    <w:rsid w:val="00B26FD3"/>
    <w:rsid w:val="00B272EA"/>
    <w:rsid w:val="00B3014C"/>
    <w:rsid w:val="00B3087B"/>
    <w:rsid w:val="00B31F96"/>
    <w:rsid w:val="00B33BAD"/>
    <w:rsid w:val="00B33DB1"/>
    <w:rsid w:val="00B33E1B"/>
    <w:rsid w:val="00B33EDD"/>
    <w:rsid w:val="00B33EE7"/>
    <w:rsid w:val="00B340CF"/>
    <w:rsid w:val="00B34326"/>
    <w:rsid w:val="00B344CB"/>
    <w:rsid w:val="00B34B49"/>
    <w:rsid w:val="00B34C12"/>
    <w:rsid w:val="00B3532B"/>
    <w:rsid w:val="00B35421"/>
    <w:rsid w:val="00B358B8"/>
    <w:rsid w:val="00B36029"/>
    <w:rsid w:val="00B36755"/>
    <w:rsid w:val="00B3707D"/>
    <w:rsid w:val="00B37938"/>
    <w:rsid w:val="00B401ED"/>
    <w:rsid w:val="00B40B0A"/>
    <w:rsid w:val="00B40E78"/>
    <w:rsid w:val="00B43C62"/>
    <w:rsid w:val="00B43E4A"/>
    <w:rsid w:val="00B4415E"/>
    <w:rsid w:val="00B444F6"/>
    <w:rsid w:val="00B4532F"/>
    <w:rsid w:val="00B4535D"/>
    <w:rsid w:val="00B454E1"/>
    <w:rsid w:val="00B45810"/>
    <w:rsid w:val="00B459AB"/>
    <w:rsid w:val="00B45C30"/>
    <w:rsid w:val="00B46421"/>
    <w:rsid w:val="00B4669F"/>
    <w:rsid w:val="00B475C9"/>
    <w:rsid w:val="00B4767A"/>
    <w:rsid w:val="00B50506"/>
    <w:rsid w:val="00B50536"/>
    <w:rsid w:val="00B5087D"/>
    <w:rsid w:val="00B512D5"/>
    <w:rsid w:val="00B512F7"/>
    <w:rsid w:val="00B52611"/>
    <w:rsid w:val="00B5285C"/>
    <w:rsid w:val="00B53228"/>
    <w:rsid w:val="00B54CC0"/>
    <w:rsid w:val="00B566EC"/>
    <w:rsid w:val="00B56AC7"/>
    <w:rsid w:val="00B575B4"/>
    <w:rsid w:val="00B578F8"/>
    <w:rsid w:val="00B602B4"/>
    <w:rsid w:val="00B616D2"/>
    <w:rsid w:val="00B61DD2"/>
    <w:rsid w:val="00B62558"/>
    <w:rsid w:val="00B62BF8"/>
    <w:rsid w:val="00B62CDD"/>
    <w:rsid w:val="00B637B0"/>
    <w:rsid w:val="00B637B8"/>
    <w:rsid w:val="00B637E1"/>
    <w:rsid w:val="00B63DCB"/>
    <w:rsid w:val="00B64328"/>
    <w:rsid w:val="00B6432F"/>
    <w:rsid w:val="00B64829"/>
    <w:rsid w:val="00B6531A"/>
    <w:rsid w:val="00B65914"/>
    <w:rsid w:val="00B660C5"/>
    <w:rsid w:val="00B6678F"/>
    <w:rsid w:val="00B70465"/>
    <w:rsid w:val="00B71350"/>
    <w:rsid w:val="00B71595"/>
    <w:rsid w:val="00B715AE"/>
    <w:rsid w:val="00B72307"/>
    <w:rsid w:val="00B7235C"/>
    <w:rsid w:val="00B724DC"/>
    <w:rsid w:val="00B72592"/>
    <w:rsid w:val="00B73EB8"/>
    <w:rsid w:val="00B7473A"/>
    <w:rsid w:val="00B74EAA"/>
    <w:rsid w:val="00B75A75"/>
    <w:rsid w:val="00B75EDE"/>
    <w:rsid w:val="00B76BFA"/>
    <w:rsid w:val="00B77A54"/>
    <w:rsid w:val="00B80C9B"/>
    <w:rsid w:val="00B810FC"/>
    <w:rsid w:val="00B82612"/>
    <w:rsid w:val="00B83AF3"/>
    <w:rsid w:val="00B83C72"/>
    <w:rsid w:val="00B847DB"/>
    <w:rsid w:val="00B84FBA"/>
    <w:rsid w:val="00B85812"/>
    <w:rsid w:val="00B8633B"/>
    <w:rsid w:val="00B86A3B"/>
    <w:rsid w:val="00B86C5F"/>
    <w:rsid w:val="00B8748B"/>
    <w:rsid w:val="00B87548"/>
    <w:rsid w:val="00B9071B"/>
    <w:rsid w:val="00B90A46"/>
    <w:rsid w:val="00B90A5A"/>
    <w:rsid w:val="00B90C11"/>
    <w:rsid w:val="00B91902"/>
    <w:rsid w:val="00B91C1E"/>
    <w:rsid w:val="00B9244D"/>
    <w:rsid w:val="00B9306E"/>
    <w:rsid w:val="00B9313C"/>
    <w:rsid w:val="00B93594"/>
    <w:rsid w:val="00B937CE"/>
    <w:rsid w:val="00B937D0"/>
    <w:rsid w:val="00B93895"/>
    <w:rsid w:val="00B93A53"/>
    <w:rsid w:val="00B93FBF"/>
    <w:rsid w:val="00B9405B"/>
    <w:rsid w:val="00B947F9"/>
    <w:rsid w:val="00B94818"/>
    <w:rsid w:val="00B94DEB"/>
    <w:rsid w:val="00B955AC"/>
    <w:rsid w:val="00B957CB"/>
    <w:rsid w:val="00B95E7B"/>
    <w:rsid w:val="00B96271"/>
    <w:rsid w:val="00B9652D"/>
    <w:rsid w:val="00B96C26"/>
    <w:rsid w:val="00B96E61"/>
    <w:rsid w:val="00B97563"/>
    <w:rsid w:val="00B978CA"/>
    <w:rsid w:val="00B9796C"/>
    <w:rsid w:val="00B979EE"/>
    <w:rsid w:val="00B97C11"/>
    <w:rsid w:val="00B97F5D"/>
    <w:rsid w:val="00BA0332"/>
    <w:rsid w:val="00BA0834"/>
    <w:rsid w:val="00BA08C6"/>
    <w:rsid w:val="00BA0B85"/>
    <w:rsid w:val="00BA0C31"/>
    <w:rsid w:val="00BA0CDA"/>
    <w:rsid w:val="00BA0FC5"/>
    <w:rsid w:val="00BA1094"/>
    <w:rsid w:val="00BA115D"/>
    <w:rsid w:val="00BA127C"/>
    <w:rsid w:val="00BA1DE1"/>
    <w:rsid w:val="00BA1FD0"/>
    <w:rsid w:val="00BA280A"/>
    <w:rsid w:val="00BA2F13"/>
    <w:rsid w:val="00BA321F"/>
    <w:rsid w:val="00BA336E"/>
    <w:rsid w:val="00BA3A8F"/>
    <w:rsid w:val="00BA3B16"/>
    <w:rsid w:val="00BA4656"/>
    <w:rsid w:val="00BA4712"/>
    <w:rsid w:val="00BA6305"/>
    <w:rsid w:val="00BA65A7"/>
    <w:rsid w:val="00BA6BCD"/>
    <w:rsid w:val="00BA6E19"/>
    <w:rsid w:val="00BA7436"/>
    <w:rsid w:val="00BA75AB"/>
    <w:rsid w:val="00BA7A04"/>
    <w:rsid w:val="00BA7F72"/>
    <w:rsid w:val="00BB0E6A"/>
    <w:rsid w:val="00BB24D3"/>
    <w:rsid w:val="00BB24E6"/>
    <w:rsid w:val="00BB30D0"/>
    <w:rsid w:val="00BB335E"/>
    <w:rsid w:val="00BB34B7"/>
    <w:rsid w:val="00BB3701"/>
    <w:rsid w:val="00BB4290"/>
    <w:rsid w:val="00BB50B3"/>
    <w:rsid w:val="00BB5206"/>
    <w:rsid w:val="00BB5FB6"/>
    <w:rsid w:val="00BB640B"/>
    <w:rsid w:val="00BB643B"/>
    <w:rsid w:val="00BB6BD1"/>
    <w:rsid w:val="00BB76FE"/>
    <w:rsid w:val="00BB7731"/>
    <w:rsid w:val="00BC0B45"/>
    <w:rsid w:val="00BC1520"/>
    <w:rsid w:val="00BC19D9"/>
    <w:rsid w:val="00BC1A53"/>
    <w:rsid w:val="00BC1B55"/>
    <w:rsid w:val="00BC2163"/>
    <w:rsid w:val="00BC2736"/>
    <w:rsid w:val="00BC332B"/>
    <w:rsid w:val="00BC42E8"/>
    <w:rsid w:val="00BC45C2"/>
    <w:rsid w:val="00BC4665"/>
    <w:rsid w:val="00BC4B65"/>
    <w:rsid w:val="00BC5900"/>
    <w:rsid w:val="00BC5DEB"/>
    <w:rsid w:val="00BC5FDC"/>
    <w:rsid w:val="00BC6A20"/>
    <w:rsid w:val="00BC6E80"/>
    <w:rsid w:val="00BC71D5"/>
    <w:rsid w:val="00BC7C10"/>
    <w:rsid w:val="00BD00DC"/>
    <w:rsid w:val="00BD075D"/>
    <w:rsid w:val="00BD0796"/>
    <w:rsid w:val="00BD09F3"/>
    <w:rsid w:val="00BD0C4D"/>
    <w:rsid w:val="00BD1093"/>
    <w:rsid w:val="00BD26C9"/>
    <w:rsid w:val="00BD2B5C"/>
    <w:rsid w:val="00BD2BD8"/>
    <w:rsid w:val="00BD2C30"/>
    <w:rsid w:val="00BD3161"/>
    <w:rsid w:val="00BD34B2"/>
    <w:rsid w:val="00BD3CF6"/>
    <w:rsid w:val="00BD3D71"/>
    <w:rsid w:val="00BD49AC"/>
    <w:rsid w:val="00BD5653"/>
    <w:rsid w:val="00BD5786"/>
    <w:rsid w:val="00BD59BD"/>
    <w:rsid w:val="00BD6331"/>
    <w:rsid w:val="00BD63C7"/>
    <w:rsid w:val="00BD799D"/>
    <w:rsid w:val="00BD7B00"/>
    <w:rsid w:val="00BE035D"/>
    <w:rsid w:val="00BE0DC9"/>
    <w:rsid w:val="00BE1132"/>
    <w:rsid w:val="00BE144F"/>
    <w:rsid w:val="00BE168C"/>
    <w:rsid w:val="00BE2422"/>
    <w:rsid w:val="00BE2D32"/>
    <w:rsid w:val="00BE2EF9"/>
    <w:rsid w:val="00BE358F"/>
    <w:rsid w:val="00BE3644"/>
    <w:rsid w:val="00BE3C63"/>
    <w:rsid w:val="00BE3E72"/>
    <w:rsid w:val="00BE3EDB"/>
    <w:rsid w:val="00BE55CA"/>
    <w:rsid w:val="00BE5869"/>
    <w:rsid w:val="00BE6B08"/>
    <w:rsid w:val="00BE77A5"/>
    <w:rsid w:val="00BF03D4"/>
    <w:rsid w:val="00BF16C6"/>
    <w:rsid w:val="00BF1B34"/>
    <w:rsid w:val="00BF1E87"/>
    <w:rsid w:val="00BF2286"/>
    <w:rsid w:val="00BF2C29"/>
    <w:rsid w:val="00BF2CDC"/>
    <w:rsid w:val="00BF3753"/>
    <w:rsid w:val="00BF37DE"/>
    <w:rsid w:val="00BF4366"/>
    <w:rsid w:val="00BF4846"/>
    <w:rsid w:val="00BF4E14"/>
    <w:rsid w:val="00BF53CB"/>
    <w:rsid w:val="00BF597B"/>
    <w:rsid w:val="00BF5DB2"/>
    <w:rsid w:val="00C00363"/>
    <w:rsid w:val="00C00370"/>
    <w:rsid w:val="00C0065E"/>
    <w:rsid w:val="00C00814"/>
    <w:rsid w:val="00C00EC5"/>
    <w:rsid w:val="00C01023"/>
    <w:rsid w:val="00C01215"/>
    <w:rsid w:val="00C0146B"/>
    <w:rsid w:val="00C017D1"/>
    <w:rsid w:val="00C01E2F"/>
    <w:rsid w:val="00C01E7E"/>
    <w:rsid w:val="00C022A5"/>
    <w:rsid w:val="00C02816"/>
    <w:rsid w:val="00C02879"/>
    <w:rsid w:val="00C028D2"/>
    <w:rsid w:val="00C02A01"/>
    <w:rsid w:val="00C02F19"/>
    <w:rsid w:val="00C031B7"/>
    <w:rsid w:val="00C03595"/>
    <w:rsid w:val="00C0424C"/>
    <w:rsid w:val="00C06B2E"/>
    <w:rsid w:val="00C06E45"/>
    <w:rsid w:val="00C07F1A"/>
    <w:rsid w:val="00C104CB"/>
    <w:rsid w:val="00C106D3"/>
    <w:rsid w:val="00C10D82"/>
    <w:rsid w:val="00C1175F"/>
    <w:rsid w:val="00C11CF3"/>
    <w:rsid w:val="00C141E4"/>
    <w:rsid w:val="00C14440"/>
    <w:rsid w:val="00C1455A"/>
    <w:rsid w:val="00C14CFB"/>
    <w:rsid w:val="00C16896"/>
    <w:rsid w:val="00C17028"/>
    <w:rsid w:val="00C17164"/>
    <w:rsid w:val="00C17627"/>
    <w:rsid w:val="00C17BC7"/>
    <w:rsid w:val="00C20166"/>
    <w:rsid w:val="00C20168"/>
    <w:rsid w:val="00C203A1"/>
    <w:rsid w:val="00C2152B"/>
    <w:rsid w:val="00C21A5A"/>
    <w:rsid w:val="00C2257E"/>
    <w:rsid w:val="00C22894"/>
    <w:rsid w:val="00C22A8E"/>
    <w:rsid w:val="00C22CBD"/>
    <w:rsid w:val="00C23DD6"/>
    <w:rsid w:val="00C23F54"/>
    <w:rsid w:val="00C24133"/>
    <w:rsid w:val="00C24ED3"/>
    <w:rsid w:val="00C25594"/>
    <w:rsid w:val="00C25D39"/>
    <w:rsid w:val="00C25F05"/>
    <w:rsid w:val="00C25F53"/>
    <w:rsid w:val="00C260A9"/>
    <w:rsid w:val="00C2645B"/>
    <w:rsid w:val="00C27830"/>
    <w:rsid w:val="00C3002E"/>
    <w:rsid w:val="00C305C5"/>
    <w:rsid w:val="00C30A80"/>
    <w:rsid w:val="00C3125D"/>
    <w:rsid w:val="00C31D55"/>
    <w:rsid w:val="00C32817"/>
    <w:rsid w:val="00C32CC4"/>
    <w:rsid w:val="00C330C9"/>
    <w:rsid w:val="00C3324A"/>
    <w:rsid w:val="00C333AF"/>
    <w:rsid w:val="00C33E29"/>
    <w:rsid w:val="00C3581F"/>
    <w:rsid w:val="00C3582F"/>
    <w:rsid w:val="00C35E81"/>
    <w:rsid w:val="00C35F29"/>
    <w:rsid w:val="00C35FDC"/>
    <w:rsid w:val="00C36176"/>
    <w:rsid w:val="00C36528"/>
    <w:rsid w:val="00C3677B"/>
    <w:rsid w:val="00C379AD"/>
    <w:rsid w:val="00C41A6E"/>
    <w:rsid w:val="00C4222F"/>
    <w:rsid w:val="00C42C64"/>
    <w:rsid w:val="00C42D79"/>
    <w:rsid w:val="00C4359A"/>
    <w:rsid w:val="00C4379B"/>
    <w:rsid w:val="00C438C8"/>
    <w:rsid w:val="00C4395D"/>
    <w:rsid w:val="00C43CB7"/>
    <w:rsid w:val="00C445E6"/>
    <w:rsid w:val="00C44C81"/>
    <w:rsid w:val="00C4589E"/>
    <w:rsid w:val="00C45BAC"/>
    <w:rsid w:val="00C46390"/>
    <w:rsid w:val="00C463EA"/>
    <w:rsid w:val="00C47C2D"/>
    <w:rsid w:val="00C47E42"/>
    <w:rsid w:val="00C47F30"/>
    <w:rsid w:val="00C5073C"/>
    <w:rsid w:val="00C516D4"/>
    <w:rsid w:val="00C51885"/>
    <w:rsid w:val="00C51B4A"/>
    <w:rsid w:val="00C51C45"/>
    <w:rsid w:val="00C51FA1"/>
    <w:rsid w:val="00C520EF"/>
    <w:rsid w:val="00C5312C"/>
    <w:rsid w:val="00C534C6"/>
    <w:rsid w:val="00C537D7"/>
    <w:rsid w:val="00C53FB5"/>
    <w:rsid w:val="00C541E3"/>
    <w:rsid w:val="00C55075"/>
    <w:rsid w:val="00C55E05"/>
    <w:rsid w:val="00C560D5"/>
    <w:rsid w:val="00C566BD"/>
    <w:rsid w:val="00C5679C"/>
    <w:rsid w:val="00C5691A"/>
    <w:rsid w:val="00C569DC"/>
    <w:rsid w:val="00C56B05"/>
    <w:rsid w:val="00C56D8B"/>
    <w:rsid w:val="00C56FFD"/>
    <w:rsid w:val="00C573BC"/>
    <w:rsid w:val="00C5748F"/>
    <w:rsid w:val="00C57574"/>
    <w:rsid w:val="00C57C08"/>
    <w:rsid w:val="00C6002E"/>
    <w:rsid w:val="00C606B9"/>
    <w:rsid w:val="00C60D85"/>
    <w:rsid w:val="00C60F16"/>
    <w:rsid w:val="00C612FF"/>
    <w:rsid w:val="00C6170B"/>
    <w:rsid w:val="00C61C2B"/>
    <w:rsid w:val="00C61E82"/>
    <w:rsid w:val="00C61FEB"/>
    <w:rsid w:val="00C623AD"/>
    <w:rsid w:val="00C636B2"/>
    <w:rsid w:val="00C63D35"/>
    <w:rsid w:val="00C65C01"/>
    <w:rsid w:val="00C66436"/>
    <w:rsid w:val="00C66747"/>
    <w:rsid w:val="00C66C01"/>
    <w:rsid w:val="00C66F0F"/>
    <w:rsid w:val="00C671CF"/>
    <w:rsid w:val="00C67735"/>
    <w:rsid w:val="00C677F9"/>
    <w:rsid w:val="00C71055"/>
    <w:rsid w:val="00C71828"/>
    <w:rsid w:val="00C72C72"/>
    <w:rsid w:val="00C74030"/>
    <w:rsid w:val="00C74575"/>
    <w:rsid w:val="00C75FC1"/>
    <w:rsid w:val="00C75FE1"/>
    <w:rsid w:val="00C76252"/>
    <w:rsid w:val="00C76282"/>
    <w:rsid w:val="00C7644D"/>
    <w:rsid w:val="00C76547"/>
    <w:rsid w:val="00C7685A"/>
    <w:rsid w:val="00C7708E"/>
    <w:rsid w:val="00C7727E"/>
    <w:rsid w:val="00C776C3"/>
    <w:rsid w:val="00C77719"/>
    <w:rsid w:val="00C77CC9"/>
    <w:rsid w:val="00C809FB"/>
    <w:rsid w:val="00C8126E"/>
    <w:rsid w:val="00C81CC3"/>
    <w:rsid w:val="00C83852"/>
    <w:rsid w:val="00C8433E"/>
    <w:rsid w:val="00C8492F"/>
    <w:rsid w:val="00C84A7A"/>
    <w:rsid w:val="00C851C2"/>
    <w:rsid w:val="00C86017"/>
    <w:rsid w:val="00C86082"/>
    <w:rsid w:val="00C86B94"/>
    <w:rsid w:val="00C86EE2"/>
    <w:rsid w:val="00C87811"/>
    <w:rsid w:val="00C902ED"/>
    <w:rsid w:val="00C906B2"/>
    <w:rsid w:val="00C9213A"/>
    <w:rsid w:val="00C92318"/>
    <w:rsid w:val="00C93672"/>
    <w:rsid w:val="00C93BA0"/>
    <w:rsid w:val="00C93E09"/>
    <w:rsid w:val="00C94C60"/>
    <w:rsid w:val="00C9525A"/>
    <w:rsid w:val="00C955D9"/>
    <w:rsid w:val="00C956A2"/>
    <w:rsid w:val="00C9609F"/>
    <w:rsid w:val="00C963C8"/>
    <w:rsid w:val="00C96C4F"/>
    <w:rsid w:val="00C96DB7"/>
    <w:rsid w:val="00C97661"/>
    <w:rsid w:val="00C97714"/>
    <w:rsid w:val="00CA05B0"/>
    <w:rsid w:val="00CA1541"/>
    <w:rsid w:val="00CA17C7"/>
    <w:rsid w:val="00CA266E"/>
    <w:rsid w:val="00CA28ED"/>
    <w:rsid w:val="00CA28FA"/>
    <w:rsid w:val="00CA2905"/>
    <w:rsid w:val="00CA2B6D"/>
    <w:rsid w:val="00CA3CA3"/>
    <w:rsid w:val="00CA4473"/>
    <w:rsid w:val="00CA44BA"/>
    <w:rsid w:val="00CA45B0"/>
    <w:rsid w:val="00CA4AE9"/>
    <w:rsid w:val="00CA4D84"/>
    <w:rsid w:val="00CA4FC5"/>
    <w:rsid w:val="00CA5123"/>
    <w:rsid w:val="00CA5920"/>
    <w:rsid w:val="00CA6D85"/>
    <w:rsid w:val="00CA74C3"/>
    <w:rsid w:val="00CA7A50"/>
    <w:rsid w:val="00CA7B5B"/>
    <w:rsid w:val="00CB05CC"/>
    <w:rsid w:val="00CB0A73"/>
    <w:rsid w:val="00CB1943"/>
    <w:rsid w:val="00CB1E39"/>
    <w:rsid w:val="00CB2457"/>
    <w:rsid w:val="00CB3294"/>
    <w:rsid w:val="00CB3D4F"/>
    <w:rsid w:val="00CB4463"/>
    <w:rsid w:val="00CB4536"/>
    <w:rsid w:val="00CB4B40"/>
    <w:rsid w:val="00CB619D"/>
    <w:rsid w:val="00CB6985"/>
    <w:rsid w:val="00CB69C3"/>
    <w:rsid w:val="00CB6D9C"/>
    <w:rsid w:val="00CB7F1C"/>
    <w:rsid w:val="00CC0ABE"/>
    <w:rsid w:val="00CC1998"/>
    <w:rsid w:val="00CC1C16"/>
    <w:rsid w:val="00CC1CE9"/>
    <w:rsid w:val="00CC220C"/>
    <w:rsid w:val="00CC2F38"/>
    <w:rsid w:val="00CC431B"/>
    <w:rsid w:val="00CC440C"/>
    <w:rsid w:val="00CC444F"/>
    <w:rsid w:val="00CC513A"/>
    <w:rsid w:val="00CC5F57"/>
    <w:rsid w:val="00CC6004"/>
    <w:rsid w:val="00CC664C"/>
    <w:rsid w:val="00CC6B54"/>
    <w:rsid w:val="00CC7156"/>
    <w:rsid w:val="00CD0A83"/>
    <w:rsid w:val="00CD1937"/>
    <w:rsid w:val="00CD2296"/>
    <w:rsid w:val="00CD2A82"/>
    <w:rsid w:val="00CD2D68"/>
    <w:rsid w:val="00CD2DFA"/>
    <w:rsid w:val="00CD3622"/>
    <w:rsid w:val="00CD3A5F"/>
    <w:rsid w:val="00CD3DFA"/>
    <w:rsid w:val="00CD40BA"/>
    <w:rsid w:val="00CD4B22"/>
    <w:rsid w:val="00CD4BB0"/>
    <w:rsid w:val="00CD55BD"/>
    <w:rsid w:val="00CD5F45"/>
    <w:rsid w:val="00CD5F92"/>
    <w:rsid w:val="00CD6369"/>
    <w:rsid w:val="00CD7495"/>
    <w:rsid w:val="00CE04D9"/>
    <w:rsid w:val="00CE12B1"/>
    <w:rsid w:val="00CE133F"/>
    <w:rsid w:val="00CE1B56"/>
    <w:rsid w:val="00CE1F06"/>
    <w:rsid w:val="00CE2592"/>
    <w:rsid w:val="00CE2902"/>
    <w:rsid w:val="00CE2CE2"/>
    <w:rsid w:val="00CE32F2"/>
    <w:rsid w:val="00CE391E"/>
    <w:rsid w:val="00CE4160"/>
    <w:rsid w:val="00CE4D95"/>
    <w:rsid w:val="00CE507A"/>
    <w:rsid w:val="00CE59D7"/>
    <w:rsid w:val="00CE5A14"/>
    <w:rsid w:val="00CE5AAA"/>
    <w:rsid w:val="00CE5E33"/>
    <w:rsid w:val="00CE6F68"/>
    <w:rsid w:val="00CE7C2C"/>
    <w:rsid w:val="00CE7EAD"/>
    <w:rsid w:val="00CF0C15"/>
    <w:rsid w:val="00CF0E6E"/>
    <w:rsid w:val="00CF0FE9"/>
    <w:rsid w:val="00CF1249"/>
    <w:rsid w:val="00CF19FF"/>
    <w:rsid w:val="00CF1BA3"/>
    <w:rsid w:val="00CF1D16"/>
    <w:rsid w:val="00CF2063"/>
    <w:rsid w:val="00CF4098"/>
    <w:rsid w:val="00CF4383"/>
    <w:rsid w:val="00CF46C3"/>
    <w:rsid w:val="00CF49B0"/>
    <w:rsid w:val="00CF5CC2"/>
    <w:rsid w:val="00CF5D29"/>
    <w:rsid w:val="00CF626D"/>
    <w:rsid w:val="00CF6A44"/>
    <w:rsid w:val="00CF6ECF"/>
    <w:rsid w:val="00D00284"/>
    <w:rsid w:val="00D00814"/>
    <w:rsid w:val="00D0098C"/>
    <w:rsid w:val="00D014AE"/>
    <w:rsid w:val="00D020B3"/>
    <w:rsid w:val="00D0225B"/>
    <w:rsid w:val="00D02C71"/>
    <w:rsid w:val="00D03119"/>
    <w:rsid w:val="00D03DA9"/>
    <w:rsid w:val="00D04712"/>
    <w:rsid w:val="00D047EF"/>
    <w:rsid w:val="00D04A9C"/>
    <w:rsid w:val="00D04F2A"/>
    <w:rsid w:val="00D053CA"/>
    <w:rsid w:val="00D05739"/>
    <w:rsid w:val="00D0589B"/>
    <w:rsid w:val="00D05989"/>
    <w:rsid w:val="00D05DB6"/>
    <w:rsid w:val="00D0639C"/>
    <w:rsid w:val="00D066F6"/>
    <w:rsid w:val="00D1074C"/>
    <w:rsid w:val="00D10CC9"/>
    <w:rsid w:val="00D11407"/>
    <w:rsid w:val="00D11FD6"/>
    <w:rsid w:val="00D121E6"/>
    <w:rsid w:val="00D1229D"/>
    <w:rsid w:val="00D12382"/>
    <w:rsid w:val="00D127B1"/>
    <w:rsid w:val="00D1392F"/>
    <w:rsid w:val="00D1400A"/>
    <w:rsid w:val="00D1439F"/>
    <w:rsid w:val="00D14699"/>
    <w:rsid w:val="00D147EA"/>
    <w:rsid w:val="00D14D06"/>
    <w:rsid w:val="00D1525D"/>
    <w:rsid w:val="00D155E6"/>
    <w:rsid w:val="00D15FA9"/>
    <w:rsid w:val="00D16203"/>
    <w:rsid w:val="00D165FD"/>
    <w:rsid w:val="00D16B18"/>
    <w:rsid w:val="00D16E7E"/>
    <w:rsid w:val="00D176CA"/>
    <w:rsid w:val="00D17752"/>
    <w:rsid w:val="00D17C9B"/>
    <w:rsid w:val="00D17D85"/>
    <w:rsid w:val="00D20AF7"/>
    <w:rsid w:val="00D20FDF"/>
    <w:rsid w:val="00D2107D"/>
    <w:rsid w:val="00D21116"/>
    <w:rsid w:val="00D215AE"/>
    <w:rsid w:val="00D2226D"/>
    <w:rsid w:val="00D2297E"/>
    <w:rsid w:val="00D22F33"/>
    <w:rsid w:val="00D22FB9"/>
    <w:rsid w:val="00D23009"/>
    <w:rsid w:val="00D234D2"/>
    <w:rsid w:val="00D242BD"/>
    <w:rsid w:val="00D246B5"/>
    <w:rsid w:val="00D24765"/>
    <w:rsid w:val="00D25C2F"/>
    <w:rsid w:val="00D2602E"/>
    <w:rsid w:val="00D26129"/>
    <w:rsid w:val="00D2617D"/>
    <w:rsid w:val="00D26C25"/>
    <w:rsid w:val="00D26D46"/>
    <w:rsid w:val="00D26FF7"/>
    <w:rsid w:val="00D2762E"/>
    <w:rsid w:val="00D277B6"/>
    <w:rsid w:val="00D277F5"/>
    <w:rsid w:val="00D27DE9"/>
    <w:rsid w:val="00D27DFE"/>
    <w:rsid w:val="00D27EA9"/>
    <w:rsid w:val="00D3038B"/>
    <w:rsid w:val="00D316A8"/>
    <w:rsid w:val="00D31DDB"/>
    <w:rsid w:val="00D31E7D"/>
    <w:rsid w:val="00D32D19"/>
    <w:rsid w:val="00D33096"/>
    <w:rsid w:val="00D33198"/>
    <w:rsid w:val="00D33628"/>
    <w:rsid w:val="00D33EE0"/>
    <w:rsid w:val="00D349B9"/>
    <w:rsid w:val="00D34A59"/>
    <w:rsid w:val="00D3535F"/>
    <w:rsid w:val="00D362F7"/>
    <w:rsid w:val="00D36A38"/>
    <w:rsid w:val="00D37115"/>
    <w:rsid w:val="00D37A41"/>
    <w:rsid w:val="00D4109A"/>
    <w:rsid w:val="00D416C5"/>
    <w:rsid w:val="00D41861"/>
    <w:rsid w:val="00D4194B"/>
    <w:rsid w:val="00D42441"/>
    <w:rsid w:val="00D42ECC"/>
    <w:rsid w:val="00D42F7F"/>
    <w:rsid w:val="00D43654"/>
    <w:rsid w:val="00D4385C"/>
    <w:rsid w:val="00D439A8"/>
    <w:rsid w:val="00D4404F"/>
    <w:rsid w:val="00D446A8"/>
    <w:rsid w:val="00D44AA1"/>
    <w:rsid w:val="00D44B81"/>
    <w:rsid w:val="00D451BA"/>
    <w:rsid w:val="00D45499"/>
    <w:rsid w:val="00D45B49"/>
    <w:rsid w:val="00D45DED"/>
    <w:rsid w:val="00D46BA1"/>
    <w:rsid w:val="00D46D30"/>
    <w:rsid w:val="00D47251"/>
    <w:rsid w:val="00D50195"/>
    <w:rsid w:val="00D502CE"/>
    <w:rsid w:val="00D5037D"/>
    <w:rsid w:val="00D50425"/>
    <w:rsid w:val="00D507EC"/>
    <w:rsid w:val="00D50E57"/>
    <w:rsid w:val="00D50F27"/>
    <w:rsid w:val="00D51044"/>
    <w:rsid w:val="00D519B5"/>
    <w:rsid w:val="00D5215D"/>
    <w:rsid w:val="00D52C1E"/>
    <w:rsid w:val="00D533F7"/>
    <w:rsid w:val="00D5542D"/>
    <w:rsid w:val="00D5565A"/>
    <w:rsid w:val="00D557F4"/>
    <w:rsid w:val="00D568A1"/>
    <w:rsid w:val="00D56959"/>
    <w:rsid w:val="00D57029"/>
    <w:rsid w:val="00D571EF"/>
    <w:rsid w:val="00D57AFB"/>
    <w:rsid w:val="00D57F08"/>
    <w:rsid w:val="00D61596"/>
    <w:rsid w:val="00D61962"/>
    <w:rsid w:val="00D61F68"/>
    <w:rsid w:val="00D623CB"/>
    <w:rsid w:val="00D62A24"/>
    <w:rsid w:val="00D6351E"/>
    <w:rsid w:val="00D63553"/>
    <w:rsid w:val="00D63D6A"/>
    <w:rsid w:val="00D6444E"/>
    <w:rsid w:val="00D64B41"/>
    <w:rsid w:val="00D64D01"/>
    <w:rsid w:val="00D64D8B"/>
    <w:rsid w:val="00D65317"/>
    <w:rsid w:val="00D6545A"/>
    <w:rsid w:val="00D6587A"/>
    <w:rsid w:val="00D65C96"/>
    <w:rsid w:val="00D65CE5"/>
    <w:rsid w:val="00D660E5"/>
    <w:rsid w:val="00D661C6"/>
    <w:rsid w:val="00D668F6"/>
    <w:rsid w:val="00D66F43"/>
    <w:rsid w:val="00D6712F"/>
    <w:rsid w:val="00D67602"/>
    <w:rsid w:val="00D67CF9"/>
    <w:rsid w:val="00D7034B"/>
    <w:rsid w:val="00D7073E"/>
    <w:rsid w:val="00D70AEC"/>
    <w:rsid w:val="00D70DC9"/>
    <w:rsid w:val="00D70F31"/>
    <w:rsid w:val="00D71126"/>
    <w:rsid w:val="00D72297"/>
    <w:rsid w:val="00D724FD"/>
    <w:rsid w:val="00D72C05"/>
    <w:rsid w:val="00D72CE6"/>
    <w:rsid w:val="00D72F04"/>
    <w:rsid w:val="00D74352"/>
    <w:rsid w:val="00D743AD"/>
    <w:rsid w:val="00D74E41"/>
    <w:rsid w:val="00D74ECD"/>
    <w:rsid w:val="00D75508"/>
    <w:rsid w:val="00D75801"/>
    <w:rsid w:val="00D75E0C"/>
    <w:rsid w:val="00D761AE"/>
    <w:rsid w:val="00D763F4"/>
    <w:rsid w:val="00D76BAE"/>
    <w:rsid w:val="00D76DBF"/>
    <w:rsid w:val="00D770F5"/>
    <w:rsid w:val="00D77900"/>
    <w:rsid w:val="00D80144"/>
    <w:rsid w:val="00D801B7"/>
    <w:rsid w:val="00D80A0D"/>
    <w:rsid w:val="00D813E9"/>
    <w:rsid w:val="00D820E2"/>
    <w:rsid w:val="00D8229D"/>
    <w:rsid w:val="00D828FB"/>
    <w:rsid w:val="00D82A46"/>
    <w:rsid w:val="00D82AC1"/>
    <w:rsid w:val="00D82D0A"/>
    <w:rsid w:val="00D82E16"/>
    <w:rsid w:val="00D839EF"/>
    <w:rsid w:val="00D842AC"/>
    <w:rsid w:val="00D8438F"/>
    <w:rsid w:val="00D85013"/>
    <w:rsid w:val="00D8519C"/>
    <w:rsid w:val="00D85AC4"/>
    <w:rsid w:val="00D864C1"/>
    <w:rsid w:val="00D865D8"/>
    <w:rsid w:val="00D8784E"/>
    <w:rsid w:val="00D906A6"/>
    <w:rsid w:val="00D907FE"/>
    <w:rsid w:val="00D90DF0"/>
    <w:rsid w:val="00D91E89"/>
    <w:rsid w:val="00D921E9"/>
    <w:rsid w:val="00D9298B"/>
    <w:rsid w:val="00D92A6E"/>
    <w:rsid w:val="00D93005"/>
    <w:rsid w:val="00D934DB"/>
    <w:rsid w:val="00D93599"/>
    <w:rsid w:val="00D93783"/>
    <w:rsid w:val="00D93FF4"/>
    <w:rsid w:val="00D9428D"/>
    <w:rsid w:val="00D95C24"/>
    <w:rsid w:val="00D95D53"/>
    <w:rsid w:val="00D96203"/>
    <w:rsid w:val="00D962C7"/>
    <w:rsid w:val="00D96515"/>
    <w:rsid w:val="00D96639"/>
    <w:rsid w:val="00D96AA0"/>
    <w:rsid w:val="00D96B39"/>
    <w:rsid w:val="00D97136"/>
    <w:rsid w:val="00D9738E"/>
    <w:rsid w:val="00D97465"/>
    <w:rsid w:val="00D976AB"/>
    <w:rsid w:val="00D976E8"/>
    <w:rsid w:val="00D97DD5"/>
    <w:rsid w:val="00DA0192"/>
    <w:rsid w:val="00DA0CD6"/>
    <w:rsid w:val="00DA0D5C"/>
    <w:rsid w:val="00DA0E54"/>
    <w:rsid w:val="00DA1397"/>
    <w:rsid w:val="00DA19DA"/>
    <w:rsid w:val="00DA2448"/>
    <w:rsid w:val="00DA272C"/>
    <w:rsid w:val="00DA281C"/>
    <w:rsid w:val="00DA2AF5"/>
    <w:rsid w:val="00DA3F90"/>
    <w:rsid w:val="00DA42E0"/>
    <w:rsid w:val="00DA4883"/>
    <w:rsid w:val="00DA4D67"/>
    <w:rsid w:val="00DA578B"/>
    <w:rsid w:val="00DA5CD4"/>
    <w:rsid w:val="00DA6016"/>
    <w:rsid w:val="00DA6D61"/>
    <w:rsid w:val="00DA6DC3"/>
    <w:rsid w:val="00DA7F54"/>
    <w:rsid w:val="00DB000F"/>
    <w:rsid w:val="00DB04E4"/>
    <w:rsid w:val="00DB0664"/>
    <w:rsid w:val="00DB1426"/>
    <w:rsid w:val="00DB1976"/>
    <w:rsid w:val="00DB205A"/>
    <w:rsid w:val="00DB2AD5"/>
    <w:rsid w:val="00DB2AE5"/>
    <w:rsid w:val="00DB35C6"/>
    <w:rsid w:val="00DB39D2"/>
    <w:rsid w:val="00DB3BD8"/>
    <w:rsid w:val="00DB4466"/>
    <w:rsid w:val="00DB4CE7"/>
    <w:rsid w:val="00DB4CE9"/>
    <w:rsid w:val="00DB5519"/>
    <w:rsid w:val="00DB56CF"/>
    <w:rsid w:val="00DB65FD"/>
    <w:rsid w:val="00DB6A2C"/>
    <w:rsid w:val="00DB6AEC"/>
    <w:rsid w:val="00DB70FF"/>
    <w:rsid w:val="00DB714F"/>
    <w:rsid w:val="00DB75FC"/>
    <w:rsid w:val="00DB7792"/>
    <w:rsid w:val="00DB7C35"/>
    <w:rsid w:val="00DC01CE"/>
    <w:rsid w:val="00DC0FC5"/>
    <w:rsid w:val="00DC19E4"/>
    <w:rsid w:val="00DC1C77"/>
    <w:rsid w:val="00DC2B4D"/>
    <w:rsid w:val="00DC47BD"/>
    <w:rsid w:val="00DC4831"/>
    <w:rsid w:val="00DC4F9A"/>
    <w:rsid w:val="00DC5233"/>
    <w:rsid w:val="00DC62C6"/>
    <w:rsid w:val="00DC6AEF"/>
    <w:rsid w:val="00DC728E"/>
    <w:rsid w:val="00DC7B38"/>
    <w:rsid w:val="00DD00D9"/>
    <w:rsid w:val="00DD02F7"/>
    <w:rsid w:val="00DD03A2"/>
    <w:rsid w:val="00DD0885"/>
    <w:rsid w:val="00DD0DE8"/>
    <w:rsid w:val="00DD11E8"/>
    <w:rsid w:val="00DD1350"/>
    <w:rsid w:val="00DD1B6D"/>
    <w:rsid w:val="00DD2D71"/>
    <w:rsid w:val="00DD3676"/>
    <w:rsid w:val="00DD39F4"/>
    <w:rsid w:val="00DD3D1B"/>
    <w:rsid w:val="00DD3FFF"/>
    <w:rsid w:val="00DD423C"/>
    <w:rsid w:val="00DD45B4"/>
    <w:rsid w:val="00DD4644"/>
    <w:rsid w:val="00DD55DA"/>
    <w:rsid w:val="00DD5893"/>
    <w:rsid w:val="00DD5B71"/>
    <w:rsid w:val="00DD5C90"/>
    <w:rsid w:val="00DD6195"/>
    <w:rsid w:val="00DD6212"/>
    <w:rsid w:val="00DD6478"/>
    <w:rsid w:val="00DD7317"/>
    <w:rsid w:val="00DD78E3"/>
    <w:rsid w:val="00DD7C0B"/>
    <w:rsid w:val="00DD7FD2"/>
    <w:rsid w:val="00DE00B4"/>
    <w:rsid w:val="00DE0B5B"/>
    <w:rsid w:val="00DE1342"/>
    <w:rsid w:val="00DE13DC"/>
    <w:rsid w:val="00DE150A"/>
    <w:rsid w:val="00DE19A1"/>
    <w:rsid w:val="00DE1C05"/>
    <w:rsid w:val="00DE22F2"/>
    <w:rsid w:val="00DE2321"/>
    <w:rsid w:val="00DE2718"/>
    <w:rsid w:val="00DE3D6F"/>
    <w:rsid w:val="00DE3DC9"/>
    <w:rsid w:val="00DE44DA"/>
    <w:rsid w:val="00DE4A2B"/>
    <w:rsid w:val="00DE4EFD"/>
    <w:rsid w:val="00DE501C"/>
    <w:rsid w:val="00DE56BE"/>
    <w:rsid w:val="00DE570F"/>
    <w:rsid w:val="00DE5D1C"/>
    <w:rsid w:val="00DE602E"/>
    <w:rsid w:val="00DE697F"/>
    <w:rsid w:val="00DE718D"/>
    <w:rsid w:val="00DE7A23"/>
    <w:rsid w:val="00DE7CB9"/>
    <w:rsid w:val="00DF01B7"/>
    <w:rsid w:val="00DF1191"/>
    <w:rsid w:val="00DF1368"/>
    <w:rsid w:val="00DF13A4"/>
    <w:rsid w:val="00DF19BD"/>
    <w:rsid w:val="00DF1A0A"/>
    <w:rsid w:val="00DF1E0F"/>
    <w:rsid w:val="00DF1ED9"/>
    <w:rsid w:val="00DF2830"/>
    <w:rsid w:val="00DF3AE8"/>
    <w:rsid w:val="00DF3B35"/>
    <w:rsid w:val="00DF3FDC"/>
    <w:rsid w:val="00DF51F1"/>
    <w:rsid w:val="00DF7545"/>
    <w:rsid w:val="00DF7BC2"/>
    <w:rsid w:val="00DF7E68"/>
    <w:rsid w:val="00DF7ED6"/>
    <w:rsid w:val="00DF7FC9"/>
    <w:rsid w:val="00E004BA"/>
    <w:rsid w:val="00E01199"/>
    <w:rsid w:val="00E012DA"/>
    <w:rsid w:val="00E01385"/>
    <w:rsid w:val="00E01420"/>
    <w:rsid w:val="00E021CC"/>
    <w:rsid w:val="00E02ECA"/>
    <w:rsid w:val="00E03180"/>
    <w:rsid w:val="00E03192"/>
    <w:rsid w:val="00E03BFA"/>
    <w:rsid w:val="00E03EBC"/>
    <w:rsid w:val="00E0431B"/>
    <w:rsid w:val="00E043E9"/>
    <w:rsid w:val="00E04A27"/>
    <w:rsid w:val="00E04DF6"/>
    <w:rsid w:val="00E051AD"/>
    <w:rsid w:val="00E0535C"/>
    <w:rsid w:val="00E057AC"/>
    <w:rsid w:val="00E064FF"/>
    <w:rsid w:val="00E067DF"/>
    <w:rsid w:val="00E06CD8"/>
    <w:rsid w:val="00E06DD7"/>
    <w:rsid w:val="00E071FD"/>
    <w:rsid w:val="00E07D70"/>
    <w:rsid w:val="00E10019"/>
    <w:rsid w:val="00E10760"/>
    <w:rsid w:val="00E121DF"/>
    <w:rsid w:val="00E12F9A"/>
    <w:rsid w:val="00E13045"/>
    <w:rsid w:val="00E13282"/>
    <w:rsid w:val="00E1374F"/>
    <w:rsid w:val="00E139CF"/>
    <w:rsid w:val="00E14E47"/>
    <w:rsid w:val="00E15029"/>
    <w:rsid w:val="00E15A95"/>
    <w:rsid w:val="00E16862"/>
    <w:rsid w:val="00E169A2"/>
    <w:rsid w:val="00E16E59"/>
    <w:rsid w:val="00E17560"/>
    <w:rsid w:val="00E1783C"/>
    <w:rsid w:val="00E17F4A"/>
    <w:rsid w:val="00E17FE6"/>
    <w:rsid w:val="00E208B5"/>
    <w:rsid w:val="00E218E7"/>
    <w:rsid w:val="00E21B6A"/>
    <w:rsid w:val="00E2241C"/>
    <w:rsid w:val="00E2265A"/>
    <w:rsid w:val="00E228B0"/>
    <w:rsid w:val="00E230E2"/>
    <w:rsid w:val="00E23565"/>
    <w:rsid w:val="00E24315"/>
    <w:rsid w:val="00E24420"/>
    <w:rsid w:val="00E24993"/>
    <w:rsid w:val="00E24AE3"/>
    <w:rsid w:val="00E24CD1"/>
    <w:rsid w:val="00E250F3"/>
    <w:rsid w:val="00E262DD"/>
    <w:rsid w:val="00E26414"/>
    <w:rsid w:val="00E2683B"/>
    <w:rsid w:val="00E269DB"/>
    <w:rsid w:val="00E26E05"/>
    <w:rsid w:val="00E301DB"/>
    <w:rsid w:val="00E3096E"/>
    <w:rsid w:val="00E30D2E"/>
    <w:rsid w:val="00E30DD3"/>
    <w:rsid w:val="00E30DF1"/>
    <w:rsid w:val="00E30EED"/>
    <w:rsid w:val="00E314DE"/>
    <w:rsid w:val="00E3264F"/>
    <w:rsid w:val="00E32A12"/>
    <w:rsid w:val="00E340DD"/>
    <w:rsid w:val="00E3498F"/>
    <w:rsid w:val="00E352A6"/>
    <w:rsid w:val="00E36776"/>
    <w:rsid w:val="00E3703B"/>
    <w:rsid w:val="00E37197"/>
    <w:rsid w:val="00E4069F"/>
    <w:rsid w:val="00E416B9"/>
    <w:rsid w:val="00E419B8"/>
    <w:rsid w:val="00E423FE"/>
    <w:rsid w:val="00E42F77"/>
    <w:rsid w:val="00E43CF0"/>
    <w:rsid w:val="00E43D21"/>
    <w:rsid w:val="00E440BD"/>
    <w:rsid w:val="00E4555A"/>
    <w:rsid w:val="00E460B8"/>
    <w:rsid w:val="00E464FE"/>
    <w:rsid w:val="00E471DA"/>
    <w:rsid w:val="00E47CE5"/>
    <w:rsid w:val="00E50099"/>
    <w:rsid w:val="00E50536"/>
    <w:rsid w:val="00E50734"/>
    <w:rsid w:val="00E5088D"/>
    <w:rsid w:val="00E50C91"/>
    <w:rsid w:val="00E51E8B"/>
    <w:rsid w:val="00E52035"/>
    <w:rsid w:val="00E5337F"/>
    <w:rsid w:val="00E5341D"/>
    <w:rsid w:val="00E53830"/>
    <w:rsid w:val="00E53B6D"/>
    <w:rsid w:val="00E5509A"/>
    <w:rsid w:val="00E55BD8"/>
    <w:rsid w:val="00E56B7B"/>
    <w:rsid w:val="00E56BEC"/>
    <w:rsid w:val="00E56FB8"/>
    <w:rsid w:val="00E576C3"/>
    <w:rsid w:val="00E578A0"/>
    <w:rsid w:val="00E57B69"/>
    <w:rsid w:val="00E57C54"/>
    <w:rsid w:val="00E60C66"/>
    <w:rsid w:val="00E61262"/>
    <w:rsid w:val="00E626F1"/>
    <w:rsid w:val="00E629A4"/>
    <w:rsid w:val="00E62B6B"/>
    <w:rsid w:val="00E6368C"/>
    <w:rsid w:val="00E63B19"/>
    <w:rsid w:val="00E64218"/>
    <w:rsid w:val="00E6427A"/>
    <w:rsid w:val="00E6464B"/>
    <w:rsid w:val="00E64DA5"/>
    <w:rsid w:val="00E6570B"/>
    <w:rsid w:val="00E65C8B"/>
    <w:rsid w:val="00E66987"/>
    <w:rsid w:val="00E66B53"/>
    <w:rsid w:val="00E670A0"/>
    <w:rsid w:val="00E67C40"/>
    <w:rsid w:val="00E67C55"/>
    <w:rsid w:val="00E70871"/>
    <w:rsid w:val="00E70F41"/>
    <w:rsid w:val="00E72016"/>
    <w:rsid w:val="00E72668"/>
    <w:rsid w:val="00E72809"/>
    <w:rsid w:val="00E72B77"/>
    <w:rsid w:val="00E73F9D"/>
    <w:rsid w:val="00E740D0"/>
    <w:rsid w:val="00E76293"/>
    <w:rsid w:val="00E763E5"/>
    <w:rsid w:val="00E76666"/>
    <w:rsid w:val="00E76C2A"/>
    <w:rsid w:val="00E76FB5"/>
    <w:rsid w:val="00E76FBB"/>
    <w:rsid w:val="00E77D33"/>
    <w:rsid w:val="00E805A3"/>
    <w:rsid w:val="00E80646"/>
    <w:rsid w:val="00E80AF4"/>
    <w:rsid w:val="00E80E6E"/>
    <w:rsid w:val="00E80EC5"/>
    <w:rsid w:val="00E8107A"/>
    <w:rsid w:val="00E81082"/>
    <w:rsid w:val="00E81974"/>
    <w:rsid w:val="00E81C57"/>
    <w:rsid w:val="00E81CB4"/>
    <w:rsid w:val="00E81E1D"/>
    <w:rsid w:val="00E8224A"/>
    <w:rsid w:val="00E82360"/>
    <w:rsid w:val="00E826E5"/>
    <w:rsid w:val="00E828A3"/>
    <w:rsid w:val="00E837C2"/>
    <w:rsid w:val="00E84326"/>
    <w:rsid w:val="00E84C3D"/>
    <w:rsid w:val="00E850A3"/>
    <w:rsid w:val="00E8585B"/>
    <w:rsid w:val="00E858F9"/>
    <w:rsid w:val="00E85F76"/>
    <w:rsid w:val="00E86182"/>
    <w:rsid w:val="00E8650A"/>
    <w:rsid w:val="00E86CE9"/>
    <w:rsid w:val="00E87034"/>
    <w:rsid w:val="00E87193"/>
    <w:rsid w:val="00E872A7"/>
    <w:rsid w:val="00E87700"/>
    <w:rsid w:val="00E87C45"/>
    <w:rsid w:val="00E906FA"/>
    <w:rsid w:val="00E90A5F"/>
    <w:rsid w:val="00E91818"/>
    <w:rsid w:val="00E91CC5"/>
    <w:rsid w:val="00E9229D"/>
    <w:rsid w:val="00E92467"/>
    <w:rsid w:val="00E92690"/>
    <w:rsid w:val="00E929D8"/>
    <w:rsid w:val="00E93C69"/>
    <w:rsid w:val="00E95559"/>
    <w:rsid w:val="00E96373"/>
    <w:rsid w:val="00E966A1"/>
    <w:rsid w:val="00E967B3"/>
    <w:rsid w:val="00E968EB"/>
    <w:rsid w:val="00E96F7A"/>
    <w:rsid w:val="00EA0331"/>
    <w:rsid w:val="00EA04E5"/>
    <w:rsid w:val="00EA0773"/>
    <w:rsid w:val="00EA08E8"/>
    <w:rsid w:val="00EA0BC2"/>
    <w:rsid w:val="00EA1505"/>
    <w:rsid w:val="00EA1A68"/>
    <w:rsid w:val="00EA1E9A"/>
    <w:rsid w:val="00EA2147"/>
    <w:rsid w:val="00EA2263"/>
    <w:rsid w:val="00EA2815"/>
    <w:rsid w:val="00EA2B18"/>
    <w:rsid w:val="00EA2FC6"/>
    <w:rsid w:val="00EA35EE"/>
    <w:rsid w:val="00EA38AC"/>
    <w:rsid w:val="00EA3BF0"/>
    <w:rsid w:val="00EA44CC"/>
    <w:rsid w:val="00EA5193"/>
    <w:rsid w:val="00EA5B46"/>
    <w:rsid w:val="00EA5C01"/>
    <w:rsid w:val="00EA5FFF"/>
    <w:rsid w:val="00EA637B"/>
    <w:rsid w:val="00EA6963"/>
    <w:rsid w:val="00EA79DA"/>
    <w:rsid w:val="00EA7CD5"/>
    <w:rsid w:val="00EB0AD7"/>
    <w:rsid w:val="00EB13CD"/>
    <w:rsid w:val="00EB3208"/>
    <w:rsid w:val="00EB33A4"/>
    <w:rsid w:val="00EB37CC"/>
    <w:rsid w:val="00EB3FEC"/>
    <w:rsid w:val="00EB41C8"/>
    <w:rsid w:val="00EB4709"/>
    <w:rsid w:val="00EB47E0"/>
    <w:rsid w:val="00EB59F9"/>
    <w:rsid w:val="00EB6305"/>
    <w:rsid w:val="00EB7349"/>
    <w:rsid w:val="00EC003C"/>
    <w:rsid w:val="00EC0BEF"/>
    <w:rsid w:val="00EC132A"/>
    <w:rsid w:val="00EC15A1"/>
    <w:rsid w:val="00EC1ECB"/>
    <w:rsid w:val="00EC26E4"/>
    <w:rsid w:val="00EC33D3"/>
    <w:rsid w:val="00EC3430"/>
    <w:rsid w:val="00EC36AE"/>
    <w:rsid w:val="00EC370B"/>
    <w:rsid w:val="00EC381E"/>
    <w:rsid w:val="00EC3FA6"/>
    <w:rsid w:val="00EC4549"/>
    <w:rsid w:val="00EC495D"/>
    <w:rsid w:val="00EC5C3B"/>
    <w:rsid w:val="00EC5D5C"/>
    <w:rsid w:val="00EC6136"/>
    <w:rsid w:val="00EC6351"/>
    <w:rsid w:val="00EC63D4"/>
    <w:rsid w:val="00EC66A5"/>
    <w:rsid w:val="00EC670C"/>
    <w:rsid w:val="00EC6C82"/>
    <w:rsid w:val="00EC6C89"/>
    <w:rsid w:val="00EC6F95"/>
    <w:rsid w:val="00EC6FAC"/>
    <w:rsid w:val="00EC7231"/>
    <w:rsid w:val="00EC733E"/>
    <w:rsid w:val="00EC739D"/>
    <w:rsid w:val="00EC7DF1"/>
    <w:rsid w:val="00ED0455"/>
    <w:rsid w:val="00ED0563"/>
    <w:rsid w:val="00ED0773"/>
    <w:rsid w:val="00ED0B56"/>
    <w:rsid w:val="00ED2BA8"/>
    <w:rsid w:val="00ED359D"/>
    <w:rsid w:val="00ED35F9"/>
    <w:rsid w:val="00ED3610"/>
    <w:rsid w:val="00ED3DA3"/>
    <w:rsid w:val="00ED42F6"/>
    <w:rsid w:val="00ED4C3E"/>
    <w:rsid w:val="00ED51E9"/>
    <w:rsid w:val="00ED5DAC"/>
    <w:rsid w:val="00ED738D"/>
    <w:rsid w:val="00ED73E2"/>
    <w:rsid w:val="00ED7DEA"/>
    <w:rsid w:val="00ED7F28"/>
    <w:rsid w:val="00EE08EA"/>
    <w:rsid w:val="00EE0C80"/>
    <w:rsid w:val="00EE0FC6"/>
    <w:rsid w:val="00EE10CD"/>
    <w:rsid w:val="00EE115F"/>
    <w:rsid w:val="00EE20BD"/>
    <w:rsid w:val="00EE2241"/>
    <w:rsid w:val="00EE279D"/>
    <w:rsid w:val="00EE282F"/>
    <w:rsid w:val="00EE32B7"/>
    <w:rsid w:val="00EE332A"/>
    <w:rsid w:val="00EE388C"/>
    <w:rsid w:val="00EE5439"/>
    <w:rsid w:val="00EE54DA"/>
    <w:rsid w:val="00EE5CBC"/>
    <w:rsid w:val="00EE65BC"/>
    <w:rsid w:val="00EE6BA5"/>
    <w:rsid w:val="00EE6E7D"/>
    <w:rsid w:val="00EE77E8"/>
    <w:rsid w:val="00EF035F"/>
    <w:rsid w:val="00EF09CB"/>
    <w:rsid w:val="00EF1219"/>
    <w:rsid w:val="00EF133F"/>
    <w:rsid w:val="00EF1A61"/>
    <w:rsid w:val="00EF1DBE"/>
    <w:rsid w:val="00EF25CD"/>
    <w:rsid w:val="00EF2B88"/>
    <w:rsid w:val="00EF3C44"/>
    <w:rsid w:val="00EF3D69"/>
    <w:rsid w:val="00EF401F"/>
    <w:rsid w:val="00EF423B"/>
    <w:rsid w:val="00EF42BA"/>
    <w:rsid w:val="00EF46FE"/>
    <w:rsid w:val="00EF4927"/>
    <w:rsid w:val="00EF4B45"/>
    <w:rsid w:val="00EF5123"/>
    <w:rsid w:val="00EF5E3E"/>
    <w:rsid w:val="00EF5EC9"/>
    <w:rsid w:val="00EF66E5"/>
    <w:rsid w:val="00EF71A0"/>
    <w:rsid w:val="00EF73D7"/>
    <w:rsid w:val="00EF74E5"/>
    <w:rsid w:val="00EF79E6"/>
    <w:rsid w:val="00F0019F"/>
    <w:rsid w:val="00F01CE0"/>
    <w:rsid w:val="00F01E97"/>
    <w:rsid w:val="00F02279"/>
    <w:rsid w:val="00F02E9D"/>
    <w:rsid w:val="00F0349F"/>
    <w:rsid w:val="00F039B2"/>
    <w:rsid w:val="00F03CC9"/>
    <w:rsid w:val="00F03E15"/>
    <w:rsid w:val="00F03F67"/>
    <w:rsid w:val="00F03FEE"/>
    <w:rsid w:val="00F04442"/>
    <w:rsid w:val="00F04BDE"/>
    <w:rsid w:val="00F04C96"/>
    <w:rsid w:val="00F0542F"/>
    <w:rsid w:val="00F054F4"/>
    <w:rsid w:val="00F056D0"/>
    <w:rsid w:val="00F05A9E"/>
    <w:rsid w:val="00F073D8"/>
    <w:rsid w:val="00F100B5"/>
    <w:rsid w:val="00F1088B"/>
    <w:rsid w:val="00F11C23"/>
    <w:rsid w:val="00F11D04"/>
    <w:rsid w:val="00F128BE"/>
    <w:rsid w:val="00F130FA"/>
    <w:rsid w:val="00F139E0"/>
    <w:rsid w:val="00F14458"/>
    <w:rsid w:val="00F14568"/>
    <w:rsid w:val="00F155DE"/>
    <w:rsid w:val="00F15745"/>
    <w:rsid w:val="00F15D81"/>
    <w:rsid w:val="00F15E9D"/>
    <w:rsid w:val="00F172C9"/>
    <w:rsid w:val="00F17613"/>
    <w:rsid w:val="00F1762E"/>
    <w:rsid w:val="00F17680"/>
    <w:rsid w:val="00F17A84"/>
    <w:rsid w:val="00F17B45"/>
    <w:rsid w:val="00F2064F"/>
    <w:rsid w:val="00F20797"/>
    <w:rsid w:val="00F20E22"/>
    <w:rsid w:val="00F225EA"/>
    <w:rsid w:val="00F22718"/>
    <w:rsid w:val="00F229DB"/>
    <w:rsid w:val="00F22A39"/>
    <w:rsid w:val="00F22B75"/>
    <w:rsid w:val="00F22DE5"/>
    <w:rsid w:val="00F22DEE"/>
    <w:rsid w:val="00F233F6"/>
    <w:rsid w:val="00F23F24"/>
    <w:rsid w:val="00F240B7"/>
    <w:rsid w:val="00F247F1"/>
    <w:rsid w:val="00F24C02"/>
    <w:rsid w:val="00F24C68"/>
    <w:rsid w:val="00F24E1F"/>
    <w:rsid w:val="00F256EB"/>
    <w:rsid w:val="00F26507"/>
    <w:rsid w:val="00F26FD4"/>
    <w:rsid w:val="00F274AD"/>
    <w:rsid w:val="00F27BA4"/>
    <w:rsid w:val="00F27C6B"/>
    <w:rsid w:val="00F27D88"/>
    <w:rsid w:val="00F308D6"/>
    <w:rsid w:val="00F308E5"/>
    <w:rsid w:val="00F309B9"/>
    <w:rsid w:val="00F30C1D"/>
    <w:rsid w:val="00F30C70"/>
    <w:rsid w:val="00F3108D"/>
    <w:rsid w:val="00F31418"/>
    <w:rsid w:val="00F33048"/>
    <w:rsid w:val="00F3363C"/>
    <w:rsid w:val="00F33AF2"/>
    <w:rsid w:val="00F3405F"/>
    <w:rsid w:val="00F3419D"/>
    <w:rsid w:val="00F349D1"/>
    <w:rsid w:val="00F34AC9"/>
    <w:rsid w:val="00F34BB7"/>
    <w:rsid w:val="00F350B3"/>
    <w:rsid w:val="00F3521D"/>
    <w:rsid w:val="00F3527F"/>
    <w:rsid w:val="00F3538C"/>
    <w:rsid w:val="00F365FC"/>
    <w:rsid w:val="00F36F44"/>
    <w:rsid w:val="00F37217"/>
    <w:rsid w:val="00F3727B"/>
    <w:rsid w:val="00F37313"/>
    <w:rsid w:val="00F37484"/>
    <w:rsid w:val="00F379A9"/>
    <w:rsid w:val="00F37C37"/>
    <w:rsid w:val="00F4023C"/>
    <w:rsid w:val="00F4078F"/>
    <w:rsid w:val="00F4126B"/>
    <w:rsid w:val="00F41D32"/>
    <w:rsid w:val="00F42528"/>
    <w:rsid w:val="00F435DF"/>
    <w:rsid w:val="00F436EA"/>
    <w:rsid w:val="00F43DE8"/>
    <w:rsid w:val="00F44381"/>
    <w:rsid w:val="00F44E78"/>
    <w:rsid w:val="00F453F5"/>
    <w:rsid w:val="00F45D32"/>
    <w:rsid w:val="00F4641D"/>
    <w:rsid w:val="00F470BD"/>
    <w:rsid w:val="00F502DC"/>
    <w:rsid w:val="00F50C61"/>
    <w:rsid w:val="00F5156A"/>
    <w:rsid w:val="00F52121"/>
    <w:rsid w:val="00F522FE"/>
    <w:rsid w:val="00F52A65"/>
    <w:rsid w:val="00F5326F"/>
    <w:rsid w:val="00F53706"/>
    <w:rsid w:val="00F53FA7"/>
    <w:rsid w:val="00F5420C"/>
    <w:rsid w:val="00F54242"/>
    <w:rsid w:val="00F545AF"/>
    <w:rsid w:val="00F547B2"/>
    <w:rsid w:val="00F559E7"/>
    <w:rsid w:val="00F56543"/>
    <w:rsid w:val="00F5695A"/>
    <w:rsid w:val="00F600B5"/>
    <w:rsid w:val="00F600F8"/>
    <w:rsid w:val="00F60C50"/>
    <w:rsid w:val="00F60F0F"/>
    <w:rsid w:val="00F60F97"/>
    <w:rsid w:val="00F62335"/>
    <w:rsid w:val="00F623E2"/>
    <w:rsid w:val="00F625B2"/>
    <w:rsid w:val="00F62B5F"/>
    <w:rsid w:val="00F6310D"/>
    <w:rsid w:val="00F64521"/>
    <w:rsid w:val="00F646C4"/>
    <w:rsid w:val="00F64C7A"/>
    <w:rsid w:val="00F6528D"/>
    <w:rsid w:val="00F653AD"/>
    <w:rsid w:val="00F654EE"/>
    <w:rsid w:val="00F6598C"/>
    <w:rsid w:val="00F66F00"/>
    <w:rsid w:val="00F672F6"/>
    <w:rsid w:val="00F67D41"/>
    <w:rsid w:val="00F706EA"/>
    <w:rsid w:val="00F709CA"/>
    <w:rsid w:val="00F70ED8"/>
    <w:rsid w:val="00F714B0"/>
    <w:rsid w:val="00F71CE4"/>
    <w:rsid w:val="00F72293"/>
    <w:rsid w:val="00F73DA7"/>
    <w:rsid w:val="00F73E2F"/>
    <w:rsid w:val="00F74CE0"/>
    <w:rsid w:val="00F74E69"/>
    <w:rsid w:val="00F75614"/>
    <w:rsid w:val="00F75894"/>
    <w:rsid w:val="00F75ABC"/>
    <w:rsid w:val="00F76332"/>
    <w:rsid w:val="00F76AC4"/>
    <w:rsid w:val="00F76B4A"/>
    <w:rsid w:val="00F770E1"/>
    <w:rsid w:val="00F7748C"/>
    <w:rsid w:val="00F774BA"/>
    <w:rsid w:val="00F775C6"/>
    <w:rsid w:val="00F779ED"/>
    <w:rsid w:val="00F77C2E"/>
    <w:rsid w:val="00F800D2"/>
    <w:rsid w:val="00F80143"/>
    <w:rsid w:val="00F80627"/>
    <w:rsid w:val="00F807A3"/>
    <w:rsid w:val="00F81406"/>
    <w:rsid w:val="00F815F0"/>
    <w:rsid w:val="00F81920"/>
    <w:rsid w:val="00F8197C"/>
    <w:rsid w:val="00F82E0F"/>
    <w:rsid w:val="00F82F00"/>
    <w:rsid w:val="00F834C9"/>
    <w:rsid w:val="00F83760"/>
    <w:rsid w:val="00F84C0B"/>
    <w:rsid w:val="00F85C09"/>
    <w:rsid w:val="00F85EB8"/>
    <w:rsid w:val="00F86368"/>
    <w:rsid w:val="00F86464"/>
    <w:rsid w:val="00F868FB"/>
    <w:rsid w:val="00F86BF4"/>
    <w:rsid w:val="00F87C1D"/>
    <w:rsid w:val="00F9134F"/>
    <w:rsid w:val="00F91AA3"/>
    <w:rsid w:val="00F91B9B"/>
    <w:rsid w:val="00F91FD5"/>
    <w:rsid w:val="00F92FDA"/>
    <w:rsid w:val="00F931A7"/>
    <w:rsid w:val="00F934AE"/>
    <w:rsid w:val="00F94385"/>
    <w:rsid w:val="00F94A9B"/>
    <w:rsid w:val="00F94C3A"/>
    <w:rsid w:val="00F9554A"/>
    <w:rsid w:val="00F955B3"/>
    <w:rsid w:val="00F95828"/>
    <w:rsid w:val="00F96C06"/>
    <w:rsid w:val="00F9707A"/>
    <w:rsid w:val="00F972CE"/>
    <w:rsid w:val="00F974B6"/>
    <w:rsid w:val="00F97AF6"/>
    <w:rsid w:val="00F97D2F"/>
    <w:rsid w:val="00FA0A7B"/>
    <w:rsid w:val="00FA0CFC"/>
    <w:rsid w:val="00FA1E5A"/>
    <w:rsid w:val="00FA2E3A"/>
    <w:rsid w:val="00FA3111"/>
    <w:rsid w:val="00FA32DE"/>
    <w:rsid w:val="00FA3584"/>
    <w:rsid w:val="00FA39E8"/>
    <w:rsid w:val="00FA3C75"/>
    <w:rsid w:val="00FA4AC1"/>
    <w:rsid w:val="00FA4B99"/>
    <w:rsid w:val="00FA50B9"/>
    <w:rsid w:val="00FA5FD2"/>
    <w:rsid w:val="00FA6567"/>
    <w:rsid w:val="00FA6DE3"/>
    <w:rsid w:val="00FA6FB5"/>
    <w:rsid w:val="00FA7B2E"/>
    <w:rsid w:val="00FA7EC8"/>
    <w:rsid w:val="00FB0495"/>
    <w:rsid w:val="00FB10FC"/>
    <w:rsid w:val="00FB1D6E"/>
    <w:rsid w:val="00FB27A6"/>
    <w:rsid w:val="00FB2ECB"/>
    <w:rsid w:val="00FB3451"/>
    <w:rsid w:val="00FB3FB5"/>
    <w:rsid w:val="00FB402C"/>
    <w:rsid w:val="00FB4B30"/>
    <w:rsid w:val="00FB4BB5"/>
    <w:rsid w:val="00FB5295"/>
    <w:rsid w:val="00FB5550"/>
    <w:rsid w:val="00FB5F90"/>
    <w:rsid w:val="00FB75CB"/>
    <w:rsid w:val="00FB782F"/>
    <w:rsid w:val="00FC030E"/>
    <w:rsid w:val="00FC03B8"/>
    <w:rsid w:val="00FC0A7D"/>
    <w:rsid w:val="00FC2512"/>
    <w:rsid w:val="00FC270C"/>
    <w:rsid w:val="00FC311E"/>
    <w:rsid w:val="00FC5078"/>
    <w:rsid w:val="00FC50D3"/>
    <w:rsid w:val="00FC5147"/>
    <w:rsid w:val="00FC5454"/>
    <w:rsid w:val="00FC5534"/>
    <w:rsid w:val="00FC5889"/>
    <w:rsid w:val="00FC5ACF"/>
    <w:rsid w:val="00FC5AD0"/>
    <w:rsid w:val="00FC6FE3"/>
    <w:rsid w:val="00FC78A5"/>
    <w:rsid w:val="00FD026B"/>
    <w:rsid w:val="00FD12F8"/>
    <w:rsid w:val="00FD1751"/>
    <w:rsid w:val="00FD2C75"/>
    <w:rsid w:val="00FD3313"/>
    <w:rsid w:val="00FD336B"/>
    <w:rsid w:val="00FD3370"/>
    <w:rsid w:val="00FD4298"/>
    <w:rsid w:val="00FD4D95"/>
    <w:rsid w:val="00FD4F62"/>
    <w:rsid w:val="00FD4F9D"/>
    <w:rsid w:val="00FD60F8"/>
    <w:rsid w:val="00FD6360"/>
    <w:rsid w:val="00FD6F7B"/>
    <w:rsid w:val="00FD736B"/>
    <w:rsid w:val="00FD7942"/>
    <w:rsid w:val="00FD7B6F"/>
    <w:rsid w:val="00FE0D9F"/>
    <w:rsid w:val="00FE1408"/>
    <w:rsid w:val="00FE2585"/>
    <w:rsid w:val="00FE2676"/>
    <w:rsid w:val="00FE2751"/>
    <w:rsid w:val="00FE28B8"/>
    <w:rsid w:val="00FE3008"/>
    <w:rsid w:val="00FE35DE"/>
    <w:rsid w:val="00FE3661"/>
    <w:rsid w:val="00FE3AC7"/>
    <w:rsid w:val="00FE3AD8"/>
    <w:rsid w:val="00FE48F1"/>
    <w:rsid w:val="00FE4DE6"/>
    <w:rsid w:val="00FE56FA"/>
    <w:rsid w:val="00FE61A1"/>
    <w:rsid w:val="00FE71E6"/>
    <w:rsid w:val="00FE7F01"/>
    <w:rsid w:val="00FF0D3E"/>
    <w:rsid w:val="00FF1253"/>
    <w:rsid w:val="00FF1BCA"/>
    <w:rsid w:val="00FF1C22"/>
    <w:rsid w:val="00FF26A9"/>
    <w:rsid w:val="00FF299E"/>
    <w:rsid w:val="00FF3545"/>
    <w:rsid w:val="00FF35E9"/>
    <w:rsid w:val="00FF42A6"/>
    <w:rsid w:val="00FF4D9A"/>
    <w:rsid w:val="00FF4F22"/>
    <w:rsid w:val="00FF5505"/>
    <w:rsid w:val="00FF61FC"/>
    <w:rsid w:val="00FF6547"/>
    <w:rsid w:val="00FF6BBC"/>
    <w:rsid w:val="00FF6D6F"/>
    <w:rsid w:val="00FF71CE"/>
    <w:rsid w:val="00FF75BF"/>
    <w:rsid w:val="00FF7C4C"/>
    <w:rsid w:val="00FF7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7C789"/>
  <w15:chartTrackingRefBased/>
  <w15:docId w15:val="{EB158BE0-5404-44C6-8617-597EAA46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5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0D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D4C3E"/>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CF1"/>
    <w:pPr>
      <w:ind w:left="720"/>
      <w:contextualSpacing/>
    </w:pPr>
  </w:style>
  <w:style w:type="paragraph" w:styleId="Caption">
    <w:name w:val="caption"/>
    <w:basedOn w:val="Normal"/>
    <w:next w:val="Normal"/>
    <w:uiPriority w:val="35"/>
    <w:unhideWhenUsed/>
    <w:qFormat/>
    <w:rsid w:val="002747EC"/>
    <w:pPr>
      <w:spacing w:after="200" w:line="240" w:lineRule="auto"/>
    </w:pPr>
    <w:rPr>
      <w:i/>
      <w:iCs/>
      <w:color w:val="44546A" w:themeColor="text2"/>
      <w:sz w:val="18"/>
      <w:szCs w:val="18"/>
    </w:rPr>
  </w:style>
  <w:style w:type="paragraph" w:styleId="Revision">
    <w:name w:val="Revision"/>
    <w:hidden/>
    <w:uiPriority w:val="99"/>
    <w:semiHidden/>
    <w:rsid w:val="00995AAB"/>
    <w:pPr>
      <w:spacing w:after="0" w:line="240" w:lineRule="auto"/>
    </w:pPr>
  </w:style>
  <w:style w:type="character" w:styleId="CommentReference">
    <w:name w:val="annotation reference"/>
    <w:basedOn w:val="DefaultParagraphFont"/>
    <w:uiPriority w:val="99"/>
    <w:semiHidden/>
    <w:unhideWhenUsed/>
    <w:rsid w:val="00171641"/>
    <w:rPr>
      <w:sz w:val="16"/>
      <w:szCs w:val="16"/>
    </w:rPr>
  </w:style>
  <w:style w:type="paragraph" w:styleId="CommentText">
    <w:name w:val="annotation text"/>
    <w:basedOn w:val="Normal"/>
    <w:link w:val="CommentTextChar"/>
    <w:uiPriority w:val="99"/>
    <w:unhideWhenUsed/>
    <w:rsid w:val="00171641"/>
    <w:pPr>
      <w:spacing w:line="240" w:lineRule="auto"/>
    </w:pPr>
    <w:rPr>
      <w:sz w:val="20"/>
      <w:szCs w:val="20"/>
    </w:rPr>
  </w:style>
  <w:style w:type="character" w:customStyle="1" w:styleId="CommentTextChar">
    <w:name w:val="Comment Text Char"/>
    <w:basedOn w:val="DefaultParagraphFont"/>
    <w:link w:val="CommentText"/>
    <w:uiPriority w:val="99"/>
    <w:rsid w:val="00171641"/>
    <w:rPr>
      <w:sz w:val="20"/>
      <w:szCs w:val="20"/>
    </w:rPr>
  </w:style>
  <w:style w:type="paragraph" w:styleId="CommentSubject">
    <w:name w:val="annotation subject"/>
    <w:basedOn w:val="CommentText"/>
    <w:next w:val="CommentText"/>
    <w:link w:val="CommentSubjectChar"/>
    <w:uiPriority w:val="99"/>
    <w:semiHidden/>
    <w:unhideWhenUsed/>
    <w:rsid w:val="00171641"/>
    <w:rPr>
      <w:b/>
      <w:bCs/>
    </w:rPr>
  </w:style>
  <w:style w:type="character" w:customStyle="1" w:styleId="CommentSubjectChar">
    <w:name w:val="Comment Subject Char"/>
    <w:basedOn w:val="CommentTextChar"/>
    <w:link w:val="CommentSubject"/>
    <w:uiPriority w:val="99"/>
    <w:semiHidden/>
    <w:rsid w:val="00171641"/>
    <w:rPr>
      <w:b/>
      <w:bCs/>
      <w:sz w:val="20"/>
      <w:szCs w:val="20"/>
    </w:rPr>
  </w:style>
  <w:style w:type="character" w:styleId="Hyperlink">
    <w:name w:val="Hyperlink"/>
    <w:basedOn w:val="DefaultParagraphFont"/>
    <w:uiPriority w:val="99"/>
    <w:unhideWhenUsed/>
    <w:rsid w:val="00992EFE"/>
    <w:rPr>
      <w:color w:val="0563C1" w:themeColor="hyperlink"/>
      <w:u w:val="single"/>
    </w:rPr>
  </w:style>
  <w:style w:type="character" w:styleId="UnresolvedMention">
    <w:name w:val="Unresolved Mention"/>
    <w:basedOn w:val="DefaultParagraphFont"/>
    <w:uiPriority w:val="99"/>
    <w:semiHidden/>
    <w:unhideWhenUsed/>
    <w:rsid w:val="00992EFE"/>
    <w:rPr>
      <w:color w:val="605E5C"/>
      <w:shd w:val="clear" w:color="auto" w:fill="E1DFDD"/>
    </w:rPr>
  </w:style>
  <w:style w:type="character" w:styleId="FollowedHyperlink">
    <w:name w:val="FollowedHyperlink"/>
    <w:basedOn w:val="DefaultParagraphFont"/>
    <w:uiPriority w:val="99"/>
    <w:semiHidden/>
    <w:unhideWhenUsed/>
    <w:rsid w:val="002C5FE2"/>
    <w:rPr>
      <w:color w:val="954F72" w:themeColor="followedHyperlink"/>
      <w:u w:val="single"/>
    </w:rPr>
  </w:style>
  <w:style w:type="character" w:customStyle="1" w:styleId="Heading2Char">
    <w:name w:val="Heading 2 Char"/>
    <w:basedOn w:val="DefaultParagraphFont"/>
    <w:link w:val="Heading2"/>
    <w:uiPriority w:val="9"/>
    <w:rsid w:val="00020DF0"/>
    <w:rPr>
      <w:rFonts w:asciiTheme="majorHAnsi" w:eastAsiaTheme="majorEastAsia" w:hAnsiTheme="majorHAnsi" w:cstheme="majorBidi"/>
      <w:color w:val="2F5496" w:themeColor="accent1" w:themeShade="BF"/>
      <w:sz w:val="26"/>
      <w:szCs w:val="26"/>
    </w:rPr>
  </w:style>
  <w:style w:type="paragraph" w:styleId="Date">
    <w:name w:val="Date"/>
    <w:basedOn w:val="Normal"/>
    <w:next w:val="Normal"/>
    <w:link w:val="DateChar"/>
    <w:uiPriority w:val="99"/>
    <w:semiHidden/>
    <w:unhideWhenUsed/>
    <w:rsid w:val="00020DF0"/>
  </w:style>
  <w:style w:type="character" w:customStyle="1" w:styleId="DateChar">
    <w:name w:val="Date Char"/>
    <w:basedOn w:val="DefaultParagraphFont"/>
    <w:link w:val="Date"/>
    <w:uiPriority w:val="99"/>
    <w:semiHidden/>
    <w:rsid w:val="00020DF0"/>
  </w:style>
  <w:style w:type="paragraph" w:styleId="Header">
    <w:name w:val="header"/>
    <w:basedOn w:val="Normal"/>
    <w:link w:val="HeaderChar"/>
    <w:uiPriority w:val="99"/>
    <w:unhideWhenUsed/>
    <w:rsid w:val="00020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DF0"/>
  </w:style>
  <w:style w:type="paragraph" w:styleId="Footer">
    <w:name w:val="footer"/>
    <w:basedOn w:val="Normal"/>
    <w:link w:val="FooterChar"/>
    <w:uiPriority w:val="99"/>
    <w:unhideWhenUsed/>
    <w:rsid w:val="00020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DF0"/>
  </w:style>
  <w:style w:type="paragraph" w:styleId="Bibliography">
    <w:name w:val="Bibliography"/>
    <w:basedOn w:val="Normal"/>
    <w:next w:val="Normal"/>
    <w:uiPriority w:val="37"/>
    <w:unhideWhenUsed/>
    <w:rsid w:val="00020DF0"/>
    <w:pPr>
      <w:spacing w:after="0" w:line="480" w:lineRule="auto"/>
      <w:ind w:left="720" w:hanging="720"/>
    </w:pPr>
  </w:style>
  <w:style w:type="table" w:styleId="TableGrid">
    <w:name w:val="Table Grid"/>
    <w:basedOn w:val="TableNormal"/>
    <w:uiPriority w:val="39"/>
    <w:rsid w:val="00020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20DF0"/>
    <w:pPr>
      <w:spacing w:before="100" w:beforeAutospacing="1" w:after="100" w:afterAutospacing="1" w:line="240" w:lineRule="auto"/>
    </w:pPr>
    <w:rPr>
      <w:rFonts w:eastAsia="Times New Roman"/>
    </w:rPr>
  </w:style>
  <w:style w:type="character" w:customStyle="1" w:styleId="cf01">
    <w:name w:val="cf01"/>
    <w:basedOn w:val="DefaultParagraphFont"/>
    <w:rsid w:val="00020DF0"/>
    <w:rPr>
      <w:rFonts w:ascii="Segoe UI" w:hAnsi="Segoe UI" w:cs="Segoe UI" w:hint="default"/>
      <w:sz w:val="18"/>
      <w:szCs w:val="18"/>
    </w:rPr>
  </w:style>
  <w:style w:type="paragraph" w:styleId="Title">
    <w:name w:val="Title"/>
    <w:basedOn w:val="Normal"/>
    <w:link w:val="TitleChar"/>
    <w:qFormat/>
    <w:rsid w:val="00845DBA"/>
    <w:pPr>
      <w:spacing w:after="0" w:line="240" w:lineRule="auto"/>
      <w:jc w:val="center"/>
    </w:pPr>
    <w:rPr>
      <w:rFonts w:ascii="Arial" w:eastAsia="Times New Roman" w:hAnsi="Arial" w:cs="Arial"/>
      <w:b/>
      <w:sz w:val="28"/>
      <w:lang w:val="en-CA" w:eastAsia="en-US"/>
    </w:rPr>
  </w:style>
  <w:style w:type="character" w:customStyle="1" w:styleId="TitleChar">
    <w:name w:val="Title Char"/>
    <w:basedOn w:val="DefaultParagraphFont"/>
    <w:link w:val="Title"/>
    <w:rsid w:val="00845DBA"/>
    <w:rPr>
      <w:rFonts w:ascii="Arial" w:eastAsia="Times New Roman" w:hAnsi="Arial" w:cs="Arial"/>
      <w:b/>
      <w:sz w:val="28"/>
      <w:lang w:val="en-CA" w:eastAsia="en-US"/>
    </w:rPr>
  </w:style>
  <w:style w:type="character" w:customStyle="1" w:styleId="Heading1Char">
    <w:name w:val="Heading 1 Char"/>
    <w:basedOn w:val="DefaultParagraphFont"/>
    <w:link w:val="Heading1"/>
    <w:uiPriority w:val="9"/>
    <w:rsid w:val="008D35E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D35EF"/>
    <w:pPr>
      <w:outlineLvl w:val="9"/>
    </w:pPr>
    <w:rPr>
      <w:lang w:eastAsia="en-US"/>
    </w:rPr>
  </w:style>
  <w:style w:type="paragraph" w:styleId="TOC1">
    <w:name w:val="toc 1"/>
    <w:basedOn w:val="Normal"/>
    <w:next w:val="Normal"/>
    <w:autoRedefine/>
    <w:uiPriority w:val="39"/>
    <w:unhideWhenUsed/>
    <w:rsid w:val="000D0A85"/>
    <w:pPr>
      <w:spacing w:after="100"/>
    </w:pPr>
  </w:style>
  <w:style w:type="paragraph" w:styleId="TOC2">
    <w:name w:val="toc 2"/>
    <w:basedOn w:val="Normal"/>
    <w:next w:val="Normal"/>
    <w:autoRedefine/>
    <w:uiPriority w:val="39"/>
    <w:unhideWhenUsed/>
    <w:rsid w:val="00A13D59"/>
    <w:pPr>
      <w:spacing w:after="100"/>
      <w:ind w:left="240"/>
    </w:pPr>
  </w:style>
  <w:style w:type="character" w:customStyle="1" w:styleId="Heading3Char">
    <w:name w:val="Heading 3 Char"/>
    <w:basedOn w:val="DefaultParagraphFont"/>
    <w:link w:val="Heading3"/>
    <w:uiPriority w:val="9"/>
    <w:semiHidden/>
    <w:rsid w:val="00ED4C3E"/>
    <w:rPr>
      <w:rFonts w:asciiTheme="majorHAnsi" w:eastAsiaTheme="majorEastAsia" w:hAnsiTheme="majorHAnsi" w:cstheme="majorBidi"/>
      <w:color w:val="1F3763" w:themeColor="accent1" w:themeShade="7F"/>
    </w:rPr>
  </w:style>
  <w:style w:type="paragraph" w:styleId="TOC3">
    <w:name w:val="toc 3"/>
    <w:basedOn w:val="Normal"/>
    <w:next w:val="Normal"/>
    <w:autoRedefine/>
    <w:uiPriority w:val="39"/>
    <w:unhideWhenUsed/>
    <w:rsid w:val="003B51B6"/>
    <w:pPr>
      <w:spacing w:after="100"/>
      <w:ind w:left="480"/>
    </w:pPr>
  </w:style>
  <w:style w:type="paragraph" w:styleId="TableofFigures">
    <w:name w:val="table of figures"/>
    <w:basedOn w:val="Normal"/>
    <w:next w:val="Normal"/>
    <w:uiPriority w:val="99"/>
    <w:unhideWhenUsed/>
    <w:rsid w:val="00A43D7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46030">
      <w:bodyDiv w:val="1"/>
      <w:marLeft w:val="0"/>
      <w:marRight w:val="0"/>
      <w:marTop w:val="0"/>
      <w:marBottom w:val="0"/>
      <w:divBdr>
        <w:top w:val="none" w:sz="0" w:space="0" w:color="auto"/>
        <w:left w:val="none" w:sz="0" w:space="0" w:color="auto"/>
        <w:bottom w:val="none" w:sz="0" w:space="0" w:color="auto"/>
        <w:right w:val="none" w:sz="0" w:space="0" w:color="auto"/>
      </w:divBdr>
    </w:div>
    <w:div w:id="95911773">
      <w:bodyDiv w:val="1"/>
      <w:marLeft w:val="0"/>
      <w:marRight w:val="0"/>
      <w:marTop w:val="0"/>
      <w:marBottom w:val="0"/>
      <w:divBdr>
        <w:top w:val="none" w:sz="0" w:space="0" w:color="auto"/>
        <w:left w:val="none" w:sz="0" w:space="0" w:color="auto"/>
        <w:bottom w:val="none" w:sz="0" w:space="0" w:color="auto"/>
        <w:right w:val="none" w:sz="0" w:space="0" w:color="auto"/>
      </w:divBdr>
    </w:div>
    <w:div w:id="240599512">
      <w:bodyDiv w:val="1"/>
      <w:marLeft w:val="0"/>
      <w:marRight w:val="0"/>
      <w:marTop w:val="0"/>
      <w:marBottom w:val="0"/>
      <w:divBdr>
        <w:top w:val="none" w:sz="0" w:space="0" w:color="auto"/>
        <w:left w:val="none" w:sz="0" w:space="0" w:color="auto"/>
        <w:bottom w:val="none" w:sz="0" w:space="0" w:color="auto"/>
        <w:right w:val="none" w:sz="0" w:space="0" w:color="auto"/>
      </w:divBdr>
    </w:div>
    <w:div w:id="388724736">
      <w:bodyDiv w:val="1"/>
      <w:marLeft w:val="0"/>
      <w:marRight w:val="0"/>
      <w:marTop w:val="0"/>
      <w:marBottom w:val="0"/>
      <w:divBdr>
        <w:top w:val="none" w:sz="0" w:space="0" w:color="auto"/>
        <w:left w:val="none" w:sz="0" w:space="0" w:color="auto"/>
        <w:bottom w:val="none" w:sz="0" w:space="0" w:color="auto"/>
        <w:right w:val="none" w:sz="0" w:space="0" w:color="auto"/>
      </w:divBdr>
    </w:div>
    <w:div w:id="418452257">
      <w:bodyDiv w:val="1"/>
      <w:marLeft w:val="0"/>
      <w:marRight w:val="0"/>
      <w:marTop w:val="0"/>
      <w:marBottom w:val="0"/>
      <w:divBdr>
        <w:top w:val="none" w:sz="0" w:space="0" w:color="auto"/>
        <w:left w:val="none" w:sz="0" w:space="0" w:color="auto"/>
        <w:bottom w:val="none" w:sz="0" w:space="0" w:color="auto"/>
        <w:right w:val="none" w:sz="0" w:space="0" w:color="auto"/>
      </w:divBdr>
    </w:div>
    <w:div w:id="491994033">
      <w:bodyDiv w:val="1"/>
      <w:marLeft w:val="0"/>
      <w:marRight w:val="0"/>
      <w:marTop w:val="0"/>
      <w:marBottom w:val="0"/>
      <w:divBdr>
        <w:top w:val="none" w:sz="0" w:space="0" w:color="auto"/>
        <w:left w:val="none" w:sz="0" w:space="0" w:color="auto"/>
        <w:bottom w:val="none" w:sz="0" w:space="0" w:color="auto"/>
        <w:right w:val="none" w:sz="0" w:space="0" w:color="auto"/>
      </w:divBdr>
    </w:div>
    <w:div w:id="554439060">
      <w:bodyDiv w:val="1"/>
      <w:marLeft w:val="0"/>
      <w:marRight w:val="0"/>
      <w:marTop w:val="0"/>
      <w:marBottom w:val="0"/>
      <w:divBdr>
        <w:top w:val="none" w:sz="0" w:space="0" w:color="auto"/>
        <w:left w:val="none" w:sz="0" w:space="0" w:color="auto"/>
        <w:bottom w:val="none" w:sz="0" w:space="0" w:color="auto"/>
        <w:right w:val="none" w:sz="0" w:space="0" w:color="auto"/>
      </w:divBdr>
    </w:div>
    <w:div w:id="620190453">
      <w:bodyDiv w:val="1"/>
      <w:marLeft w:val="0"/>
      <w:marRight w:val="0"/>
      <w:marTop w:val="0"/>
      <w:marBottom w:val="0"/>
      <w:divBdr>
        <w:top w:val="none" w:sz="0" w:space="0" w:color="auto"/>
        <w:left w:val="none" w:sz="0" w:space="0" w:color="auto"/>
        <w:bottom w:val="none" w:sz="0" w:space="0" w:color="auto"/>
        <w:right w:val="none" w:sz="0" w:space="0" w:color="auto"/>
      </w:divBdr>
    </w:div>
    <w:div w:id="697510058">
      <w:bodyDiv w:val="1"/>
      <w:marLeft w:val="0"/>
      <w:marRight w:val="0"/>
      <w:marTop w:val="0"/>
      <w:marBottom w:val="0"/>
      <w:divBdr>
        <w:top w:val="none" w:sz="0" w:space="0" w:color="auto"/>
        <w:left w:val="none" w:sz="0" w:space="0" w:color="auto"/>
        <w:bottom w:val="none" w:sz="0" w:space="0" w:color="auto"/>
        <w:right w:val="none" w:sz="0" w:space="0" w:color="auto"/>
      </w:divBdr>
    </w:div>
    <w:div w:id="749617128">
      <w:bodyDiv w:val="1"/>
      <w:marLeft w:val="0"/>
      <w:marRight w:val="0"/>
      <w:marTop w:val="0"/>
      <w:marBottom w:val="0"/>
      <w:divBdr>
        <w:top w:val="none" w:sz="0" w:space="0" w:color="auto"/>
        <w:left w:val="none" w:sz="0" w:space="0" w:color="auto"/>
        <w:bottom w:val="none" w:sz="0" w:space="0" w:color="auto"/>
        <w:right w:val="none" w:sz="0" w:space="0" w:color="auto"/>
      </w:divBdr>
    </w:div>
    <w:div w:id="758647599">
      <w:bodyDiv w:val="1"/>
      <w:marLeft w:val="0"/>
      <w:marRight w:val="0"/>
      <w:marTop w:val="0"/>
      <w:marBottom w:val="0"/>
      <w:divBdr>
        <w:top w:val="none" w:sz="0" w:space="0" w:color="auto"/>
        <w:left w:val="none" w:sz="0" w:space="0" w:color="auto"/>
        <w:bottom w:val="none" w:sz="0" w:space="0" w:color="auto"/>
        <w:right w:val="none" w:sz="0" w:space="0" w:color="auto"/>
      </w:divBdr>
    </w:div>
    <w:div w:id="790636359">
      <w:bodyDiv w:val="1"/>
      <w:marLeft w:val="0"/>
      <w:marRight w:val="0"/>
      <w:marTop w:val="0"/>
      <w:marBottom w:val="0"/>
      <w:divBdr>
        <w:top w:val="none" w:sz="0" w:space="0" w:color="auto"/>
        <w:left w:val="none" w:sz="0" w:space="0" w:color="auto"/>
        <w:bottom w:val="none" w:sz="0" w:space="0" w:color="auto"/>
        <w:right w:val="none" w:sz="0" w:space="0" w:color="auto"/>
      </w:divBdr>
      <w:divsChild>
        <w:div w:id="1484083526">
          <w:marLeft w:val="0"/>
          <w:marRight w:val="0"/>
          <w:marTop w:val="0"/>
          <w:marBottom w:val="0"/>
          <w:divBdr>
            <w:top w:val="none" w:sz="0" w:space="0" w:color="auto"/>
            <w:left w:val="none" w:sz="0" w:space="0" w:color="auto"/>
            <w:bottom w:val="none" w:sz="0" w:space="0" w:color="auto"/>
            <w:right w:val="none" w:sz="0" w:space="0" w:color="auto"/>
          </w:divBdr>
        </w:div>
        <w:div w:id="35740226">
          <w:marLeft w:val="0"/>
          <w:marRight w:val="0"/>
          <w:marTop w:val="0"/>
          <w:marBottom w:val="0"/>
          <w:divBdr>
            <w:top w:val="none" w:sz="0" w:space="0" w:color="auto"/>
            <w:left w:val="none" w:sz="0" w:space="0" w:color="auto"/>
            <w:bottom w:val="none" w:sz="0" w:space="0" w:color="auto"/>
            <w:right w:val="none" w:sz="0" w:space="0" w:color="auto"/>
          </w:divBdr>
        </w:div>
      </w:divsChild>
    </w:div>
    <w:div w:id="926155063">
      <w:bodyDiv w:val="1"/>
      <w:marLeft w:val="0"/>
      <w:marRight w:val="0"/>
      <w:marTop w:val="0"/>
      <w:marBottom w:val="0"/>
      <w:divBdr>
        <w:top w:val="none" w:sz="0" w:space="0" w:color="auto"/>
        <w:left w:val="none" w:sz="0" w:space="0" w:color="auto"/>
        <w:bottom w:val="none" w:sz="0" w:space="0" w:color="auto"/>
        <w:right w:val="none" w:sz="0" w:space="0" w:color="auto"/>
      </w:divBdr>
    </w:div>
    <w:div w:id="1046834084">
      <w:bodyDiv w:val="1"/>
      <w:marLeft w:val="0"/>
      <w:marRight w:val="0"/>
      <w:marTop w:val="0"/>
      <w:marBottom w:val="0"/>
      <w:divBdr>
        <w:top w:val="none" w:sz="0" w:space="0" w:color="auto"/>
        <w:left w:val="none" w:sz="0" w:space="0" w:color="auto"/>
        <w:bottom w:val="none" w:sz="0" w:space="0" w:color="auto"/>
        <w:right w:val="none" w:sz="0" w:space="0" w:color="auto"/>
      </w:divBdr>
    </w:div>
    <w:div w:id="1221791122">
      <w:bodyDiv w:val="1"/>
      <w:marLeft w:val="0"/>
      <w:marRight w:val="0"/>
      <w:marTop w:val="0"/>
      <w:marBottom w:val="0"/>
      <w:divBdr>
        <w:top w:val="none" w:sz="0" w:space="0" w:color="auto"/>
        <w:left w:val="none" w:sz="0" w:space="0" w:color="auto"/>
        <w:bottom w:val="none" w:sz="0" w:space="0" w:color="auto"/>
        <w:right w:val="none" w:sz="0" w:space="0" w:color="auto"/>
      </w:divBdr>
    </w:div>
    <w:div w:id="1250311198">
      <w:bodyDiv w:val="1"/>
      <w:marLeft w:val="0"/>
      <w:marRight w:val="0"/>
      <w:marTop w:val="0"/>
      <w:marBottom w:val="0"/>
      <w:divBdr>
        <w:top w:val="none" w:sz="0" w:space="0" w:color="auto"/>
        <w:left w:val="none" w:sz="0" w:space="0" w:color="auto"/>
        <w:bottom w:val="none" w:sz="0" w:space="0" w:color="auto"/>
        <w:right w:val="none" w:sz="0" w:space="0" w:color="auto"/>
      </w:divBdr>
    </w:div>
    <w:div w:id="1270354511">
      <w:bodyDiv w:val="1"/>
      <w:marLeft w:val="0"/>
      <w:marRight w:val="0"/>
      <w:marTop w:val="0"/>
      <w:marBottom w:val="0"/>
      <w:divBdr>
        <w:top w:val="none" w:sz="0" w:space="0" w:color="auto"/>
        <w:left w:val="none" w:sz="0" w:space="0" w:color="auto"/>
        <w:bottom w:val="none" w:sz="0" w:space="0" w:color="auto"/>
        <w:right w:val="none" w:sz="0" w:space="0" w:color="auto"/>
      </w:divBdr>
    </w:div>
    <w:div w:id="1383754151">
      <w:bodyDiv w:val="1"/>
      <w:marLeft w:val="0"/>
      <w:marRight w:val="0"/>
      <w:marTop w:val="0"/>
      <w:marBottom w:val="0"/>
      <w:divBdr>
        <w:top w:val="none" w:sz="0" w:space="0" w:color="auto"/>
        <w:left w:val="none" w:sz="0" w:space="0" w:color="auto"/>
        <w:bottom w:val="none" w:sz="0" w:space="0" w:color="auto"/>
        <w:right w:val="none" w:sz="0" w:space="0" w:color="auto"/>
      </w:divBdr>
      <w:divsChild>
        <w:div w:id="522138336">
          <w:marLeft w:val="0"/>
          <w:marRight w:val="0"/>
          <w:marTop w:val="0"/>
          <w:marBottom w:val="0"/>
          <w:divBdr>
            <w:top w:val="none" w:sz="0" w:space="0" w:color="auto"/>
            <w:left w:val="none" w:sz="0" w:space="0" w:color="auto"/>
            <w:bottom w:val="none" w:sz="0" w:space="0" w:color="auto"/>
            <w:right w:val="none" w:sz="0" w:space="0" w:color="auto"/>
          </w:divBdr>
          <w:divsChild>
            <w:div w:id="19838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92786">
      <w:bodyDiv w:val="1"/>
      <w:marLeft w:val="0"/>
      <w:marRight w:val="0"/>
      <w:marTop w:val="0"/>
      <w:marBottom w:val="0"/>
      <w:divBdr>
        <w:top w:val="none" w:sz="0" w:space="0" w:color="auto"/>
        <w:left w:val="none" w:sz="0" w:space="0" w:color="auto"/>
        <w:bottom w:val="none" w:sz="0" w:space="0" w:color="auto"/>
        <w:right w:val="none" w:sz="0" w:space="0" w:color="auto"/>
      </w:divBdr>
    </w:div>
    <w:div w:id="1481386575">
      <w:bodyDiv w:val="1"/>
      <w:marLeft w:val="0"/>
      <w:marRight w:val="0"/>
      <w:marTop w:val="0"/>
      <w:marBottom w:val="0"/>
      <w:divBdr>
        <w:top w:val="none" w:sz="0" w:space="0" w:color="auto"/>
        <w:left w:val="none" w:sz="0" w:space="0" w:color="auto"/>
        <w:bottom w:val="none" w:sz="0" w:space="0" w:color="auto"/>
        <w:right w:val="none" w:sz="0" w:space="0" w:color="auto"/>
      </w:divBdr>
    </w:div>
    <w:div w:id="1544488350">
      <w:bodyDiv w:val="1"/>
      <w:marLeft w:val="0"/>
      <w:marRight w:val="0"/>
      <w:marTop w:val="0"/>
      <w:marBottom w:val="0"/>
      <w:divBdr>
        <w:top w:val="none" w:sz="0" w:space="0" w:color="auto"/>
        <w:left w:val="none" w:sz="0" w:space="0" w:color="auto"/>
        <w:bottom w:val="none" w:sz="0" w:space="0" w:color="auto"/>
        <w:right w:val="none" w:sz="0" w:space="0" w:color="auto"/>
      </w:divBdr>
    </w:div>
    <w:div w:id="1581522488">
      <w:bodyDiv w:val="1"/>
      <w:marLeft w:val="0"/>
      <w:marRight w:val="0"/>
      <w:marTop w:val="0"/>
      <w:marBottom w:val="0"/>
      <w:divBdr>
        <w:top w:val="none" w:sz="0" w:space="0" w:color="auto"/>
        <w:left w:val="none" w:sz="0" w:space="0" w:color="auto"/>
        <w:bottom w:val="none" w:sz="0" w:space="0" w:color="auto"/>
        <w:right w:val="none" w:sz="0" w:space="0" w:color="auto"/>
      </w:divBdr>
    </w:div>
    <w:div w:id="1942685045">
      <w:bodyDiv w:val="1"/>
      <w:marLeft w:val="0"/>
      <w:marRight w:val="0"/>
      <w:marTop w:val="0"/>
      <w:marBottom w:val="0"/>
      <w:divBdr>
        <w:top w:val="none" w:sz="0" w:space="0" w:color="auto"/>
        <w:left w:val="none" w:sz="0" w:space="0" w:color="auto"/>
        <w:bottom w:val="none" w:sz="0" w:space="0" w:color="auto"/>
        <w:right w:val="none" w:sz="0" w:space="0" w:color="auto"/>
      </w:divBdr>
    </w:div>
    <w:div w:id="207974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e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hyperlink" Target="https://dissertationaccess.herokuapp.com"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microsoft.com/office/2011/relationships/people" Target="people.xml"/><Relationship Id="rId8" Type="http://schemas.openxmlformats.org/officeDocument/2006/relationships/comments" Target="comments.xml"/><Relationship Id="rId51" Type="http://schemas.openxmlformats.org/officeDocument/2006/relationships/image" Target="media/image38.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C2D65-4B9D-4C37-835F-65289F623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196</Pages>
  <Words>153884</Words>
  <Characters>877139</Characters>
  <Application>Microsoft Office Word</Application>
  <DocSecurity>0</DocSecurity>
  <Lines>7309</Lines>
  <Paragraphs>2057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Feng</dc:creator>
  <cp:keywords/>
  <dc:description/>
  <cp:lastModifiedBy>Feng, Jimmy</cp:lastModifiedBy>
  <cp:revision>83</cp:revision>
  <cp:lastPrinted>2022-10-13T23:41:00Z</cp:lastPrinted>
  <dcterms:created xsi:type="dcterms:W3CDTF">2022-10-13T23:40:00Z</dcterms:created>
  <dcterms:modified xsi:type="dcterms:W3CDTF">2022-11-14T04:39:00Z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id="aCCUDhF1"/&gt;&lt;style id="http://www.zotero.org/styles/apa" locale="en-US" hasBibliography="1" bibliographyStyleHasBeenSet="1"/&gt;&lt;prefs&gt;&lt;pref name="fieldType" value="Field"/&gt;&lt;/prefs&gt;&lt;/data&gt;</vt:lpwstr>
  </property>
</Properties>
</file>